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40A656C1" w:rsidR="00D94538" w:rsidRPr="003221F5" w:rsidRDefault="00C43472">
      <w:pPr>
        <w:jc w:val="center"/>
        <w:rPr>
          <w:b/>
          <w:sz w:val="52"/>
          <w:szCs w:val="52"/>
        </w:rPr>
      </w:pPr>
      <w:r w:rsidRPr="003221F5">
        <w:rPr>
          <w:b/>
          <w:sz w:val="52"/>
          <w:szCs w:val="52"/>
        </w:rPr>
        <w:t>Assignment</w:t>
      </w:r>
      <w:r w:rsidR="009B4B91" w:rsidRPr="003221F5">
        <w:rPr>
          <w:b/>
          <w:sz w:val="52"/>
          <w:szCs w:val="52"/>
        </w:rPr>
        <w:t xml:space="preserve"> title: Component 2 – Written Report </w:t>
      </w:r>
    </w:p>
    <w:p w14:paraId="02A1547B" w14:textId="5733A7C3" w:rsidR="009B4B91" w:rsidRPr="003221F5" w:rsidRDefault="009B4B91">
      <w:pPr>
        <w:jc w:val="center"/>
        <w:rPr>
          <w:b/>
          <w:sz w:val="52"/>
          <w:szCs w:val="52"/>
        </w:rPr>
      </w:pPr>
      <w:r w:rsidRPr="003221F5">
        <w:rPr>
          <w:b/>
          <w:sz w:val="52"/>
          <w:szCs w:val="52"/>
        </w:rPr>
        <w:t xml:space="preserve">Module: Living with Care: The Older Person </w:t>
      </w:r>
    </w:p>
    <w:p w14:paraId="28FE1EBA" w14:textId="77777777" w:rsidR="009B4B91" w:rsidRDefault="009B4B91" w:rsidP="009B4B91">
      <w:pPr>
        <w:rPr>
          <w:b/>
          <w:sz w:val="40"/>
          <w:szCs w:val="40"/>
        </w:rPr>
      </w:pPr>
    </w:p>
    <w:p w14:paraId="00000003" w14:textId="68DB7EBD" w:rsidR="00D94538" w:rsidRPr="003221F5" w:rsidRDefault="00C43472" w:rsidP="009B4B91">
      <w:pPr>
        <w:jc w:val="center"/>
        <w:rPr>
          <w:b/>
          <w:sz w:val="52"/>
          <w:szCs w:val="52"/>
        </w:rPr>
      </w:pPr>
      <w:r w:rsidRPr="003221F5">
        <w:rPr>
          <w:b/>
          <w:sz w:val="52"/>
          <w:szCs w:val="52"/>
        </w:rPr>
        <w:t xml:space="preserve">Student </w:t>
      </w:r>
      <w:r w:rsidR="003221F5">
        <w:rPr>
          <w:b/>
          <w:sz w:val="52"/>
          <w:szCs w:val="52"/>
        </w:rPr>
        <w:t>N</w:t>
      </w:r>
      <w:r w:rsidR="003221F5" w:rsidRPr="003221F5">
        <w:rPr>
          <w:b/>
          <w:sz w:val="52"/>
          <w:szCs w:val="52"/>
        </w:rPr>
        <w:t>ame: Isaac</w:t>
      </w:r>
      <w:r w:rsidR="009B4B91" w:rsidRPr="003221F5">
        <w:rPr>
          <w:b/>
          <w:sz w:val="52"/>
          <w:szCs w:val="52"/>
        </w:rPr>
        <w:t xml:space="preserve"> Alake</w:t>
      </w:r>
    </w:p>
    <w:p w14:paraId="00000004" w14:textId="04D7654E" w:rsidR="00D94538" w:rsidRPr="003221F5" w:rsidRDefault="00C43472">
      <w:pPr>
        <w:jc w:val="center"/>
        <w:rPr>
          <w:b/>
          <w:sz w:val="52"/>
          <w:szCs w:val="52"/>
        </w:rPr>
      </w:pPr>
      <w:r w:rsidRPr="003221F5">
        <w:rPr>
          <w:b/>
          <w:sz w:val="52"/>
          <w:szCs w:val="52"/>
        </w:rPr>
        <w:t>Student ID:</w:t>
      </w:r>
      <w:r w:rsidR="009B4B91" w:rsidRPr="003221F5">
        <w:rPr>
          <w:b/>
          <w:sz w:val="52"/>
          <w:szCs w:val="52"/>
        </w:rPr>
        <w:t>2132943</w:t>
      </w:r>
    </w:p>
    <w:p w14:paraId="1A8D3019" w14:textId="65551A07" w:rsidR="009B4B91" w:rsidRPr="003221F5" w:rsidRDefault="009B4B91">
      <w:pPr>
        <w:jc w:val="center"/>
        <w:rPr>
          <w:b/>
          <w:sz w:val="52"/>
          <w:szCs w:val="52"/>
        </w:rPr>
      </w:pPr>
      <w:r w:rsidRPr="003221F5">
        <w:rPr>
          <w:b/>
          <w:sz w:val="52"/>
          <w:szCs w:val="52"/>
        </w:rPr>
        <w:t xml:space="preserve">Module </w:t>
      </w:r>
      <w:r w:rsidR="003221F5" w:rsidRPr="003221F5">
        <w:rPr>
          <w:b/>
          <w:sz w:val="52"/>
          <w:szCs w:val="52"/>
        </w:rPr>
        <w:t>Code</w:t>
      </w:r>
      <w:r w:rsidR="003221F5">
        <w:rPr>
          <w:b/>
          <w:sz w:val="52"/>
          <w:szCs w:val="52"/>
        </w:rPr>
        <w:t>:</w:t>
      </w:r>
      <w:r w:rsidR="003221F5" w:rsidRPr="003221F5">
        <w:rPr>
          <w:b/>
          <w:sz w:val="52"/>
          <w:szCs w:val="52"/>
        </w:rPr>
        <w:t xml:space="preserve"> BMHP</w:t>
      </w:r>
      <w:r w:rsidRPr="003221F5">
        <w:rPr>
          <w:b/>
          <w:sz w:val="52"/>
          <w:szCs w:val="52"/>
        </w:rPr>
        <w:t>6009</w:t>
      </w:r>
    </w:p>
    <w:p w14:paraId="665A5D52" w14:textId="7A884CAF" w:rsidR="009B4B91" w:rsidRPr="003221F5" w:rsidRDefault="009B4B91">
      <w:pPr>
        <w:jc w:val="center"/>
        <w:rPr>
          <w:b/>
          <w:sz w:val="52"/>
          <w:szCs w:val="52"/>
        </w:rPr>
      </w:pPr>
      <w:r w:rsidRPr="003221F5">
        <w:rPr>
          <w:b/>
          <w:sz w:val="52"/>
          <w:szCs w:val="52"/>
        </w:rPr>
        <w:t xml:space="preserve">Tutor </w:t>
      </w:r>
      <w:r w:rsidR="003221F5">
        <w:rPr>
          <w:b/>
          <w:sz w:val="52"/>
          <w:szCs w:val="52"/>
        </w:rPr>
        <w:t>N</w:t>
      </w:r>
      <w:r w:rsidRPr="003221F5">
        <w:rPr>
          <w:b/>
          <w:sz w:val="52"/>
          <w:szCs w:val="52"/>
        </w:rPr>
        <w:t>ame: Joanne Davies</w:t>
      </w:r>
    </w:p>
    <w:p w14:paraId="00000005" w14:textId="77777777" w:rsidR="00D94538" w:rsidRDefault="00C43472">
      <w:pPr>
        <w:jc w:val="center"/>
      </w:pPr>
      <w:r>
        <w:br w:type="page"/>
      </w:r>
    </w:p>
    <w:p w14:paraId="00000006" w14:textId="77777777" w:rsidR="00D94538" w:rsidRDefault="00C43472">
      <w:pPr>
        <w:jc w:val="center"/>
        <w:rPr>
          <w:b/>
          <w:sz w:val="28"/>
          <w:szCs w:val="28"/>
        </w:rPr>
      </w:pPr>
      <w:r>
        <w:rPr>
          <w:b/>
          <w:sz w:val="28"/>
          <w:szCs w:val="28"/>
        </w:rPr>
        <w:lastRenderedPageBreak/>
        <w:t>Table of Content</w:t>
      </w:r>
    </w:p>
    <w:p w14:paraId="00000007" w14:textId="77777777" w:rsidR="00D94538" w:rsidRDefault="00D94538">
      <w:pPr>
        <w:jc w:val="left"/>
      </w:pPr>
    </w:p>
    <w:sdt>
      <w:sdtPr>
        <w:id w:val="1022818646"/>
        <w:docPartObj>
          <w:docPartGallery w:val="Table of Contents"/>
          <w:docPartUnique/>
        </w:docPartObj>
      </w:sdtPr>
      <w:sdtEndPr/>
      <w:sdtContent>
        <w:p w14:paraId="00000009" w14:textId="1A427AD6" w:rsidR="00D94538" w:rsidRDefault="00C43472">
          <w:pPr>
            <w:widowControl w:val="0"/>
            <w:tabs>
              <w:tab w:val="right" w:leader="dot" w:pos="12000"/>
            </w:tabs>
            <w:spacing w:before="60"/>
            <w:jc w:val="left"/>
            <w:rPr>
              <w:color w:val="000000"/>
            </w:rPr>
          </w:pPr>
          <w:r>
            <w:fldChar w:fldCharType="begin"/>
          </w:r>
          <w:r>
            <w:instrText xml:space="preserve"> TOC \h \u \z \t "Heading 1,1,Heading 2,2,Heading 3,3,Heading 4,4,Heading 5,5,Heading 6,6,"</w:instrText>
          </w:r>
          <w:r>
            <w:fldChar w:fldCharType="separate"/>
          </w:r>
          <w:hyperlink w:anchor="_ck7wr7nszqq4">
            <w:r>
              <w:rPr>
                <w:color w:val="000000"/>
              </w:rPr>
              <w:t>Introduction</w:t>
            </w:r>
            <w:r>
              <w:rPr>
                <w:color w:val="000000"/>
              </w:rPr>
              <w:tab/>
              <w:t>2</w:t>
            </w:r>
          </w:hyperlink>
        </w:p>
        <w:p w14:paraId="0000000A" w14:textId="77777777" w:rsidR="00D94538" w:rsidRDefault="00C43472">
          <w:pPr>
            <w:widowControl w:val="0"/>
            <w:tabs>
              <w:tab w:val="right" w:leader="dot" w:pos="12000"/>
            </w:tabs>
            <w:spacing w:before="60"/>
            <w:ind w:left="360"/>
            <w:jc w:val="left"/>
            <w:rPr>
              <w:color w:val="000000"/>
            </w:rPr>
          </w:pPr>
          <w:hyperlink w:anchor="_2pdqszh3kh71">
            <w:r>
              <w:rPr>
                <w:color w:val="000000"/>
              </w:rPr>
              <w:t>Brief Explanation of the Case Study</w:t>
            </w:r>
            <w:r>
              <w:rPr>
                <w:color w:val="000000"/>
              </w:rPr>
              <w:tab/>
              <w:t>2</w:t>
            </w:r>
          </w:hyperlink>
        </w:p>
        <w:p w14:paraId="0000000B" w14:textId="77777777" w:rsidR="00D94538" w:rsidRDefault="00C43472">
          <w:pPr>
            <w:widowControl w:val="0"/>
            <w:tabs>
              <w:tab w:val="right" w:leader="dot" w:pos="12000"/>
            </w:tabs>
            <w:spacing w:before="60"/>
            <w:ind w:left="360"/>
            <w:jc w:val="left"/>
            <w:rPr>
              <w:color w:val="000000"/>
            </w:rPr>
          </w:pPr>
          <w:hyperlink w:anchor="_v0o4syjr0i20">
            <w:r>
              <w:rPr>
                <w:color w:val="000000"/>
              </w:rPr>
              <w:t>Health and Social Care Need</w:t>
            </w:r>
            <w:r>
              <w:rPr>
                <w:color w:val="000000"/>
              </w:rPr>
              <w:tab/>
              <w:t>3</w:t>
            </w:r>
          </w:hyperlink>
        </w:p>
        <w:p w14:paraId="0000000C" w14:textId="77777777" w:rsidR="00D94538" w:rsidRDefault="00C43472">
          <w:pPr>
            <w:widowControl w:val="0"/>
            <w:tabs>
              <w:tab w:val="right" w:leader="dot" w:pos="12000"/>
            </w:tabs>
            <w:spacing w:before="60"/>
            <w:ind w:left="360"/>
            <w:jc w:val="left"/>
            <w:rPr>
              <w:color w:val="000000"/>
            </w:rPr>
          </w:pPr>
          <w:hyperlink w:anchor="_1cabb1u5zuhp">
            <w:r>
              <w:rPr>
                <w:color w:val="000000"/>
              </w:rPr>
              <w:t>Relevant Support and Intervention</w:t>
            </w:r>
            <w:r>
              <w:rPr>
                <w:color w:val="000000"/>
              </w:rPr>
              <w:tab/>
              <w:t>5</w:t>
            </w:r>
          </w:hyperlink>
        </w:p>
        <w:p w14:paraId="0000000D" w14:textId="77777777" w:rsidR="00D94538" w:rsidRDefault="00C43472">
          <w:pPr>
            <w:widowControl w:val="0"/>
            <w:tabs>
              <w:tab w:val="right" w:leader="dot" w:pos="12000"/>
            </w:tabs>
            <w:spacing w:before="60"/>
            <w:ind w:left="360"/>
            <w:jc w:val="left"/>
            <w:rPr>
              <w:color w:val="000000"/>
            </w:rPr>
          </w:pPr>
          <w:hyperlink w:anchor="_e77oerejwlg4">
            <w:r>
              <w:rPr>
                <w:color w:val="000000"/>
              </w:rPr>
              <w:t>Policy and Legislation</w:t>
            </w:r>
            <w:r>
              <w:rPr>
                <w:color w:val="000000"/>
              </w:rPr>
              <w:tab/>
              <w:t>6</w:t>
            </w:r>
          </w:hyperlink>
        </w:p>
        <w:p w14:paraId="0000000E" w14:textId="77777777" w:rsidR="00D94538" w:rsidRDefault="00C43472">
          <w:pPr>
            <w:widowControl w:val="0"/>
            <w:tabs>
              <w:tab w:val="right" w:leader="dot" w:pos="12000"/>
            </w:tabs>
            <w:spacing w:before="60"/>
            <w:ind w:left="720"/>
            <w:jc w:val="left"/>
            <w:rPr>
              <w:color w:val="000000"/>
            </w:rPr>
          </w:pPr>
          <w:hyperlink w:anchor="_cejbn9etskdg">
            <w:r>
              <w:rPr>
                <w:color w:val="000000"/>
              </w:rPr>
              <w:t>Care Act 2014</w:t>
            </w:r>
            <w:r>
              <w:rPr>
                <w:color w:val="000000"/>
              </w:rPr>
              <w:tab/>
              <w:t>6</w:t>
            </w:r>
          </w:hyperlink>
        </w:p>
        <w:p w14:paraId="0000000F" w14:textId="77777777" w:rsidR="00D94538" w:rsidRDefault="00C43472">
          <w:pPr>
            <w:widowControl w:val="0"/>
            <w:tabs>
              <w:tab w:val="right" w:leader="dot" w:pos="12000"/>
            </w:tabs>
            <w:spacing w:before="60"/>
            <w:ind w:left="720"/>
            <w:jc w:val="left"/>
            <w:rPr>
              <w:color w:val="000000"/>
            </w:rPr>
          </w:pPr>
          <w:hyperlink w:anchor="_udkwtrimjtbt">
            <w:r>
              <w:rPr>
                <w:color w:val="000000"/>
              </w:rPr>
              <w:t>Other Relevant Policies</w:t>
            </w:r>
            <w:r>
              <w:rPr>
                <w:color w:val="000000"/>
              </w:rPr>
              <w:tab/>
              <w:t>7</w:t>
            </w:r>
          </w:hyperlink>
        </w:p>
        <w:p w14:paraId="00000010" w14:textId="77777777" w:rsidR="00D94538" w:rsidRDefault="00C43472">
          <w:pPr>
            <w:widowControl w:val="0"/>
            <w:tabs>
              <w:tab w:val="right" w:leader="dot" w:pos="12000"/>
            </w:tabs>
            <w:spacing w:before="60"/>
            <w:ind w:left="720"/>
            <w:jc w:val="left"/>
            <w:rPr>
              <w:color w:val="000000"/>
            </w:rPr>
          </w:pPr>
          <w:hyperlink w:anchor="_pqtn2arko88r">
            <w:r>
              <w:rPr>
                <w:color w:val="000000"/>
              </w:rPr>
              <w:t>Mental Health Legislation</w:t>
            </w:r>
            <w:r>
              <w:rPr>
                <w:color w:val="000000"/>
              </w:rPr>
              <w:tab/>
              <w:t>7</w:t>
            </w:r>
          </w:hyperlink>
        </w:p>
        <w:p w14:paraId="00000011" w14:textId="77777777" w:rsidR="00D94538" w:rsidRDefault="00C43472">
          <w:pPr>
            <w:widowControl w:val="0"/>
            <w:tabs>
              <w:tab w:val="right" w:leader="dot" w:pos="12000"/>
            </w:tabs>
            <w:spacing w:before="60"/>
            <w:ind w:left="360"/>
            <w:jc w:val="left"/>
            <w:rPr>
              <w:color w:val="000000"/>
            </w:rPr>
          </w:pPr>
          <w:hyperlink w:anchor="_w0pr7xre13v4">
            <w:r>
              <w:rPr>
                <w:color w:val="000000"/>
              </w:rPr>
              <w:t>Theories</w:t>
            </w:r>
            <w:r>
              <w:rPr>
                <w:color w:val="000000"/>
              </w:rPr>
              <w:tab/>
              <w:t>8</w:t>
            </w:r>
          </w:hyperlink>
        </w:p>
        <w:p w14:paraId="00000012" w14:textId="77777777" w:rsidR="00D94538" w:rsidRDefault="00C43472">
          <w:pPr>
            <w:widowControl w:val="0"/>
            <w:tabs>
              <w:tab w:val="right" w:leader="dot" w:pos="12000"/>
            </w:tabs>
            <w:spacing w:before="60"/>
            <w:ind w:left="720"/>
            <w:jc w:val="left"/>
            <w:rPr>
              <w:color w:val="000000"/>
            </w:rPr>
          </w:pPr>
          <w:hyperlink w:anchor="_7pk7q5z2izd1">
            <w:r>
              <w:rPr>
                <w:color w:val="000000"/>
              </w:rPr>
              <w:t>Disengagement Theory</w:t>
            </w:r>
            <w:r>
              <w:rPr>
                <w:color w:val="000000"/>
              </w:rPr>
              <w:tab/>
              <w:t>8</w:t>
            </w:r>
          </w:hyperlink>
        </w:p>
        <w:p w14:paraId="00000013" w14:textId="77777777" w:rsidR="00D94538" w:rsidRDefault="00C43472">
          <w:pPr>
            <w:widowControl w:val="0"/>
            <w:tabs>
              <w:tab w:val="right" w:leader="dot" w:pos="12000"/>
            </w:tabs>
            <w:spacing w:before="60"/>
            <w:ind w:left="720"/>
            <w:jc w:val="left"/>
            <w:rPr>
              <w:color w:val="000000"/>
            </w:rPr>
          </w:pPr>
          <w:hyperlink w:anchor="_6ru8fzq87h0i">
            <w:r>
              <w:rPr>
                <w:color w:val="000000"/>
              </w:rPr>
              <w:t>Activity Theory</w:t>
            </w:r>
            <w:r>
              <w:rPr>
                <w:color w:val="000000"/>
              </w:rPr>
              <w:tab/>
              <w:t>9</w:t>
            </w:r>
          </w:hyperlink>
        </w:p>
        <w:p w14:paraId="00000014" w14:textId="77777777" w:rsidR="00D94538" w:rsidRDefault="00C43472">
          <w:pPr>
            <w:widowControl w:val="0"/>
            <w:tabs>
              <w:tab w:val="right" w:leader="dot" w:pos="12000"/>
            </w:tabs>
            <w:spacing w:before="60"/>
            <w:ind w:left="720"/>
            <w:jc w:val="left"/>
            <w:rPr>
              <w:color w:val="000000"/>
            </w:rPr>
          </w:pPr>
          <w:hyperlink w:anchor="_guhdlpw7ey7u">
            <w:r>
              <w:rPr>
                <w:color w:val="000000"/>
              </w:rPr>
              <w:t>Continuity Theory</w:t>
            </w:r>
            <w:r>
              <w:rPr>
                <w:color w:val="000000"/>
              </w:rPr>
              <w:tab/>
              <w:t>9</w:t>
            </w:r>
          </w:hyperlink>
        </w:p>
        <w:p w14:paraId="00000015" w14:textId="77777777" w:rsidR="00D94538" w:rsidRDefault="00C43472">
          <w:pPr>
            <w:widowControl w:val="0"/>
            <w:tabs>
              <w:tab w:val="right" w:leader="dot" w:pos="12000"/>
            </w:tabs>
            <w:spacing w:before="60"/>
            <w:ind w:left="720"/>
            <w:jc w:val="left"/>
            <w:rPr>
              <w:color w:val="000000"/>
            </w:rPr>
          </w:pPr>
          <w:hyperlink w:anchor="_i3ktmilef2p4">
            <w:r>
              <w:rPr>
                <w:color w:val="000000"/>
              </w:rPr>
              <w:t>Maslow’s Hierarchy of Needs</w:t>
            </w:r>
            <w:r>
              <w:rPr>
                <w:color w:val="000000"/>
              </w:rPr>
              <w:tab/>
              <w:t>9</w:t>
            </w:r>
          </w:hyperlink>
        </w:p>
        <w:p w14:paraId="00000016" w14:textId="77777777" w:rsidR="00D94538" w:rsidRDefault="00C43472">
          <w:pPr>
            <w:widowControl w:val="0"/>
            <w:tabs>
              <w:tab w:val="right" w:leader="dot" w:pos="12000"/>
            </w:tabs>
            <w:spacing w:before="60"/>
            <w:jc w:val="left"/>
            <w:rPr>
              <w:color w:val="000000"/>
            </w:rPr>
          </w:pPr>
          <w:hyperlink w:anchor="_wc68lxz0hy4z">
            <w:r>
              <w:rPr>
                <w:color w:val="000000"/>
              </w:rPr>
              <w:t>Conclusion</w:t>
            </w:r>
            <w:r>
              <w:rPr>
                <w:color w:val="000000"/>
              </w:rPr>
              <w:tab/>
              <w:t>9</w:t>
            </w:r>
          </w:hyperlink>
        </w:p>
        <w:p w14:paraId="00000017" w14:textId="77777777" w:rsidR="00D94538" w:rsidRDefault="00C43472">
          <w:pPr>
            <w:widowControl w:val="0"/>
            <w:tabs>
              <w:tab w:val="right" w:leader="dot" w:pos="12000"/>
            </w:tabs>
            <w:spacing w:before="60"/>
            <w:jc w:val="left"/>
            <w:rPr>
              <w:color w:val="000000"/>
            </w:rPr>
          </w:pPr>
          <w:hyperlink w:anchor="_laeandlo44bs">
            <w:r>
              <w:rPr>
                <w:color w:val="000000"/>
              </w:rPr>
              <w:t>Recommendations</w:t>
            </w:r>
            <w:r>
              <w:rPr>
                <w:color w:val="000000"/>
              </w:rPr>
              <w:tab/>
              <w:t>10</w:t>
            </w:r>
          </w:hyperlink>
        </w:p>
        <w:p w14:paraId="00000018" w14:textId="77777777" w:rsidR="00D94538" w:rsidRDefault="00C43472">
          <w:pPr>
            <w:widowControl w:val="0"/>
            <w:tabs>
              <w:tab w:val="right" w:leader="dot" w:pos="12000"/>
            </w:tabs>
            <w:spacing w:before="60"/>
            <w:jc w:val="left"/>
            <w:rPr>
              <w:color w:val="000000"/>
            </w:rPr>
          </w:pPr>
          <w:hyperlink w:anchor="_qiijlikvlayj">
            <w:r>
              <w:rPr>
                <w:color w:val="000000"/>
              </w:rPr>
              <w:t>Reference</w:t>
            </w:r>
            <w:r>
              <w:rPr>
                <w:color w:val="000000"/>
              </w:rPr>
              <w:tab/>
              <w:t>11</w:t>
            </w:r>
          </w:hyperlink>
          <w:r>
            <w:fldChar w:fldCharType="end"/>
          </w:r>
        </w:p>
      </w:sdtContent>
    </w:sdt>
    <w:p w14:paraId="00000019" w14:textId="77777777" w:rsidR="00D94538" w:rsidRDefault="00D94538">
      <w:pPr>
        <w:jc w:val="left"/>
      </w:pPr>
    </w:p>
    <w:p w14:paraId="0000001A" w14:textId="77777777" w:rsidR="00D94538" w:rsidRDefault="00C43472">
      <w:pPr>
        <w:pStyle w:val="Heading1"/>
      </w:pPr>
      <w:bookmarkStart w:id="0" w:name="_bqaf5gutx2zh" w:colFirst="0" w:colLast="0"/>
      <w:bookmarkEnd w:id="0"/>
      <w:r>
        <w:br w:type="page"/>
      </w:r>
    </w:p>
    <w:p w14:paraId="0000001B" w14:textId="77777777" w:rsidR="00D94538" w:rsidRPr="00215392" w:rsidRDefault="00C43472">
      <w:pPr>
        <w:pStyle w:val="Heading1"/>
        <w:rPr>
          <w:rFonts w:ascii="Arial" w:hAnsi="Arial" w:cs="Arial"/>
        </w:rPr>
      </w:pPr>
      <w:bookmarkStart w:id="1" w:name="_ck7wr7nszqq4" w:colFirst="0" w:colLast="0"/>
      <w:bookmarkEnd w:id="1"/>
      <w:r w:rsidRPr="00215392">
        <w:rPr>
          <w:rFonts w:ascii="Arial" w:hAnsi="Arial" w:cs="Arial"/>
        </w:rPr>
        <w:lastRenderedPageBreak/>
        <w:t xml:space="preserve">Introduction </w:t>
      </w:r>
    </w:p>
    <w:p w14:paraId="0000001C" w14:textId="77777777" w:rsidR="00D94538" w:rsidRDefault="00D94538"/>
    <w:p w14:paraId="0000001D" w14:textId="77777777" w:rsidR="00D94538" w:rsidRPr="00CE5A2D" w:rsidRDefault="00C43472">
      <w:pPr>
        <w:rPr>
          <w:rFonts w:ascii="Arial" w:eastAsia="Times New Roman" w:hAnsi="Arial" w:cs="Arial"/>
        </w:rPr>
      </w:pPr>
      <w:r w:rsidRPr="00CE5A2D">
        <w:rPr>
          <w:rFonts w:ascii="Arial" w:eastAsia="Times New Roman" w:hAnsi="Arial" w:cs="Arial"/>
        </w:rPr>
        <w:t>Old age, which is a phase of life commonly described as the later stage in life, is generally considered to begin at 65 years and above. One of the important demographic factors seen in the UK is that the population is aging. It is noteworthy that the population of the older population in England is gradually increasing. Over the last 40 years, this population aged 50+ years has grown by over 6 million people (ageing-better.org.uk, 2024). Over sixty five years age wise 10 million people are there and they c</w:t>
      </w:r>
      <w:r w:rsidRPr="00CE5A2D">
        <w:rPr>
          <w:rFonts w:ascii="Arial" w:eastAsia="Times New Roman" w:hAnsi="Arial" w:cs="Arial"/>
        </w:rPr>
        <w:t>omprise 18% of total population.</w:t>
      </w:r>
    </w:p>
    <w:p w14:paraId="0000001E" w14:textId="77777777" w:rsidR="00D94538" w:rsidRPr="00CE5A2D" w:rsidRDefault="00D94538">
      <w:pPr>
        <w:rPr>
          <w:rFonts w:ascii="Arial" w:eastAsia="Times New Roman" w:hAnsi="Arial" w:cs="Arial"/>
        </w:rPr>
      </w:pPr>
    </w:p>
    <w:p w14:paraId="0000001F" w14:textId="333C9D00" w:rsidR="00D94538" w:rsidRPr="00CE5A2D" w:rsidRDefault="00C43472">
      <w:pPr>
        <w:rPr>
          <w:rFonts w:ascii="Arial" w:eastAsia="Times New Roman" w:hAnsi="Arial" w:cs="Arial"/>
        </w:rPr>
      </w:pPr>
      <w:r w:rsidRPr="00CE5A2D">
        <w:rPr>
          <w:rFonts w:ascii="Arial" w:eastAsia="Times New Roman" w:hAnsi="Arial" w:cs="Arial"/>
        </w:rPr>
        <w:t xml:space="preserve">The standard of living has risen, medical treatments have become more effective, and technologies in treating diseases have improved, hence raising people’s life spans. The UK has experienced a reduced fertility rate for many decades implying that there are few children born per woman and this trend contributes to an increased aging population ratio (Berrington </w:t>
      </w:r>
      <w:r w:rsidRPr="00CE5A2D">
        <w:rPr>
          <w:rFonts w:ascii="Arial" w:eastAsia="Times New Roman" w:hAnsi="Arial" w:cs="Arial"/>
          <w:i/>
        </w:rPr>
        <w:t>et al.,</w:t>
      </w:r>
      <w:r w:rsidRPr="00CE5A2D">
        <w:rPr>
          <w:rFonts w:ascii="Arial" w:eastAsia="Times New Roman" w:hAnsi="Arial" w:cs="Arial"/>
        </w:rPr>
        <w:t xml:space="preserve"> 2021). There is a large generation known as the Baby Boomers born after World War II in 1946 to 1964 because of increased </w:t>
      </w:r>
      <w:r w:rsidR="00CE5A2D" w:rsidRPr="00CE5A2D">
        <w:rPr>
          <w:rFonts w:ascii="Arial" w:eastAsia="Times New Roman" w:hAnsi="Arial" w:cs="Arial"/>
        </w:rPr>
        <w:t>childbirth</w:t>
      </w:r>
      <w:r w:rsidRPr="00CE5A2D">
        <w:rPr>
          <w:rFonts w:ascii="Arial" w:eastAsia="Times New Roman" w:hAnsi="Arial" w:cs="Arial"/>
        </w:rPr>
        <w:t xml:space="preserve">. This report shall therefore cover the overall old age population and the issues that they are facing based on a specific case study. The report shall include the health and social care needs of the individual, the necessary support and intervention for that individual and the policies and legislations that are useful in helping this person shall be addressed along with appropriate recommendations. </w:t>
      </w:r>
    </w:p>
    <w:p w14:paraId="00000021" w14:textId="548648A2" w:rsidR="00D94538" w:rsidRDefault="00D94538">
      <w:pPr>
        <w:pStyle w:val="Heading1"/>
      </w:pPr>
      <w:bookmarkStart w:id="2" w:name="_wo4e7z1zljvw" w:colFirst="0" w:colLast="0"/>
      <w:bookmarkEnd w:id="2"/>
    </w:p>
    <w:p w14:paraId="00000022" w14:textId="77777777" w:rsidR="00D94538" w:rsidRPr="00215392" w:rsidRDefault="00C43472">
      <w:pPr>
        <w:pStyle w:val="Heading2"/>
        <w:rPr>
          <w:rFonts w:ascii="Arial" w:hAnsi="Arial" w:cs="Arial"/>
          <w:highlight w:val="yellow"/>
        </w:rPr>
      </w:pPr>
      <w:bookmarkStart w:id="3" w:name="_2pdqszh3kh71" w:colFirst="0" w:colLast="0"/>
      <w:bookmarkEnd w:id="3"/>
      <w:r w:rsidRPr="00215392">
        <w:rPr>
          <w:rFonts w:ascii="Arial" w:hAnsi="Arial" w:cs="Arial"/>
        </w:rPr>
        <w:t>Brief Explanation of the Case Study</w:t>
      </w:r>
    </w:p>
    <w:p w14:paraId="00000023" w14:textId="71C823B8" w:rsidR="00D94538" w:rsidRPr="00CE5A2D" w:rsidRDefault="00C43472">
      <w:pPr>
        <w:rPr>
          <w:rFonts w:ascii="Arial" w:eastAsia="Times New Roman" w:hAnsi="Arial" w:cs="Arial"/>
        </w:rPr>
      </w:pPr>
      <w:r w:rsidRPr="00CE5A2D">
        <w:rPr>
          <w:rFonts w:ascii="Arial" w:eastAsia="Times New Roman" w:hAnsi="Arial" w:cs="Arial"/>
        </w:rPr>
        <w:t xml:space="preserve">John is an </w:t>
      </w:r>
      <w:r w:rsidR="00CE5A2D" w:rsidRPr="00CE5A2D">
        <w:rPr>
          <w:rFonts w:ascii="Arial" w:eastAsia="Times New Roman" w:hAnsi="Arial" w:cs="Arial"/>
        </w:rPr>
        <w:t>80-year-old</w:t>
      </w:r>
      <w:r w:rsidRPr="00CE5A2D">
        <w:rPr>
          <w:rFonts w:ascii="Arial" w:eastAsia="Times New Roman" w:hAnsi="Arial" w:cs="Arial"/>
        </w:rPr>
        <w:t xml:space="preserve"> man from Sunderland who is a widower after his wife passed away recently. He was very lonely with negligible social contact, and he only saw his daughter or granddaughter once in two weeks. He suffered from a severe feeling of grief that forced him to look for bereavement counseling services from St Benedict’s Hospice. However, this support did not help much, as John remained lonely and isolated; he barely spoke to people and could go days with no one to communicate with.</w:t>
      </w:r>
    </w:p>
    <w:p w14:paraId="00000024" w14:textId="77777777" w:rsidR="00D94538" w:rsidRDefault="00D94538">
      <w:pPr>
        <w:rPr>
          <w:rFonts w:ascii="Times New Roman" w:eastAsia="Times New Roman" w:hAnsi="Times New Roman" w:cs="Times New Roman"/>
        </w:rPr>
      </w:pPr>
    </w:p>
    <w:p w14:paraId="00000025" w14:textId="77777777" w:rsidR="00D94538" w:rsidRPr="00CE5A2D" w:rsidRDefault="00C43472">
      <w:pPr>
        <w:rPr>
          <w:rFonts w:ascii="Arial" w:eastAsia="Times New Roman" w:hAnsi="Arial" w:cs="Arial"/>
        </w:rPr>
      </w:pPr>
      <w:r w:rsidRPr="00CE5A2D">
        <w:rPr>
          <w:rFonts w:ascii="Arial" w:eastAsia="Times New Roman" w:hAnsi="Arial" w:cs="Arial"/>
        </w:rPr>
        <w:lastRenderedPageBreak/>
        <w:t>However, the tide turned for John after finding himself in contact with Age UK Sunderland. At first, he fully realized the feeling of loneliness which he had to endure for lack of a wife to assist him do even small chores in addition to company. The Age UK Sunderland’s Front Door Service, aimed at providing information, early help, and appropriate access to low level assistance and required without delay, low level and non statutory, became a significant resource for John. In addition to that, John was give</w:t>
      </w:r>
      <w:r w:rsidRPr="00CE5A2D">
        <w:rPr>
          <w:rFonts w:ascii="Arial" w:eastAsia="Times New Roman" w:hAnsi="Arial" w:cs="Arial"/>
        </w:rPr>
        <w:t>n a Front Door Living Well Link Worker, a person who listened and assisted with potential social contacts. John told stories of how lonely he was and how he could not stand being home with nothing, and how he yearned to converse. For instance, he used to take the local bus to run errands, simply to be in the presence of other people. He also lost interesting things to talk over daily and felt a marginalization from others, which only worsened his loneliness. John had to reform how to perform routine activit</w:t>
      </w:r>
      <w:r w:rsidRPr="00CE5A2D">
        <w:rPr>
          <w:rFonts w:ascii="Arial" w:eastAsia="Times New Roman" w:hAnsi="Arial" w:cs="Arial"/>
        </w:rPr>
        <w:t>ies that he used to handle with his wife handling them on his behalf. This only served to amplify feelings of hopelessness and loneliness that he already harbored.</w:t>
      </w:r>
    </w:p>
    <w:p w14:paraId="00000026" w14:textId="77777777" w:rsidR="00D94538" w:rsidRPr="00CE5A2D" w:rsidRDefault="00C43472">
      <w:pPr>
        <w:rPr>
          <w:rFonts w:ascii="Arial" w:eastAsia="Times New Roman" w:hAnsi="Arial" w:cs="Arial"/>
        </w:rPr>
      </w:pPr>
      <w:r w:rsidRPr="00CE5A2D">
        <w:rPr>
          <w:rFonts w:ascii="Arial" w:eastAsia="Times New Roman" w:hAnsi="Arial" w:cs="Arial"/>
        </w:rPr>
        <w:t xml:space="preserve">John also began mixing into local social activities and networks of Hetton New Dawn and SHARP; he said that he got to make friends and do whatever social activities that were being done. Hobbies that were participated in by John assisted him to regain confidence and gave him daily interaction with other people. </w:t>
      </w:r>
    </w:p>
    <w:p w14:paraId="00000027" w14:textId="77777777" w:rsidR="00D94538" w:rsidRPr="00CE5A2D" w:rsidRDefault="00C43472">
      <w:pPr>
        <w:rPr>
          <w:rFonts w:ascii="Arial" w:eastAsia="Times New Roman" w:hAnsi="Arial" w:cs="Arial"/>
        </w:rPr>
      </w:pPr>
      <w:r w:rsidRPr="00CE5A2D">
        <w:rPr>
          <w:rFonts w:ascii="Arial" w:eastAsia="Times New Roman" w:hAnsi="Arial" w:cs="Arial"/>
        </w:rPr>
        <w:t xml:space="preserve"> </w:t>
      </w:r>
    </w:p>
    <w:p w14:paraId="00000028" w14:textId="77777777" w:rsidR="00D94538" w:rsidRPr="00CE5A2D" w:rsidRDefault="00C43472">
      <w:pPr>
        <w:rPr>
          <w:rFonts w:ascii="Arial" w:eastAsia="Times New Roman" w:hAnsi="Arial" w:cs="Arial"/>
        </w:rPr>
      </w:pPr>
      <w:r w:rsidRPr="00CE5A2D">
        <w:rPr>
          <w:rFonts w:ascii="Arial" w:eastAsia="Times New Roman" w:hAnsi="Arial" w:cs="Arial"/>
        </w:rPr>
        <w:t xml:space="preserve"> Now that John is able to rely on Age UK Sunderland, he has once again become happy or at least happier than before. Specifically, he does not experience high levels of loneliness as before, he feels less lonely and interacts with other people more actively. He quoted her, “If she could see me now, she would not believe the things I am doing” You [Age UK Sunderland] have helped me and I’m very grateful-for This is a real life example of how community support services can help lonely older adults.</w:t>
      </w:r>
    </w:p>
    <w:p w14:paraId="00000029" w14:textId="77777777" w:rsidR="00D94538" w:rsidRDefault="00D94538"/>
    <w:p w14:paraId="0000002A" w14:textId="77777777" w:rsidR="00D94538" w:rsidRPr="00215392" w:rsidRDefault="00C43472">
      <w:pPr>
        <w:pStyle w:val="Heading2"/>
        <w:rPr>
          <w:rFonts w:ascii="Arial" w:hAnsi="Arial" w:cs="Arial"/>
        </w:rPr>
      </w:pPr>
      <w:bookmarkStart w:id="4" w:name="_v0o4syjr0i20" w:colFirst="0" w:colLast="0"/>
      <w:bookmarkEnd w:id="4"/>
      <w:r w:rsidRPr="00215392">
        <w:rPr>
          <w:rFonts w:ascii="Arial" w:hAnsi="Arial" w:cs="Arial"/>
        </w:rPr>
        <w:t xml:space="preserve">Health and Social Care Need </w:t>
      </w:r>
    </w:p>
    <w:p w14:paraId="0000002B" w14:textId="70C13C15" w:rsidR="00D94538" w:rsidRPr="00CE5A2D" w:rsidRDefault="00C43472">
      <w:pPr>
        <w:rPr>
          <w:rFonts w:ascii="Arial" w:hAnsi="Arial" w:cs="Arial"/>
        </w:rPr>
      </w:pPr>
      <w:r w:rsidRPr="00CE5A2D">
        <w:rPr>
          <w:rFonts w:ascii="Arial" w:hAnsi="Arial" w:cs="Arial"/>
        </w:rPr>
        <w:t xml:space="preserve">John, an 80-year-old widower from Sunderland, has diverse health and social care necessities that require multifaceted management. Regarding the medical aspect, John’s age is a high-risk facet for considerable diseases intrinsic in elderly patients like hypertension, arthritis, and diabetes. It is just prudent to always ensure that he is in a very </w:t>
      </w:r>
      <w:r w:rsidRPr="00CE5A2D">
        <w:rPr>
          <w:rFonts w:ascii="Arial" w:hAnsi="Arial" w:cs="Arial"/>
        </w:rPr>
        <w:lastRenderedPageBreak/>
        <w:t>healthy condition by often undergoing physical checkups (</w:t>
      </w:r>
      <w:r w:rsidRPr="00CE5A2D">
        <w:rPr>
          <w:rFonts w:ascii="Arial" w:hAnsi="Arial" w:cs="Arial"/>
          <w:color w:val="222222"/>
          <w:highlight w:val="white"/>
        </w:rPr>
        <w:t xml:space="preserve">Davis </w:t>
      </w:r>
      <w:r w:rsidRPr="00CE5A2D">
        <w:rPr>
          <w:rFonts w:ascii="Arial" w:hAnsi="Arial" w:cs="Arial"/>
          <w:i/>
          <w:color w:val="222222"/>
          <w:highlight w:val="white"/>
        </w:rPr>
        <w:t>et al.,</w:t>
      </w:r>
      <w:r w:rsidRPr="00CE5A2D">
        <w:rPr>
          <w:rFonts w:ascii="Arial" w:hAnsi="Arial" w:cs="Arial"/>
          <w:color w:val="222222"/>
          <w:highlight w:val="white"/>
        </w:rPr>
        <w:t xml:space="preserve"> 2020)</w:t>
      </w:r>
      <w:r w:rsidRPr="00CE5A2D">
        <w:rPr>
          <w:rFonts w:ascii="Arial" w:hAnsi="Arial" w:cs="Arial"/>
        </w:rPr>
        <w:t xml:space="preserve">. Further, he is lately a grieving husband, and a recent diagnostic shows that there is a present state of emotional disturbance confirmed by a recent bereavement, thus suggesting that he needs to seek bereavement support and possibly counseling after losing his wife. His medical care </w:t>
      </w:r>
      <w:proofErr w:type="gramStart"/>
      <w:r w:rsidR="00CE5A2D" w:rsidRPr="00CE5A2D">
        <w:rPr>
          <w:rFonts w:ascii="Arial" w:hAnsi="Arial" w:cs="Arial"/>
        </w:rPr>
        <w:t>commissive</w:t>
      </w:r>
      <w:proofErr w:type="gramEnd"/>
      <w:r w:rsidRPr="00CE5A2D">
        <w:rPr>
          <w:rFonts w:ascii="Arial" w:hAnsi="Arial" w:cs="Arial"/>
        </w:rPr>
        <w:t xml:space="preserve"> not only the treatment of the chronic diseases he has but also the prevention of all related problems from arising in a health care approach to his age and conditions.</w:t>
      </w:r>
    </w:p>
    <w:p w14:paraId="0000002C" w14:textId="77777777" w:rsidR="00D94538" w:rsidRPr="00CE5A2D" w:rsidRDefault="00C43472">
      <w:pPr>
        <w:rPr>
          <w:rFonts w:ascii="Arial" w:hAnsi="Arial" w:cs="Arial"/>
        </w:rPr>
      </w:pPr>
      <w:r w:rsidRPr="00CE5A2D">
        <w:rPr>
          <w:rFonts w:ascii="Arial" w:hAnsi="Arial" w:cs="Arial"/>
        </w:rPr>
        <w:t>Secondly, the case of John raises diagnosable mental conditions, which are mainly anchored on loneliness and the inability to establish social relations. John has been lonely after losing his wife, and his interactions are not only rare but occasional visits from his daughter and his granddaughter. Social isolation often worsens with age and can result in negative psychological effects such as depression or anxiety, and deteriorate the quality of mental health (</w:t>
      </w:r>
      <w:r w:rsidRPr="00CE5A2D">
        <w:rPr>
          <w:rFonts w:ascii="Arial" w:hAnsi="Arial" w:cs="Arial"/>
          <w:color w:val="222222"/>
          <w:highlight w:val="white"/>
        </w:rPr>
        <w:t>Andreucci, Russo, and Olszewska-Guizzo, 2019)</w:t>
      </w:r>
      <w:r w:rsidRPr="00CE5A2D">
        <w:rPr>
          <w:rFonts w:ascii="Arial" w:hAnsi="Arial" w:cs="Arial"/>
        </w:rPr>
        <w:t>. There needs to be social interaction activities perhaps through other supports such as community participation and services to avoid loneliness or lack of company. However, activities like cognitive behavior therapy or group counseling for solitary living would be useful to help John handle his feelings and enable him to go through life on his own.</w:t>
      </w:r>
    </w:p>
    <w:p w14:paraId="0000002D" w14:textId="77777777" w:rsidR="00D94538" w:rsidRPr="00CE5A2D" w:rsidRDefault="00C43472">
      <w:pPr>
        <w:rPr>
          <w:rFonts w:ascii="Arial" w:hAnsi="Arial" w:cs="Arial"/>
        </w:rPr>
      </w:pPr>
      <w:r w:rsidRPr="00CE5A2D">
        <w:rPr>
          <w:rFonts w:ascii="Arial" w:hAnsi="Arial" w:cs="Arial"/>
        </w:rPr>
        <w:t>Besides exhibiting symptoms of depression, John has other personal needs that include self-care needs where one requires someone to help them with activities of daily living as well as emotional help. He has whined about how he struggles to cope with tasks that he performed together with his wife which hints at a potential need for help in the areas of cleaning, cooking, and even possibly moving around the house. Assuming the personal care of John encompasses not only their physical requirements but also th</w:t>
      </w:r>
      <w:r w:rsidRPr="00CE5A2D">
        <w:rPr>
          <w:rFonts w:ascii="Arial" w:hAnsi="Arial" w:cs="Arial"/>
        </w:rPr>
        <w:t>eir socioemotional well-being, it is necessary to create a supportive and validating environment where the treated individual receives adequate amounts of affection and feels included (</w:t>
      </w:r>
      <w:r w:rsidRPr="00CE5A2D">
        <w:rPr>
          <w:rFonts w:ascii="Arial" w:hAnsi="Arial" w:cs="Arial"/>
          <w:color w:val="222222"/>
          <w:highlight w:val="white"/>
        </w:rPr>
        <w:t xml:space="preserve">Şahin, Özer, and </w:t>
      </w:r>
      <w:proofErr w:type="spellStart"/>
      <w:r w:rsidRPr="00CE5A2D">
        <w:rPr>
          <w:rFonts w:ascii="Arial" w:hAnsi="Arial" w:cs="Arial"/>
          <w:color w:val="222222"/>
          <w:highlight w:val="white"/>
        </w:rPr>
        <w:t>Yanardağ</w:t>
      </w:r>
      <w:proofErr w:type="spellEnd"/>
      <w:r w:rsidRPr="00CE5A2D">
        <w:rPr>
          <w:rFonts w:ascii="Arial" w:hAnsi="Arial" w:cs="Arial"/>
          <w:color w:val="222222"/>
          <w:highlight w:val="white"/>
        </w:rPr>
        <w:t>, 2019)</w:t>
      </w:r>
      <w:r w:rsidRPr="00CE5A2D">
        <w:rPr>
          <w:rFonts w:ascii="Arial" w:hAnsi="Arial" w:cs="Arial"/>
        </w:rPr>
        <w:t>. For instance, it may entail supporting him to participate in activities that he loves, as well as making sure that he obtains services that enhance his standard of living. Further, the care should be individualized to consider his choice, self-ability, and skills, with suitable assistance bei</w:t>
      </w:r>
      <w:r w:rsidRPr="00CE5A2D">
        <w:rPr>
          <w:rFonts w:ascii="Arial" w:hAnsi="Arial" w:cs="Arial"/>
        </w:rPr>
        <w:t>ng offered to him to address and meet his needs to enhance his quality of life.</w:t>
      </w:r>
    </w:p>
    <w:p w14:paraId="0000002E" w14:textId="77777777" w:rsidR="00D94538" w:rsidRPr="00CE5A2D" w:rsidRDefault="00C43472">
      <w:pPr>
        <w:rPr>
          <w:rFonts w:ascii="Arial" w:hAnsi="Arial" w:cs="Arial"/>
        </w:rPr>
      </w:pPr>
      <w:r w:rsidRPr="00CE5A2D">
        <w:rPr>
          <w:rFonts w:ascii="Arial" w:hAnsi="Arial" w:cs="Arial"/>
        </w:rPr>
        <w:lastRenderedPageBreak/>
        <w:t xml:space="preserve">Therefore, it can be seen that in John’s case, his health and social care needs are diverse and </w:t>
      </w:r>
      <w:proofErr w:type="gramStart"/>
      <w:r w:rsidRPr="00CE5A2D">
        <w:rPr>
          <w:rFonts w:ascii="Arial" w:hAnsi="Arial" w:cs="Arial"/>
        </w:rPr>
        <w:t>complex</w:t>
      </w:r>
      <w:proofErr w:type="gramEnd"/>
      <w:r w:rsidRPr="00CE5A2D">
        <w:rPr>
          <w:rFonts w:ascii="Arial" w:hAnsi="Arial" w:cs="Arial"/>
        </w:rPr>
        <w:t xml:space="preserve"> and they include medical care, mental health, and personal needs. If community organizations and healthcare providers seeking to support such aging patients focus on enhanced health promotion, self-care management, supportive care, and patient-centered interventions (</w:t>
      </w:r>
      <w:r w:rsidRPr="00CE5A2D">
        <w:rPr>
          <w:rFonts w:ascii="Arial" w:hAnsi="Arial" w:cs="Arial"/>
          <w:color w:val="222222"/>
          <w:highlight w:val="white"/>
        </w:rPr>
        <w:t>Brooke and Clark, 2020)</w:t>
      </w:r>
      <w:r w:rsidRPr="00CE5A2D">
        <w:rPr>
          <w:rFonts w:ascii="Arial" w:hAnsi="Arial" w:cs="Arial"/>
        </w:rPr>
        <w:t>, then John and other patients in the later phases of life can lead optimum lives. The staff of social services, healthcare professionals, and John’s support system must consider their respective roles in developi</w:t>
      </w:r>
      <w:r w:rsidRPr="00CE5A2D">
        <w:rPr>
          <w:rFonts w:ascii="Arial" w:hAnsi="Arial" w:cs="Arial"/>
        </w:rPr>
        <w:t>ng and implementing a care plan that meets John’s current and emerging needs while preserving his inherent value, purpose, and relationships within his life.</w:t>
      </w:r>
    </w:p>
    <w:p w14:paraId="0000002F" w14:textId="77777777" w:rsidR="00D94538" w:rsidRPr="00CE5A2D" w:rsidRDefault="00D94538">
      <w:pPr>
        <w:rPr>
          <w:rFonts w:ascii="Arial" w:hAnsi="Arial" w:cs="Arial"/>
        </w:rPr>
      </w:pPr>
    </w:p>
    <w:p w14:paraId="00000030" w14:textId="77777777" w:rsidR="00D94538" w:rsidRPr="00CE5A2D" w:rsidRDefault="00C43472">
      <w:pPr>
        <w:pStyle w:val="Heading2"/>
        <w:rPr>
          <w:rFonts w:ascii="Arial" w:hAnsi="Arial" w:cs="Arial"/>
        </w:rPr>
      </w:pPr>
      <w:bookmarkStart w:id="5" w:name="_1cabb1u5zuhp" w:colFirst="0" w:colLast="0"/>
      <w:bookmarkEnd w:id="5"/>
      <w:r w:rsidRPr="00CE5A2D">
        <w:rPr>
          <w:rFonts w:ascii="Arial" w:hAnsi="Arial" w:cs="Arial"/>
        </w:rPr>
        <w:t>Relevant Support and Intervention</w:t>
      </w:r>
    </w:p>
    <w:p w14:paraId="00000031" w14:textId="77777777" w:rsidR="00D94538" w:rsidRPr="00CE5A2D" w:rsidRDefault="00C43472">
      <w:pPr>
        <w:rPr>
          <w:rFonts w:ascii="Arial" w:hAnsi="Arial" w:cs="Arial"/>
        </w:rPr>
      </w:pPr>
      <w:r w:rsidRPr="00CE5A2D">
        <w:rPr>
          <w:rFonts w:ascii="Arial" w:hAnsi="Arial" w:cs="Arial"/>
        </w:rPr>
        <w:t>John, an 80-year-old widower from Sunderland, presented with numerous multi-factorial health and social care needs and therefore receives an extensive range of care. Domiciliary care would be required by John. Since his wife died he is challenged even with simple things like washing dishes or preparing food. Domiciliary care workers would be able to help him with these things, making sure that the living space in his own home is safe and clean but allowing him to do as much for himself as possible (</w:t>
      </w:r>
      <w:r w:rsidRPr="00CE5A2D">
        <w:rPr>
          <w:rFonts w:ascii="Arial" w:hAnsi="Arial" w:cs="Arial"/>
          <w:color w:val="222222"/>
          <w:highlight w:val="white"/>
        </w:rPr>
        <w:t>Gardiner</w:t>
      </w:r>
      <w:r w:rsidRPr="00CE5A2D">
        <w:rPr>
          <w:rFonts w:ascii="Arial" w:hAnsi="Arial" w:cs="Arial"/>
          <w:i/>
          <w:color w:val="222222"/>
          <w:highlight w:val="white"/>
        </w:rPr>
        <w:t xml:space="preserve"> et al.,</w:t>
      </w:r>
      <w:r w:rsidRPr="00CE5A2D">
        <w:rPr>
          <w:rFonts w:ascii="Arial" w:hAnsi="Arial" w:cs="Arial"/>
          <w:color w:val="222222"/>
          <w:highlight w:val="white"/>
        </w:rPr>
        <w:t xml:space="preserve"> 2020)</w:t>
      </w:r>
      <w:r w:rsidRPr="00CE5A2D">
        <w:rPr>
          <w:rFonts w:ascii="Arial" w:hAnsi="Arial" w:cs="Arial"/>
        </w:rPr>
        <w:t xml:space="preserve">. These are important in ensuring that John remains as independent and comfortable as possible at home. Apart from domiciliary care John may require nursing care. Considering his age, he still needs constant health check-ups and proper management of his chronic illnesses. Nursing professionals would be able to coordinate and monitor health and well-being, dispense medication, or treat any illness that may occur. Such care would assist in preventing complications and ensure that John’s </w:t>
      </w:r>
      <w:r w:rsidRPr="00CE5A2D">
        <w:rPr>
          <w:rFonts w:ascii="Arial" w:hAnsi="Arial" w:cs="Arial"/>
        </w:rPr>
        <w:t>healthcare needs are managed holistically, to his benefit.</w:t>
      </w:r>
    </w:p>
    <w:p w14:paraId="00000032" w14:textId="77777777" w:rsidR="00D94538" w:rsidRPr="00CE5A2D" w:rsidRDefault="00D94538">
      <w:pPr>
        <w:rPr>
          <w:rFonts w:ascii="Arial" w:hAnsi="Arial" w:cs="Arial"/>
        </w:rPr>
      </w:pPr>
    </w:p>
    <w:p w14:paraId="00000033" w14:textId="77777777" w:rsidR="00D94538" w:rsidRPr="00CE5A2D" w:rsidRDefault="00C43472">
      <w:pPr>
        <w:rPr>
          <w:rFonts w:ascii="Arial" w:hAnsi="Arial" w:cs="Arial"/>
        </w:rPr>
      </w:pPr>
      <w:r w:rsidRPr="00CE5A2D">
        <w:rPr>
          <w:rFonts w:ascii="Arial" w:hAnsi="Arial" w:cs="Arial"/>
        </w:rPr>
        <w:t xml:space="preserve">Furthermore, John would find solace and relief in getting support from healthcare practitioners and organizations from the third-party sector. It is about counseling and therapy sessions that could help John come to terms with his bereavement since his spouse has passed on. Other charities or non-profit organizations, such as Age UK Sunderland, could provide social interactions and companionship, which would help John alleviate loneliness and prevent his situation from worsening. Another factor that would </w:t>
      </w:r>
      <w:r w:rsidRPr="00CE5A2D">
        <w:rPr>
          <w:rFonts w:ascii="Arial" w:hAnsi="Arial" w:cs="Arial"/>
        </w:rPr>
        <w:lastRenderedPageBreak/>
        <w:t>be relevant in the care of John is advocacy. A supporter could help to make sure that John could express himself in decisions concerning his care, choices, and liberties (</w:t>
      </w:r>
      <w:r w:rsidRPr="00CE5A2D">
        <w:rPr>
          <w:rFonts w:ascii="Arial" w:hAnsi="Arial" w:cs="Arial"/>
          <w:color w:val="222222"/>
          <w:highlight w:val="white"/>
        </w:rPr>
        <w:t xml:space="preserve">Emerson </w:t>
      </w:r>
      <w:r w:rsidRPr="00CE5A2D">
        <w:rPr>
          <w:rFonts w:ascii="Arial" w:hAnsi="Arial" w:cs="Arial"/>
          <w:i/>
          <w:color w:val="222222"/>
          <w:highlight w:val="white"/>
        </w:rPr>
        <w:t xml:space="preserve">et al., </w:t>
      </w:r>
      <w:r w:rsidRPr="00CE5A2D">
        <w:rPr>
          <w:rFonts w:ascii="Arial" w:hAnsi="Arial" w:cs="Arial"/>
          <w:color w:val="222222"/>
          <w:highlight w:val="white"/>
        </w:rPr>
        <w:t>2021)</w:t>
      </w:r>
      <w:r w:rsidRPr="00CE5A2D">
        <w:rPr>
          <w:rFonts w:ascii="Arial" w:hAnsi="Arial" w:cs="Arial"/>
        </w:rPr>
        <w:t>. Professionals who have access to proper healthcare systems can alleviate concerns, and get the right services that suit the individual needs of John. This advocacy would enable John to control his fate and be in a position to make the right decisions regarding his fate.</w:t>
      </w:r>
    </w:p>
    <w:p w14:paraId="00000034" w14:textId="77777777" w:rsidR="00D94538" w:rsidRPr="00CE5A2D" w:rsidRDefault="00C43472">
      <w:pPr>
        <w:rPr>
          <w:rFonts w:ascii="Arial" w:hAnsi="Arial" w:cs="Arial"/>
        </w:rPr>
      </w:pPr>
      <w:r w:rsidRPr="00CE5A2D">
        <w:rPr>
          <w:rFonts w:ascii="Arial" w:hAnsi="Arial" w:cs="Arial"/>
        </w:rPr>
        <w:t>Nevertheless, despite the prominent requirement for this assistance, there are substantial gaps between John's requirements and the availability of H+SC or health and social care assistance. In many provinces in the UK, including Sunderland, there are obstacles such as deficits in nursing and domiciliary care teams, prolonged waiting lists for assistance, and budget limitations concerning the requirement and condition of mental health aid as well as social actions (</w:t>
      </w:r>
      <w:r w:rsidRPr="00CE5A2D">
        <w:rPr>
          <w:rFonts w:ascii="Arial" w:hAnsi="Arial" w:cs="Arial"/>
          <w:color w:val="222222"/>
          <w:highlight w:val="white"/>
        </w:rPr>
        <w:t>McNamara</w:t>
      </w:r>
      <w:r w:rsidRPr="00CE5A2D">
        <w:rPr>
          <w:rFonts w:ascii="Arial" w:hAnsi="Arial" w:cs="Arial"/>
          <w:i/>
          <w:color w:val="222222"/>
          <w:highlight w:val="white"/>
        </w:rPr>
        <w:t xml:space="preserve"> et al.,</w:t>
      </w:r>
      <w:r w:rsidRPr="00CE5A2D">
        <w:rPr>
          <w:rFonts w:ascii="Arial" w:hAnsi="Arial" w:cs="Arial"/>
          <w:color w:val="222222"/>
          <w:highlight w:val="white"/>
        </w:rPr>
        <w:t xml:space="preserve"> 2021)</w:t>
      </w:r>
      <w:r w:rsidRPr="00CE5A2D">
        <w:rPr>
          <w:rFonts w:ascii="Arial" w:hAnsi="Arial" w:cs="Arial"/>
        </w:rPr>
        <w:t>.</w:t>
      </w:r>
    </w:p>
    <w:p w14:paraId="00000035" w14:textId="77777777" w:rsidR="00D94538" w:rsidRPr="00CE5A2D" w:rsidRDefault="00C43472">
      <w:pPr>
        <w:rPr>
          <w:rFonts w:ascii="Arial" w:hAnsi="Arial" w:cs="Arial"/>
        </w:rPr>
      </w:pPr>
      <w:r w:rsidRPr="00CE5A2D">
        <w:rPr>
          <w:rFonts w:ascii="Arial" w:hAnsi="Arial" w:cs="Arial"/>
        </w:rPr>
        <w:t>Glancing to the future, as people age and the need for care for the aged people rises, these gaps are conceivable to broaden without acceptable planning and acquisition in health as well as social care plans. Managing these obstacles and gaps mandates visionary benchmarks, including the development of the workforce, enhanced integration of social and health care assistance, and enriched collaboration between charities, advocacy groups, and healthcare providers (</w:t>
      </w:r>
      <w:r w:rsidRPr="00CE5A2D">
        <w:rPr>
          <w:rFonts w:ascii="Arial" w:hAnsi="Arial" w:cs="Arial"/>
          <w:color w:val="222222"/>
          <w:highlight w:val="white"/>
        </w:rPr>
        <w:t>Czaja, Moxley, and Rogers, 2021)</w:t>
      </w:r>
      <w:r w:rsidRPr="00CE5A2D">
        <w:rPr>
          <w:rFonts w:ascii="Arial" w:hAnsi="Arial" w:cs="Arial"/>
        </w:rPr>
        <w:t>. Likewise, enriching the accessibility as well as the availability of person-centered health and social care concerns facilitates holistic practices that prioritize personal requirements and choices. This includes promoting alliances between healthcare providers, community associations, and local leaders to construct a corroborating network for elderly people like John. By bridging the gaps between available and needed services, people can confirm that John obtained the comp</w:t>
      </w:r>
      <w:r w:rsidRPr="00CE5A2D">
        <w:rPr>
          <w:rFonts w:ascii="Arial" w:hAnsi="Arial" w:cs="Arial"/>
        </w:rPr>
        <w:t xml:space="preserve">rehensive aid necessary to live with satisfaction, freedom, and optimal quality of life. </w:t>
      </w:r>
    </w:p>
    <w:p w14:paraId="00000036" w14:textId="77777777" w:rsidR="00D94538" w:rsidRPr="00CE5A2D" w:rsidRDefault="00D94538">
      <w:pPr>
        <w:rPr>
          <w:rFonts w:ascii="Arial" w:hAnsi="Arial" w:cs="Arial"/>
        </w:rPr>
      </w:pPr>
    </w:p>
    <w:p w14:paraId="00000037" w14:textId="77777777" w:rsidR="00D94538" w:rsidRPr="00CE5A2D" w:rsidRDefault="00C43472">
      <w:pPr>
        <w:pStyle w:val="Heading2"/>
        <w:rPr>
          <w:rFonts w:ascii="Arial" w:hAnsi="Arial" w:cs="Arial"/>
        </w:rPr>
      </w:pPr>
      <w:bookmarkStart w:id="6" w:name="_e77oerejwlg4" w:colFirst="0" w:colLast="0"/>
      <w:bookmarkEnd w:id="6"/>
      <w:r w:rsidRPr="00CE5A2D">
        <w:rPr>
          <w:rFonts w:ascii="Arial" w:hAnsi="Arial" w:cs="Arial"/>
        </w:rPr>
        <w:t xml:space="preserve">Policy and Legislation  </w:t>
      </w:r>
    </w:p>
    <w:p w14:paraId="00000038" w14:textId="77777777" w:rsidR="00D94538" w:rsidRPr="00CE5A2D" w:rsidRDefault="00C43472">
      <w:pPr>
        <w:pStyle w:val="Heading3"/>
        <w:rPr>
          <w:rFonts w:ascii="Arial" w:hAnsi="Arial" w:cs="Arial"/>
        </w:rPr>
      </w:pPr>
      <w:bookmarkStart w:id="7" w:name="_cejbn9etskdg" w:colFirst="0" w:colLast="0"/>
      <w:bookmarkEnd w:id="7"/>
      <w:r w:rsidRPr="00CE5A2D">
        <w:rPr>
          <w:rFonts w:ascii="Arial" w:hAnsi="Arial" w:cs="Arial"/>
        </w:rPr>
        <w:t xml:space="preserve">Care Act 2014 </w:t>
      </w:r>
    </w:p>
    <w:p w14:paraId="00000039" w14:textId="77777777" w:rsidR="00D94538" w:rsidRPr="00CE5A2D" w:rsidRDefault="00C43472">
      <w:pPr>
        <w:rPr>
          <w:rFonts w:ascii="Arial" w:hAnsi="Arial" w:cs="Arial"/>
        </w:rPr>
      </w:pPr>
      <w:r w:rsidRPr="00CE5A2D">
        <w:rPr>
          <w:rFonts w:ascii="Arial" w:hAnsi="Arial" w:cs="Arial"/>
        </w:rPr>
        <w:t xml:space="preserve">The most relevant legislation in fulfilling the needs of this population group is the Care Act of 2014 in connection with the provision of H+SC services. It spells out the aspects of a right approach to well-being to include personal dignity, physical and mental health, </w:t>
      </w:r>
      <w:r w:rsidRPr="00CE5A2D">
        <w:rPr>
          <w:rFonts w:ascii="Arial" w:hAnsi="Arial" w:cs="Arial"/>
        </w:rPr>
        <w:lastRenderedPageBreak/>
        <w:t xml:space="preserve">emotional well-being, freedom from abuse and neglect, having control over the daily life activities, work, education, training, recreation, social and economic well-being and domestic, family, and person’s relationships (Brimblecombe </w:t>
      </w:r>
      <w:r w:rsidRPr="00CE5A2D">
        <w:rPr>
          <w:rFonts w:ascii="Arial" w:hAnsi="Arial" w:cs="Arial"/>
          <w:i/>
        </w:rPr>
        <w:t>et al.,</w:t>
      </w:r>
      <w:r w:rsidRPr="00CE5A2D">
        <w:rPr>
          <w:rFonts w:ascii="Arial" w:hAnsi="Arial" w:cs="Arial"/>
        </w:rPr>
        <w:t xml:space="preserve"> 2020). In the case of John, the care act puts into consideration the following needs which breaks the general need into a more comprehensive one: It requires local authorities to offer such service that helps avoid a decline in health and increased dependency, and this </w:t>
      </w:r>
      <w:r w:rsidRPr="00CE5A2D">
        <w:rPr>
          <w:rFonts w:ascii="Arial" w:hAnsi="Arial" w:cs="Arial"/>
        </w:rPr>
        <w:t xml:space="preserve">is an area where a man like John who experienced loneliness and isolation after the death of his wife would be assisted. </w:t>
      </w:r>
    </w:p>
    <w:p w14:paraId="0000003A" w14:textId="77777777" w:rsidR="00D94538" w:rsidRPr="00CE5A2D" w:rsidRDefault="00D94538">
      <w:pPr>
        <w:rPr>
          <w:rFonts w:ascii="Arial" w:eastAsia="Times New Roman" w:hAnsi="Arial" w:cs="Arial"/>
          <w:color w:val="222222"/>
          <w:highlight w:val="white"/>
        </w:rPr>
      </w:pPr>
    </w:p>
    <w:p w14:paraId="0000003B" w14:textId="77777777" w:rsidR="00D94538" w:rsidRPr="00CE5A2D" w:rsidRDefault="00C43472">
      <w:pPr>
        <w:rPr>
          <w:rFonts w:ascii="Arial" w:hAnsi="Arial" w:cs="Arial"/>
        </w:rPr>
      </w:pPr>
      <w:r w:rsidRPr="00CE5A2D">
        <w:rPr>
          <w:rFonts w:ascii="Arial" w:hAnsi="Arial" w:cs="Arial"/>
        </w:rPr>
        <w:t>The Act also provides a statutory function of requiring local authorities to carry out an assessment for any individual who seems to require care or support as well as the financial resources status. This is important in assessing and meeting all the aspects of John domiciliary care needs Information and equipment requirements for a person with John’s disability: This pertains to the need to address his domiciliary care needs, emotional support, and access to social functions and services (</w:t>
      </w:r>
      <w:r w:rsidRPr="00CE5A2D">
        <w:rPr>
          <w:rFonts w:ascii="Arial" w:eastAsia="Times New Roman" w:hAnsi="Arial" w:cs="Arial"/>
          <w:color w:val="222222"/>
          <w:highlight w:val="white"/>
        </w:rPr>
        <w:t xml:space="preserve">Joseph </w:t>
      </w:r>
      <w:r w:rsidRPr="00CE5A2D">
        <w:rPr>
          <w:rFonts w:ascii="Arial" w:eastAsia="Times New Roman" w:hAnsi="Arial" w:cs="Arial"/>
          <w:i/>
          <w:color w:val="222222"/>
          <w:highlight w:val="white"/>
        </w:rPr>
        <w:t>et al.,</w:t>
      </w:r>
      <w:r w:rsidRPr="00CE5A2D">
        <w:rPr>
          <w:rFonts w:ascii="Arial" w:eastAsia="Times New Roman" w:hAnsi="Arial" w:cs="Arial"/>
          <w:color w:val="222222"/>
          <w:highlight w:val="white"/>
        </w:rPr>
        <w:t xml:space="preserve"> 2020</w:t>
      </w:r>
      <w:r w:rsidRPr="00CE5A2D">
        <w:rPr>
          <w:rFonts w:ascii="Arial" w:hAnsi="Arial" w:cs="Arial"/>
        </w:rPr>
        <w:t xml:space="preserve">). Furthermore, the Care Act addresses problems of integrated care services, and it means that health and social care organizations should cooperate to design the necessary care services. </w:t>
      </w:r>
    </w:p>
    <w:p w14:paraId="0000003C" w14:textId="77777777" w:rsidR="00D94538" w:rsidRPr="00CE5A2D" w:rsidRDefault="00C43472">
      <w:pPr>
        <w:pStyle w:val="Heading3"/>
        <w:rPr>
          <w:rFonts w:ascii="Arial" w:hAnsi="Arial" w:cs="Arial"/>
        </w:rPr>
      </w:pPr>
      <w:bookmarkStart w:id="8" w:name="_udkwtrimjtbt" w:colFirst="0" w:colLast="0"/>
      <w:bookmarkEnd w:id="8"/>
      <w:r w:rsidRPr="00CE5A2D">
        <w:rPr>
          <w:rFonts w:ascii="Arial" w:hAnsi="Arial" w:cs="Arial"/>
        </w:rPr>
        <w:t xml:space="preserve">Other Relevant Policies </w:t>
      </w:r>
    </w:p>
    <w:p w14:paraId="0000003D" w14:textId="77777777" w:rsidR="00D94538" w:rsidRPr="00CE5A2D" w:rsidRDefault="00C43472">
      <w:pPr>
        <w:rPr>
          <w:rFonts w:ascii="Arial" w:hAnsi="Arial" w:cs="Arial"/>
        </w:rPr>
      </w:pPr>
      <w:r w:rsidRPr="00CE5A2D">
        <w:rPr>
          <w:rFonts w:ascii="Arial" w:hAnsi="Arial" w:cs="Arial"/>
        </w:rPr>
        <w:t>The UK government has also created diverse policies that concern the aging population in order to improve the quality of life and the care that older persons receive. For example, the National Health Service (NHS) Long Term Plan for the future provides that community hospitals should be developed, as the focus is made on both the primary and secondary prevention in elderly patients with chronic diseases (</w:t>
      </w:r>
      <w:r w:rsidRPr="00CE5A2D">
        <w:rPr>
          <w:rFonts w:ascii="Arial" w:eastAsia="Times New Roman" w:hAnsi="Arial" w:cs="Arial"/>
          <w:color w:val="222222"/>
          <w:highlight w:val="white"/>
        </w:rPr>
        <w:t xml:space="preserve">McKee </w:t>
      </w:r>
      <w:r w:rsidRPr="00CE5A2D">
        <w:rPr>
          <w:rFonts w:ascii="Arial" w:eastAsia="Times New Roman" w:hAnsi="Arial" w:cs="Arial"/>
          <w:i/>
          <w:color w:val="222222"/>
          <w:highlight w:val="white"/>
        </w:rPr>
        <w:t>et al.,</w:t>
      </w:r>
      <w:r w:rsidRPr="00CE5A2D">
        <w:rPr>
          <w:rFonts w:ascii="Arial" w:eastAsia="Times New Roman" w:hAnsi="Arial" w:cs="Arial"/>
          <w:color w:val="222222"/>
          <w:highlight w:val="white"/>
        </w:rPr>
        <w:t xml:space="preserve"> 2021</w:t>
      </w:r>
      <w:r w:rsidRPr="00CE5A2D">
        <w:rPr>
          <w:rFonts w:ascii="Arial" w:hAnsi="Arial" w:cs="Arial"/>
        </w:rPr>
        <w:t xml:space="preserve">). This policy is very useful for John as it allows only John guided by his physician to actively seek for health care check-ups and timely disease control </w:t>
      </w:r>
      <w:proofErr w:type="gramStart"/>
      <w:r w:rsidRPr="00CE5A2D">
        <w:rPr>
          <w:rFonts w:ascii="Arial" w:hAnsi="Arial" w:cs="Arial"/>
        </w:rPr>
        <w:t>so as to</w:t>
      </w:r>
      <w:proofErr w:type="gramEnd"/>
      <w:r w:rsidRPr="00CE5A2D">
        <w:rPr>
          <w:rFonts w:ascii="Arial" w:hAnsi="Arial" w:cs="Arial"/>
        </w:rPr>
        <w:t xml:space="preserve"> avoid complications. </w:t>
      </w:r>
    </w:p>
    <w:p w14:paraId="0000003E" w14:textId="77777777" w:rsidR="00D94538" w:rsidRPr="00CE5A2D" w:rsidRDefault="00C43472">
      <w:pPr>
        <w:pStyle w:val="Heading3"/>
        <w:rPr>
          <w:rFonts w:ascii="Arial" w:hAnsi="Arial" w:cs="Arial"/>
        </w:rPr>
      </w:pPr>
      <w:bookmarkStart w:id="9" w:name="_pqtn2arko88r" w:colFirst="0" w:colLast="0"/>
      <w:bookmarkEnd w:id="9"/>
      <w:r w:rsidRPr="00CE5A2D">
        <w:rPr>
          <w:rFonts w:ascii="Arial" w:hAnsi="Arial" w:cs="Arial"/>
        </w:rPr>
        <w:t xml:space="preserve">Mental Health Legislation </w:t>
      </w:r>
    </w:p>
    <w:p w14:paraId="0000003F" w14:textId="77777777" w:rsidR="00D94538" w:rsidRPr="00CE5A2D" w:rsidRDefault="00C43472">
      <w:pPr>
        <w:rPr>
          <w:rFonts w:ascii="Arial" w:hAnsi="Arial" w:cs="Arial"/>
        </w:rPr>
      </w:pPr>
      <w:r w:rsidRPr="00CE5A2D">
        <w:rPr>
          <w:rFonts w:ascii="Arial" w:hAnsi="Arial" w:cs="Arial"/>
        </w:rPr>
        <w:t>Mental health is the other area of concern when it comes to the welfare of aging people. Mental health care in England is governed by Mental Health Act 1983 the amendment of which was made in 2007 (</w:t>
      </w:r>
      <w:r w:rsidRPr="00CE5A2D">
        <w:rPr>
          <w:rFonts w:ascii="Arial" w:eastAsia="Times New Roman" w:hAnsi="Arial" w:cs="Arial"/>
          <w:color w:val="222222"/>
          <w:highlight w:val="white"/>
        </w:rPr>
        <w:t xml:space="preserve">Sugiura </w:t>
      </w:r>
      <w:r w:rsidRPr="00CE5A2D">
        <w:rPr>
          <w:rFonts w:ascii="Arial" w:eastAsia="Times New Roman" w:hAnsi="Arial" w:cs="Arial"/>
          <w:i/>
          <w:color w:val="222222"/>
          <w:highlight w:val="white"/>
        </w:rPr>
        <w:t>et al.,</w:t>
      </w:r>
      <w:r w:rsidRPr="00CE5A2D">
        <w:rPr>
          <w:rFonts w:ascii="Arial" w:eastAsia="Times New Roman" w:hAnsi="Arial" w:cs="Arial"/>
          <w:color w:val="222222"/>
          <w:highlight w:val="white"/>
        </w:rPr>
        <w:t xml:space="preserve"> 2020</w:t>
      </w:r>
      <w:r w:rsidRPr="00CE5A2D">
        <w:rPr>
          <w:rFonts w:ascii="Arial" w:hAnsi="Arial" w:cs="Arial"/>
        </w:rPr>
        <w:t xml:space="preserve">). This legislation checks that older people like John who might develop compounded depression and anxiety due to social isolation </w:t>
      </w:r>
      <w:r w:rsidRPr="00CE5A2D">
        <w:rPr>
          <w:rFonts w:ascii="Arial" w:hAnsi="Arial" w:cs="Arial"/>
        </w:rPr>
        <w:lastRenderedPageBreak/>
        <w:t>and bereavement receive the right mental health care they deserve. Another possibility offered by the Act are treatments including categorical-behavioral therapy and group counseling, which will ultimately assist John medically to attend to his nervousness, besides offering him a platform to receive help medically for his nervousness as he undergoes group cou</w:t>
      </w:r>
      <w:r w:rsidRPr="00CE5A2D">
        <w:rPr>
          <w:rFonts w:ascii="Arial" w:hAnsi="Arial" w:cs="Arial"/>
        </w:rPr>
        <w:t xml:space="preserve">nseling.  </w:t>
      </w:r>
    </w:p>
    <w:p w14:paraId="00000040" w14:textId="77777777" w:rsidR="00D94538" w:rsidRPr="00CE5A2D" w:rsidRDefault="00C43472">
      <w:pPr>
        <w:rPr>
          <w:rFonts w:ascii="Arial" w:hAnsi="Arial" w:cs="Arial"/>
          <w:b/>
        </w:rPr>
      </w:pPr>
      <w:r w:rsidRPr="00CE5A2D">
        <w:rPr>
          <w:rFonts w:ascii="Arial" w:hAnsi="Arial" w:cs="Arial"/>
          <w:b/>
        </w:rPr>
        <w:t xml:space="preserve">Gaps and Challenges </w:t>
      </w:r>
    </w:p>
    <w:p w14:paraId="00000041" w14:textId="77777777" w:rsidR="00D94538" w:rsidRPr="00CE5A2D" w:rsidRDefault="00C43472">
      <w:pPr>
        <w:rPr>
          <w:rFonts w:ascii="Arial" w:hAnsi="Arial" w:cs="Arial"/>
        </w:rPr>
      </w:pPr>
      <w:r w:rsidRPr="00CE5A2D">
        <w:rPr>
          <w:rFonts w:ascii="Arial" w:hAnsi="Arial" w:cs="Arial"/>
        </w:rPr>
        <w:t>However, the existing literature reveals that there are loopholes and constraints in the delivery of H+SC services. These policies are still limited by budget factors, shortage of staff, and long waiting list to work on the plan, among others. For instance, there could be a shortage of funds to provide domiciliary care and nursing care hence limiting the amount of care that is provided to John. Furthermore, the model of joined up working of health and social care services, realized in accordance with the Ca</w:t>
      </w:r>
      <w:r w:rsidRPr="00CE5A2D">
        <w:rPr>
          <w:rFonts w:ascii="Arial" w:hAnsi="Arial" w:cs="Arial"/>
        </w:rPr>
        <w:t xml:space="preserve">re Act, can have organizational difficulties, which lead to the fragmentation of the care affected organizations. </w:t>
      </w:r>
    </w:p>
    <w:p w14:paraId="00000042" w14:textId="77777777" w:rsidR="00D94538" w:rsidRPr="00CE5A2D" w:rsidRDefault="00C43472">
      <w:pPr>
        <w:rPr>
          <w:rFonts w:ascii="Arial" w:hAnsi="Arial" w:cs="Arial"/>
        </w:rPr>
      </w:pPr>
      <w:r w:rsidRPr="00CE5A2D">
        <w:rPr>
          <w:rFonts w:ascii="Arial" w:hAnsi="Arial" w:cs="Arial"/>
        </w:rPr>
        <w:t xml:space="preserve"> </w:t>
      </w:r>
    </w:p>
    <w:p w14:paraId="00000043" w14:textId="77777777" w:rsidR="00D94538" w:rsidRPr="00CE5A2D" w:rsidRDefault="00C43472">
      <w:pPr>
        <w:rPr>
          <w:rFonts w:ascii="Arial" w:hAnsi="Arial" w:cs="Arial"/>
          <w:b/>
        </w:rPr>
      </w:pPr>
      <w:r w:rsidRPr="00CE5A2D">
        <w:rPr>
          <w:rFonts w:ascii="Arial" w:hAnsi="Arial" w:cs="Arial"/>
          <w:b/>
        </w:rPr>
        <w:t xml:space="preserve"> Future Directions </w:t>
      </w:r>
    </w:p>
    <w:p w14:paraId="00000044" w14:textId="77777777" w:rsidR="00D94538" w:rsidRPr="00CE5A2D" w:rsidRDefault="00C43472">
      <w:pPr>
        <w:rPr>
          <w:rFonts w:ascii="Arial" w:hAnsi="Arial" w:cs="Arial"/>
        </w:rPr>
      </w:pPr>
      <w:r w:rsidRPr="00CE5A2D">
        <w:rPr>
          <w:rFonts w:ascii="Arial" w:hAnsi="Arial" w:cs="Arial"/>
        </w:rPr>
        <w:t xml:space="preserve"> In order for the UK government to close these gaps it has to boost the workforce, improve care integration with the health care services and cooperation with charities and advocacy groups (</w:t>
      </w:r>
      <w:r w:rsidRPr="00CE5A2D">
        <w:rPr>
          <w:rFonts w:ascii="Arial" w:eastAsia="Times New Roman" w:hAnsi="Arial" w:cs="Arial"/>
          <w:color w:val="222222"/>
          <w:highlight w:val="white"/>
        </w:rPr>
        <w:t xml:space="preserve">Alderwick </w:t>
      </w:r>
      <w:r w:rsidRPr="00CE5A2D">
        <w:rPr>
          <w:rFonts w:ascii="Arial" w:eastAsia="Times New Roman" w:hAnsi="Arial" w:cs="Arial"/>
          <w:i/>
          <w:color w:val="222222"/>
          <w:highlight w:val="white"/>
        </w:rPr>
        <w:t>et al.,</w:t>
      </w:r>
      <w:r w:rsidRPr="00CE5A2D">
        <w:rPr>
          <w:rFonts w:ascii="Arial" w:eastAsia="Times New Roman" w:hAnsi="Arial" w:cs="Arial"/>
          <w:color w:val="222222"/>
          <w:highlight w:val="white"/>
        </w:rPr>
        <w:t xml:space="preserve"> 2021</w:t>
      </w:r>
      <w:r w:rsidRPr="00CE5A2D">
        <w:rPr>
          <w:rFonts w:ascii="Arial" w:hAnsi="Arial" w:cs="Arial"/>
        </w:rPr>
        <w:t xml:space="preserve">). This will help in achieving a more efficient health care management system thus capable of providing for the complication needs of the elderly such as John. Policies should also </w:t>
      </w:r>
      <w:proofErr w:type="gramStart"/>
      <w:r w:rsidRPr="00CE5A2D">
        <w:rPr>
          <w:rFonts w:ascii="Arial" w:hAnsi="Arial" w:cs="Arial"/>
        </w:rPr>
        <w:t>emphasize on</w:t>
      </w:r>
      <w:proofErr w:type="gramEnd"/>
      <w:r w:rsidRPr="00CE5A2D">
        <w:rPr>
          <w:rFonts w:ascii="Arial" w:hAnsi="Arial" w:cs="Arial"/>
        </w:rPr>
        <w:t xml:space="preserve"> improving care that is centered on the person, support for community living, and technology assists in care delivery.</w:t>
      </w:r>
    </w:p>
    <w:p w14:paraId="00000045" w14:textId="77777777" w:rsidR="00D94538" w:rsidRPr="00CE5A2D" w:rsidRDefault="00C43472">
      <w:pPr>
        <w:pStyle w:val="Heading2"/>
        <w:rPr>
          <w:rFonts w:ascii="Arial" w:hAnsi="Arial" w:cs="Arial"/>
        </w:rPr>
      </w:pPr>
      <w:bookmarkStart w:id="10" w:name="_w0pr7xre13v4" w:colFirst="0" w:colLast="0"/>
      <w:bookmarkEnd w:id="10"/>
      <w:r w:rsidRPr="00CE5A2D">
        <w:rPr>
          <w:rFonts w:ascii="Arial" w:hAnsi="Arial" w:cs="Arial"/>
        </w:rPr>
        <w:t xml:space="preserve">Theories </w:t>
      </w:r>
    </w:p>
    <w:p w14:paraId="00000046" w14:textId="77777777" w:rsidR="00D94538" w:rsidRPr="00CE5A2D" w:rsidRDefault="00C43472">
      <w:pPr>
        <w:rPr>
          <w:rFonts w:ascii="Arial" w:hAnsi="Arial" w:cs="Arial"/>
        </w:rPr>
      </w:pPr>
      <w:r w:rsidRPr="00CE5A2D">
        <w:rPr>
          <w:rFonts w:ascii="Arial" w:hAnsi="Arial" w:cs="Arial"/>
        </w:rPr>
        <w:t xml:space="preserve">Analyzing John’s case using different sociological theories of aging enhances the reader’s insight into his conditions and the ways management was made. </w:t>
      </w:r>
    </w:p>
    <w:p w14:paraId="00000047" w14:textId="77777777" w:rsidR="00D94538" w:rsidRPr="00CE5A2D" w:rsidRDefault="00C43472">
      <w:pPr>
        <w:pStyle w:val="Heading3"/>
        <w:rPr>
          <w:rFonts w:ascii="Arial" w:hAnsi="Arial" w:cs="Arial"/>
        </w:rPr>
      </w:pPr>
      <w:bookmarkStart w:id="11" w:name="_7pk7q5z2izd1" w:colFirst="0" w:colLast="0"/>
      <w:bookmarkEnd w:id="11"/>
      <w:r w:rsidRPr="00CE5A2D">
        <w:rPr>
          <w:rFonts w:ascii="Arial" w:hAnsi="Arial" w:cs="Arial"/>
        </w:rPr>
        <w:t xml:space="preserve"> Disengagement Theory </w:t>
      </w:r>
    </w:p>
    <w:p w14:paraId="00000048" w14:textId="77777777" w:rsidR="00D94538" w:rsidRPr="00CE5A2D" w:rsidRDefault="00C43472">
      <w:pPr>
        <w:rPr>
          <w:rFonts w:ascii="Arial" w:hAnsi="Arial" w:cs="Arial"/>
        </w:rPr>
      </w:pPr>
      <w:r w:rsidRPr="00CE5A2D">
        <w:rPr>
          <w:rFonts w:ascii="Arial" w:hAnsi="Arial" w:cs="Arial"/>
        </w:rPr>
        <w:t xml:space="preserve">According to </w:t>
      </w:r>
      <w:r w:rsidRPr="00CE5A2D">
        <w:rPr>
          <w:rFonts w:ascii="Arial" w:eastAsia="Times New Roman" w:hAnsi="Arial" w:cs="Arial"/>
          <w:color w:val="222222"/>
          <w:highlight w:val="white"/>
        </w:rPr>
        <w:t>Gonot-Schoupinsky, Garip, and Sheffield, (2022) t</w:t>
      </w:r>
      <w:r w:rsidRPr="00CE5A2D">
        <w:rPr>
          <w:rFonts w:ascii="Arial" w:hAnsi="Arial" w:cs="Arial"/>
        </w:rPr>
        <w:t xml:space="preserve">his theory tends to explain that aging is characterized by the running out of phases and the retirement implies the disengagement as society as well as individuals draws away from each other. Thus, according to this theory, John’s condition at the first stage after the death of his wife can be explained. He kept to himself and was very limited in his contact with people and went </w:t>
      </w:r>
      <w:r w:rsidRPr="00CE5A2D">
        <w:rPr>
          <w:rFonts w:ascii="Arial" w:hAnsi="Arial" w:cs="Arial"/>
        </w:rPr>
        <w:lastRenderedPageBreak/>
        <w:t>days without seeing anyone or talking to anyone except for occasional visits from</w:t>
      </w:r>
      <w:r w:rsidRPr="00CE5A2D">
        <w:rPr>
          <w:rFonts w:ascii="Arial" w:hAnsi="Arial" w:cs="Arial"/>
        </w:rPr>
        <w:t xml:space="preserve"> his daughter and granddaughter. His society, as part of the theory’s mutual aspect, might equally have abandoned him. This disengagement often results in loneliness and </w:t>
      </w:r>
      <w:proofErr w:type="gramStart"/>
      <w:r w:rsidRPr="00CE5A2D">
        <w:rPr>
          <w:rFonts w:ascii="Arial" w:hAnsi="Arial" w:cs="Arial"/>
        </w:rPr>
        <w:t>feeling</w:t>
      </w:r>
      <w:proofErr w:type="gramEnd"/>
      <w:r w:rsidRPr="00CE5A2D">
        <w:rPr>
          <w:rFonts w:ascii="Arial" w:hAnsi="Arial" w:cs="Arial"/>
        </w:rPr>
        <w:t xml:space="preserve"> of lack of purposeful living like in the state John was described in. </w:t>
      </w:r>
    </w:p>
    <w:p w14:paraId="00000049" w14:textId="77777777" w:rsidR="00D94538" w:rsidRPr="00CE5A2D" w:rsidRDefault="00C43472">
      <w:pPr>
        <w:pStyle w:val="Heading3"/>
        <w:rPr>
          <w:rFonts w:ascii="Arial" w:hAnsi="Arial" w:cs="Arial"/>
        </w:rPr>
      </w:pPr>
      <w:bookmarkStart w:id="12" w:name="_6ru8fzq87h0i" w:colFirst="0" w:colLast="0"/>
      <w:bookmarkEnd w:id="12"/>
      <w:r w:rsidRPr="00CE5A2D">
        <w:rPr>
          <w:rFonts w:ascii="Arial" w:hAnsi="Arial" w:cs="Arial"/>
        </w:rPr>
        <w:t xml:space="preserve"> Activity Theory </w:t>
      </w:r>
    </w:p>
    <w:p w14:paraId="0000004A" w14:textId="77777777" w:rsidR="00D94538" w:rsidRPr="00CE5A2D" w:rsidRDefault="00C43472">
      <w:pPr>
        <w:rPr>
          <w:rFonts w:ascii="Arial" w:hAnsi="Arial" w:cs="Arial"/>
        </w:rPr>
      </w:pPr>
      <w:r w:rsidRPr="00CE5A2D">
        <w:rPr>
          <w:rFonts w:ascii="Arial" w:hAnsi="Arial" w:cs="Arial"/>
        </w:rPr>
        <w:t xml:space="preserve">On the other hand, </w:t>
      </w:r>
      <w:r w:rsidRPr="00CE5A2D">
        <w:rPr>
          <w:rFonts w:ascii="Arial" w:eastAsia="Times New Roman" w:hAnsi="Arial" w:cs="Arial"/>
          <w:color w:val="222222"/>
          <w:highlight w:val="white"/>
        </w:rPr>
        <w:t xml:space="preserve">Engeström and Sannino (2021) noted </w:t>
      </w:r>
      <w:r w:rsidRPr="00CE5A2D">
        <w:rPr>
          <w:rFonts w:ascii="Arial" w:hAnsi="Arial" w:cs="Arial"/>
        </w:rPr>
        <w:t>the activity theory postulates that purposeful involvement in activities enhances the levels of life satisfaction and overall quality of life as per the senior citizens. Such a theory is evidenced by the changes for the better that was recorded in John’s life via his interaction with Age UK Sunderland. The services offered by Age UK of engagement in social activities, weekly calls, and several group participation have helped John be mentally, physically, socially and emoti</w:t>
      </w:r>
      <w:r w:rsidRPr="00CE5A2D">
        <w:rPr>
          <w:rFonts w:ascii="Arial" w:hAnsi="Arial" w:cs="Arial"/>
        </w:rPr>
        <w:t>onally active. These activities have also rendered a positive effect on his mood, decreased feelings of loneliness and have increased his quality of life, thus emphasizing the fact that, activity for older people is crucial to healthy living.</w:t>
      </w:r>
    </w:p>
    <w:p w14:paraId="0000004B" w14:textId="77777777" w:rsidR="00D94538" w:rsidRPr="00CE5A2D" w:rsidRDefault="00C43472">
      <w:pPr>
        <w:pStyle w:val="Heading3"/>
        <w:rPr>
          <w:rFonts w:ascii="Arial" w:hAnsi="Arial" w:cs="Arial"/>
        </w:rPr>
      </w:pPr>
      <w:bookmarkStart w:id="13" w:name="_guhdlpw7ey7u" w:colFirst="0" w:colLast="0"/>
      <w:bookmarkEnd w:id="13"/>
      <w:r w:rsidRPr="00CE5A2D">
        <w:rPr>
          <w:rFonts w:ascii="Arial" w:hAnsi="Arial" w:cs="Arial"/>
        </w:rPr>
        <w:t xml:space="preserve">Continuity Theory </w:t>
      </w:r>
    </w:p>
    <w:p w14:paraId="0000004C" w14:textId="77777777" w:rsidR="00D94538" w:rsidRPr="00CE5A2D" w:rsidRDefault="00C43472">
      <w:pPr>
        <w:rPr>
          <w:rFonts w:ascii="Arial" w:hAnsi="Arial" w:cs="Arial"/>
        </w:rPr>
      </w:pPr>
      <w:r w:rsidRPr="00CE5A2D">
        <w:rPr>
          <w:rFonts w:ascii="Arial" w:hAnsi="Arial" w:cs="Arial"/>
        </w:rPr>
        <w:t xml:space="preserve"> The continuity theory presupposes that elders’ practices, actions, and relations remain rather steady and unchanging all their life (</w:t>
      </w:r>
      <w:r w:rsidRPr="00CE5A2D">
        <w:rPr>
          <w:rFonts w:ascii="Arial" w:eastAsia="Times New Roman" w:hAnsi="Arial" w:cs="Arial"/>
          <w:color w:val="222222"/>
          <w:highlight w:val="white"/>
        </w:rPr>
        <w:t xml:space="preserve">Baker </w:t>
      </w:r>
      <w:r w:rsidRPr="00CE5A2D">
        <w:rPr>
          <w:rFonts w:ascii="Arial" w:eastAsia="Times New Roman" w:hAnsi="Arial" w:cs="Arial"/>
          <w:i/>
          <w:color w:val="222222"/>
          <w:highlight w:val="white"/>
        </w:rPr>
        <w:t>et al.,</w:t>
      </w:r>
      <w:r w:rsidRPr="00CE5A2D">
        <w:rPr>
          <w:rFonts w:ascii="Arial" w:eastAsia="Times New Roman" w:hAnsi="Arial" w:cs="Arial"/>
          <w:color w:val="222222"/>
          <w:highlight w:val="white"/>
        </w:rPr>
        <w:t xml:space="preserve"> 2020</w:t>
      </w:r>
      <w:r w:rsidRPr="00CE5A2D">
        <w:rPr>
          <w:rFonts w:ascii="Arial" w:hAnsi="Arial" w:cs="Arial"/>
        </w:rPr>
        <w:t xml:space="preserve">). Therefore, for John, the ability to carry on with social activities that are </w:t>
      </w:r>
      <w:proofErr w:type="gramStart"/>
      <w:r w:rsidRPr="00CE5A2D">
        <w:rPr>
          <w:rFonts w:ascii="Arial" w:hAnsi="Arial" w:cs="Arial"/>
        </w:rPr>
        <w:t>similar to</w:t>
      </w:r>
      <w:proofErr w:type="gramEnd"/>
      <w:r w:rsidRPr="00CE5A2D">
        <w:rPr>
          <w:rFonts w:ascii="Arial" w:hAnsi="Arial" w:cs="Arial"/>
        </w:rPr>
        <w:t xml:space="preserve"> those he enjoyed in the earlier part of his life, including joining other community groups, and making new friends, represents the content theory. It is also important for the staff’s emotional well-being that there is such continuity, which contributes to the creation of a stable environment </w:t>
      </w:r>
      <w:proofErr w:type="gramStart"/>
      <w:r w:rsidRPr="00CE5A2D">
        <w:rPr>
          <w:rFonts w:ascii="Arial" w:hAnsi="Arial" w:cs="Arial"/>
        </w:rPr>
        <w:t>in order to</w:t>
      </w:r>
      <w:proofErr w:type="gramEnd"/>
      <w:r w:rsidRPr="00CE5A2D">
        <w:rPr>
          <w:rFonts w:ascii="Arial" w:hAnsi="Arial" w:cs="Arial"/>
        </w:rPr>
        <w:t xml:space="preserve"> form the institution’s identity. </w:t>
      </w:r>
    </w:p>
    <w:p w14:paraId="0000004D" w14:textId="77777777" w:rsidR="00D94538" w:rsidRPr="00CE5A2D" w:rsidRDefault="00C43472">
      <w:pPr>
        <w:pStyle w:val="Heading3"/>
        <w:rPr>
          <w:rFonts w:ascii="Arial" w:hAnsi="Arial" w:cs="Arial"/>
        </w:rPr>
      </w:pPr>
      <w:bookmarkStart w:id="14" w:name="_i3ktmilef2p4" w:colFirst="0" w:colLast="0"/>
      <w:bookmarkEnd w:id="14"/>
      <w:r w:rsidRPr="00CE5A2D">
        <w:rPr>
          <w:rFonts w:ascii="Arial" w:hAnsi="Arial" w:cs="Arial"/>
        </w:rPr>
        <w:t xml:space="preserve"> Maslow’s Hierarchy of Needs </w:t>
      </w:r>
    </w:p>
    <w:p w14:paraId="0000004E" w14:textId="77777777" w:rsidR="00D94538" w:rsidRPr="00CE5A2D" w:rsidRDefault="00C43472">
      <w:pPr>
        <w:rPr>
          <w:rFonts w:ascii="Arial" w:hAnsi="Arial" w:cs="Arial"/>
        </w:rPr>
      </w:pPr>
      <w:r w:rsidRPr="00CE5A2D">
        <w:rPr>
          <w:rFonts w:ascii="Arial" w:hAnsi="Arial" w:cs="Arial"/>
        </w:rPr>
        <w:t>Regarding the resources, it is also useful to apply Maslow’s hierarchy of needs to understand John’s condition. Even during the old age, their needs postulated by Maslow, from the physiological, safety, love and belongingness, esteem, and self-actualization needs are not void (</w:t>
      </w:r>
      <w:r w:rsidRPr="00CE5A2D">
        <w:rPr>
          <w:rFonts w:ascii="Arial" w:eastAsia="Times New Roman" w:hAnsi="Arial" w:cs="Arial"/>
          <w:color w:val="222222"/>
          <w:highlight w:val="white"/>
        </w:rPr>
        <w:t xml:space="preserve">Hayre-Kwan </w:t>
      </w:r>
      <w:r w:rsidRPr="00CE5A2D">
        <w:rPr>
          <w:rFonts w:ascii="Arial" w:eastAsia="Times New Roman" w:hAnsi="Arial" w:cs="Arial"/>
          <w:i/>
          <w:color w:val="222222"/>
          <w:highlight w:val="white"/>
        </w:rPr>
        <w:t>et al.,</w:t>
      </w:r>
      <w:r w:rsidRPr="00CE5A2D">
        <w:rPr>
          <w:rFonts w:ascii="Arial" w:eastAsia="Times New Roman" w:hAnsi="Arial" w:cs="Arial"/>
          <w:color w:val="222222"/>
          <w:highlight w:val="white"/>
        </w:rPr>
        <w:t xml:space="preserve"> 2021</w:t>
      </w:r>
      <w:r w:rsidRPr="00CE5A2D">
        <w:rPr>
          <w:rFonts w:ascii="Arial" w:hAnsi="Arial" w:cs="Arial"/>
        </w:rPr>
        <w:t>). As for the second level, John’s need for physiological and safety was met, though he had no belonging, love or esteem needs due to his solitary nature. Using the extracts, comment on how Age UK Sunderland supported his higher level needs by giving him social interaction, as well as hope and motivation to live for something.</w:t>
      </w:r>
    </w:p>
    <w:p w14:paraId="0000004F" w14:textId="77777777" w:rsidR="00D94538" w:rsidRPr="00CE5A2D" w:rsidRDefault="00C43472">
      <w:pPr>
        <w:pStyle w:val="Heading1"/>
        <w:rPr>
          <w:rFonts w:ascii="Arial" w:hAnsi="Arial" w:cs="Arial"/>
        </w:rPr>
      </w:pPr>
      <w:bookmarkStart w:id="15" w:name="_wc68lxz0hy4z" w:colFirst="0" w:colLast="0"/>
      <w:bookmarkEnd w:id="15"/>
      <w:r w:rsidRPr="00CE5A2D">
        <w:rPr>
          <w:rFonts w:ascii="Arial" w:hAnsi="Arial" w:cs="Arial"/>
        </w:rPr>
        <w:lastRenderedPageBreak/>
        <w:t xml:space="preserve">Conclusion </w:t>
      </w:r>
    </w:p>
    <w:p w14:paraId="00000050" w14:textId="77777777" w:rsidR="00D94538" w:rsidRPr="00CE5A2D" w:rsidRDefault="00C43472">
      <w:pPr>
        <w:rPr>
          <w:rFonts w:ascii="Arial" w:hAnsi="Arial" w:cs="Arial"/>
        </w:rPr>
      </w:pPr>
      <w:r w:rsidRPr="00CE5A2D">
        <w:rPr>
          <w:rFonts w:ascii="Arial" w:hAnsi="Arial" w:cs="Arial"/>
        </w:rPr>
        <w:t>From those aspects, one can conclude that highly personalized health and social care interventions, based on the theories of aging such as disengagement, activity, and continuity give a strong influence on elderly people’s wellbeing. It is evident in John’s case that more engagement, support, and facilitation from members of the community in conjunction with Care Act 2014 policies are instrumental in addressing loneliness and improving the patients’ quality of life. It is very important to identify and comp</w:t>
      </w:r>
      <w:r w:rsidRPr="00CE5A2D">
        <w:rPr>
          <w:rFonts w:ascii="Arial" w:hAnsi="Arial" w:cs="Arial"/>
        </w:rPr>
        <w:t xml:space="preserve">lete a person's requirements related to physical, mental, and social domains </w:t>
      </w:r>
      <w:proofErr w:type="gramStart"/>
      <w:r w:rsidRPr="00CE5A2D">
        <w:rPr>
          <w:rFonts w:ascii="Arial" w:hAnsi="Arial" w:cs="Arial"/>
        </w:rPr>
        <w:t>in order to</w:t>
      </w:r>
      <w:proofErr w:type="gramEnd"/>
      <w:r w:rsidRPr="00CE5A2D">
        <w:rPr>
          <w:rFonts w:ascii="Arial" w:hAnsi="Arial" w:cs="Arial"/>
        </w:rPr>
        <w:t xml:space="preserve"> support becoming self-sufficient and develop life satisfaction at an older age. </w:t>
      </w:r>
    </w:p>
    <w:p w14:paraId="00000051" w14:textId="77777777" w:rsidR="00D94538" w:rsidRPr="00CE5A2D" w:rsidRDefault="00C43472">
      <w:pPr>
        <w:pStyle w:val="Heading1"/>
        <w:rPr>
          <w:rFonts w:ascii="Arial" w:hAnsi="Arial" w:cs="Arial"/>
        </w:rPr>
      </w:pPr>
      <w:bookmarkStart w:id="16" w:name="_laeandlo44bs" w:colFirst="0" w:colLast="0"/>
      <w:bookmarkEnd w:id="16"/>
      <w:r w:rsidRPr="00CE5A2D">
        <w:rPr>
          <w:rFonts w:ascii="Arial" w:hAnsi="Arial" w:cs="Arial"/>
        </w:rPr>
        <w:t>Recommendations</w:t>
      </w:r>
    </w:p>
    <w:p w14:paraId="00000052" w14:textId="77777777" w:rsidR="00D94538" w:rsidRPr="00CE5A2D" w:rsidRDefault="00C43472">
      <w:pPr>
        <w:rPr>
          <w:rFonts w:ascii="Arial" w:hAnsi="Arial" w:cs="Arial"/>
        </w:rPr>
      </w:pPr>
      <w:r w:rsidRPr="00CE5A2D">
        <w:rPr>
          <w:rFonts w:ascii="Arial" w:hAnsi="Arial" w:cs="Arial"/>
        </w:rPr>
        <w:t xml:space="preserve"> For John’s future, the primary care service that is combined with health and social care services should remain available to him. Thus, increasing funding and staffing, better cooperation and collaboration between the providers, and a broader offer of community services could facilitate the optimal care of the patient. Challenges that might affect its achievement are; lack of enough funds, inadequate manpower, and complex administrative procedures. Potential solutions are the training and development of th</w:t>
      </w:r>
      <w:r w:rsidRPr="00CE5A2D">
        <w:rPr>
          <w:rFonts w:ascii="Arial" w:hAnsi="Arial" w:cs="Arial"/>
        </w:rPr>
        <w:t>e healthcare workforce, the improvement in the administrative processes of the healthcare centers, and the implementation of more favorable funding models. Additionally, promoting the development of collaboration between the government, non-profit organizations and members of the local community will allow for increase of the efficiency and effectiveness of service delivery, the aims at which, John and other individuals will be provided with appropriate and timely service.</w:t>
      </w:r>
    </w:p>
    <w:p w14:paraId="00000053" w14:textId="77777777" w:rsidR="00D94538" w:rsidRPr="00CE5A2D" w:rsidRDefault="00D94538">
      <w:pPr>
        <w:rPr>
          <w:rFonts w:ascii="Arial" w:hAnsi="Arial" w:cs="Arial"/>
        </w:rPr>
      </w:pPr>
    </w:p>
    <w:p w14:paraId="00000054" w14:textId="77777777" w:rsidR="00D94538" w:rsidRPr="00CE5A2D" w:rsidRDefault="00C43472">
      <w:pPr>
        <w:pStyle w:val="Heading1"/>
        <w:rPr>
          <w:rFonts w:ascii="Arial" w:hAnsi="Arial" w:cs="Arial"/>
        </w:rPr>
      </w:pPr>
      <w:bookmarkStart w:id="17" w:name="_p088dyyeoaid" w:colFirst="0" w:colLast="0"/>
      <w:bookmarkEnd w:id="17"/>
      <w:r w:rsidRPr="00CE5A2D">
        <w:rPr>
          <w:rFonts w:ascii="Arial" w:hAnsi="Arial" w:cs="Arial"/>
        </w:rPr>
        <w:br w:type="page"/>
      </w:r>
    </w:p>
    <w:p w14:paraId="00000055" w14:textId="77777777" w:rsidR="00D94538" w:rsidRPr="00CE5A2D" w:rsidRDefault="00C43472">
      <w:pPr>
        <w:pStyle w:val="Heading1"/>
        <w:rPr>
          <w:rFonts w:ascii="Arial" w:hAnsi="Arial" w:cs="Arial"/>
        </w:rPr>
      </w:pPr>
      <w:bookmarkStart w:id="18" w:name="_qiijlikvlayj" w:colFirst="0" w:colLast="0"/>
      <w:bookmarkEnd w:id="18"/>
      <w:r w:rsidRPr="00CE5A2D">
        <w:rPr>
          <w:rFonts w:ascii="Arial" w:hAnsi="Arial" w:cs="Arial"/>
        </w:rPr>
        <w:lastRenderedPageBreak/>
        <w:t>Reference</w:t>
      </w:r>
    </w:p>
    <w:p w14:paraId="00000056" w14:textId="77777777" w:rsidR="00D94538" w:rsidRPr="00CE5A2D" w:rsidRDefault="00C43472">
      <w:pPr>
        <w:rPr>
          <w:rFonts w:ascii="Arial" w:eastAsia="Times New Roman" w:hAnsi="Arial" w:cs="Arial"/>
        </w:rPr>
      </w:pPr>
      <w:r w:rsidRPr="00CE5A2D">
        <w:rPr>
          <w:rFonts w:ascii="Arial" w:eastAsia="Times New Roman" w:hAnsi="Arial" w:cs="Arial"/>
        </w:rPr>
        <w:t xml:space="preserve">ageing-better.org.uk (2024) Our Ageing Population: The State of Ageing 2023-24. </w:t>
      </w:r>
      <w:r w:rsidRPr="00CE5A2D">
        <w:rPr>
          <w:rFonts w:ascii="Arial" w:eastAsia="Times New Roman" w:hAnsi="Arial" w:cs="Arial"/>
          <w:i/>
        </w:rPr>
        <w:t>Centre for Ageing Better</w:t>
      </w:r>
      <w:r w:rsidRPr="00CE5A2D">
        <w:rPr>
          <w:rFonts w:ascii="Arial" w:eastAsia="Times New Roman" w:hAnsi="Arial" w:cs="Arial"/>
        </w:rPr>
        <w:t xml:space="preserve">. Available at: </w:t>
      </w:r>
      <w:hyperlink r:id="rId6">
        <w:r w:rsidRPr="00CE5A2D">
          <w:rPr>
            <w:rFonts w:ascii="Arial" w:eastAsia="Times New Roman" w:hAnsi="Arial" w:cs="Arial"/>
            <w:color w:val="1155CC"/>
            <w:u w:val="single"/>
          </w:rPr>
          <w:t>https://ageing-better.org.uk/our-ageing-population-state-ageing-2023-4</w:t>
        </w:r>
      </w:hyperlink>
      <w:r w:rsidRPr="00CE5A2D">
        <w:rPr>
          <w:rFonts w:ascii="Arial" w:eastAsia="Times New Roman" w:hAnsi="Arial" w:cs="Arial"/>
        </w:rPr>
        <w:t xml:space="preserve">  (Accessed: 2 July 2024).</w:t>
      </w:r>
    </w:p>
    <w:p w14:paraId="00000057" w14:textId="77777777" w:rsidR="00D94538" w:rsidRPr="00CE5A2D" w:rsidRDefault="00C43472">
      <w:pPr>
        <w:rPr>
          <w:rFonts w:ascii="Arial" w:eastAsia="Times New Roman" w:hAnsi="Arial" w:cs="Arial"/>
          <w:color w:val="222222"/>
          <w:highlight w:val="white"/>
        </w:rPr>
      </w:pPr>
      <w:r w:rsidRPr="00CE5A2D">
        <w:rPr>
          <w:rFonts w:ascii="Arial" w:eastAsia="Times New Roman" w:hAnsi="Arial" w:cs="Arial"/>
          <w:color w:val="222222"/>
          <w:highlight w:val="white"/>
        </w:rPr>
        <w:t xml:space="preserve">Alderwick, H., Hutchings, A., Briggs, A. and Mays, N., 2021. The impacts of collaboration between local health care and non-health care organizations and factors shaping how they work: a systematic review of reviews. </w:t>
      </w:r>
      <w:r w:rsidRPr="00CE5A2D">
        <w:rPr>
          <w:rFonts w:ascii="Arial" w:eastAsia="Times New Roman" w:hAnsi="Arial" w:cs="Arial"/>
          <w:i/>
          <w:color w:val="222222"/>
          <w:highlight w:val="white"/>
        </w:rPr>
        <w:t>BMC Public Health</w:t>
      </w:r>
      <w:r w:rsidRPr="00CE5A2D">
        <w:rPr>
          <w:rFonts w:ascii="Arial" w:eastAsia="Times New Roman" w:hAnsi="Arial" w:cs="Arial"/>
          <w:color w:val="222222"/>
          <w:highlight w:val="white"/>
        </w:rPr>
        <w:t xml:space="preserve">, </w:t>
      </w:r>
      <w:r w:rsidRPr="00CE5A2D">
        <w:rPr>
          <w:rFonts w:ascii="Arial" w:eastAsia="Times New Roman" w:hAnsi="Arial" w:cs="Arial"/>
          <w:i/>
          <w:color w:val="222222"/>
          <w:highlight w:val="white"/>
        </w:rPr>
        <w:t>21</w:t>
      </w:r>
      <w:r w:rsidRPr="00CE5A2D">
        <w:rPr>
          <w:rFonts w:ascii="Arial" w:eastAsia="Times New Roman" w:hAnsi="Arial" w:cs="Arial"/>
          <w:color w:val="222222"/>
          <w:highlight w:val="white"/>
        </w:rPr>
        <w:t xml:space="preserve">, pp.1-16. </w:t>
      </w:r>
      <w:r w:rsidRPr="00CE5A2D">
        <w:rPr>
          <w:rFonts w:ascii="Arial" w:eastAsia="Times New Roman" w:hAnsi="Arial" w:cs="Arial"/>
        </w:rPr>
        <w:t xml:space="preserve">Available </w:t>
      </w:r>
      <w:proofErr w:type="spellStart"/>
      <w:r w:rsidRPr="00CE5A2D">
        <w:rPr>
          <w:rFonts w:ascii="Arial" w:eastAsia="Times New Roman" w:hAnsi="Arial" w:cs="Arial"/>
        </w:rPr>
        <w:t>at:</w:t>
      </w:r>
      <w:hyperlink r:id="rId7">
        <w:r w:rsidRPr="00CE5A2D">
          <w:rPr>
            <w:rFonts w:ascii="Arial" w:eastAsia="Times New Roman" w:hAnsi="Arial" w:cs="Arial"/>
            <w:color w:val="1155CC"/>
            <w:highlight w:val="white"/>
            <w:u w:val="single"/>
          </w:rPr>
          <w:t>https</w:t>
        </w:r>
        <w:proofErr w:type="spellEnd"/>
        <w:r w:rsidRPr="00CE5A2D">
          <w:rPr>
            <w:rFonts w:ascii="Arial" w:eastAsia="Times New Roman" w:hAnsi="Arial" w:cs="Arial"/>
            <w:color w:val="1155CC"/>
            <w:highlight w:val="white"/>
            <w:u w:val="single"/>
          </w:rPr>
          <w:t>://link.springer.com/article/10.1186/s12889-021-10630-1</w:t>
        </w:r>
      </w:hyperlink>
      <w:r w:rsidRPr="00CE5A2D">
        <w:rPr>
          <w:rFonts w:ascii="Arial" w:eastAsia="Times New Roman" w:hAnsi="Arial" w:cs="Arial"/>
          <w:color w:val="222222"/>
          <w:highlight w:val="white"/>
        </w:rPr>
        <w:t xml:space="preserve"> </w:t>
      </w:r>
      <w:r w:rsidRPr="00CE5A2D">
        <w:rPr>
          <w:rFonts w:ascii="Arial" w:hAnsi="Arial" w:cs="Arial"/>
        </w:rPr>
        <w:t>(Accessed: 2 July 2024).</w:t>
      </w:r>
      <w:r w:rsidRPr="00CE5A2D">
        <w:rPr>
          <w:rFonts w:ascii="Arial" w:eastAsia="Times New Roman" w:hAnsi="Arial" w:cs="Arial"/>
          <w:color w:val="222222"/>
          <w:highlight w:val="white"/>
        </w:rPr>
        <w:t xml:space="preserve"> </w:t>
      </w:r>
    </w:p>
    <w:p w14:paraId="00000058" w14:textId="77777777" w:rsidR="00D94538" w:rsidRPr="00CE5A2D" w:rsidRDefault="00C43472">
      <w:pPr>
        <w:rPr>
          <w:rFonts w:ascii="Arial" w:eastAsia="Times New Roman" w:hAnsi="Arial" w:cs="Arial"/>
          <w:color w:val="222222"/>
          <w:highlight w:val="white"/>
        </w:rPr>
      </w:pPr>
      <w:r w:rsidRPr="00CE5A2D">
        <w:rPr>
          <w:rFonts w:ascii="Arial" w:hAnsi="Arial" w:cs="Arial"/>
          <w:color w:val="222222"/>
          <w:highlight w:val="white"/>
        </w:rPr>
        <w:t xml:space="preserve">Andreucci, M.B., Russo, A. and Olszewska-Guizzo, A., 2019. Designing urban green blue infrastructure for mental health and elderly wellbeing. </w:t>
      </w:r>
      <w:r w:rsidRPr="00CE5A2D">
        <w:rPr>
          <w:rFonts w:ascii="Arial" w:hAnsi="Arial" w:cs="Arial"/>
          <w:i/>
          <w:color w:val="222222"/>
          <w:highlight w:val="white"/>
        </w:rPr>
        <w:t>Sustainability</w:t>
      </w:r>
      <w:r w:rsidRPr="00CE5A2D">
        <w:rPr>
          <w:rFonts w:ascii="Arial" w:hAnsi="Arial" w:cs="Arial"/>
          <w:color w:val="222222"/>
          <w:highlight w:val="white"/>
        </w:rPr>
        <w:t xml:space="preserve">, </w:t>
      </w:r>
      <w:r w:rsidRPr="00CE5A2D">
        <w:rPr>
          <w:rFonts w:ascii="Arial" w:hAnsi="Arial" w:cs="Arial"/>
          <w:i/>
          <w:color w:val="222222"/>
          <w:highlight w:val="white"/>
        </w:rPr>
        <w:t>11</w:t>
      </w:r>
      <w:r w:rsidRPr="00CE5A2D">
        <w:rPr>
          <w:rFonts w:ascii="Arial" w:hAnsi="Arial" w:cs="Arial"/>
          <w:color w:val="222222"/>
          <w:highlight w:val="white"/>
        </w:rPr>
        <w:t xml:space="preserve">(22), p.6425. </w:t>
      </w:r>
      <w:r w:rsidRPr="00CE5A2D">
        <w:rPr>
          <w:rFonts w:ascii="Arial" w:hAnsi="Arial" w:cs="Arial"/>
        </w:rPr>
        <w:t xml:space="preserve">Available </w:t>
      </w:r>
      <w:proofErr w:type="spellStart"/>
      <w:r w:rsidRPr="00CE5A2D">
        <w:rPr>
          <w:rFonts w:ascii="Arial" w:hAnsi="Arial" w:cs="Arial"/>
        </w:rPr>
        <w:t>at:</w:t>
      </w:r>
      <w:hyperlink r:id="rId8">
        <w:r w:rsidRPr="00CE5A2D">
          <w:rPr>
            <w:rFonts w:ascii="Arial" w:hAnsi="Arial" w:cs="Arial"/>
            <w:color w:val="1155CC"/>
            <w:u w:val="single"/>
          </w:rPr>
          <w:t>https</w:t>
        </w:r>
        <w:proofErr w:type="spellEnd"/>
        <w:r w:rsidRPr="00CE5A2D">
          <w:rPr>
            <w:rFonts w:ascii="Arial" w:hAnsi="Arial" w:cs="Arial"/>
            <w:color w:val="1155CC"/>
            <w:u w:val="single"/>
          </w:rPr>
          <w:t>://doi.org/10.3390/su11226425</w:t>
        </w:r>
      </w:hyperlink>
      <w:proofErr w:type="gramStart"/>
      <w:r w:rsidRPr="00CE5A2D">
        <w:rPr>
          <w:rFonts w:ascii="Arial" w:hAnsi="Arial" w:cs="Arial"/>
        </w:rPr>
        <w:t xml:space="preserve">   (</w:t>
      </w:r>
      <w:proofErr w:type="gramEnd"/>
      <w:r w:rsidRPr="00CE5A2D">
        <w:rPr>
          <w:rFonts w:ascii="Arial" w:hAnsi="Arial" w:cs="Arial"/>
        </w:rPr>
        <w:t>Accessed: 2 July 2024).</w:t>
      </w:r>
    </w:p>
    <w:p w14:paraId="00000059" w14:textId="77777777" w:rsidR="00D94538" w:rsidRPr="00CE5A2D" w:rsidRDefault="00C43472">
      <w:pPr>
        <w:rPr>
          <w:rFonts w:ascii="Arial" w:hAnsi="Arial" w:cs="Arial"/>
        </w:rPr>
      </w:pPr>
      <w:r w:rsidRPr="00CE5A2D">
        <w:rPr>
          <w:rFonts w:ascii="Arial" w:eastAsia="Times New Roman" w:hAnsi="Arial" w:cs="Arial"/>
          <w:color w:val="222222"/>
          <w:highlight w:val="white"/>
        </w:rPr>
        <w:t xml:space="preserve">Baker, R., Freeman, G.K., Haggerty, J.L., Bankart, M.J. and Nockels, K.H., 2020. Primary medical care continuity and patient mortality: a systematic review. </w:t>
      </w:r>
      <w:r w:rsidRPr="00CE5A2D">
        <w:rPr>
          <w:rFonts w:ascii="Arial" w:eastAsia="Times New Roman" w:hAnsi="Arial" w:cs="Arial"/>
          <w:i/>
          <w:color w:val="222222"/>
          <w:highlight w:val="white"/>
        </w:rPr>
        <w:t>British Journal of General Practice</w:t>
      </w:r>
      <w:r w:rsidRPr="00CE5A2D">
        <w:rPr>
          <w:rFonts w:ascii="Arial" w:eastAsia="Times New Roman" w:hAnsi="Arial" w:cs="Arial"/>
          <w:color w:val="222222"/>
          <w:highlight w:val="white"/>
        </w:rPr>
        <w:t xml:space="preserve">, </w:t>
      </w:r>
      <w:r w:rsidRPr="00CE5A2D">
        <w:rPr>
          <w:rFonts w:ascii="Arial" w:eastAsia="Times New Roman" w:hAnsi="Arial" w:cs="Arial"/>
          <w:i/>
          <w:color w:val="222222"/>
          <w:highlight w:val="white"/>
        </w:rPr>
        <w:t>70</w:t>
      </w:r>
      <w:r w:rsidRPr="00CE5A2D">
        <w:rPr>
          <w:rFonts w:ascii="Arial" w:eastAsia="Times New Roman" w:hAnsi="Arial" w:cs="Arial"/>
          <w:color w:val="222222"/>
          <w:highlight w:val="white"/>
        </w:rPr>
        <w:t xml:space="preserve">(698), </w:t>
      </w:r>
      <w:proofErr w:type="gramStart"/>
      <w:r w:rsidRPr="00CE5A2D">
        <w:rPr>
          <w:rFonts w:ascii="Arial" w:eastAsia="Times New Roman" w:hAnsi="Arial" w:cs="Arial"/>
          <w:color w:val="222222"/>
          <w:highlight w:val="white"/>
        </w:rPr>
        <w:t>pp.e</w:t>
      </w:r>
      <w:proofErr w:type="gramEnd"/>
      <w:r w:rsidRPr="00CE5A2D">
        <w:rPr>
          <w:rFonts w:ascii="Arial" w:eastAsia="Times New Roman" w:hAnsi="Arial" w:cs="Arial"/>
          <w:color w:val="222222"/>
          <w:highlight w:val="white"/>
        </w:rPr>
        <w:t xml:space="preserve">600-e611. </w:t>
      </w:r>
      <w:r w:rsidRPr="00CE5A2D">
        <w:rPr>
          <w:rFonts w:ascii="Arial" w:eastAsia="Times New Roman" w:hAnsi="Arial" w:cs="Arial"/>
        </w:rPr>
        <w:t xml:space="preserve">Available at: </w:t>
      </w:r>
      <w:hyperlink r:id="rId9">
        <w:r w:rsidRPr="00CE5A2D">
          <w:rPr>
            <w:rFonts w:ascii="Arial" w:eastAsia="Times New Roman" w:hAnsi="Arial" w:cs="Arial"/>
            <w:color w:val="1155CC"/>
            <w:highlight w:val="white"/>
            <w:u w:val="single"/>
          </w:rPr>
          <w:t>https://doi.org/10.3399/bjgp20X712289</w:t>
        </w:r>
      </w:hyperlink>
      <w:r w:rsidRPr="00CE5A2D">
        <w:rPr>
          <w:rFonts w:ascii="Arial" w:eastAsia="Times New Roman" w:hAnsi="Arial" w:cs="Arial"/>
          <w:color w:val="222222"/>
          <w:highlight w:val="white"/>
        </w:rPr>
        <w:t xml:space="preserve"> </w:t>
      </w:r>
      <w:r w:rsidRPr="00CE5A2D">
        <w:rPr>
          <w:rFonts w:ascii="Arial" w:hAnsi="Arial" w:cs="Arial"/>
        </w:rPr>
        <w:t xml:space="preserve"> (Accessed: 2 July 2024).</w:t>
      </w:r>
    </w:p>
    <w:p w14:paraId="0000005A" w14:textId="77777777" w:rsidR="00D94538" w:rsidRPr="00CE5A2D" w:rsidRDefault="00C43472">
      <w:pPr>
        <w:rPr>
          <w:rFonts w:ascii="Arial" w:eastAsia="Times New Roman" w:hAnsi="Arial" w:cs="Arial"/>
          <w:color w:val="222222"/>
          <w:highlight w:val="white"/>
        </w:rPr>
      </w:pPr>
      <w:r w:rsidRPr="00CE5A2D">
        <w:rPr>
          <w:rFonts w:ascii="Arial" w:eastAsia="Times New Roman" w:hAnsi="Arial" w:cs="Arial"/>
          <w:color w:val="222222"/>
          <w:highlight w:val="white"/>
        </w:rPr>
        <w:t xml:space="preserve">Berrington, A., Ellison, J., Kuang, B., Vasireddy, S. and Kulu, H., 2021. Recent trends in UK fertility and potential impacts of COVID-19. </w:t>
      </w:r>
      <w:r w:rsidRPr="00CE5A2D">
        <w:rPr>
          <w:rFonts w:ascii="Arial" w:eastAsia="Times New Roman" w:hAnsi="Arial" w:cs="Arial"/>
        </w:rPr>
        <w:t>Available at:</w:t>
      </w:r>
      <w:hyperlink r:id="rId10">
        <w:r w:rsidRPr="00CE5A2D">
          <w:rPr>
            <w:rFonts w:ascii="Arial" w:eastAsia="Times New Roman" w:hAnsi="Arial" w:cs="Arial"/>
            <w:color w:val="1155CC"/>
            <w:highlight w:val="white"/>
            <w:u w:val="single"/>
          </w:rPr>
          <w:t>https://eprints.soton.ac.uk/448062/1/WP_95_Recent_trends_in_UK_fertility.pdf</w:t>
        </w:r>
      </w:hyperlink>
      <w:r w:rsidRPr="00CE5A2D">
        <w:rPr>
          <w:rFonts w:ascii="Arial" w:eastAsia="Times New Roman" w:hAnsi="Arial" w:cs="Arial"/>
          <w:color w:val="222222"/>
          <w:highlight w:val="white"/>
        </w:rPr>
        <w:t xml:space="preserve"> </w:t>
      </w:r>
      <w:r w:rsidRPr="00CE5A2D">
        <w:rPr>
          <w:rFonts w:ascii="Arial" w:eastAsia="Times New Roman" w:hAnsi="Arial" w:cs="Arial"/>
        </w:rPr>
        <w:t>(Accessed: 2 July 2024).</w:t>
      </w:r>
      <w:r w:rsidRPr="00CE5A2D">
        <w:rPr>
          <w:rFonts w:ascii="Arial" w:eastAsia="Times New Roman" w:hAnsi="Arial" w:cs="Arial"/>
          <w:color w:val="222222"/>
          <w:highlight w:val="white"/>
        </w:rPr>
        <w:t xml:space="preserve"> </w:t>
      </w:r>
    </w:p>
    <w:p w14:paraId="0000005B" w14:textId="77777777" w:rsidR="00D94538" w:rsidRPr="00CE5A2D" w:rsidRDefault="00C43472">
      <w:pPr>
        <w:rPr>
          <w:rFonts w:ascii="Arial" w:eastAsia="Times New Roman" w:hAnsi="Arial" w:cs="Arial"/>
          <w:color w:val="222222"/>
          <w:highlight w:val="white"/>
        </w:rPr>
      </w:pPr>
      <w:r w:rsidRPr="00CE5A2D">
        <w:rPr>
          <w:rFonts w:ascii="Arial" w:hAnsi="Arial" w:cs="Arial"/>
        </w:rPr>
        <w:t>Brimblecombe, N., Knapp, M., King, D., Stevens, M. and Cartagena Farias, J., 2020. The high cost of unpaid care by young people: health and economic impacts of providing unpaid care. BMC Public Health, 20, pp.1-</w:t>
      </w:r>
      <w:proofErr w:type="gramStart"/>
      <w:r w:rsidRPr="00CE5A2D">
        <w:rPr>
          <w:rFonts w:ascii="Arial" w:hAnsi="Arial" w:cs="Arial"/>
        </w:rPr>
        <w:t>11.</w:t>
      </w:r>
      <w:r w:rsidRPr="00CE5A2D">
        <w:rPr>
          <w:rFonts w:ascii="Arial" w:eastAsia="Times New Roman" w:hAnsi="Arial" w:cs="Arial"/>
        </w:rPr>
        <w:t>Available</w:t>
      </w:r>
      <w:proofErr w:type="gramEnd"/>
      <w:r w:rsidRPr="00CE5A2D">
        <w:rPr>
          <w:rFonts w:ascii="Arial" w:eastAsia="Times New Roman" w:hAnsi="Arial" w:cs="Arial"/>
        </w:rPr>
        <w:t xml:space="preserve"> at:</w:t>
      </w:r>
      <w:r w:rsidRPr="00CE5A2D">
        <w:rPr>
          <w:rFonts w:ascii="Arial" w:hAnsi="Arial" w:cs="Arial"/>
        </w:rPr>
        <w:t xml:space="preserve"> </w:t>
      </w:r>
      <w:hyperlink r:id="rId11">
        <w:r w:rsidRPr="00CE5A2D">
          <w:rPr>
            <w:rFonts w:ascii="Arial" w:hAnsi="Arial" w:cs="Arial"/>
            <w:color w:val="1155CC"/>
            <w:u w:val="single"/>
          </w:rPr>
          <w:t>https://doi.org/10.1186/s12889-020-09166-7</w:t>
        </w:r>
      </w:hyperlink>
      <w:r w:rsidRPr="00CE5A2D">
        <w:rPr>
          <w:rFonts w:ascii="Arial" w:hAnsi="Arial" w:cs="Arial"/>
        </w:rPr>
        <w:t xml:space="preserve"> (Accessed: 2 July 2024).</w:t>
      </w:r>
      <w:r w:rsidRPr="00CE5A2D">
        <w:rPr>
          <w:rFonts w:ascii="Arial" w:eastAsia="Times New Roman" w:hAnsi="Arial" w:cs="Arial"/>
          <w:color w:val="222222"/>
          <w:highlight w:val="white"/>
        </w:rPr>
        <w:t xml:space="preserve"> </w:t>
      </w:r>
    </w:p>
    <w:p w14:paraId="0000005C" w14:textId="77777777" w:rsidR="00D94538" w:rsidRPr="00CE5A2D" w:rsidRDefault="00C43472">
      <w:pPr>
        <w:rPr>
          <w:rFonts w:ascii="Arial" w:hAnsi="Arial" w:cs="Arial"/>
        </w:rPr>
      </w:pPr>
      <w:r w:rsidRPr="00CE5A2D">
        <w:rPr>
          <w:rFonts w:ascii="Arial" w:hAnsi="Arial" w:cs="Arial"/>
          <w:color w:val="222222"/>
          <w:highlight w:val="white"/>
        </w:rPr>
        <w:t>Brooke, J. and Clark, M., 2020. Older people’s early experience of household isolation and social distancing during COVID</w:t>
      </w:r>
      <w:r w:rsidRPr="00CE5A2D">
        <w:rPr>
          <w:rFonts w:ascii="Cambria Math" w:hAnsi="Cambria Math" w:cs="Cambria Math"/>
          <w:color w:val="222222"/>
          <w:highlight w:val="white"/>
        </w:rPr>
        <w:t>‐</w:t>
      </w:r>
      <w:r w:rsidRPr="00CE5A2D">
        <w:rPr>
          <w:rFonts w:ascii="Arial" w:hAnsi="Arial" w:cs="Arial"/>
          <w:color w:val="222222"/>
          <w:highlight w:val="white"/>
        </w:rPr>
        <w:t xml:space="preserve">19. </w:t>
      </w:r>
      <w:r w:rsidRPr="00CE5A2D">
        <w:rPr>
          <w:rFonts w:ascii="Arial" w:hAnsi="Arial" w:cs="Arial"/>
          <w:i/>
          <w:color w:val="222222"/>
          <w:highlight w:val="white"/>
        </w:rPr>
        <w:t>Journal of clinical nursing</w:t>
      </w:r>
      <w:r w:rsidRPr="00CE5A2D">
        <w:rPr>
          <w:rFonts w:ascii="Arial" w:hAnsi="Arial" w:cs="Arial"/>
          <w:color w:val="222222"/>
          <w:highlight w:val="white"/>
        </w:rPr>
        <w:t xml:space="preserve">, </w:t>
      </w:r>
      <w:r w:rsidRPr="00CE5A2D">
        <w:rPr>
          <w:rFonts w:ascii="Arial" w:hAnsi="Arial" w:cs="Arial"/>
          <w:i/>
          <w:color w:val="222222"/>
          <w:highlight w:val="white"/>
        </w:rPr>
        <w:t>29</w:t>
      </w:r>
      <w:r w:rsidRPr="00CE5A2D">
        <w:rPr>
          <w:rFonts w:ascii="Arial" w:hAnsi="Arial" w:cs="Arial"/>
          <w:color w:val="222222"/>
          <w:highlight w:val="white"/>
        </w:rPr>
        <w:t xml:space="preserve">(21-22), pp.4387-4402. </w:t>
      </w:r>
      <w:r w:rsidRPr="00CE5A2D">
        <w:rPr>
          <w:rFonts w:ascii="Arial" w:hAnsi="Arial" w:cs="Arial"/>
        </w:rPr>
        <w:t xml:space="preserve">Available at: </w:t>
      </w:r>
      <w:hyperlink r:id="rId12">
        <w:r w:rsidRPr="00CE5A2D">
          <w:rPr>
            <w:rFonts w:ascii="Arial" w:hAnsi="Arial" w:cs="Arial"/>
            <w:color w:val="1155CC"/>
            <w:u w:val="single"/>
          </w:rPr>
          <w:t>https://doi.org/10.1111/jocn.15485</w:t>
        </w:r>
      </w:hyperlink>
      <w:r w:rsidRPr="00CE5A2D">
        <w:rPr>
          <w:rFonts w:ascii="Arial" w:hAnsi="Arial" w:cs="Arial"/>
        </w:rPr>
        <w:t xml:space="preserve">  (Accessed: 2 July 2024).</w:t>
      </w:r>
    </w:p>
    <w:p w14:paraId="0000005D" w14:textId="77777777" w:rsidR="00D94538" w:rsidRPr="00CE5A2D" w:rsidRDefault="00C43472">
      <w:pPr>
        <w:rPr>
          <w:rFonts w:ascii="Arial" w:hAnsi="Arial" w:cs="Arial"/>
        </w:rPr>
      </w:pPr>
      <w:r w:rsidRPr="00CE5A2D">
        <w:rPr>
          <w:rFonts w:ascii="Arial" w:hAnsi="Arial" w:cs="Arial"/>
          <w:color w:val="222222"/>
          <w:highlight w:val="white"/>
        </w:rPr>
        <w:t xml:space="preserve">Czaja, S.J., Moxley, J.H. and Rogers, W.A., 2021. Social support, isolation, loneliness, and health among older adults in the PRISM randomized controlled trial. </w:t>
      </w:r>
      <w:r w:rsidRPr="00CE5A2D">
        <w:rPr>
          <w:rFonts w:ascii="Arial" w:hAnsi="Arial" w:cs="Arial"/>
          <w:i/>
          <w:color w:val="222222"/>
          <w:highlight w:val="white"/>
        </w:rPr>
        <w:t>Frontiers in Psychology</w:t>
      </w:r>
      <w:r w:rsidRPr="00CE5A2D">
        <w:rPr>
          <w:rFonts w:ascii="Arial" w:hAnsi="Arial" w:cs="Arial"/>
          <w:color w:val="222222"/>
          <w:highlight w:val="white"/>
        </w:rPr>
        <w:t xml:space="preserve">, </w:t>
      </w:r>
      <w:r w:rsidRPr="00CE5A2D">
        <w:rPr>
          <w:rFonts w:ascii="Arial" w:hAnsi="Arial" w:cs="Arial"/>
          <w:i/>
          <w:color w:val="222222"/>
          <w:highlight w:val="white"/>
        </w:rPr>
        <w:t>12</w:t>
      </w:r>
      <w:r w:rsidRPr="00CE5A2D">
        <w:rPr>
          <w:rFonts w:ascii="Arial" w:hAnsi="Arial" w:cs="Arial"/>
          <w:color w:val="222222"/>
          <w:highlight w:val="white"/>
        </w:rPr>
        <w:t xml:space="preserve">, p.728658. </w:t>
      </w:r>
      <w:r w:rsidRPr="00CE5A2D">
        <w:rPr>
          <w:rFonts w:ascii="Arial" w:hAnsi="Arial" w:cs="Arial"/>
        </w:rPr>
        <w:t xml:space="preserve">Available at: </w:t>
      </w:r>
      <w:hyperlink r:id="rId13">
        <w:r w:rsidRPr="00CE5A2D">
          <w:rPr>
            <w:rFonts w:ascii="Arial" w:hAnsi="Arial" w:cs="Arial"/>
            <w:color w:val="1155CC"/>
            <w:u w:val="single"/>
          </w:rPr>
          <w:t>https://doi.org/10.3389/fpsyg.2021.728658</w:t>
        </w:r>
      </w:hyperlink>
      <w:r w:rsidRPr="00CE5A2D">
        <w:rPr>
          <w:rFonts w:ascii="Arial" w:hAnsi="Arial" w:cs="Arial"/>
        </w:rPr>
        <w:t xml:space="preserve"> (Accessed: 2 July 2024).</w:t>
      </w:r>
    </w:p>
    <w:p w14:paraId="0000005E" w14:textId="77777777" w:rsidR="00D94538" w:rsidRPr="00CE5A2D" w:rsidRDefault="00C43472">
      <w:pPr>
        <w:rPr>
          <w:rFonts w:ascii="Arial" w:hAnsi="Arial" w:cs="Arial"/>
        </w:rPr>
      </w:pPr>
      <w:r w:rsidRPr="00CE5A2D">
        <w:rPr>
          <w:rFonts w:ascii="Arial" w:hAnsi="Arial" w:cs="Arial"/>
          <w:color w:val="222222"/>
          <w:highlight w:val="white"/>
        </w:rPr>
        <w:lastRenderedPageBreak/>
        <w:t xml:space="preserve">Davis, K.A., Coleman, J.R., Adams, M., Allen, N., Breen, G., Cullen, B., Dickens, C., Fox, E., Graham, N., Holliday, J. and Howard, L.M., 2020. Mental health in UK Biobank–development, implementation and results from an online questionnaire completed by 157 366 participants: a reanalysis. </w:t>
      </w:r>
      <w:proofErr w:type="spellStart"/>
      <w:r w:rsidRPr="00CE5A2D">
        <w:rPr>
          <w:rFonts w:ascii="Arial" w:hAnsi="Arial" w:cs="Arial"/>
          <w:i/>
          <w:color w:val="222222"/>
          <w:highlight w:val="white"/>
        </w:rPr>
        <w:t>BJPsych</w:t>
      </w:r>
      <w:proofErr w:type="spellEnd"/>
      <w:r w:rsidRPr="00CE5A2D">
        <w:rPr>
          <w:rFonts w:ascii="Arial" w:hAnsi="Arial" w:cs="Arial"/>
          <w:i/>
          <w:color w:val="222222"/>
          <w:highlight w:val="white"/>
        </w:rPr>
        <w:t xml:space="preserve"> open</w:t>
      </w:r>
      <w:r w:rsidRPr="00CE5A2D">
        <w:rPr>
          <w:rFonts w:ascii="Arial" w:hAnsi="Arial" w:cs="Arial"/>
          <w:color w:val="222222"/>
          <w:highlight w:val="white"/>
        </w:rPr>
        <w:t xml:space="preserve">, </w:t>
      </w:r>
      <w:r w:rsidRPr="00CE5A2D">
        <w:rPr>
          <w:rFonts w:ascii="Arial" w:hAnsi="Arial" w:cs="Arial"/>
          <w:i/>
          <w:color w:val="222222"/>
          <w:highlight w:val="white"/>
        </w:rPr>
        <w:t>6</w:t>
      </w:r>
      <w:r w:rsidRPr="00CE5A2D">
        <w:rPr>
          <w:rFonts w:ascii="Arial" w:hAnsi="Arial" w:cs="Arial"/>
          <w:color w:val="222222"/>
          <w:highlight w:val="white"/>
        </w:rPr>
        <w:t xml:space="preserve">(2), p.e18. </w:t>
      </w:r>
      <w:r w:rsidRPr="00CE5A2D">
        <w:rPr>
          <w:rFonts w:ascii="Arial" w:hAnsi="Arial" w:cs="Arial"/>
        </w:rPr>
        <w:t xml:space="preserve">Available at: </w:t>
      </w:r>
      <w:hyperlink r:id="rId14">
        <w:r w:rsidRPr="00CE5A2D">
          <w:rPr>
            <w:rFonts w:ascii="Arial" w:hAnsi="Arial" w:cs="Arial"/>
            <w:color w:val="1155CC"/>
            <w:u w:val="single"/>
          </w:rPr>
          <w:t>https://doi.org/10.1192/bjo.2019.100</w:t>
        </w:r>
      </w:hyperlink>
      <w:r w:rsidRPr="00CE5A2D">
        <w:rPr>
          <w:rFonts w:ascii="Arial" w:hAnsi="Arial" w:cs="Arial"/>
        </w:rPr>
        <w:t xml:space="preserve">  (Accessed: 2 July 2024).</w:t>
      </w:r>
    </w:p>
    <w:p w14:paraId="0000005F" w14:textId="77777777" w:rsidR="00D94538" w:rsidRPr="00CE5A2D" w:rsidRDefault="00C43472">
      <w:pPr>
        <w:rPr>
          <w:rFonts w:ascii="Arial" w:hAnsi="Arial" w:cs="Arial"/>
        </w:rPr>
      </w:pPr>
      <w:r w:rsidRPr="00CE5A2D">
        <w:rPr>
          <w:rFonts w:ascii="Arial" w:hAnsi="Arial" w:cs="Arial"/>
          <w:color w:val="222222"/>
          <w:highlight w:val="white"/>
        </w:rPr>
        <w:t xml:space="preserve">Emerson, E., Fortune, N., Llewellyn, G. and Stancliffe, R., 2021. Loneliness, social support, social isolation and wellbeing among working age adults with and without disability: Cross-sectional study. </w:t>
      </w:r>
      <w:r w:rsidRPr="00CE5A2D">
        <w:rPr>
          <w:rFonts w:ascii="Arial" w:hAnsi="Arial" w:cs="Arial"/>
          <w:i/>
          <w:color w:val="222222"/>
          <w:highlight w:val="white"/>
        </w:rPr>
        <w:t>Disability and health journal</w:t>
      </w:r>
      <w:r w:rsidRPr="00CE5A2D">
        <w:rPr>
          <w:rFonts w:ascii="Arial" w:hAnsi="Arial" w:cs="Arial"/>
          <w:color w:val="222222"/>
          <w:highlight w:val="white"/>
        </w:rPr>
        <w:t xml:space="preserve">, </w:t>
      </w:r>
      <w:r w:rsidRPr="00CE5A2D">
        <w:rPr>
          <w:rFonts w:ascii="Arial" w:hAnsi="Arial" w:cs="Arial"/>
          <w:i/>
          <w:color w:val="222222"/>
          <w:highlight w:val="white"/>
        </w:rPr>
        <w:t>14</w:t>
      </w:r>
      <w:r w:rsidRPr="00CE5A2D">
        <w:rPr>
          <w:rFonts w:ascii="Arial" w:hAnsi="Arial" w:cs="Arial"/>
          <w:color w:val="222222"/>
          <w:highlight w:val="white"/>
        </w:rPr>
        <w:t xml:space="preserve">(1), p.100965. </w:t>
      </w:r>
      <w:r w:rsidRPr="00CE5A2D">
        <w:rPr>
          <w:rFonts w:ascii="Arial" w:hAnsi="Arial" w:cs="Arial"/>
        </w:rPr>
        <w:t xml:space="preserve">Available at: </w:t>
      </w:r>
      <w:hyperlink r:id="rId15">
        <w:r w:rsidRPr="00CE5A2D">
          <w:rPr>
            <w:rFonts w:ascii="Arial" w:hAnsi="Arial" w:cs="Arial"/>
            <w:color w:val="1155CC"/>
            <w:u w:val="single"/>
          </w:rPr>
          <w:t>https://doi.org/10.1016/j.dhjo.2020.100965</w:t>
        </w:r>
      </w:hyperlink>
      <w:r w:rsidRPr="00CE5A2D">
        <w:rPr>
          <w:rFonts w:ascii="Arial" w:hAnsi="Arial" w:cs="Arial"/>
        </w:rPr>
        <w:t xml:space="preserve"> (Accessed: 2 July 2024).</w:t>
      </w:r>
    </w:p>
    <w:p w14:paraId="00000060" w14:textId="77777777" w:rsidR="00D94538" w:rsidRPr="00CE5A2D" w:rsidRDefault="00C43472">
      <w:pPr>
        <w:rPr>
          <w:rFonts w:ascii="Arial" w:hAnsi="Arial" w:cs="Arial"/>
        </w:rPr>
      </w:pPr>
      <w:r w:rsidRPr="00CE5A2D">
        <w:rPr>
          <w:rFonts w:ascii="Arial" w:eastAsia="Times New Roman" w:hAnsi="Arial" w:cs="Arial"/>
          <w:color w:val="222222"/>
          <w:highlight w:val="white"/>
        </w:rPr>
        <w:t xml:space="preserve">Engeström, Y. and Sannino, A., 2021. From mediated actions to heterogenous coalitions: four generations of activity-theoretical studies of work and learning. </w:t>
      </w:r>
      <w:r w:rsidRPr="00CE5A2D">
        <w:rPr>
          <w:rFonts w:ascii="Arial" w:eastAsia="Times New Roman" w:hAnsi="Arial" w:cs="Arial"/>
          <w:i/>
          <w:color w:val="222222"/>
          <w:highlight w:val="white"/>
        </w:rPr>
        <w:t>Mind, Culture, and Activity</w:t>
      </w:r>
      <w:r w:rsidRPr="00CE5A2D">
        <w:rPr>
          <w:rFonts w:ascii="Arial" w:eastAsia="Times New Roman" w:hAnsi="Arial" w:cs="Arial"/>
          <w:color w:val="222222"/>
          <w:highlight w:val="white"/>
        </w:rPr>
        <w:t xml:space="preserve">, </w:t>
      </w:r>
      <w:r w:rsidRPr="00CE5A2D">
        <w:rPr>
          <w:rFonts w:ascii="Arial" w:eastAsia="Times New Roman" w:hAnsi="Arial" w:cs="Arial"/>
          <w:i/>
          <w:color w:val="222222"/>
          <w:highlight w:val="white"/>
        </w:rPr>
        <w:t>28</w:t>
      </w:r>
      <w:r w:rsidRPr="00CE5A2D">
        <w:rPr>
          <w:rFonts w:ascii="Arial" w:eastAsia="Times New Roman" w:hAnsi="Arial" w:cs="Arial"/>
          <w:color w:val="222222"/>
          <w:highlight w:val="white"/>
        </w:rPr>
        <w:t xml:space="preserve">(1), pp.4-23. </w:t>
      </w:r>
      <w:r w:rsidRPr="00CE5A2D">
        <w:rPr>
          <w:rFonts w:ascii="Arial" w:eastAsia="Times New Roman" w:hAnsi="Arial" w:cs="Arial"/>
        </w:rPr>
        <w:t>Available at:</w:t>
      </w:r>
      <w:r w:rsidRPr="00CE5A2D">
        <w:rPr>
          <w:rFonts w:ascii="Arial" w:eastAsia="Times New Roman" w:hAnsi="Arial" w:cs="Arial"/>
          <w:color w:val="222222"/>
          <w:highlight w:val="white"/>
        </w:rPr>
        <w:t xml:space="preserve"> </w:t>
      </w:r>
      <w:hyperlink r:id="rId16">
        <w:r w:rsidRPr="00CE5A2D">
          <w:rPr>
            <w:rFonts w:ascii="Arial" w:eastAsia="Times New Roman" w:hAnsi="Arial" w:cs="Arial"/>
            <w:color w:val="1155CC"/>
            <w:highlight w:val="white"/>
            <w:u w:val="single"/>
          </w:rPr>
          <w:t>https://doi.org/10.1080/10749039.2020.1806328</w:t>
        </w:r>
      </w:hyperlink>
      <w:r w:rsidRPr="00CE5A2D">
        <w:rPr>
          <w:rFonts w:ascii="Arial" w:eastAsia="Times New Roman" w:hAnsi="Arial" w:cs="Arial"/>
          <w:color w:val="222222"/>
          <w:highlight w:val="white"/>
        </w:rPr>
        <w:t xml:space="preserve"> </w:t>
      </w:r>
      <w:r w:rsidRPr="00CE5A2D">
        <w:rPr>
          <w:rFonts w:ascii="Arial" w:hAnsi="Arial" w:cs="Arial"/>
        </w:rPr>
        <w:t>(Accessed: 2 July 2024).</w:t>
      </w:r>
      <w:r w:rsidRPr="00CE5A2D">
        <w:rPr>
          <w:rFonts w:ascii="Arial" w:eastAsia="Times New Roman" w:hAnsi="Arial" w:cs="Arial"/>
          <w:color w:val="222222"/>
          <w:highlight w:val="white"/>
        </w:rPr>
        <w:t xml:space="preserve"> </w:t>
      </w:r>
    </w:p>
    <w:p w14:paraId="00000061" w14:textId="77777777" w:rsidR="00D94538" w:rsidRPr="00CE5A2D" w:rsidRDefault="00C43472">
      <w:pPr>
        <w:rPr>
          <w:rFonts w:ascii="Arial" w:hAnsi="Arial" w:cs="Arial"/>
        </w:rPr>
      </w:pPr>
      <w:r w:rsidRPr="00CE5A2D">
        <w:rPr>
          <w:rFonts w:ascii="Arial" w:hAnsi="Arial" w:cs="Arial"/>
          <w:color w:val="222222"/>
          <w:highlight w:val="white"/>
        </w:rPr>
        <w:t xml:space="preserve">Gardiner, C., Laud, P., Heaton, T. and Gott, M., 2020. What is the prevalence of loneliness amongst older people living in residential and nursing care homes? A systematic review and meta-analysis. </w:t>
      </w:r>
      <w:r w:rsidRPr="00CE5A2D">
        <w:rPr>
          <w:rFonts w:ascii="Arial" w:hAnsi="Arial" w:cs="Arial"/>
          <w:i/>
          <w:color w:val="222222"/>
          <w:highlight w:val="white"/>
        </w:rPr>
        <w:t>Age and ageing</w:t>
      </w:r>
      <w:r w:rsidRPr="00CE5A2D">
        <w:rPr>
          <w:rFonts w:ascii="Arial" w:hAnsi="Arial" w:cs="Arial"/>
          <w:color w:val="222222"/>
          <w:highlight w:val="white"/>
        </w:rPr>
        <w:t xml:space="preserve">, </w:t>
      </w:r>
      <w:r w:rsidRPr="00CE5A2D">
        <w:rPr>
          <w:rFonts w:ascii="Arial" w:hAnsi="Arial" w:cs="Arial"/>
          <w:i/>
          <w:color w:val="222222"/>
          <w:highlight w:val="white"/>
        </w:rPr>
        <w:t>49</w:t>
      </w:r>
      <w:r w:rsidRPr="00CE5A2D">
        <w:rPr>
          <w:rFonts w:ascii="Arial" w:hAnsi="Arial" w:cs="Arial"/>
          <w:color w:val="222222"/>
          <w:highlight w:val="white"/>
        </w:rPr>
        <w:t xml:space="preserve">(5), pp.748-757. </w:t>
      </w:r>
      <w:r w:rsidRPr="00CE5A2D">
        <w:rPr>
          <w:rFonts w:ascii="Arial" w:hAnsi="Arial" w:cs="Arial"/>
        </w:rPr>
        <w:t xml:space="preserve">Available at: </w:t>
      </w:r>
      <w:hyperlink r:id="rId17">
        <w:r w:rsidRPr="00CE5A2D">
          <w:rPr>
            <w:rFonts w:ascii="Arial" w:hAnsi="Arial" w:cs="Arial"/>
            <w:color w:val="1155CC"/>
            <w:u w:val="single"/>
          </w:rPr>
          <w:t>https://doi.org/10.1093/ageing/afaa049</w:t>
        </w:r>
      </w:hyperlink>
      <w:r w:rsidRPr="00CE5A2D">
        <w:rPr>
          <w:rFonts w:ascii="Arial" w:hAnsi="Arial" w:cs="Arial"/>
        </w:rPr>
        <w:t xml:space="preserve">  (Accessed: 2 July 2024).</w:t>
      </w:r>
    </w:p>
    <w:p w14:paraId="00000062" w14:textId="77777777" w:rsidR="00D94538" w:rsidRPr="00CE5A2D" w:rsidRDefault="00C43472">
      <w:pPr>
        <w:rPr>
          <w:rFonts w:ascii="Arial" w:eastAsia="Times New Roman" w:hAnsi="Arial" w:cs="Arial"/>
        </w:rPr>
      </w:pPr>
      <w:r w:rsidRPr="00CE5A2D">
        <w:rPr>
          <w:rFonts w:ascii="Arial" w:eastAsia="Times New Roman" w:hAnsi="Arial" w:cs="Arial"/>
          <w:color w:val="222222"/>
          <w:highlight w:val="white"/>
        </w:rPr>
        <w:t xml:space="preserve">Gonot-Schoupinsky, F., Garip, G. and Sheffield, D., 2022. The engage-disengage model </w:t>
      </w:r>
      <w:proofErr w:type="gramStart"/>
      <w:r w:rsidRPr="00CE5A2D">
        <w:rPr>
          <w:rFonts w:ascii="Arial" w:eastAsia="Times New Roman" w:hAnsi="Arial" w:cs="Arial"/>
          <w:color w:val="222222"/>
          <w:highlight w:val="white"/>
        </w:rPr>
        <w:t>as</w:t>
      </w:r>
      <w:proofErr w:type="gramEnd"/>
      <w:r w:rsidRPr="00CE5A2D">
        <w:rPr>
          <w:rFonts w:ascii="Arial" w:eastAsia="Times New Roman" w:hAnsi="Arial" w:cs="Arial"/>
          <w:color w:val="222222"/>
          <w:highlight w:val="white"/>
        </w:rPr>
        <w:t xml:space="preserve"> an inclusive model for the promotion of healthy and successful aging in the oldest-old. </w:t>
      </w:r>
      <w:r w:rsidRPr="00CE5A2D">
        <w:rPr>
          <w:rFonts w:ascii="Arial" w:eastAsia="Times New Roman" w:hAnsi="Arial" w:cs="Arial"/>
          <w:i/>
          <w:color w:val="222222"/>
          <w:highlight w:val="white"/>
        </w:rPr>
        <w:t>Activities, Adaptation &amp; Aging</w:t>
      </w:r>
      <w:r w:rsidRPr="00CE5A2D">
        <w:rPr>
          <w:rFonts w:ascii="Arial" w:eastAsia="Times New Roman" w:hAnsi="Arial" w:cs="Arial"/>
          <w:color w:val="222222"/>
          <w:highlight w:val="white"/>
        </w:rPr>
        <w:t xml:space="preserve">, </w:t>
      </w:r>
      <w:r w:rsidRPr="00CE5A2D">
        <w:rPr>
          <w:rFonts w:ascii="Arial" w:eastAsia="Times New Roman" w:hAnsi="Arial" w:cs="Arial"/>
          <w:i/>
          <w:color w:val="222222"/>
          <w:highlight w:val="white"/>
        </w:rPr>
        <w:t>46</w:t>
      </w:r>
      <w:r w:rsidRPr="00CE5A2D">
        <w:rPr>
          <w:rFonts w:ascii="Arial" w:eastAsia="Times New Roman" w:hAnsi="Arial" w:cs="Arial"/>
          <w:color w:val="222222"/>
          <w:highlight w:val="white"/>
        </w:rPr>
        <w:t xml:space="preserve">(2), pp.159-181. </w:t>
      </w:r>
      <w:r w:rsidRPr="00CE5A2D">
        <w:rPr>
          <w:rFonts w:ascii="Arial" w:eastAsia="Times New Roman" w:hAnsi="Arial" w:cs="Arial"/>
        </w:rPr>
        <w:t>Available at:</w:t>
      </w:r>
      <w:r w:rsidRPr="00CE5A2D">
        <w:rPr>
          <w:rFonts w:ascii="Arial" w:eastAsia="Times New Roman" w:hAnsi="Arial" w:cs="Arial"/>
          <w:color w:val="222222"/>
          <w:highlight w:val="white"/>
        </w:rPr>
        <w:t xml:space="preserve"> </w:t>
      </w:r>
      <w:hyperlink r:id="rId18">
        <w:r w:rsidRPr="00CE5A2D">
          <w:rPr>
            <w:rFonts w:ascii="Arial" w:eastAsia="Times New Roman" w:hAnsi="Arial" w:cs="Arial"/>
            <w:color w:val="1155CC"/>
            <w:highlight w:val="white"/>
            <w:u w:val="single"/>
          </w:rPr>
          <w:t>https://doi.org/10.1080/01924788.2021.1970892</w:t>
        </w:r>
      </w:hyperlink>
      <w:r w:rsidRPr="00CE5A2D">
        <w:rPr>
          <w:rFonts w:ascii="Arial" w:eastAsia="Times New Roman" w:hAnsi="Arial" w:cs="Arial"/>
          <w:color w:val="222222"/>
          <w:highlight w:val="white"/>
        </w:rPr>
        <w:t xml:space="preserve"> </w:t>
      </w:r>
      <w:r w:rsidRPr="00CE5A2D">
        <w:rPr>
          <w:rFonts w:ascii="Arial" w:hAnsi="Arial" w:cs="Arial"/>
        </w:rPr>
        <w:t>(Accessed: 2 July 2024).</w:t>
      </w:r>
      <w:r w:rsidRPr="00CE5A2D">
        <w:rPr>
          <w:rFonts w:ascii="Arial" w:eastAsia="Times New Roman" w:hAnsi="Arial" w:cs="Arial"/>
          <w:color w:val="222222"/>
          <w:highlight w:val="white"/>
        </w:rPr>
        <w:t xml:space="preserve"> </w:t>
      </w:r>
    </w:p>
    <w:p w14:paraId="00000063" w14:textId="77777777" w:rsidR="00D94538" w:rsidRPr="00CE5A2D" w:rsidRDefault="00C43472">
      <w:pPr>
        <w:rPr>
          <w:rFonts w:ascii="Arial" w:eastAsia="Times New Roman" w:hAnsi="Arial" w:cs="Arial"/>
        </w:rPr>
      </w:pPr>
      <w:r w:rsidRPr="00CE5A2D">
        <w:rPr>
          <w:rFonts w:ascii="Arial" w:eastAsia="Times New Roman" w:hAnsi="Arial" w:cs="Arial"/>
          <w:color w:val="222222"/>
          <w:highlight w:val="white"/>
        </w:rPr>
        <w:t xml:space="preserve">Hayre-Kwan, S., Quinn, B., Chu, T., Orr, P. and Snoke, J., 2021. Nursing and Maslow’s hierarchy: A health care pyramid approach to safety and security during a global pandemic. </w:t>
      </w:r>
      <w:r w:rsidRPr="00CE5A2D">
        <w:rPr>
          <w:rFonts w:ascii="Arial" w:eastAsia="Times New Roman" w:hAnsi="Arial" w:cs="Arial"/>
          <w:i/>
          <w:color w:val="222222"/>
          <w:highlight w:val="white"/>
        </w:rPr>
        <w:t>Nurse leader</w:t>
      </w:r>
      <w:r w:rsidRPr="00CE5A2D">
        <w:rPr>
          <w:rFonts w:ascii="Arial" w:eastAsia="Times New Roman" w:hAnsi="Arial" w:cs="Arial"/>
          <w:color w:val="222222"/>
          <w:highlight w:val="white"/>
        </w:rPr>
        <w:t xml:space="preserve">, </w:t>
      </w:r>
      <w:r w:rsidRPr="00CE5A2D">
        <w:rPr>
          <w:rFonts w:ascii="Arial" w:eastAsia="Times New Roman" w:hAnsi="Arial" w:cs="Arial"/>
          <w:i/>
          <w:color w:val="222222"/>
          <w:highlight w:val="white"/>
        </w:rPr>
        <w:t>19</w:t>
      </w:r>
      <w:r w:rsidRPr="00CE5A2D">
        <w:rPr>
          <w:rFonts w:ascii="Arial" w:eastAsia="Times New Roman" w:hAnsi="Arial" w:cs="Arial"/>
          <w:color w:val="222222"/>
          <w:highlight w:val="white"/>
        </w:rPr>
        <w:t>(6), pp.590-595.</w:t>
      </w:r>
      <w:r w:rsidRPr="00CE5A2D">
        <w:rPr>
          <w:rFonts w:ascii="Arial" w:eastAsia="Times New Roman" w:hAnsi="Arial" w:cs="Arial"/>
        </w:rPr>
        <w:t>Available at:</w:t>
      </w:r>
      <w:r w:rsidRPr="00CE5A2D">
        <w:rPr>
          <w:rFonts w:ascii="Arial" w:eastAsia="Times New Roman" w:hAnsi="Arial" w:cs="Arial"/>
          <w:color w:val="222222"/>
          <w:highlight w:val="white"/>
        </w:rPr>
        <w:t xml:space="preserve"> </w:t>
      </w:r>
      <w:hyperlink r:id="rId19">
        <w:r w:rsidRPr="00CE5A2D">
          <w:rPr>
            <w:rFonts w:ascii="Arial" w:eastAsia="Times New Roman" w:hAnsi="Arial" w:cs="Arial"/>
            <w:color w:val="1155CC"/>
            <w:highlight w:val="white"/>
            <w:u w:val="single"/>
          </w:rPr>
          <w:t>https://doi.org/10.1016%2Fj.mnl.2021.08.013</w:t>
        </w:r>
      </w:hyperlink>
      <w:r w:rsidRPr="00CE5A2D">
        <w:rPr>
          <w:rFonts w:ascii="Arial" w:eastAsia="Times New Roman" w:hAnsi="Arial" w:cs="Arial"/>
          <w:color w:val="222222"/>
          <w:highlight w:val="white"/>
        </w:rPr>
        <w:t xml:space="preserve"> </w:t>
      </w:r>
      <w:r w:rsidRPr="00CE5A2D">
        <w:rPr>
          <w:rFonts w:ascii="Arial" w:hAnsi="Arial" w:cs="Arial"/>
        </w:rPr>
        <w:t>(Accessed: 2 July 2024).</w:t>
      </w:r>
      <w:r w:rsidRPr="00CE5A2D">
        <w:rPr>
          <w:rFonts w:ascii="Arial" w:eastAsia="Times New Roman" w:hAnsi="Arial" w:cs="Arial"/>
          <w:color w:val="222222"/>
          <w:highlight w:val="white"/>
        </w:rPr>
        <w:t xml:space="preserve"> </w:t>
      </w:r>
    </w:p>
    <w:p w14:paraId="00000064" w14:textId="77777777" w:rsidR="00D94538" w:rsidRPr="00CE5A2D" w:rsidRDefault="00C43472">
      <w:pPr>
        <w:rPr>
          <w:rFonts w:ascii="Arial" w:eastAsia="Times New Roman" w:hAnsi="Arial" w:cs="Arial"/>
          <w:color w:val="222222"/>
          <w:highlight w:val="white"/>
        </w:rPr>
      </w:pPr>
      <w:r w:rsidRPr="00CE5A2D">
        <w:rPr>
          <w:rFonts w:ascii="Arial" w:eastAsia="Times New Roman" w:hAnsi="Arial" w:cs="Arial"/>
          <w:color w:val="222222"/>
          <w:highlight w:val="white"/>
        </w:rPr>
        <w:t xml:space="preserve">Joseph, S., </w:t>
      </w:r>
      <w:proofErr w:type="spellStart"/>
      <w:r w:rsidRPr="00CE5A2D">
        <w:rPr>
          <w:rFonts w:ascii="Arial" w:eastAsia="Times New Roman" w:hAnsi="Arial" w:cs="Arial"/>
          <w:color w:val="222222"/>
          <w:highlight w:val="white"/>
        </w:rPr>
        <w:t>Sempik</w:t>
      </w:r>
      <w:proofErr w:type="spellEnd"/>
      <w:r w:rsidRPr="00CE5A2D">
        <w:rPr>
          <w:rFonts w:ascii="Arial" w:eastAsia="Times New Roman" w:hAnsi="Arial" w:cs="Arial"/>
          <w:color w:val="222222"/>
          <w:highlight w:val="white"/>
        </w:rPr>
        <w:t xml:space="preserve">, J., Leu, A. and Becker, S., 2020. Young carers research, practice and policy: An overview and critical perspective on possible future directions. </w:t>
      </w:r>
      <w:r w:rsidRPr="00CE5A2D">
        <w:rPr>
          <w:rFonts w:ascii="Arial" w:eastAsia="Times New Roman" w:hAnsi="Arial" w:cs="Arial"/>
          <w:i/>
          <w:color w:val="222222"/>
          <w:highlight w:val="white"/>
        </w:rPr>
        <w:t>Adolescent Research Review</w:t>
      </w:r>
      <w:r w:rsidRPr="00CE5A2D">
        <w:rPr>
          <w:rFonts w:ascii="Arial" w:eastAsia="Times New Roman" w:hAnsi="Arial" w:cs="Arial"/>
          <w:color w:val="222222"/>
          <w:highlight w:val="white"/>
        </w:rPr>
        <w:t xml:space="preserve">, </w:t>
      </w:r>
      <w:r w:rsidRPr="00CE5A2D">
        <w:rPr>
          <w:rFonts w:ascii="Arial" w:eastAsia="Times New Roman" w:hAnsi="Arial" w:cs="Arial"/>
          <w:i/>
          <w:color w:val="222222"/>
          <w:highlight w:val="white"/>
        </w:rPr>
        <w:t>5</w:t>
      </w:r>
      <w:r w:rsidRPr="00CE5A2D">
        <w:rPr>
          <w:rFonts w:ascii="Arial" w:eastAsia="Times New Roman" w:hAnsi="Arial" w:cs="Arial"/>
          <w:color w:val="222222"/>
          <w:highlight w:val="white"/>
        </w:rPr>
        <w:t>(1), pp.77-</w:t>
      </w:r>
      <w:proofErr w:type="gramStart"/>
      <w:r w:rsidRPr="00CE5A2D">
        <w:rPr>
          <w:rFonts w:ascii="Arial" w:eastAsia="Times New Roman" w:hAnsi="Arial" w:cs="Arial"/>
          <w:color w:val="222222"/>
          <w:highlight w:val="white"/>
        </w:rPr>
        <w:t>89.</w:t>
      </w:r>
      <w:r w:rsidRPr="00CE5A2D">
        <w:rPr>
          <w:rFonts w:ascii="Arial" w:eastAsia="Times New Roman" w:hAnsi="Arial" w:cs="Arial"/>
        </w:rPr>
        <w:t>Available</w:t>
      </w:r>
      <w:proofErr w:type="gramEnd"/>
      <w:r w:rsidRPr="00CE5A2D">
        <w:rPr>
          <w:rFonts w:ascii="Arial" w:eastAsia="Times New Roman" w:hAnsi="Arial" w:cs="Arial"/>
        </w:rPr>
        <w:t xml:space="preserve"> at:</w:t>
      </w:r>
      <w:r w:rsidRPr="00CE5A2D">
        <w:rPr>
          <w:rFonts w:ascii="Arial" w:eastAsia="Times New Roman" w:hAnsi="Arial" w:cs="Arial"/>
          <w:color w:val="222222"/>
          <w:highlight w:val="white"/>
        </w:rPr>
        <w:t xml:space="preserve"> </w:t>
      </w:r>
      <w:hyperlink r:id="rId20">
        <w:r w:rsidRPr="00CE5A2D">
          <w:rPr>
            <w:rFonts w:ascii="Arial" w:eastAsia="Times New Roman" w:hAnsi="Arial" w:cs="Arial"/>
            <w:color w:val="1155CC"/>
            <w:highlight w:val="white"/>
            <w:u w:val="single"/>
          </w:rPr>
          <w:t>https://doi.org/10.1007/s40894-019-00119-9</w:t>
        </w:r>
      </w:hyperlink>
      <w:r w:rsidRPr="00CE5A2D">
        <w:rPr>
          <w:rFonts w:ascii="Arial" w:eastAsia="Times New Roman" w:hAnsi="Arial" w:cs="Arial"/>
          <w:color w:val="222222"/>
          <w:highlight w:val="white"/>
        </w:rPr>
        <w:t xml:space="preserve"> </w:t>
      </w:r>
      <w:r w:rsidRPr="00CE5A2D">
        <w:rPr>
          <w:rFonts w:ascii="Arial" w:hAnsi="Arial" w:cs="Arial"/>
        </w:rPr>
        <w:t>(Accessed: 2 July 2024).</w:t>
      </w:r>
      <w:r w:rsidRPr="00CE5A2D">
        <w:rPr>
          <w:rFonts w:ascii="Arial" w:eastAsia="Times New Roman" w:hAnsi="Arial" w:cs="Arial"/>
          <w:color w:val="222222"/>
          <w:highlight w:val="white"/>
        </w:rPr>
        <w:t xml:space="preserve"> </w:t>
      </w:r>
    </w:p>
    <w:p w14:paraId="00000065" w14:textId="77777777" w:rsidR="00D94538" w:rsidRPr="00CE5A2D" w:rsidRDefault="00C43472">
      <w:pPr>
        <w:rPr>
          <w:rFonts w:ascii="Arial" w:hAnsi="Arial" w:cs="Arial"/>
        </w:rPr>
      </w:pPr>
      <w:r w:rsidRPr="00CE5A2D">
        <w:rPr>
          <w:rFonts w:ascii="Arial" w:eastAsia="Times New Roman" w:hAnsi="Arial" w:cs="Arial"/>
          <w:color w:val="222222"/>
          <w:highlight w:val="white"/>
        </w:rPr>
        <w:t xml:space="preserve">McKee, M., Dunnell, K., Anderson, M., </w:t>
      </w:r>
      <w:proofErr w:type="spellStart"/>
      <w:r w:rsidRPr="00CE5A2D">
        <w:rPr>
          <w:rFonts w:ascii="Arial" w:eastAsia="Times New Roman" w:hAnsi="Arial" w:cs="Arial"/>
          <w:color w:val="222222"/>
          <w:highlight w:val="white"/>
        </w:rPr>
        <w:t>Brayne</w:t>
      </w:r>
      <w:proofErr w:type="spellEnd"/>
      <w:r w:rsidRPr="00CE5A2D">
        <w:rPr>
          <w:rFonts w:ascii="Arial" w:eastAsia="Times New Roman" w:hAnsi="Arial" w:cs="Arial"/>
          <w:color w:val="222222"/>
          <w:highlight w:val="white"/>
        </w:rPr>
        <w:t xml:space="preserve">, C., Charlesworth, A., Johnston-Webber, C., Knapp, M., McGuire, A., Newton, J.N., Taylor, D. and Watt, R.G., 2021. The changing </w:t>
      </w:r>
      <w:r w:rsidRPr="00CE5A2D">
        <w:rPr>
          <w:rFonts w:ascii="Arial" w:eastAsia="Times New Roman" w:hAnsi="Arial" w:cs="Arial"/>
          <w:color w:val="222222"/>
          <w:highlight w:val="white"/>
        </w:rPr>
        <w:lastRenderedPageBreak/>
        <w:t xml:space="preserve">health needs of the UK population. </w:t>
      </w:r>
      <w:r w:rsidRPr="00CE5A2D">
        <w:rPr>
          <w:rFonts w:ascii="Arial" w:eastAsia="Times New Roman" w:hAnsi="Arial" w:cs="Arial"/>
          <w:i/>
          <w:color w:val="222222"/>
          <w:highlight w:val="white"/>
        </w:rPr>
        <w:t>The Lancet</w:t>
      </w:r>
      <w:r w:rsidRPr="00CE5A2D">
        <w:rPr>
          <w:rFonts w:ascii="Arial" w:eastAsia="Times New Roman" w:hAnsi="Arial" w:cs="Arial"/>
          <w:color w:val="222222"/>
          <w:highlight w:val="white"/>
        </w:rPr>
        <w:t xml:space="preserve">, </w:t>
      </w:r>
      <w:r w:rsidRPr="00CE5A2D">
        <w:rPr>
          <w:rFonts w:ascii="Arial" w:eastAsia="Times New Roman" w:hAnsi="Arial" w:cs="Arial"/>
          <w:i/>
          <w:color w:val="222222"/>
          <w:highlight w:val="white"/>
        </w:rPr>
        <w:t>397</w:t>
      </w:r>
      <w:r w:rsidRPr="00CE5A2D">
        <w:rPr>
          <w:rFonts w:ascii="Arial" w:eastAsia="Times New Roman" w:hAnsi="Arial" w:cs="Arial"/>
          <w:color w:val="222222"/>
          <w:highlight w:val="white"/>
        </w:rPr>
        <w:t xml:space="preserve">(10288), pp.1979-1991. </w:t>
      </w:r>
      <w:r w:rsidRPr="00CE5A2D">
        <w:rPr>
          <w:rFonts w:ascii="Arial" w:eastAsia="Times New Roman" w:hAnsi="Arial" w:cs="Arial"/>
        </w:rPr>
        <w:t xml:space="preserve">Available </w:t>
      </w:r>
      <w:proofErr w:type="spellStart"/>
      <w:r w:rsidRPr="00CE5A2D">
        <w:rPr>
          <w:rFonts w:ascii="Arial" w:eastAsia="Times New Roman" w:hAnsi="Arial" w:cs="Arial"/>
        </w:rPr>
        <w:t>at:</w:t>
      </w:r>
      <w:hyperlink r:id="rId21">
        <w:r w:rsidRPr="00CE5A2D">
          <w:rPr>
            <w:rFonts w:ascii="Arial" w:eastAsia="Times New Roman" w:hAnsi="Arial" w:cs="Arial"/>
            <w:color w:val="1155CC"/>
            <w:highlight w:val="white"/>
            <w:u w:val="single"/>
          </w:rPr>
          <w:t>https</w:t>
        </w:r>
        <w:proofErr w:type="spellEnd"/>
        <w:r w:rsidRPr="00CE5A2D">
          <w:rPr>
            <w:rFonts w:ascii="Arial" w:eastAsia="Times New Roman" w:hAnsi="Arial" w:cs="Arial"/>
            <w:color w:val="1155CC"/>
            <w:highlight w:val="white"/>
            <w:u w:val="single"/>
          </w:rPr>
          <w:t>://doi.org/10.1016/S0140-6736(21)00229-4</w:t>
        </w:r>
      </w:hyperlink>
      <w:r w:rsidRPr="00CE5A2D">
        <w:rPr>
          <w:rFonts w:ascii="Arial" w:eastAsia="Times New Roman" w:hAnsi="Arial" w:cs="Arial"/>
          <w:color w:val="222222"/>
          <w:highlight w:val="white"/>
        </w:rPr>
        <w:t xml:space="preserve"> </w:t>
      </w:r>
      <w:r w:rsidRPr="00CE5A2D">
        <w:rPr>
          <w:rFonts w:ascii="Arial" w:hAnsi="Arial" w:cs="Arial"/>
        </w:rPr>
        <w:t>(Accessed: 2 July 2024).</w:t>
      </w:r>
      <w:r w:rsidRPr="00CE5A2D">
        <w:rPr>
          <w:rFonts w:ascii="Arial" w:eastAsia="Times New Roman" w:hAnsi="Arial" w:cs="Arial"/>
          <w:color w:val="222222"/>
          <w:highlight w:val="white"/>
        </w:rPr>
        <w:t xml:space="preserve"> </w:t>
      </w:r>
    </w:p>
    <w:p w14:paraId="00000066" w14:textId="77777777" w:rsidR="00D94538" w:rsidRPr="00CE5A2D" w:rsidRDefault="00C43472">
      <w:pPr>
        <w:rPr>
          <w:rFonts w:ascii="Arial" w:hAnsi="Arial" w:cs="Arial"/>
        </w:rPr>
      </w:pPr>
      <w:r w:rsidRPr="00CE5A2D">
        <w:rPr>
          <w:rFonts w:ascii="Arial" w:hAnsi="Arial" w:cs="Arial"/>
          <w:color w:val="222222"/>
          <w:highlight w:val="white"/>
        </w:rPr>
        <w:t xml:space="preserve">McNamara, N., Stevenson, C., Costa, S., Bowe, M., Wakefield, J., </w:t>
      </w:r>
      <w:proofErr w:type="spellStart"/>
      <w:r w:rsidRPr="00CE5A2D">
        <w:rPr>
          <w:rFonts w:ascii="Arial" w:hAnsi="Arial" w:cs="Arial"/>
          <w:color w:val="222222"/>
          <w:highlight w:val="white"/>
        </w:rPr>
        <w:t>Kellezi</w:t>
      </w:r>
      <w:proofErr w:type="spellEnd"/>
      <w:r w:rsidRPr="00CE5A2D">
        <w:rPr>
          <w:rFonts w:ascii="Arial" w:hAnsi="Arial" w:cs="Arial"/>
          <w:color w:val="222222"/>
          <w:highlight w:val="white"/>
        </w:rPr>
        <w:t>, B., Wilson, I., Halder, M. and Mair, E., 2021. Community identification, social support, and loneliness: The benefits of social identification for personal well</w:t>
      </w:r>
      <w:r w:rsidRPr="00CE5A2D">
        <w:rPr>
          <w:rFonts w:ascii="Cambria Math" w:hAnsi="Cambria Math" w:cs="Cambria Math"/>
          <w:color w:val="222222"/>
          <w:highlight w:val="white"/>
        </w:rPr>
        <w:t>‐</w:t>
      </w:r>
      <w:r w:rsidRPr="00CE5A2D">
        <w:rPr>
          <w:rFonts w:ascii="Arial" w:hAnsi="Arial" w:cs="Arial"/>
          <w:color w:val="222222"/>
          <w:highlight w:val="white"/>
        </w:rPr>
        <w:t xml:space="preserve">being. </w:t>
      </w:r>
      <w:r w:rsidRPr="00CE5A2D">
        <w:rPr>
          <w:rFonts w:ascii="Arial" w:hAnsi="Arial" w:cs="Arial"/>
          <w:i/>
          <w:color w:val="222222"/>
          <w:highlight w:val="white"/>
        </w:rPr>
        <w:t>British Journal of Social Psychology</w:t>
      </w:r>
      <w:r w:rsidRPr="00CE5A2D">
        <w:rPr>
          <w:rFonts w:ascii="Arial" w:hAnsi="Arial" w:cs="Arial"/>
          <w:color w:val="222222"/>
          <w:highlight w:val="white"/>
        </w:rPr>
        <w:t xml:space="preserve">, </w:t>
      </w:r>
      <w:r w:rsidRPr="00CE5A2D">
        <w:rPr>
          <w:rFonts w:ascii="Arial" w:hAnsi="Arial" w:cs="Arial"/>
          <w:i/>
          <w:color w:val="222222"/>
          <w:highlight w:val="white"/>
        </w:rPr>
        <w:t>60</w:t>
      </w:r>
      <w:r w:rsidRPr="00CE5A2D">
        <w:rPr>
          <w:rFonts w:ascii="Arial" w:hAnsi="Arial" w:cs="Arial"/>
          <w:color w:val="222222"/>
          <w:highlight w:val="white"/>
        </w:rPr>
        <w:t xml:space="preserve">(4), pp.1379-1402. </w:t>
      </w:r>
      <w:r w:rsidRPr="00CE5A2D">
        <w:rPr>
          <w:rFonts w:ascii="Arial" w:hAnsi="Arial" w:cs="Arial"/>
        </w:rPr>
        <w:t xml:space="preserve">Available at: </w:t>
      </w:r>
      <w:hyperlink r:id="rId22">
        <w:r w:rsidRPr="00CE5A2D">
          <w:rPr>
            <w:rFonts w:ascii="Arial" w:hAnsi="Arial" w:cs="Arial"/>
            <w:color w:val="1155CC"/>
            <w:u w:val="single"/>
          </w:rPr>
          <w:t>https://doi.org/10.1111/bjso.12456</w:t>
        </w:r>
      </w:hyperlink>
      <w:r w:rsidRPr="00CE5A2D">
        <w:rPr>
          <w:rFonts w:ascii="Arial" w:hAnsi="Arial" w:cs="Arial"/>
        </w:rPr>
        <w:t xml:space="preserve"> (Accessed: 2 July 2024).</w:t>
      </w:r>
    </w:p>
    <w:p w14:paraId="00000067" w14:textId="77777777" w:rsidR="00D94538" w:rsidRPr="00CE5A2D" w:rsidRDefault="00C43472">
      <w:pPr>
        <w:rPr>
          <w:rFonts w:ascii="Arial" w:hAnsi="Arial" w:cs="Arial"/>
        </w:rPr>
      </w:pPr>
      <w:r w:rsidRPr="00CE5A2D">
        <w:rPr>
          <w:rFonts w:ascii="Arial" w:hAnsi="Arial" w:cs="Arial"/>
        </w:rPr>
        <w:t>Available at: (Accessed: 2 July 2024).</w:t>
      </w:r>
    </w:p>
    <w:p w14:paraId="00000068" w14:textId="77777777" w:rsidR="00D94538" w:rsidRPr="00CE5A2D" w:rsidRDefault="00C43472">
      <w:pPr>
        <w:rPr>
          <w:rFonts w:ascii="Arial" w:eastAsia="Times New Roman" w:hAnsi="Arial" w:cs="Arial"/>
        </w:rPr>
      </w:pPr>
      <w:r w:rsidRPr="00CE5A2D">
        <w:rPr>
          <w:rFonts w:ascii="Arial" w:hAnsi="Arial" w:cs="Arial"/>
          <w:color w:val="222222"/>
          <w:highlight w:val="white"/>
        </w:rPr>
        <w:t xml:space="preserve">Şahin, D.S., Özer, Ö. and </w:t>
      </w:r>
      <w:proofErr w:type="spellStart"/>
      <w:r w:rsidRPr="00CE5A2D">
        <w:rPr>
          <w:rFonts w:ascii="Arial" w:hAnsi="Arial" w:cs="Arial"/>
          <w:color w:val="222222"/>
          <w:highlight w:val="white"/>
        </w:rPr>
        <w:t>Yanardağ</w:t>
      </w:r>
      <w:proofErr w:type="spellEnd"/>
      <w:r w:rsidRPr="00CE5A2D">
        <w:rPr>
          <w:rFonts w:ascii="Arial" w:hAnsi="Arial" w:cs="Arial"/>
          <w:color w:val="222222"/>
          <w:highlight w:val="white"/>
        </w:rPr>
        <w:t xml:space="preserve">, M.Z., 2019. Perceived social support, quality of life and satisfaction with life in elderly people. </w:t>
      </w:r>
      <w:r w:rsidRPr="00CE5A2D">
        <w:rPr>
          <w:rFonts w:ascii="Arial" w:hAnsi="Arial" w:cs="Arial"/>
          <w:i/>
          <w:color w:val="222222"/>
          <w:highlight w:val="white"/>
        </w:rPr>
        <w:t>Educational Gerontology</w:t>
      </w:r>
      <w:r w:rsidRPr="00CE5A2D">
        <w:rPr>
          <w:rFonts w:ascii="Arial" w:hAnsi="Arial" w:cs="Arial"/>
          <w:color w:val="222222"/>
          <w:highlight w:val="white"/>
        </w:rPr>
        <w:t xml:space="preserve">, </w:t>
      </w:r>
      <w:r w:rsidRPr="00CE5A2D">
        <w:rPr>
          <w:rFonts w:ascii="Arial" w:hAnsi="Arial" w:cs="Arial"/>
          <w:i/>
          <w:color w:val="222222"/>
          <w:highlight w:val="white"/>
        </w:rPr>
        <w:t>45</w:t>
      </w:r>
      <w:r w:rsidRPr="00CE5A2D">
        <w:rPr>
          <w:rFonts w:ascii="Arial" w:hAnsi="Arial" w:cs="Arial"/>
          <w:color w:val="222222"/>
          <w:highlight w:val="white"/>
        </w:rPr>
        <w:t xml:space="preserve">(1), pp.69-77. </w:t>
      </w:r>
      <w:r w:rsidRPr="00CE5A2D">
        <w:rPr>
          <w:rFonts w:ascii="Arial" w:hAnsi="Arial" w:cs="Arial"/>
        </w:rPr>
        <w:t xml:space="preserve">Available at:  </w:t>
      </w:r>
      <w:hyperlink r:id="rId23">
        <w:r w:rsidRPr="00CE5A2D">
          <w:rPr>
            <w:rFonts w:ascii="Arial" w:hAnsi="Arial" w:cs="Arial"/>
            <w:color w:val="1155CC"/>
            <w:u w:val="single"/>
          </w:rPr>
          <w:t>https://doi.org/10.1080/03601277.2019.1585065</w:t>
        </w:r>
      </w:hyperlink>
      <w:r w:rsidRPr="00CE5A2D">
        <w:rPr>
          <w:rFonts w:ascii="Arial" w:hAnsi="Arial" w:cs="Arial"/>
        </w:rPr>
        <w:t xml:space="preserve"> (Accessed: 2 July 2024).</w:t>
      </w:r>
    </w:p>
    <w:p w14:paraId="00000069" w14:textId="77777777" w:rsidR="00D94538" w:rsidRPr="00CE5A2D" w:rsidRDefault="00C43472">
      <w:pPr>
        <w:rPr>
          <w:rFonts w:ascii="Arial" w:eastAsia="Times New Roman" w:hAnsi="Arial" w:cs="Arial"/>
        </w:rPr>
      </w:pPr>
      <w:r w:rsidRPr="00CE5A2D">
        <w:rPr>
          <w:rFonts w:ascii="Arial" w:eastAsia="Times New Roman" w:hAnsi="Arial" w:cs="Arial"/>
          <w:color w:val="222222"/>
          <w:highlight w:val="white"/>
        </w:rPr>
        <w:t xml:space="preserve">Sugiura, K., Mahomed, F., Saxena, S. and Patel, V., 2020. An end to coercion: rights and decision-making in mental health care. </w:t>
      </w:r>
      <w:r w:rsidRPr="00CE5A2D">
        <w:rPr>
          <w:rFonts w:ascii="Arial" w:eastAsia="Times New Roman" w:hAnsi="Arial" w:cs="Arial"/>
          <w:i/>
          <w:color w:val="222222"/>
          <w:highlight w:val="white"/>
        </w:rPr>
        <w:t>Bulletin of the World Health Organization</w:t>
      </w:r>
      <w:r w:rsidRPr="00CE5A2D">
        <w:rPr>
          <w:rFonts w:ascii="Arial" w:eastAsia="Times New Roman" w:hAnsi="Arial" w:cs="Arial"/>
          <w:color w:val="222222"/>
          <w:highlight w:val="white"/>
        </w:rPr>
        <w:t xml:space="preserve">, </w:t>
      </w:r>
      <w:r w:rsidRPr="00CE5A2D">
        <w:rPr>
          <w:rFonts w:ascii="Arial" w:eastAsia="Times New Roman" w:hAnsi="Arial" w:cs="Arial"/>
          <w:i/>
          <w:color w:val="222222"/>
          <w:highlight w:val="white"/>
        </w:rPr>
        <w:t>98</w:t>
      </w:r>
      <w:r w:rsidRPr="00CE5A2D">
        <w:rPr>
          <w:rFonts w:ascii="Arial" w:eastAsia="Times New Roman" w:hAnsi="Arial" w:cs="Arial"/>
          <w:color w:val="222222"/>
          <w:highlight w:val="white"/>
        </w:rPr>
        <w:t xml:space="preserve">(1), p.52. </w:t>
      </w:r>
      <w:r w:rsidRPr="00CE5A2D">
        <w:rPr>
          <w:rFonts w:ascii="Arial" w:eastAsia="Times New Roman" w:hAnsi="Arial" w:cs="Arial"/>
        </w:rPr>
        <w:t xml:space="preserve">Available </w:t>
      </w:r>
      <w:proofErr w:type="spellStart"/>
      <w:r w:rsidRPr="00CE5A2D">
        <w:rPr>
          <w:rFonts w:ascii="Arial" w:eastAsia="Times New Roman" w:hAnsi="Arial" w:cs="Arial"/>
        </w:rPr>
        <w:t>at:</w:t>
      </w:r>
      <w:hyperlink r:id="rId24">
        <w:r w:rsidRPr="00CE5A2D">
          <w:rPr>
            <w:rFonts w:ascii="Arial" w:eastAsia="Times New Roman" w:hAnsi="Arial" w:cs="Arial"/>
            <w:color w:val="1155CC"/>
            <w:highlight w:val="white"/>
            <w:u w:val="single"/>
          </w:rPr>
          <w:t>https</w:t>
        </w:r>
        <w:proofErr w:type="spellEnd"/>
        <w:r w:rsidRPr="00CE5A2D">
          <w:rPr>
            <w:rFonts w:ascii="Arial" w:eastAsia="Times New Roman" w:hAnsi="Arial" w:cs="Arial"/>
            <w:color w:val="1155CC"/>
            <w:highlight w:val="white"/>
            <w:u w:val="single"/>
          </w:rPr>
          <w:t>://doi.org/10.2471%2FBLT.19.234906</w:t>
        </w:r>
      </w:hyperlink>
      <w:r w:rsidRPr="00CE5A2D">
        <w:rPr>
          <w:rFonts w:ascii="Arial" w:eastAsia="Times New Roman" w:hAnsi="Arial" w:cs="Arial"/>
          <w:color w:val="222222"/>
          <w:highlight w:val="white"/>
        </w:rPr>
        <w:t xml:space="preserve"> </w:t>
      </w:r>
      <w:r w:rsidRPr="00CE5A2D">
        <w:rPr>
          <w:rFonts w:ascii="Arial" w:hAnsi="Arial" w:cs="Arial"/>
        </w:rPr>
        <w:t>(Accessed: 2 July 2024).</w:t>
      </w:r>
      <w:r w:rsidRPr="00CE5A2D">
        <w:rPr>
          <w:rFonts w:ascii="Arial" w:eastAsia="Times New Roman" w:hAnsi="Arial" w:cs="Arial"/>
          <w:color w:val="222222"/>
          <w:highlight w:val="white"/>
        </w:rPr>
        <w:t xml:space="preserve"> </w:t>
      </w:r>
    </w:p>
    <w:p w14:paraId="0000006A" w14:textId="77777777" w:rsidR="00D94538" w:rsidRPr="00CE5A2D" w:rsidRDefault="00D94538">
      <w:pPr>
        <w:rPr>
          <w:rFonts w:ascii="Arial" w:hAnsi="Arial" w:cs="Arial"/>
          <w:color w:val="222222"/>
          <w:sz w:val="20"/>
          <w:szCs w:val="20"/>
          <w:highlight w:val="white"/>
        </w:rPr>
      </w:pPr>
    </w:p>
    <w:sectPr w:rsidR="00D94538" w:rsidRPr="00CE5A2D">
      <w:footerReference w:type="default" r:id="rId2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E9EF86" w14:textId="77777777" w:rsidR="00C43472" w:rsidRDefault="00C43472">
      <w:pPr>
        <w:spacing w:line="240" w:lineRule="auto"/>
      </w:pPr>
      <w:r>
        <w:separator/>
      </w:r>
    </w:p>
  </w:endnote>
  <w:endnote w:type="continuationSeparator" w:id="0">
    <w:p w14:paraId="7EAF6FEA" w14:textId="77777777" w:rsidR="00C43472" w:rsidRDefault="00C434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C" w14:textId="340A3C31" w:rsidR="00D94538" w:rsidRDefault="00C43472">
    <w:pPr>
      <w:jc w:val="right"/>
    </w:pPr>
    <w:r>
      <w:fldChar w:fldCharType="begin"/>
    </w:r>
    <w:r>
      <w:instrText>PAGE</w:instrText>
    </w:r>
    <w:r>
      <w:fldChar w:fldCharType="separate"/>
    </w:r>
    <w:r w:rsidR="009B4B9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FBBD57" w14:textId="77777777" w:rsidR="00C43472" w:rsidRDefault="00C43472">
      <w:pPr>
        <w:spacing w:line="240" w:lineRule="auto"/>
      </w:pPr>
      <w:r>
        <w:separator/>
      </w:r>
    </w:p>
  </w:footnote>
  <w:footnote w:type="continuationSeparator" w:id="0">
    <w:p w14:paraId="2BA94DCF" w14:textId="77777777" w:rsidR="00C43472" w:rsidRDefault="00C4347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538"/>
    <w:rsid w:val="00215392"/>
    <w:rsid w:val="003221F5"/>
    <w:rsid w:val="0049472A"/>
    <w:rsid w:val="0064342E"/>
    <w:rsid w:val="00691671"/>
    <w:rsid w:val="007847F1"/>
    <w:rsid w:val="007E3742"/>
    <w:rsid w:val="009B4B91"/>
    <w:rsid w:val="00A40A4B"/>
    <w:rsid w:val="00B677E5"/>
    <w:rsid w:val="00C43472"/>
    <w:rsid w:val="00CE5A2D"/>
    <w:rsid w:val="00D94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B27AB"/>
  <w15:docId w15:val="{53632052-8746-4096-8147-2EE680555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w:eastAsia="Times" w:hAnsi="Times" w:cs="Times"/>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215392"/>
    <w:pPr>
      <w:tabs>
        <w:tab w:val="center" w:pos="4513"/>
        <w:tab w:val="right" w:pos="9026"/>
      </w:tabs>
      <w:spacing w:line="240" w:lineRule="auto"/>
    </w:pPr>
  </w:style>
  <w:style w:type="character" w:customStyle="1" w:styleId="HeaderChar">
    <w:name w:val="Header Char"/>
    <w:basedOn w:val="DefaultParagraphFont"/>
    <w:link w:val="Header"/>
    <w:uiPriority w:val="99"/>
    <w:rsid w:val="00215392"/>
  </w:style>
  <w:style w:type="paragraph" w:styleId="Footer">
    <w:name w:val="footer"/>
    <w:basedOn w:val="Normal"/>
    <w:link w:val="FooterChar"/>
    <w:uiPriority w:val="99"/>
    <w:unhideWhenUsed/>
    <w:rsid w:val="00215392"/>
    <w:pPr>
      <w:tabs>
        <w:tab w:val="center" w:pos="4513"/>
        <w:tab w:val="right" w:pos="9026"/>
      </w:tabs>
      <w:spacing w:line="240" w:lineRule="auto"/>
    </w:pPr>
  </w:style>
  <w:style w:type="character" w:customStyle="1" w:styleId="FooterChar">
    <w:name w:val="Footer Char"/>
    <w:basedOn w:val="DefaultParagraphFont"/>
    <w:link w:val="Footer"/>
    <w:uiPriority w:val="99"/>
    <w:rsid w:val="002153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3390/su11226425" TargetMode="External"/><Relationship Id="rId13" Type="http://schemas.openxmlformats.org/officeDocument/2006/relationships/hyperlink" Target="https://doi.org/10.3389/fpsyg.2021.728658" TargetMode="External"/><Relationship Id="rId18" Type="http://schemas.openxmlformats.org/officeDocument/2006/relationships/hyperlink" Target="https://doi.org/10.1080/01924788.2021.1970892"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doi.org/10.1016/S0140-6736(21)00229-4" TargetMode="External"/><Relationship Id="rId7" Type="http://schemas.openxmlformats.org/officeDocument/2006/relationships/hyperlink" Target="https://link.springer.com/article/10.1186/s12889-021-10630-1" TargetMode="External"/><Relationship Id="rId12" Type="http://schemas.openxmlformats.org/officeDocument/2006/relationships/hyperlink" Target="https://doi.org/10.1111/jocn.15485" TargetMode="External"/><Relationship Id="rId17" Type="http://schemas.openxmlformats.org/officeDocument/2006/relationships/hyperlink" Target="https://doi.org/10.1093/ageing/afaa049"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doi.org/10.1080/10749039.2020.1806328" TargetMode="External"/><Relationship Id="rId20" Type="http://schemas.openxmlformats.org/officeDocument/2006/relationships/hyperlink" Target="https://doi.org/10.1007/s40894-019-00119-9" TargetMode="External"/><Relationship Id="rId1" Type="http://schemas.openxmlformats.org/officeDocument/2006/relationships/styles" Target="styles.xml"/><Relationship Id="rId6" Type="http://schemas.openxmlformats.org/officeDocument/2006/relationships/hyperlink" Target="https://ageing-better.org.uk/our-ageing-population-state-ageing-2023-4" TargetMode="External"/><Relationship Id="rId11" Type="http://schemas.openxmlformats.org/officeDocument/2006/relationships/hyperlink" Target="https://doi.org/10.1186/s12889-020-09166-7" TargetMode="External"/><Relationship Id="rId24" Type="http://schemas.openxmlformats.org/officeDocument/2006/relationships/hyperlink" Target="https://doi.org/10.2471%2FBLT.19.234906" TargetMode="External"/><Relationship Id="rId5" Type="http://schemas.openxmlformats.org/officeDocument/2006/relationships/endnotes" Target="endnotes.xml"/><Relationship Id="rId15" Type="http://schemas.openxmlformats.org/officeDocument/2006/relationships/hyperlink" Target="https://doi.org/10.1016/j.dhjo.2020.100965" TargetMode="External"/><Relationship Id="rId23" Type="http://schemas.openxmlformats.org/officeDocument/2006/relationships/hyperlink" Target="https://doi.org/10.1080/03601277.2019.1585065" TargetMode="External"/><Relationship Id="rId10" Type="http://schemas.openxmlformats.org/officeDocument/2006/relationships/hyperlink" Target="https://eprints.soton.ac.uk/448062/1/WP_95_Recent_trends_in_UK_fertility.pdf" TargetMode="External"/><Relationship Id="rId19" Type="http://schemas.openxmlformats.org/officeDocument/2006/relationships/hyperlink" Target="https://doi.org/10.1016%2Fj.mnl.2021.08.013" TargetMode="External"/><Relationship Id="rId4" Type="http://schemas.openxmlformats.org/officeDocument/2006/relationships/footnotes" Target="footnotes.xml"/><Relationship Id="rId9" Type="http://schemas.openxmlformats.org/officeDocument/2006/relationships/hyperlink" Target="https://doi.org/10.3399/bjgp20X712289" TargetMode="External"/><Relationship Id="rId14" Type="http://schemas.openxmlformats.org/officeDocument/2006/relationships/hyperlink" Target="https://doi.org/10.1192/bjo.2019.100" TargetMode="External"/><Relationship Id="rId22" Type="http://schemas.openxmlformats.org/officeDocument/2006/relationships/hyperlink" Target="https://doi.org/10.1111/bjso.1245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4239</Words>
  <Characters>24167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Isaac Alake</cp:lastModifiedBy>
  <cp:revision>2</cp:revision>
  <dcterms:created xsi:type="dcterms:W3CDTF">2024-07-19T11:55:00Z</dcterms:created>
  <dcterms:modified xsi:type="dcterms:W3CDTF">2024-07-19T11:55:00Z</dcterms:modified>
</cp:coreProperties>
</file>