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mc:Ignorable="w14 w15 wp14">
  <w:body>
    <w:p w:rsidR="0024276D" w:rsidRDefault="0024276D" w14:paraId="3CECDB21" w14:textId="77777777">
      <w:pPr>
        <w:spacing w:line="278" w:lineRule="auto"/>
        <w:jc w:val="left"/>
      </w:pPr>
    </w:p>
    <w:p w:rsidR="0024276D" w:rsidRDefault="0024276D" w14:paraId="2DA0065C" w14:textId="77777777">
      <w:pPr>
        <w:spacing w:line="278" w:lineRule="auto"/>
        <w:jc w:val="left"/>
      </w:pPr>
    </w:p>
    <w:p w:rsidR="0024276D" w:rsidRDefault="0024276D" w14:paraId="59594564" w14:textId="77777777">
      <w:pPr>
        <w:spacing w:line="278" w:lineRule="auto"/>
        <w:jc w:val="left"/>
      </w:pPr>
    </w:p>
    <w:p w:rsidR="0024276D" w:rsidRDefault="0024276D" w14:paraId="1FE52F54" w14:textId="77777777">
      <w:pPr>
        <w:spacing w:line="278" w:lineRule="auto"/>
        <w:jc w:val="left"/>
      </w:pPr>
    </w:p>
    <w:p w:rsidR="0024276D" w:rsidRDefault="0024276D" w14:paraId="08BCD5D2" w14:textId="77777777">
      <w:pPr>
        <w:spacing w:line="278" w:lineRule="auto"/>
        <w:jc w:val="left"/>
      </w:pPr>
    </w:p>
    <w:p w:rsidRPr="003A716D" w:rsidR="0024276D" w:rsidP="0024276D" w:rsidRDefault="0024276D" w14:paraId="7CE34689" w14:textId="6BE42342">
      <w:pPr>
        <w:spacing w:line="278" w:lineRule="auto"/>
        <w:jc w:val="center"/>
      </w:pPr>
      <w:r w:rsidR="2403F35E">
        <w:rPr/>
        <w:t>Programme: BA (Hons) Business Management</w:t>
      </w:r>
    </w:p>
    <w:p w:rsidRPr="003A716D" w:rsidR="0024276D" w:rsidP="0024276D" w:rsidRDefault="0024276D" w14:paraId="76980EC2" w14:textId="37EA51B3">
      <w:pPr>
        <w:spacing w:line="278" w:lineRule="auto"/>
        <w:jc w:val="center"/>
      </w:pPr>
      <w:r w:rsidR="1A5A119F">
        <w:rPr/>
        <w:t xml:space="preserve">Module: Management Accounting for </w:t>
      </w:r>
      <w:r w:rsidR="1A5A119F">
        <w:rPr/>
        <w:t>Managers</w:t>
      </w:r>
    </w:p>
    <w:p w:rsidRPr="003A716D" w:rsidR="0024276D" w:rsidP="0024276D" w:rsidRDefault="0024276D" w14:paraId="3CC7BE17" w14:textId="730BF144">
      <w:pPr>
        <w:spacing w:line="278" w:lineRule="auto"/>
        <w:jc w:val="center"/>
      </w:pPr>
      <w:r w:rsidR="1A5A119F">
        <w:rPr/>
        <w:t xml:space="preserve">Assignment Title: </w:t>
      </w:r>
      <w:r w:rsidR="1A5A119F">
        <w:rPr/>
        <w:t>Component</w:t>
      </w:r>
      <w:r w:rsidR="1A5A119F">
        <w:rPr/>
        <w:t xml:space="preserve"> 1: Coursework: Individual Report on </w:t>
      </w:r>
    </w:p>
    <w:p w:rsidRPr="003A716D" w:rsidR="0024276D" w:rsidP="0024276D" w:rsidRDefault="0024276D" w14:paraId="6C800662" w14:textId="6D86AEDC">
      <w:pPr>
        <w:spacing w:line="278" w:lineRule="auto"/>
        <w:jc w:val="center"/>
      </w:pPr>
      <w:r w:rsidR="0024276D">
        <w:rPr/>
        <w:t>Tesco</w:t>
      </w:r>
      <w:r w:rsidR="0024276D">
        <w:rPr/>
        <w:t xml:space="preserve"> PLC</w:t>
      </w:r>
    </w:p>
    <w:p w:rsidRPr="003A716D" w:rsidR="0024276D" w:rsidP="0024276D" w:rsidRDefault="0024276D" w14:paraId="693F8701" w14:textId="4062D925">
      <w:pPr>
        <w:spacing w:line="278" w:lineRule="auto"/>
        <w:jc w:val="center"/>
      </w:pPr>
    </w:p>
    <w:p w:rsidRPr="003A716D" w:rsidR="00C63A66" w:rsidP="4D8E6156" w:rsidRDefault="0024276D" w14:paraId="3E9517B9" w14:textId="2CDE911C">
      <w:pPr>
        <w:spacing w:line="278" w:lineRule="auto"/>
        <w:jc w:val="center"/>
        <w:rPr>
          <w:b w:val="1"/>
          <w:bCs w:val="1"/>
          <w:i w:val="1"/>
          <w:iCs w:val="1"/>
        </w:rPr>
      </w:pPr>
      <w:r w:rsidR="0024276D">
        <w:rPr/>
        <w:t xml:space="preserve"> </w:t>
      </w:r>
      <w:r>
        <w:br w:type="page"/>
      </w:r>
    </w:p>
    <w:p w:rsidRPr="003A716D" w:rsidR="003A716D" w:rsidP="003A716D" w:rsidRDefault="003A716D" w14:paraId="54D98DAE" w14:textId="72351935">
      <w:pPr>
        <w:pStyle w:val="TOC1"/>
      </w:pPr>
      <w:r w:rsidRPr="003A716D">
        <w:lastRenderedPageBreak/>
        <w:t>Table of Contents</w:t>
      </w:r>
    </w:p>
    <w:p w:rsidRPr="003A716D" w:rsidR="003A716D" w:rsidP="003A716D" w:rsidRDefault="003A716D" w14:paraId="011E40A9" w14:textId="77777777">
      <w:pPr>
        <w:pStyle w:val="TOC1"/>
        <w:rPr>
          <w:b w:val="0"/>
          <w:bCs w:val="0"/>
          <w:noProof/>
        </w:rPr>
      </w:pPr>
      <w:r>
        <w:fldChar w:fldCharType="begin"/>
      </w:r>
      <w:r>
        <w:instrText xml:space="preserve"> TOC \o "1-3" \h \z \u </w:instrText>
      </w:r>
      <w:r>
        <w:fldChar w:fldCharType="separate"/>
      </w:r>
      <w:bookmarkStart w:name="_GoBack" w:id="0"/>
      <w:r w:rsidRPr="003A716D">
        <w:rPr>
          <w:rStyle w:val="Hyperlink"/>
          <w:b w:val="0"/>
          <w:bCs w:val="0"/>
          <w:noProof/>
        </w:rPr>
        <w:fldChar w:fldCharType="begin"/>
      </w:r>
      <w:r w:rsidRPr="003A716D">
        <w:rPr>
          <w:rStyle w:val="Hyperlink"/>
          <w:b w:val="0"/>
          <w:bCs w:val="0"/>
          <w:noProof/>
        </w:rPr>
        <w:instrText xml:space="preserve"> </w:instrText>
      </w:r>
      <w:r w:rsidRPr="003A716D">
        <w:rPr>
          <w:b w:val="0"/>
          <w:bCs w:val="0"/>
          <w:noProof/>
        </w:rPr>
        <w:instrText>HYPERLINK \l "_Toc221917939"</w:instrText>
      </w:r>
      <w:r w:rsidRPr="003A716D">
        <w:rPr>
          <w:rStyle w:val="Hyperlink"/>
          <w:b w:val="0"/>
          <w:bCs w:val="0"/>
          <w:noProof/>
        </w:rPr>
        <w:instrText xml:space="preserve"> </w:instrText>
      </w:r>
      <w:r w:rsidRPr="003A716D">
        <w:rPr>
          <w:rStyle w:val="Hyperlink"/>
          <w:b w:val="0"/>
          <w:bCs w:val="0"/>
          <w:noProof/>
        </w:rPr>
      </w:r>
      <w:r w:rsidRPr="003A716D">
        <w:rPr>
          <w:rStyle w:val="Hyperlink"/>
          <w:b w:val="0"/>
          <w:bCs w:val="0"/>
          <w:noProof/>
        </w:rPr>
        <w:fldChar w:fldCharType="separate"/>
      </w:r>
      <w:r w:rsidRPr="003A716D">
        <w:rPr>
          <w:rStyle w:val="Hyperlink"/>
          <w:b w:val="0"/>
          <w:bCs w:val="0"/>
          <w:noProof/>
        </w:rPr>
        <w:t>Introduction</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_Toc221917939 \h </w:instrText>
      </w:r>
      <w:r w:rsidRPr="003A716D">
        <w:rPr>
          <w:b w:val="0"/>
          <w:bCs w:val="0"/>
          <w:noProof/>
          <w:webHidden/>
        </w:rPr>
      </w:r>
      <w:r w:rsidRPr="003A716D">
        <w:rPr>
          <w:b w:val="0"/>
          <w:bCs w:val="0"/>
          <w:noProof/>
          <w:webHidden/>
        </w:rPr>
        <w:fldChar w:fldCharType="separate"/>
      </w:r>
      <w:r w:rsidRPr="003A716D">
        <w:rPr>
          <w:b w:val="0"/>
          <w:bCs w:val="0"/>
          <w:noProof/>
          <w:webHidden/>
        </w:rPr>
        <w:t>3</w:t>
      </w:r>
      <w:r w:rsidRPr="003A716D">
        <w:rPr>
          <w:b w:val="0"/>
          <w:bCs w:val="0"/>
          <w:noProof/>
          <w:webHidden/>
        </w:rPr>
        <w:fldChar w:fldCharType="end"/>
      </w:r>
      <w:r w:rsidRPr="003A716D">
        <w:rPr>
          <w:rStyle w:val="Hyperlink"/>
          <w:b w:val="0"/>
          <w:bCs w:val="0"/>
          <w:noProof/>
        </w:rPr>
        <w:fldChar w:fldCharType="end"/>
      </w:r>
    </w:p>
    <w:p w:rsidRPr="003A716D" w:rsidR="003A716D" w:rsidP="003A716D" w:rsidRDefault="003A716D" w14:paraId="00A347C6" w14:textId="77777777">
      <w:pPr>
        <w:pStyle w:val="TOC1"/>
        <w:rPr>
          <w:b w:val="0"/>
          <w:bCs w:val="0"/>
          <w:noProof/>
        </w:rPr>
      </w:pPr>
      <w:hyperlink w:history="1" w:anchor="_Toc221917940">
        <w:r w:rsidRPr="003A716D">
          <w:rPr>
            <w:rStyle w:val="Hyperlink"/>
            <w:b w:val="0"/>
            <w:bCs w:val="0"/>
            <w:noProof/>
          </w:rPr>
          <w:t>Cost Analysis and Business Model</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_Toc221917940 \h </w:instrText>
        </w:r>
        <w:r w:rsidRPr="003A716D">
          <w:rPr>
            <w:b w:val="0"/>
            <w:bCs w:val="0"/>
            <w:noProof/>
            <w:webHidden/>
          </w:rPr>
        </w:r>
        <w:r w:rsidRPr="003A716D">
          <w:rPr>
            <w:b w:val="0"/>
            <w:bCs w:val="0"/>
            <w:noProof/>
            <w:webHidden/>
          </w:rPr>
          <w:fldChar w:fldCharType="separate"/>
        </w:r>
        <w:r w:rsidRPr="003A716D">
          <w:rPr>
            <w:b w:val="0"/>
            <w:bCs w:val="0"/>
            <w:noProof/>
            <w:webHidden/>
          </w:rPr>
          <w:t>3</w:t>
        </w:r>
        <w:r w:rsidRPr="003A716D">
          <w:rPr>
            <w:b w:val="0"/>
            <w:bCs w:val="0"/>
            <w:noProof/>
            <w:webHidden/>
          </w:rPr>
          <w:fldChar w:fldCharType="end"/>
        </w:r>
      </w:hyperlink>
    </w:p>
    <w:p w:rsidRPr="003A716D" w:rsidR="003A716D" w:rsidRDefault="003A716D" w14:paraId="13052923" w14:textId="77777777">
      <w:pPr>
        <w:pStyle w:val="TOC2"/>
        <w:tabs>
          <w:tab w:val="right" w:leader="dot" w:pos="9016"/>
        </w:tabs>
        <w:rPr>
          <w:noProof/>
        </w:rPr>
      </w:pPr>
      <w:hyperlink w:history="1" w:anchor="_Toc221917941">
        <w:r w:rsidRPr="003A716D">
          <w:rPr>
            <w:rStyle w:val="Hyperlink"/>
            <w:noProof/>
          </w:rPr>
          <w:t>Tesco’s Revenue Model</w:t>
        </w:r>
        <w:r w:rsidRPr="003A716D">
          <w:rPr>
            <w:noProof/>
            <w:webHidden/>
          </w:rPr>
          <w:tab/>
        </w:r>
        <w:r w:rsidRPr="003A716D">
          <w:rPr>
            <w:noProof/>
            <w:webHidden/>
          </w:rPr>
          <w:fldChar w:fldCharType="begin"/>
        </w:r>
        <w:r w:rsidRPr="003A716D">
          <w:rPr>
            <w:noProof/>
            <w:webHidden/>
          </w:rPr>
          <w:instrText xml:space="preserve"> PAGEREF _Toc221917941 \h </w:instrText>
        </w:r>
        <w:r w:rsidRPr="003A716D">
          <w:rPr>
            <w:noProof/>
            <w:webHidden/>
          </w:rPr>
        </w:r>
        <w:r w:rsidRPr="003A716D">
          <w:rPr>
            <w:noProof/>
            <w:webHidden/>
          </w:rPr>
          <w:fldChar w:fldCharType="separate"/>
        </w:r>
        <w:r w:rsidRPr="003A716D">
          <w:rPr>
            <w:noProof/>
            <w:webHidden/>
          </w:rPr>
          <w:t>3</w:t>
        </w:r>
        <w:r w:rsidRPr="003A716D">
          <w:rPr>
            <w:noProof/>
            <w:webHidden/>
          </w:rPr>
          <w:fldChar w:fldCharType="end"/>
        </w:r>
      </w:hyperlink>
    </w:p>
    <w:p w:rsidRPr="003A716D" w:rsidR="003A716D" w:rsidRDefault="003A716D" w14:paraId="4807D727" w14:textId="77777777">
      <w:pPr>
        <w:pStyle w:val="TOC2"/>
        <w:tabs>
          <w:tab w:val="right" w:leader="dot" w:pos="9016"/>
        </w:tabs>
        <w:rPr>
          <w:noProof/>
        </w:rPr>
      </w:pPr>
      <w:hyperlink w:history="1" w:anchor="_Toc221917942">
        <w:r w:rsidRPr="003A716D">
          <w:rPr>
            <w:rStyle w:val="Hyperlink"/>
            <w:noProof/>
          </w:rPr>
          <w:t>Key Cost Structures</w:t>
        </w:r>
        <w:r w:rsidRPr="003A716D">
          <w:rPr>
            <w:noProof/>
            <w:webHidden/>
          </w:rPr>
          <w:tab/>
        </w:r>
        <w:r w:rsidRPr="003A716D">
          <w:rPr>
            <w:noProof/>
            <w:webHidden/>
          </w:rPr>
          <w:fldChar w:fldCharType="begin"/>
        </w:r>
        <w:r w:rsidRPr="003A716D">
          <w:rPr>
            <w:noProof/>
            <w:webHidden/>
          </w:rPr>
          <w:instrText xml:space="preserve"> PAGEREF _Toc221917942 \h </w:instrText>
        </w:r>
        <w:r w:rsidRPr="003A716D">
          <w:rPr>
            <w:noProof/>
            <w:webHidden/>
          </w:rPr>
        </w:r>
        <w:r w:rsidRPr="003A716D">
          <w:rPr>
            <w:noProof/>
            <w:webHidden/>
          </w:rPr>
          <w:fldChar w:fldCharType="separate"/>
        </w:r>
        <w:r w:rsidRPr="003A716D">
          <w:rPr>
            <w:noProof/>
            <w:webHidden/>
          </w:rPr>
          <w:t>4</w:t>
        </w:r>
        <w:r w:rsidRPr="003A716D">
          <w:rPr>
            <w:noProof/>
            <w:webHidden/>
          </w:rPr>
          <w:fldChar w:fldCharType="end"/>
        </w:r>
      </w:hyperlink>
    </w:p>
    <w:p w:rsidRPr="003A716D" w:rsidR="003A716D" w:rsidP="003A716D" w:rsidRDefault="003A716D" w14:paraId="6FD5BD88" w14:textId="77777777">
      <w:pPr>
        <w:pStyle w:val="TOC1"/>
        <w:rPr>
          <w:b w:val="0"/>
          <w:bCs w:val="0"/>
          <w:noProof/>
        </w:rPr>
      </w:pPr>
      <w:hyperlink w:history="1" w:anchor="_Toc221917943">
        <w:r w:rsidRPr="003A716D">
          <w:rPr>
            <w:rStyle w:val="Hyperlink"/>
            <w:b w:val="0"/>
            <w:bCs w:val="0"/>
            <w:noProof/>
          </w:rPr>
          <w:t>Budgeting and Financial Planning</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_Toc221917943 \h </w:instrText>
        </w:r>
        <w:r w:rsidRPr="003A716D">
          <w:rPr>
            <w:b w:val="0"/>
            <w:bCs w:val="0"/>
            <w:noProof/>
            <w:webHidden/>
          </w:rPr>
        </w:r>
        <w:r w:rsidRPr="003A716D">
          <w:rPr>
            <w:b w:val="0"/>
            <w:bCs w:val="0"/>
            <w:noProof/>
            <w:webHidden/>
          </w:rPr>
          <w:fldChar w:fldCharType="separate"/>
        </w:r>
        <w:r w:rsidRPr="003A716D">
          <w:rPr>
            <w:b w:val="0"/>
            <w:bCs w:val="0"/>
            <w:noProof/>
            <w:webHidden/>
          </w:rPr>
          <w:t>5</w:t>
        </w:r>
        <w:r w:rsidRPr="003A716D">
          <w:rPr>
            <w:b w:val="0"/>
            <w:bCs w:val="0"/>
            <w:noProof/>
            <w:webHidden/>
          </w:rPr>
          <w:fldChar w:fldCharType="end"/>
        </w:r>
      </w:hyperlink>
    </w:p>
    <w:p w:rsidRPr="003A716D" w:rsidR="003A716D" w:rsidRDefault="003A716D" w14:paraId="75D50224" w14:textId="77777777">
      <w:pPr>
        <w:pStyle w:val="TOC2"/>
        <w:tabs>
          <w:tab w:val="right" w:leader="dot" w:pos="9016"/>
        </w:tabs>
        <w:rPr>
          <w:noProof/>
        </w:rPr>
      </w:pPr>
      <w:hyperlink w:history="1" w:anchor="_Toc221917944">
        <w:r w:rsidRPr="003A716D">
          <w:rPr>
            <w:rStyle w:val="Hyperlink"/>
            <w:noProof/>
          </w:rPr>
          <w:t>Discuss The Role of Budgeting in The Company's Operations</w:t>
        </w:r>
        <w:r w:rsidRPr="003A716D">
          <w:rPr>
            <w:noProof/>
            <w:webHidden/>
          </w:rPr>
          <w:tab/>
        </w:r>
        <w:r w:rsidRPr="003A716D">
          <w:rPr>
            <w:noProof/>
            <w:webHidden/>
          </w:rPr>
          <w:fldChar w:fldCharType="begin"/>
        </w:r>
        <w:r w:rsidRPr="003A716D">
          <w:rPr>
            <w:noProof/>
            <w:webHidden/>
          </w:rPr>
          <w:instrText xml:space="preserve"> PAGEREF _Toc221917944 \h </w:instrText>
        </w:r>
        <w:r w:rsidRPr="003A716D">
          <w:rPr>
            <w:noProof/>
            <w:webHidden/>
          </w:rPr>
        </w:r>
        <w:r w:rsidRPr="003A716D">
          <w:rPr>
            <w:noProof/>
            <w:webHidden/>
          </w:rPr>
          <w:fldChar w:fldCharType="separate"/>
        </w:r>
        <w:r w:rsidRPr="003A716D">
          <w:rPr>
            <w:noProof/>
            <w:webHidden/>
          </w:rPr>
          <w:t>5</w:t>
        </w:r>
        <w:r w:rsidRPr="003A716D">
          <w:rPr>
            <w:noProof/>
            <w:webHidden/>
          </w:rPr>
          <w:fldChar w:fldCharType="end"/>
        </w:r>
      </w:hyperlink>
    </w:p>
    <w:p w:rsidRPr="003A716D" w:rsidR="003A716D" w:rsidP="003A716D" w:rsidRDefault="003A716D" w14:paraId="07C0031C" w14:textId="77777777">
      <w:pPr>
        <w:pStyle w:val="TOC1"/>
        <w:rPr>
          <w:b w:val="0"/>
          <w:bCs w:val="0"/>
          <w:noProof/>
        </w:rPr>
      </w:pPr>
      <w:hyperlink w:history="1" w:anchor="_Toc221917945">
        <w:r w:rsidRPr="003A716D">
          <w:rPr>
            <w:rStyle w:val="Hyperlink"/>
            <w:b w:val="0"/>
            <w:bCs w:val="0"/>
            <w:noProof/>
          </w:rPr>
          <w:t>Performance Measurement and Decision-Making</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_Toc221917945 \h </w:instrText>
        </w:r>
        <w:r w:rsidRPr="003A716D">
          <w:rPr>
            <w:b w:val="0"/>
            <w:bCs w:val="0"/>
            <w:noProof/>
            <w:webHidden/>
          </w:rPr>
        </w:r>
        <w:r w:rsidRPr="003A716D">
          <w:rPr>
            <w:b w:val="0"/>
            <w:bCs w:val="0"/>
            <w:noProof/>
            <w:webHidden/>
          </w:rPr>
          <w:fldChar w:fldCharType="separate"/>
        </w:r>
        <w:r w:rsidRPr="003A716D">
          <w:rPr>
            <w:b w:val="0"/>
            <w:bCs w:val="0"/>
            <w:noProof/>
            <w:webHidden/>
          </w:rPr>
          <w:t>7</w:t>
        </w:r>
        <w:r w:rsidRPr="003A716D">
          <w:rPr>
            <w:b w:val="0"/>
            <w:bCs w:val="0"/>
            <w:noProof/>
            <w:webHidden/>
          </w:rPr>
          <w:fldChar w:fldCharType="end"/>
        </w:r>
      </w:hyperlink>
    </w:p>
    <w:p w:rsidRPr="003A716D" w:rsidR="003A716D" w:rsidP="003A716D" w:rsidRDefault="003A716D" w14:paraId="6C440F87" w14:textId="77777777">
      <w:pPr>
        <w:pStyle w:val="TOC1"/>
        <w:rPr>
          <w:b w:val="0"/>
          <w:bCs w:val="0"/>
          <w:noProof/>
        </w:rPr>
      </w:pPr>
      <w:hyperlink w:history="1" w:anchor="_Toc221917946">
        <w:r w:rsidRPr="003A716D">
          <w:rPr>
            <w:rStyle w:val="Hyperlink"/>
            <w:b w:val="0"/>
            <w:bCs w:val="0"/>
            <w:noProof/>
          </w:rPr>
          <w:t>Sustainability and Ethical Considerations</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_Toc221917946 \h </w:instrText>
        </w:r>
        <w:r w:rsidRPr="003A716D">
          <w:rPr>
            <w:b w:val="0"/>
            <w:bCs w:val="0"/>
            <w:noProof/>
            <w:webHidden/>
          </w:rPr>
        </w:r>
        <w:r w:rsidRPr="003A716D">
          <w:rPr>
            <w:b w:val="0"/>
            <w:bCs w:val="0"/>
            <w:noProof/>
            <w:webHidden/>
          </w:rPr>
          <w:fldChar w:fldCharType="separate"/>
        </w:r>
        <w:r w:rsidRPr="003A716D">
          <w:rPr>
            <w:b w:val="0"/>
            <w:bCs w:val="0"/>
            <w:noProof/>
            <w:webHidden/>
          </w:rPr>
          <w:t>8</w:t>
        </w:r>
        <w:r w:rsidRPr="003A716D">
          <w:rPr>
            <w:b w:val="0"/>
            <w:bCs w:val="0"/>
            <w:noProof/>
            <w:webHidden/>
          </w:rPr>
          <w:fldChar w:fldCharType="end"/>
        </w:r>
      </w:hyperlink>
    </w:p>
    <w:p w:rsidRPr="003A716D" w:rsidR="003A716D" w:rsidP="003A716D" w:rsidRDefault="003A716D" w14:paraId="0A149D64" w14:textId="77777777">
      <w:pPr>
        <w:pStyle w:val="TOC1"/>
        <w:rPr>
          <w:b w:val="0"/>
          <w:bCs w:val="0"/>
          <w:noProof/>
        </w:rPr>
      </w:pPr>
      <w:hyperlink w:history="1" w:anchor="_Toc221917947">
        <w:r w:rsidRPr="003A716D">
          <w:rPr>
            <w:rStyle w:val="Hyperlink"/>
            <w:b w:val="0"/>
            <w:bCs w:val="0"/>
            <w:noProof/>
          </w:rPr>
          <w:t>Conclusion And Recommendations</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_Toc221917947 \h </w:instrText>
        </w:r>
        <w:r w:rsidRPr="003A716D">
          <w:rPr>
            <w:b w:val="0"/>
            <w:bCs w:val="0"/>
            <w:noProof/>
            <w:webHidden/>
          </w:rPr>
        </w:r>
        <w:r w:rsidRPr="003A716D">
          <w:rPr>
            <w:b w:val="0"/>
            <w:bCs w:val="0"/>
            <w:noProof/>
            <w:webHidden/>
          </w:rPr>
          <w:fldChar w:fldCharType="separate"/>
        </w:r>
        <w:r w:rsidRPr="003A716D">
          <w:rPr>
            <w:b w:val="0"/>
            <w:bCs w:val="0"/>
            <w:noProof/>
            <w:webHidden/>
          </w:rPr>
          <w:t>9</w:t>
        </w:r>
        <w:r w:rsidRPr="003A716D">
          <w:rPr>
            <w:b w:val="0"/>
            <w:bCs w:val="0"/>
            <w:noProof/>
            <w:webHidden/>
          </w:rPr>
          <w:fldChar w:fldCharType="end"/>
        </w:r>
      </w:hyperlink>
    </w:p>
    <w:p w:rsidR="003A716D" w:rsidP="003A716D" w:rsidRDefault="003A716D" w14:paraId="53E6B5CE" w14:textId="77777777">
      <w:pPr>
        <w:pStyle w:val="TOC1"/>
        <w:rPr>
          <w:noProof/>
        </w:rPr>
      </w:pPr>
      <w:hyperlink w:history="1" w:anchor="_Toc221917948">
        <w:r w:rsidRPr="003A716D">
          <w:rPr>
            <w:rStyle w:val="Hyperlink"/>
            <w:b w:val="0"/>
            <w:bCs w:val="0"/>
            <w:noProof/>
          </w:rPr>
          <w:t>References</w:t>
        </w:r>
        <w:r w:rsidRPr="003A716D">
          <w:rPr>
            <w:b w:val="0"/>
            <w:bCs w:val="0"/>
            <w:noProof/>
            <w:webHidden/>
          </w:rPr>
          <w:tab/>
        </w:r>
        <w:r w:rsidRPr="003A716D">
          <w:rPr>
            <w:b w:val="0"/>
            <w:bCs w:val="0"/>
            <w:noProof/>
            <w:webHidden/>
          </w:rPr>
          <w:fldChar w:fldCharType="begin"/>
        </w:r>
        <w:r w:rsidRPr="003A716D">
          <w:rPr>
            <w:b w:val="0"/>
            <w:bCs w:val="0"/>
            <w:noProof/>
            <w:webHidden/>
          </w:rPr>
          <w:instrText xml:space="preserve"> PAGEREF _Toc221917948 \h </w:instrText>
        </w:r>
        <w:r w:rsidRPr="003A716D">
          <w:rPr>
            <w:b w:val="0"/>
            <w:bCs w:val="0"/>
            <w:noProof/>
            <w:webHidden/>
          </w:rPr>
        </w:r>
        <w:r w:rsidRPr="003A716D">
          <w:rPr>
            <w:b w:val="0"/>
            <w:bCs w:val="0"/>
            <w:noProof/>
            <w:webHidden/>
          </w:rPr>
          <w:fldChar w:fldCharType="separate"/>
        </w:r>
        <w:r w:rsidRPr="003A716D">
          <w:rPr>
            <w:b w:val="0"/>
            <w:bCs w:val="0"/>
            <w:noProof/>
            <w:webHidden/>
          </w:rPr>
          <w:t>11</w:t>
        </w:r>
        <w:r w:rsidRPr="003A716D">
          <w:rPr>
            <w:b w:val="0"/>
            <w:bCs w:val="0"/>
            <w:noProof/>
            <w:webHidden/>
          </w:rPr>
          <w:fldChar w:fldCharType="end"/>
        </w:r>
      </w:hyperlink>
      <w:bookmarkEnd w:id="0"/>
    </w:p>
    <w:p w:rsidR="003A716D" w:rsidRDefault="003A716D" w14:paraId="1B59CAB8" w14:textId="77777777">
      <w:pPr>
        <w:spacing w:line="278" w:lineRule="auto"/>
        <w:jc w:val="left"/>
        <w:rPr>
          <w:b/>
          <w:i/>
        </w:rPr>
      </w:pPr>
      <w:r>
        <w:fldChar w:fldCharType="end"/>
      </w:r>
      <w:r>
        <w:br w:type="page"/>
      </w:r>
    </w:p>
    <w:p w:rsidRPr="003A716D" w:rsidR="00EB1DBF" w:rsidP="002801A3" w:rsidRDefault="002801A3" w14:paraId="0119F8A9" w14:textId="1F83B8EB">
      <w:pPr>
        <w:pStyle w:val="Heading1"/>
      </w:pPr>
      <w:bookmarkStart w:name="_Toc221917939" w:id="1"/>
      <w:r w:rsidRPr="003A716D">
        <w:lastRenderedPageBreak/>
        <w:t>Introduction</w:t>
      </w:r>
      <w:bookmarkEnd w:id="1"/>
    </w:p>
    <w:p w:rsidRPr="003A716D" w:rsidR="002801A3" w:rsidP="00275F14" w:rsidRDefault="00B817D5" w14:paraId="362A4A78" w14:textId="092A3EA7">
      <w:r w:rsidRPr="003A716D">
        <w:t xml:space="preserve">This report </w:t>
      </w:r>
      <w:r w:rsidRPr="003A716D" w:rsidR="001A372E">
        <w:t>discusses and analyses</w:t>
      </w:r>
      <w:r w:rsidRPr="003A716D">
        <w:t xml:space="preserve"> the application of management accounting tools and techniques to support the financial decision-making in a contemporary retail business. </w:t>
      </w:r>
      <w:r w:rsidRPr="003A716D" w:rsidR="001A372E">
        <w:t>It</w:t>
      </w:r>
      <w:r w:rsidRPr="003A716D">
        <w:t xml:space="preserve"> is aimed at connecting theory to the actual practise through analysing cost structure, budgeting, performance measurement and considerations of sustainability. </w:t>
      </w:r>
      <w:r w:rsidRPr="003A716D" w:rsidR="00C357BB">
        <w:t xml:space="preserve">For example, </w:t>
      </w:r>
      <w:r w:rsidRPr="003A716D" w:rsidR="009F1EEA">
        <w:t>cost-volume-profit analysis, performance measurement (balanced scorecard), cost control, and pricing strategies management accounting tools are employed to aid planning, cost control, pricing strategies, and strategic investment decisions in the operations of businesses, making effective financial and operational decisions.</w:t>
      </w:r>
      <w:r w:rsidRPr="003A716D" w:rsidR="00C357BB">
        <w:t xml:space="preserve"> </w:t>
      </w:r>
      <w:r w:rsidRPr="003A716D">
        <w:t xml:space="preserve">In this report, Tesco plc, a major British multi-national supermarket chain company with business in the grocery and general merchandise industry is chosen. Tesco is the biggest retailer in United Kingdom with over </w:t>
      </w:r>
      <w:r w:rsidRPr="003A716D" w:rsidR="006945B2">
        <w:t>GBP</w:t>
      </w:r>
      <w:r w:rsidRPr="003A716D">
        <w:t>69 billion annual revenues and over 330,000 employees who serve millions of consumers by providing services in large stores, convenience stores and online services</w:t>
      </w:r>
      <w:r w:rsidRPr="003A716D" w:rsidR="00B76412">
        <w:t xml:space="preserve"> </w:t>
      </w:r>
      <w:r w:rsidRPr="003A716D" w:rsidR="00C63A66">
        <w:t>(</w:t>
      </w:r>
      <w:r w:rsidRPr="003A716D" w:rsidR="00D639E1">
        <w:t xml:space="preserve">Tesco PLC, </w:t>
      </w:r>
      <w:r w:rsidRPr="003A716D" w:rsidR="00C63A66">
        <w:t>2024).</w:t>
      </w:r>
      <w:r w:rsidRPr="003A716D">
        <w:t xml:space="preserve"> </w:t>
      </w:r>
    </w:p>
    <w:p w:rsidRPr="003A716D" w:rsidR="002801A3" w:rsidP="002801A3" w:rsidRDefault="002801A3" w14:paraId="1F7FF404" w14:textId="3447E794">
      <w:pPr>
        <w:pStyle w:val="Heading1"/>
      </w:pPr>
      <w:bookmarkStart w:name="_Toc221917940" w:id="2"/>
      <w:r w:rsidRPr="003A716D">
        <w:t>Cost Analysis and Business Model</w:t>
      </w:r>
      <w:bookmarkEnd w:id="2"/>
    </w:p>
    <w:p w:rsidRPr="003A716D" w:rsidR="002801A3" w:rsidP="002801A3" w:rsidRDefault="002801A3" w14:paraId="25BBAC6A" w14:textId="3586A63C">
      <w:pPr>
        <w:pStyle w:val="Heading2"/>
      </w:pPr>
      <w:bookmarkStart w:name="_Toc221917941" w:id="3"/>
      <w:r w:rsidRPr="003A716D">
        <w:t>Tesco’s Revenue Model</w:t>
      </w:r>
      <w:bookmarkEnd w:id="3"/>
    </w:p>
    <w:p w:rsidRPr="003A716D" w:rsidR="00B1740A" w:rsidP="00B1740A" w:rsidRDefault="00B1740A" w14:paraId="6C03EBAF" w14:textId="77777777">
      <w:pPr>
        <w:keepNext/>
        <w:jc w:val="center"/>
      </w:pPr>
      <w:r w:rsidRPr="003A716D">
        <w:rPr>
          <w:noProof/>
          <w:lang w:eastAsia="en-GB"/>
        </w:rPr>
        <w:drawing>
          <wp:inline distT="0" distB="0" distL="0" distR="0" wp14:anchorId="4516553F" wp14:editId="2FA1B183">
            <wp:extent cx="4804482" cy="2630949"/>
            <wp:effectExtent l="0" t="0" r="0" b="0"/>
            <wp:docPr id="477120760"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1F14F75-A9E4-41A5-7BD2-572530414A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Pr="003A716D" w:rsidR="00B1740A" w:rsidP="00B1740A" w:rsidRDefault="00B1740A" w14:paraId="5315CA88" w14:textId="6E6CFB44">
      <w:pPr>
        <w:pStyle w:val="Caption"/>
        <w:jc w:val="center"/>
      </w:pPr>
      <w:r w:rsidRPr="003A716D">
        <w:t xml:space="preserve">Figure </w:t>
      </w:r>
      <w:r w:rsidRPr="003A716D" w:rsidR="00237C03">
        <w:fldChar w:fldCharType="begin"/>
      </w:r>
      <w:r w:rsidRPr="003A716D" w:rsidR="00237C03">
        <w:instrText xml:space="preserve"> SEQ Figure \* ARABIC </w:instrText>
      </w:r>
      <w:r w:rsidRPr="003A716D" w:rsidR="00237C03">
        <w:fldChar w:fldCharType="separate"/>
      </w:r>
      <w:r w:rsidRPr="003A716D" w:rsidR="00D032B5">
        <w:rPr>
          <w:noProof/>
        </w:rPr>
        <w:t>1</w:t>
      </w:r>
      <w:r w:rsidRPr="003A716D" w:rsidR="00237C03">
        <w:rPr>
          <w:noProof/>
        </w:rPr>
        <w:fldChar w:fldCharType="end"/>
      </w:r>
      <w:r w:rsidRPr="003A716D">
        <w:t xml:space="preserve"> Revenue Model</w:t>
      </w:r>
    </w:p>
    <w:p w:rsidRPr="003A716D" w:rsidR="00B1740A" w:rsidP="00B1740A" w:rsidRDefault="00B1740A" w14:paraId="35F651E4" w14:textId="2DC26219">
      <w:r w:rsidRPr="003A716D">
        <w:t xml:space="preserve">Tesco’s revenue model, as depicted in Figure 1, remains </w:t>
      </w:r>
      <w:r w:rsidRPr="003A716D" w:rsidR="00B76412">
        <w:t>mainly</w:t>
      </w:r>
      <w:r w:rsidRPr="003A716D">
        <w:t xml:space="preserve"> grocery-driven, with approximately 85% of </w:t>
      </w:r>
      <w:r w:rsidRPr="003A716D" w:rsidR="00996E56">
        <w:t>entire</w:t>
      </w:r>
      <w:r w:rsidRPr="003A716D">
        <w:t xml:space="preserve"> revenue </w:t>
      </w:r>
      <w:r w:rsidRPr="003A716D" w:rsidR="00996E56">
        <w:t>earned</w:t>
      </w:r>
      <w:r w:rsidRPr="003A716D">
        <w:t xml:space="preserve"> from UK retail food sales (Tesco plc, 2024). </w:t>
      </w:r>
      <w:r w:rsidRPr="003A716D" w:rsidR="00467486">
        <w:t xml:space="preserve">Such a concentration is an indicator of a calculated strategic emphasis on volume leadership in a price sensitive market. According to </w:t>
      </w:r>
      <w:r w:rsidRPr="003A716D" w:rsidR="00C63A66">
        <w:t xml:space="preserve">Yoshikuni et al. (2023) </w:t>
      </w:r>
      <w:r w:rsidRPr="003A716D" w:rsidR="00467486">
        <w:t xml:space="preserve">cost leadership approaches </w:t>
      </w:r>
      <w:r w:rsidRPr="003A716D" w:rsidR="00860F4E">
        <w:t>are required</w:t>
      </w:r>
      <w:r w:rsidRPr="003A716D" w:rsidR="00467486">
        <w:t xml:space="preserve"> </w:t>
      </w:r>
      <w:r w:rsidRPr="003A716D" w:rsidR="00860F4E">
        <w:t>possess</w:t>
      </w:r>
      <w:r w:rsidRPr="003A716D" w:rsidR="00467486">
        <w:t xml:space="preserve"> scale efficiencies as can be observed in the procurement </w:t>
      </w:r>
      <w:r w:rsidRPr="003A716D" w:rsidR="00860F4E">
        <w:t>efficiency</w:t>
      </w:r>
      <w:r w:rsidRPr="003A716D" w:rsidR="00467486">
        <w:t xml:space="preserve"> of Tesco </w:t>
      </w:r>
      <w:r w:rsidRPr="003A716D" w:rsidR="00467486">
        <w:lastRenderedPageBreak/>
        <w:t xml:space="preserve">and dominance of distribution network. The comparably lower contribution by non-food retail </w:t>
      </w:r>
      <w:r w:rsidRPr="003A716D" w:rsidR="00860F4E">
        <w:t>almost 8%</w:t>
      </w:r>
      <w:r w:rsidRPr="003A716D" w:rsidR="00467486">
        <w:t xml:space="preserve"> implies a lack of diversification as compared to the previous expansion stages, which implies a strategic withdrawal to the core competencies</w:t>
      </w:r>
      <w:r w:rsidRPr="003A716D" w:rsidR="00336E9C">
        <w:t xml:space="preserve"> (Annual Report, 2024)</w:t>
      </w:r>
      <w:r w:rsidRPr="003A716D" w:rsidR="00467486">
        <w:t>. The proportion of online sales can still be seen as a significant share of the retail turnover, as the 2024 performance of Tesco shows, which makes the truth of the incorporation of the omnichannel, instead of a separate revenue stream</w:t>
      </w:r>
      <w:r w:rsidRPr="003A716D" w:rsidR="00336E9C">
        <w:t xml:space="preserve"> (Annual Report, 2024). </w:t>
      </w:r>
      <w:r w:rsidRPr="003A716D" w:rsidR="009525F6">
        <w:t xml:space="preserve"> </w:t>
      </w:r>
      <w:r w:rsidRPr="003A716D" w:rsidR="00336E9C">
        <w:t xml:space="preserve">In this perspective, </w:t>
      </w:r>
      <w:r w:rsidRPr="003A716D" w:rsidR="00C63A66">
        <w:t xml:space="preserve">Hendrawan et al. (2024) </w:t>
      </w:r>
      <w:r w:rsidRPr="003A716D" w:rsidR="00467486">
        <w:t>stress that the sustainable competitive advantage is the consequence of the correspondence between the business models and the evolving consumer behaviour. This can be seen in the investment that Tesco has made in Clubcard pricing and data analytics because, when customers are retained based on loyalty and value their baskets, the revenues increase</w:t>
      </w:r>
      <w:r w:rsidRPr="003A716D" w:rsidR="00336E9C">
        <w:t xml:space="preserve"> (Tesco PLC, 2025)</w:t>
      </w:r>
      <w:r w:rsidRPr="003A716D" w:rsidR="00467486">
        <w:t xml:space="preserve">. </w:t>
      </w:r>
      <w:r w:rsidRPr="003A716D" w:rsidR="00107DF8">
        <w:t xml:space="preserve">In addition, the revenue model of Tesco is also distributed among two major regions the UK &amp; Republic of Ireland (ROI) and Central Europe, where UK&amp;ROI contributed primarily that is 93.80% to Tesco’s revenue in FY2025, increased from 93.41% in 2024. Whereas Central Europe has been </w:t>
      </w:r>
      <w:r w:rsidRPr="003A716D" w:rsidR="00D032B5">
        <w:t xml:space="preserve">secondary contributor with just 620% contribution to Tesco’s revenue in FY2025, Figure 2. </w:t>
      </w:r>
    </w:p>
    <w:p w:rsidRPr="003A716D" w:rsidR="00D032B5" w:rsidP="00D032B5" w:rsidRDefault="00D032B5" w14:paraId="4B3D4C35" w14:textId="77777777">
      <w:pPr>
        <w:keepNext/>
        <w:jc w:val="center"/>
      </w:pPr>
      <w:r w:rsidRPr="003A716D">
        <w:rPr>
          <w:noProof/>
          <w:lang w:eastAsia="en-GB"/>
        </w:rPr>
        <w:drawing>
          <wp:inline distT="0" distB="0" distL="0" distR="0" wp14:anchorId="2EC5E911" wp14:editId="798AEA45">
            <wp:extent cx="4572000" cy="2743200"/>
            <wp:effectExtent l="0" t="0" r="0" b="0"/>
            <wp:docPr id="373299995"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5D33EF76-7DE4-C26B-CAA1-577F1A4F2D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Pr="003A716D" w:rsidR="00D032B5" w:rsidP="00D032B5" w:rsidRDefault="00D032B5" w14:paraId="1034237B" w14:textId="31F7E5A8">
      <w:pPr>
        <w:pStyle w:val="Caption"/>
        <w:jc w:val="center"/>
      </w:pPr>
      <w:r w:rsidRPr="003A716D">
        <w:t xml:space="preserve">Figure </w:t>
      </w:r>
      <w:r w:rsidRPr="003A716D" w:rsidR="00237C03">
        <w:fldChar w:fldCharType="begin"/>
      </w:r>
      <w:r w:rsidRPr="003A716D" w:rsidR="00237C03">
        <w:instrText xml:space="preserve"> SEQ Figure \* ARABIC </w:instrText>
      </w:r>
      <w:r w:rsidRPr="003A716D" w:rsidR="00237C03">
        <w:fldChar w:fldCharType="separate"/>
      </w:r>
      <w:r w:rsidRPr="003A716D">
        <w:rPr>
          <w:noProof/>
        </w:rPr>
        <w:t>2</w:t>
      </w:r>
      <w:r w:rsidRPr="003A716D" w:rsidR="00237C03">
        <w:rPr>
          <w:noProof/>
        </w:rPr>
        <w:fldChar w:fldCharType="end"/>
      </w:r>
      <w:r w:rsidRPr="003A716D">
        <w:t xml:space="preserve"> Revenue by Region</w:t>
      </w:r>
    </w:p>
    <w:p w:rsidRPr="003A716D" w:rsidR="002801A3" w:rsidP="002801A3" w:rsidRDefault="002801A3" w14:paraId="762E3373" w14:textId="0A7AFCF8">
      <w:pPr>
        <w:pStyle w:val="Heading2"/>
      </w:pPr>
      <w:bookmarkStart w:name="_Toc221917942" w:id="4"/>
      <w:r w:rsidRPr="003A716D">
        <w:t>Key Cost Structures</w:t>
      </w:r>
      <w:bookmarkEnd w:id="4"/>
    </w:p>
    <w:p w:rsidRPr="003A716D" w:rsidR="00B1740A" w:rsidP="00B1740A" w:rsidRDefault="00467486" w14:paraId="0DE479B1" w14:textId="49722FAE">
      <w:r w:rsidRPr="003A716D">
        <w:t>The cost structure of Tesco indicates the nature of operations of a giant retailing grocery company. Cost of goods sold (COGS) is the largest variable cost that is directly proportional to inventory purchases and sales turnover (</w:t>
      </w:r>
      <w:r w:rsidRPr="003A716D" w:rsidR="009525F6">
        <w:t>Annual Report,</w:t>
      </w:r>
      <w:r w:rsidRPr="003A716D">
        <w:t xml:space="preserve"> 2024). Increased revenue of FY 2024 brought an increase in COGS</w:t>
      </w:r>
      <w:r w:rsidRPr="003A716D" w:rsidR="000C06FC">
        <w:t xml:space="preserve"> from £</w:t>
      </w:r>
      <w:r w:rsidRPr="003A716D" w:rsidR="00A676D1">
        <w:t>62,836 million to £63,886 million,</w:t>
      </w:r>
      <w:r w:rsidRPr="003A716D">
        <w:t xml:space="preserve"> that shows a proportional relationship between the sales activity and the variable expenditure</w:t>
      </w:r>
      <w:r w:rsidRPr="003A716D" w:rsidR="00A676D1">
        <w:t xml:space="preserve"> (Yahoo </w:t>
      </w:r>
      <w:r w:rsidRPr="003A716D" w:rsidR="00A676D1">
        <w:lastRenderedPageBreak/>
        <w:t>Finance, 2025)</w:t>
      </w:r>
      <w:r w:rsidRPr="003A716D">
        <w:t xml:space="preserve">. According to </w:t>
      </w:r>
      <w:r w:rsidRPr="003A716D" w:rsidR="00C63A66">
        <w:t xml:space="preserve">Alkaraan et al. (2023) </w:t>
      </w:r>
      <w:r w:rsidRPr="003A716D">
        <w:t>contribution analysis is urgent in this kind of environment when margins are low and the volume is sensitive. In the case of Tesco, minor changes in the prices or promotional discounts of suppliers have significant impacts on the performance of gross margins</w:t>
      </w:r>
      <w:r w:rsidRPr="003A716D" w:rsidR="000C06FC">
        <w:t xml:space="preserve"> indicated by </w:t>
      </w:r>
      <w:r w:rsidRPr="003A716D" w:rsidR="00C63A66">
        <w:t xml:space="preserve">Adi (2023) </w:t>
      </w:r>
      <w:r w:rsidRPr="003A716D" w:rsidR="000C06FC">
        <w:t>as well</w:t>
      </w:r>
      <w:r w:rsidRPr="003A716D">
        <w:t>.</w:t>
      </w:r>
      <w:r w:rsidRPr="003A716D" w:rsidR="004F1890">
        <w:t xml:space="preserve"> </w:t>
      </w:r>
      <w:r w:rsidRPr="003A716D" w:rsidR="00ED012E">
        <w:t>It has also influenced the gross and operating profit margin of Tesco within the past three years period. The gross profit margin rose by 5</w:t>
      </w:r>
      <w:r w:rsidRPr="003A716D" w:rsidR="00CA30A6">
        <w:t xml:space="preserve">% </w:t>
      </w:r>
      <w:r w:rsidRPr="003A716D" w:rsidR="00ED012E">
        <w:t>in 2022 and then stood at 7</w:t>
      </w:r>
      <w:r w:rsidRPr="003A716D" w:rsidR="00CA30A6">
        <w:t xml:space="preserve">% </w:t>
      </w:r>
      <w:r w:rsidRPr="003A716D" w:rsidR="00ED012E">
        <w:t>in 2023 and in 2024 as compared to 2022, it showed that the company had a better control of inventory and supplier costs compared to sales. In the same way, operating margin increased by 2 to 4</w:t>
      </w:r>
      <w:r w:rsidRPr="003A716D" w:rsidR="00C93BE6">
        <w:t>%,</w:t>
      </w:r>
      <w:r w:rsidRPr="003A716D" w:rsidR="00ED012E">
        <w:t xml:space="preserve"> Annual Report (2024), indicating stricter cost control, and an increased operating leverage regardless of volatile revenues as shown in Figure 3.</w:t>
      </w:r>
      <w:r w:rsidRPr="003A716D" w:rsidR="004F1890">
        <w:t xml:space="preserve"> </w:t>
      </w:r>
    </w:p>
    <w:p w:rsidRPr="003A716D" w:rsidR="00B1740A" w:rsidP="00275F14" w:rsidRDefault="00467486" w14:paraId="111D3BBE" w14:textId="3AFFBE7D">
      <w:r w:rsidRPr="003A716D">
        <w:t>Examples of fixed costs are the leases and property depreciation on stores, the salaried workforce, logistics infrastructure and IT systems that facilitate ecommerce and Clubcard analytics (</w:t>
      </w:r>
      <w:r w:rsidRPr="003A716D" w:rsidR="00A676D1">
        <w:t>Annual Report</w:t>
      </w:r>
      <w:r w:rsidRPr="003A716D">
        <w:t xml:space="preserve">, 2024). These costs are not highly fluctuated with fluctuations in the sales volume in the short run. According to </w:t>
      </w:r>
      <w:r w:rsidRPr="003A716D" w:rsidR="00C63A66">
        <w:t xml:space="preserve">Molina Wilestari (2023) </w:t>
      </w:r>
      <w:r w:rsidRPr="003A716D">
        <w:t xml:space="preserve">organisations that have high fixed assets intensity ensure that they pay </w:t>
      </w:r>
      <w:r w:rsidRPr="003A716D" w:rsidR="00A676D1">
        <w:t>strategic focus</w:t>
      </w:r>
      <w:r w:rsidRPr="003A716D">
        <w:t xml:space="preserve"> to the utilisation of the capacity to remain profitable. </w:t>
      </w:r>
    </w:p>
    <w:p w:rsidRPr="003A716D" w:rsidR="004F1890" w:rsidP="004F1890" w:rsidRDefault="004F1890" w14:paraId="669F8B21" w14:textId="77777777">
      <w:pPr>
        <w:keepNext/>
        <w:jc w:val="center"/>
      </w:pPr>
      <w:r w:rsidRPr="003A716D">
        <w:rPr>
          <w:noProof/>
          <w:lang w:eastAsia="en-GB"/>
        </w:rPr>
        <w:drawing>
          <wp:inline distT="0" distB="0" distL="0" distR="0" wp14:anchorId="7F61C3B7" wp14:editId="649E4E2C">
            <wp:extent cx="4572000" cy="2743200"/>
            <wp:effectExtent l="0" t="0" r="0" b="0"/>
            <wp:docPr id="1406745277"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CC7E5A8-E272-24F6-918C-0C66D31478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3A716D" w:rsidR="004F1890" w:rsidP="004F1890" w:rsidRDefault="004F1890" w14:paraId="7B08293E" w14:textId="15996684">
      <w:pPr>
        <w:pStyle w:val="Caption"/>
        <w:jc w:val="center"/>
      </w:pPr>
      <w:r w:rsidRPr="003A716D">
        <w:t xml:space="preserve">Figure </w:t>
      </w:r>
      <w:r w:rsidRPr="003A716D" w:rsidR="00237C03">
        <w:fldChar w:fldCharType="begin"/>
      </w:r>
      <w:r w:rsidRPr="003A716D" w:rsidR="00237C03">
        <w:instrText xml:space="preserve"> SEQ Figure \* ARABIC </w:instrText>
      </w:r>
      <w:r w:rsidRPr="003A716D" w:rsidR="00237C03">
        <w:fldChar w:fldCharType="separate"/>
      </w:r>
      <w:r w:rsidRPr="003A716D" w:rsidR="00D032B5">
        <w:rPr>
          <w:noProof/>
        </w:rPr>
        <w:t>3</w:t>
      </w:r>
      <w:r w:rsidRPr="003A716D" w:rsidR="00237C03">
        <w:rPr>
          <w:noProof/>
        </w:rPr>
        <w:fldChar w:fldCharType="end"/>
      </w:r>
      <w:r w:rsidRPr="003A716D">
        <w:t xml:space="preserve"> Profitability Performance</w:t>
      </w:r>
    </w:p>
    <w:p w:rsidRPr="003A716D" w:rsidR="00B1740A" w:rsidP="000143CD" w:rsidRDefault="000143CD" w14:paraId="10364AAE" w14:textId="7FDA88DF">
      <w:pPr>
        <w:pStyle w:val="Heading1"/>
      </w:pPr>
      <w:bookmarkStart w:name="_Toc221917943" w:id="5"/>
      <w:r w:rsidRPr="003A716D">
        <w:t>Budgeting and Financial Planning</w:t>
      </w:r>
      <w:bookmarkEnd w:id="5"/>
      <w:r w:rsidRPr="003A716D">
        <w:t xml:space="preserve"> </w:t>
      </w:r>
    </w:p>
    <w:p w:rsidRPr="003A716D" w:rsidR="000143CD" w:rsidP="000143CD" w:rsidRDefault="000143CD" w14:paraId="4F90F5B3" w14:textId="2696FCC5">
      <w:pPr>
        <w:pStyle w:val="Heading2"/>
      </w:pPr>
      <w:bookmarkStart w:name="_Toc221917944" w:id="6"/>
      <w:r w:rsidRPr="003A716D">
        <w:t>Discuss The Role of Budgeting in The Company's Operations</w:t>
      </w:r>
      <w:bookmarkEnd w:id="6"/>
    </w:p>
    <w:p w:rsidRPr="003A716D" w:rsidR="00467486" w:rsidP="00467486" w:rsidRDefault="00467486" w14:paraId="0FDA32CB" w14:textId="14FDC4FC">
      <w:r w:rsidRPr="003A716D">
        <w:t xml:space="preserve">Budgeting at Tesco is an essential process of converting strategic goals to operation financial goals. Tesco made Group revenue of </w:t>
      </w:r>
      <w:r w:rsidRPr="003A716D" w:rsidR="00A1452C">
        <w:t>GBP</w:t>
      </w:r>
      <w:r w:rsidRPr="003A716D" w:rsidR="00595A32">
        <w:t xml:space="preserve"> 69,</w:t>
      </w:r>
      <w:r w:rsidRPr="003A716D" w:rsidR="00A1452C">
        <w:t>916 million</w:t>
      </w:r>
      <w:r w:rsidRPr="003A716D">
        <w:t xml:space="preserve"> and adjusted operating profit of </w:t>
      </w:r>
      <w:r w:rsidRPr="003A716D" w:rsidR="00A1452C">
        <w:t xml:space="preserve">GBP </w:t>
      </w:r>
      <w:r w:rsidRPr="003A716D" w:rsidR="00A1452C">
        <w:lastRenderedPageBreak/>
        <w:t>3,128 million in</w:t>
      </w:r>
      <w:r w:rsidRPr="003A716D">
        <w:t xml:space="preserve"> FY 2024, and its operating margin stood at around 4.</w:t>
      </w:r>
      <w:r w:rsidRPr="003A716D" w:rsidR="00A1452C">
        <w:t>47</w:t>
      </w:r>
      <w:r w:rsidRPr="003A716D">
        <w:t>% in the same year despite the ongoing UK food inflation (</w:t>
      </w:r>
      <w:r w:rsidRPr="003A716D" w:rsidR="00A1452C">
        <w:t>Annual Report</w:t>
      </w:r>
      <w:r w:rsidRPr="003A716D">
        <w:t>, 2024). The management intentionally focused on price investment, and expanded its Clubcard Prices programme to be competitive with Aldi and Lidl. This move necessitated the re-distribution of the budgeted funds to promotion pricing and cushioning the total profitability with cost-saving measures</w:t>
      </w:r>
      <w:r w:rsidRPr="003A716D" w:rsidR="00127235">
        <w:t xml:space="preserve">, supported by </w:t>
      </w:r>
      <w:r w:rsidRPr="003A716D" w:rsidR="00C63A66">
        <w:t xml:space="preserve">Chowdhury (2023) </w:t>
      </w:r>
      <w:r w:rsidRPr="003A716D" w:rsidR="00127235">
        <w:t>also, as customer-centric approach or price-sensitive customers</w:t>
      </w:r>
      <w:r w:rsidRPr="003A716D">
        <w:t>.</w:t>
      </w:r>
    </w:p>
    <w:p w:rsidRPr="003A716D" w:rsidR="00C55FCD" w:rsidP="00595A32" w:rsidRDefault="00ED012E" w14:paraId="4EB6669D" w14:textId="22360CA8">
      <w:r w:rsidRPr="003A716D">
        <w:t xml:space="preserve">In Tesco, budgeting </w:t>
      </w:r>
      <w:r w:rsidRPr="003A716D" w:rsidR="00BE1962">
        <w:t>is</w:t>
      </w:r>
      <w:r w:rsidRPr="003A716D">
        <w:t xml:space="preserve"> integrated with rolling forecasts as a way of adapting the expenditure to inflationary and consumer demand changes thus the flexibility in redistribution of the resources in the store functions and distribution</w:t>
      </w:r>
      <w:r w:rsidRPr="003A716D" w:rsidR="00BE1962">
        <w:t xml:space="preserve"> (Tesco PLC, 2024)</w:t>
      </w:r>
      <w:r w:rsidRPr="003A716D">
        <w:t>. Variance analysis is used to compare the productivity programmes to the cost benchmarks determined in the budgets to guard margins</w:t>
      </w:r>
      <w:r w:rsidRPr="003A716D" w:rsidR="001F2D05">
        <w:t xml:space="preserve"> which is praised by </w:t>
      </w:r>
      <w:r w:rsidRPr="003A716D" w:rsidR="00C93BE6">
        <w:t xml:space="preserve">Virparia and Panchal (2025) </w:t>
      </w:r>
      <w:r w:rsidRPr="003A716D" w:rsidR="001F2D05">
        <w:t>also</w:t>
      </w:r>
      <w:r w:rsidRPr="003A716D">
        <w:t xml:space="preserve">. As an illustration, the capital expenditure amounted to </w:t>
      </w:r>
      <w:r w:rsidRPr="003A716D" w:rsidR="001F2D05">
        <w:t>GBP</w:t>
      </w:r>
      <w:r w:rsidRPr="003A716D">
        <w:t xml:space="preserve">,457m was tactfully invested in modernisation of stores, digital capability, as well as automation of supply chain aligning short-term decision making of budget to the long-term strategic positioning (Annual Report, 2024). </w:t>
      </w:r>
      <w:r w:rsidRPr="003A716D" w:rsidR="007E7A92">
        <w:t>Operating Expenses and Internal Factors Driving the Change</w:t>
      </w:r>
    </w:p>
    <w:p w:rsidRPr="003A716D" w:rsidR="00692488" w:rsidP="00692488" w:rsidRDefault="00D959D6" w14:paraId="48D0C34D" w14:textId="7A755B48">
      <w:pPr>
        <w:keepNext/>
        <w:jc w:val="center"/>
      </w:pPr>
      <w:r w:rsidRPr="003A716D">
        <w:rPr>
          <w:noProof/>
          <w:lang w:eastAsia="en-GB"/>
        </w:rPr>
        <w:drawing>
          <wp:inline distT="0" distB="0" distL="0" distR="0" wp14:anchorId="033BD398" wp14:editId="29311A34">
            <wp:extent cx="5011947" cy="2708694"/>
            <wp:effectExtent l="0" t="0" r="17780" b="15875"/>
            <wp:docPr id="1048480045"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FE7A8EB-CEAB-69CC-5F45-2BB7D66550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Pr="003A716D" w:rsidR="007E7A92" w:rsidP="00692488" w:rsidRDefault="00692488" w14:paraId="2438E99C" w14:textId="604A1450">
      <w:pPr>
        <w:pStyle w:val="Caption"/>
        <w:jc w:val="center"/>
      </w:pPr>
      <w:r w:rsidRPr="003A716D">
        <w:t xml:space="preserve">Figure </w:t>
      </w:r>
      <w:r w:rsidRPr="003A716D" w:rsidR="00237C03">
        <w:fldChar w:fldCharType="begin"/>
      </w:r>
      <w:r w:rsidRPr="003A716D" w:rsidR="00237C03">
        <w:instrText xml:space="preserve"> SEQ Figure \* ARABIC </w:instrText>
      </w:r>
      <w:r w:rsidRPr="003A716D" w:rsidR="00237C03">
        <w:fldChar w:fldCharType="separate"/>
      </w:r>
      <w:r w:rsidRPr="003A716D" w:rsidR="00D032B5">
        <w:rPr>
          <w:noProof/>
        </w:rPr>
        <w:t>4</w:t>
      </w:r>
      <w:r w:rsidRPr="003A716D" w:rsidR="00237C03">
        <w:rPr>
          <w:noProof/>
        </w:rPr>
        <w:fldChar w:fldCharType="end"/>
      </w:r>
      <w:r w:rsidRPr="003A716D">
        <w:t xml:space="preserve"> Changes in Operating Expenses</w:t>
      </w:r>
    </w:p>
    <w:p w:rsidRPr="003A716D" w:rsidR="00D50882" w:rsidP="00D50882" w:rsidRDefault="00D50882" w14:paraId="571804B8" w14:textId="07478A38">
      <w:r w:rsidRPr="003A716D">
        <w:t>The operating expenses of Tesco increased by 7.60</w:t>
      </w:r>
      <w:r w:rsidRPr="003A716D" w:rsidR="00BF69D6">
        <w:t xml:space="preserve">% </w:t>
      </w:r>
      <w:r w:rsidRPr="003A716D">
        <w:t>in FY 2023 and 10.77</w:t>
      </w:r>
      <w:r w:rsidRPr="003A716D" w:rsidR="006024B7">
        <w:t xml:space="preserve">% </w:t>
      </w:r>
      <w:r w:rsidRPr="003A716D">
        <w:t>in FY 2024, after declining by 5.19</w:t>
      </w:r>
      <w:r w:rsidRPr="003A716D" w:rsidR="00BF69D6">
        <w:t xml:space="preserve">% </w:t>
      </w:r>
      <w:r w:rsidRPr="003A716D">
        <w:t xml:space="preserve">in FY 2022, Figure </w:t>
      </w:r>
      <w:r w:rsidRPr="003A716D" w:rsidR="006024B7">
        <w:t>4</w:t>
      </w:r>
      <w:r w:rsidRPr="003A716D">
        <w:t xml:space="preserve">. The internal strategic decisions that contributed to these fluctuations were based on responding to competitive, operational and inflationary pressures. As indicated by the </w:t>
      </w:r>
      <w:r w:rsidRPr="003A716D" w:rsidR="00BF69D6">
        <w:t xml:space="preserve">Annual Report (2024) of </w:t>
      </w:r>
      <w:r w:rsidRPr="003A716D">
        <w:t xml:space="preserve">Tesco, the management has made more investments in automation and logistics technologies like robotic automation in distribution centres to enhance efficiency in the long run, the Save to Invest programme, and curb the </w:t>
      </w:r>
      <w:r w:rsidRPr="003A716D">
        <w:lastRenderedPageBreak/>
        <w:t>escalating labour costs inflation (IG International, 2025). This involved increased initial running expenses.</w:t>
      </w:r>
    </w:p>
    <w:p w:rsidRPr="003A716D" w:rsidR="00692488" w:rsidP="00595A32" w:rsidRDefault="00D50882" w14:paraId="617CE776" w14:textId="489F4C11">
      <w:r w:rsidRPr="003A716D">
        <w:t>The other internal reason was investment in remuneration and retention of colleagues because the industry was experiencing an inflation in wages, and the pay rates were going up to deal with labour deficits and to improve service delivery, which increased payroll expenses (</w:t>
      </w:r>
      <w:r w:rsidRPr="003A716D" w:rsidR="009A20D3">
        <w:t>RITH</w:t>
      </w:r>
      <w:r w:rsidRPr="003A716D" w:rsidR="00595A32">
        <w:t xml:space="preserve"> 2025). </w:t>
      </w:r>
    </w:p>
    <w:p w:rsidRPr="003A716D" w:rsidR="00692488" w:rsidP="00F40A2F" w:rsidRDefault="00F40A2F" w14:paraId="4941DFCA" w14:textId="79C5A220">
      <w:pPr>
        <w:pStyle w:val="Heading1"/>
      </w:pPr>
      <w:bookmarkStart w:name="_Toc221917945" w:id="7"/>
      <w:r w:rsidRPr="003A716D">
        <w:t>Performance Measurement and Decision-Making</w:t>
      </w:r>
      <w:bookmarkEnd w:id="7"/>
      <w:r w:rsidRPr="003A716D">
        <w:t xml:space="preserve"> </w:t>
      </w:r>
    </w:p>
    <w:p w:rsidRPr="003A716D" w:rsidR="00F40A2F" w:rsidP="00F40A2F" w:rsidRDefault="00F40A2F" w14:paraId="645B4747" w14:textId="047BD516">
      <w:pPr>
        <w:pStyle w:val="Caption"/>
        <w:keepNext/>
        <w:jc w:val="center"/>
        <w:rPr>
          <w:i w:val="0"/>
          <w:iCs w:val="0"/>
          <w:color w:val="auto"/>
          <w:sz w:val="22"/>
          <w:szCs w:val="22"/>
        </w:rPr>
      </w:pPr>
      <w:r w:rsidRPr="003A716D">
        <w:rPr>
          <w:i w:val="0"/>
          <w:iCs w:val="0"/>
          <w:color w:val="auto"/>
          <w:sz w:val="22"/>
          <w:szCs w:val="22"/>
        </w:rPr>
        <w:t xml:space="preserve">Table </w:t>
      </w:r>
      <w:r w:rsidRPr="003A716D">
        <w:rPr>
          <w:i w:val="0"/>
          <w:iCs w:val="0"/>
          <w:color w:val="auto"/>
          <w:sz w:val="22"/>
          <w:szCs w:val="22"/>
        </w:rPr>
        <w:fldChar w:fldCharType="begin"/>
      </w:r>
      <w:r w:rsidRPr="003A716D">
        <w:rPr>
          <w:i w:val="0"/>
          <w:iCs w:val="0"/>
          <w:color w:val="auto"/>
          <w:sz w:val="22"/>
          <w:szCs w:val="22"/>
        </w:rPr>
        <w:instrText xml:space="preserve"> SEQ Table \* ARABIC </w:instrText>
      </w:r>
      <w:r w:rsidRPr="003A716D">
        <w:rPr>
          <w:i w:val="0"/>
          <w:iCs w:val="0"/>
          <w:color w:val="auto"/>
          <w:sz w:val="22"/>
          <w:szCs w:val="22"/>
        </w:rPr>
        <w:fldChar w:fldCharType="separate"/>
      </w:r>
      <w:r w:rsidRPr="003A716D">
        <w:rPr>
          <w:i w:val="0"/>
          <w:iCs w:val="0"/>
          <w:noProof/>
          <w:color w:val="auto"/>
          <w:sz w:val="22"/>
          <w:szCs w:val="22"/>
        </w:rPr>
        <w:t>1</w:t>
      </w:r>
      <w:r w:rsidRPr="003A716D">
        <w:rPr>
          <w:i w:val="0"/>
          <w:iCs w:val="0"/>
          <w:color w:val="auto"/>
          <w:sz w:val="22"/>
          <w:szCs w:val="22"/>
        </w:rPr>
        <w:fldChar w:fldCharType="end"/>
      </w:r>
      <w:r w:rsidRPr="003A716D">
        <w:rPr>
          <w:i w:val="0"/>
          <w:iCs w:val="0"/>
          <w:color w:val="auto"/>
          <w:sz w:val="22"/>
          <w:szCs w:val="22"/>
        </w:rPr>
        <w:t xml:space="preserve"> Non-Financial Performance</w:t>
      </w:r>
      <w:r w:rsidRPr="003A716D" w:rsidR="009217C3">
        <w:rPr>
          <w:i w:val="0"/>
          <w:iCs w:val="0"/>
          <w:color w:val="auto"/>
          <w:sz w:val="22"/>
          <w:szCs w:val="22"/>
        </w:rPr>
        <w:t xml:space="preserve"> KPIs</w:t>
      </w:r>
    </w:p>
    <w:tbl>
      <w:tblPr>
        <w:tblStyle w:val="GridTable4-Accent4"/>
        <w:tblW w:w="8388" w:type="dxa"/>
        <w:jc w:val="center"/>
        <w:tblLook w:val="04A0" w:firstRow="1" w:lastRow="0" w:firstColumn="1" w:lastColumn="0" w:noHBand="0" w:noVBand="1"/>
      </w:tblPr>
      <w:tblGrid>
        <w:gridCol w:w="2476"/>
        <w:gridCol w:w="1344"/>
        <w:gridCol w:w="1729"/>
        <w:gridCol w:w="2839"/>
      </w:tblGrid>
      <w:tr w:rsidRPr="003A716D" w:rsidR="00F40A2F" w:rsidTr="00F40A2F" w14:paraId="57AA2534" w14:textId="77777777">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76" w:type="dxa"/>
            <w:hideMark/>
          </w:tcPr>
          <w:p w:rsidRPr="003A716D" w:rsidR="00F40A2F" w:rsidP="00F40A2F" w:rsidRDefault="00F40A2F" w14:paraId="37946338" w14:textId="77777777">
            <w:pPr>
              <w:spacing w:line="240" w:lineRule="auto"/>
              <w:jc w:val="center"/>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Non</w:t>
            </w:r>
            <w:r w:rsidRPr="003A716D">
              <w:rPr>
                <w:rFonts w:eastAsia="Times New Roman" w:cs="Times New Roman"/>
                <w:color w:val="000000"/>
                <w:kern w:val="0"/>
                <w:sz w:val="22"/>
                <w:szCs w:val="22"/>
                <w:lang w:eastAsia="en-GB"/>
                <w14:ligatures w14:val="none"/>
              </w:rPr>
              <w:noBreakHyphen/>
              <w:t>Financial KPI</w:t>
            </w:r>
          </w:p>
        </w:tc>
        <w:tc>
          <w:tcPr>
            <w:tcW w:w="1344" w:type="dxa"/>
            <w:hideMark/>
          </w:tcPr>
          <w:p w:rsidRPr="003A716D" w:rsidR="00F40A2F" w:rsidP="00F40A2F" w:rsidRDefault="00F40A2F" w14:paraId="52AF321C"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2023</w:t>
            </w:r>
          </w:p>
        </w:tc>
        <w:tc>
          <w:tcPr>
            <w:tcW w:w="1729" w:type="dxa"/>
            <w:hideMark/>
          </w:tcPr>
          <w:p w:rsidRPr="003A716D" w:rsidR="00F40A2F" w:rsidP="00F40A2F" w:rsidRDefault="00F40A2F" w14:paraId="2622430D"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2024</w:t>
            </w:r>
          </w:p>
        </w:tc>
        <w:tc>
          <w:tcPr>
            <w:tcW w:w="2839" w:type="dxa"/>
            <w:hideMark/>
          </w:tcPr>
          <w:p w:rsidRPr="003A716D" w:rsidR="00F40A2F" w:rsidP="00F40A2F" w:rsidRDefault="00F40A2F" w14:paraId="0B730C43" w14:textId="7777777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Unit / Description</w:t>
            </w:r>
          </w:p>
        </w:tc>
      </w:tr>
      <w:tr w:rsidRPr="003A716D" w:rsidR="00F40A2F" w:rsidTr="00F40A2F" w14:paraId="0A91115A" w14:textId="77777777">
        <w:trPr>
          <w:cnfStyle w:val="000000100000" w:firstRow="0" w:lastRow="0" w:firstColumn="0" w:lastColumn="0" w:oddVBand="0" w:evenVBand="0" w:oddHBand="1" w:evenHBand="0" w:firstRowFirstColumn="0" w:firstRowLastColumn="0" w:lastRowFirstColumn="0" w:lastRowLastColumn="0"/>
          <w:trHeight w:val="900"/>
          <w:jc w:val="center"/>
        </w:trPr>
        <w:tc>
          <w:tcPr>
            <w:cnfStyle w:val="001000000000" w:firstRow="0" w:lastRow="0" w:firstColumn="1" w:lastColumn="0" w:oddVBand="0" w:evenVBand="0" w:oddHBand="0" w:evenHBand="0" w:firstRowFirstColumn="0" w:firstRowLastColumn="0" w:lastRowFirstColumn="0" w:lastRowLastColumn="0"/>
            <w:tcW w:w="2476" w:type="dxa"/>
            <w:hideMark/>
          </w:tcPr>
          <w:p w:rsidRPr="003A716D" w:rsidR="00F40A2F" w:rsidP="00F40A2F" w:rsidRDefault="00F40A2F" w14:paraId="356224F1" w14:textId="77777777">
            <w:pPr>
              <w:spacing w:line="240" w:lineRule="auto"/>
              <w:jc w:val="left"/>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Group Net Promoter Score (NPS)</w:t>
            </w:r>
          </w:p>
        </w:tc>
        <w:tc>
          <w:tcPr>
            <w:tcW w:w="1344" w:type="dxa"/>
            <w:hideMark/>
          </w:tcPr>
          <w:p w:rsidRPr="003A716D" w:rsidR="00F40A2F" w:rsidP="00F40A2F" w:rsidRDefault="00F40A2F" w14:paraId="112FFE5B" w14:textId="7777777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19 pts</w:t>
            </w:r>
          </w:p>
        </w:tc>
        <w:tc>
          <w:tcPr>
            <w:tcW w:w="1729" w:type="dxa"/>
            <w:hideMark/>
          </w:tcPr>
          <w:p w:rsidRPr="003A716D" w:rsidR="00F40A2F" w:rsidP="00F40A2F" w:rsidRDefault="00F40A2F" w14:paraId="793DA380" w14:textId="7777777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28 pts</w:t>
            </w:r>
          </w:p>
        </w:tc>
        <w:tc>
          <w:tcPr>
            <w:tcW w:w="2839" w:type="dxa"/>
            <w:hideMark/>
          </w:tcPr>
          <w:p w:rsidRPr="003A716D" w:rsidR="00F40A2F" w:rsidP="00F40A2F" w:rsidRDefault="00F40A2F" w14:paraId="4CB6596A"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 xml:space="preserve">Customer recommendation score (higher = better) </w:t>
            </w:r>
          </w:p>
        </w:tc>
      </w:tr>
      <w:tr w:rsidRPr="003A716D" w:rsidR="00F40A2F" w:rsidTr="00F40A2F" w14:paraId="002ACA4B" w14:textId="77777777">
        <w:trPr>
          <w:trHeight w:val="900"/>
          <w:jc w:val="center"/>
        </w:trPr>
        <w:tc>
          <w:tcPr>
            <w:cnfStyle w:val="001000000000" w:firstRow="0" w:lastRow="0" w:firstColumn="1" w:lastColumn="0" w:oddVBand="0" w:evenVBand="0" w:oddHBand="0" w:evenHBand="0" w:firstRowFirstColumn="0" w:firstRowLastColumn="0" w:lastRowFirstColumn="0" w:lastRowLastColumn="0"/>
            <w:tcW w:w="2476" w:type="dxa"/>
            <w:hideMark/>
          </w:tcPr>
          <w:p w:rsidRPr="003A716D" w:rsidR="00F40A2F" w:rsidP="00F40A2F" w:rsidRDefault="00F40A2F" w14:paraId="7A535500" w14:textId="77777777">
            <w:pPr>
              <w:spacing w:line="240" w:lineRule="auto"/>
              <w:jc w:val="left"/>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Great Place to Work Score</w:t>
            </w:r>
          </w:p>
        </w:tc>
        <w:tc>
          <w:tcPr>
            <w:tcW w:w="1344" w:type="dxa"/>
            <w:hideMark/>
          </w:tcPr>
          <w:p w:rsidRPr="003A716D" w:rsidR="00F40A2F" w:rsidP="00F40A2F" w:rsidRDefault="00F40A2F" w14:paraId="69F0E0C0" w14:textId="7777777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84%</w:t>
            </w:r>
          </w:p>
        </w:tc>
        <w:tc>
          <w:tcPr>
            <w:tcW w:w="1729" w:type="dxa"/>
            <w:hideMark/>
          </w:tcPr>
          <w:p w:rsidRPr="003A716D" w:rsidR="00F40A2F" w:rsidP="00F40A2F" w:rsidRDefault="00F40A2F" w14:paraId="58EB1A6A" w14:textId="7777777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85%</w:t>
            </w:r>
          </w:p>
        </w:tc>
        <w:tc>
          <w:tcPr>
            <w:tcW w:w="2839" w:type="dxa"/>
            <w:hideMark/>
          </w:tcPr>
          <w:p w:rsidRPr="003A716D" w:rsidR="00F40A2F" w:rsidP="00F40A2F" w:rsidRDefault="00F40A2F" w14:paraId="4E61273A"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 xml:space="preserve">% of colleagues recommending Tesco as a workplace </w:t>
            </w:r>
          </w:p>
        </w:tc>
      </w:tr>
      <w:tr w:rsidRPr="003A716D" w:rsidR="00F40A2F" w:rsidTr="00F40A2F" w14:paraId="3CA8E93B" w14:textId="77777777">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2476" w:type="dxa"/>
            <w:hideMark/>
          </w:tcPr>
          <w:p w:rsidRPr="003A716D" w:rsidR="00F40A2F" w:rsidP="00F40A2F" w:rsidRDefault="00F40A2F" w14:paraId="049F5A25" w14:textId="77777777">
            <w:pPr>
              <w:spacing w:line="240" w:lineRule="auto"/>
              <w:jc w:val="left"/>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Carbon Emissions (Scope 1 &amp; 2)</w:t>
            </w:r>
          </w:p>
        </w:tc>
        <w:tc>
          <w:tcPr>
            <w:tcW w:w="1344" w:type="dxa"/>
            <w:hideMark/>
          </w:tcPr>
          <w:p w:rsidRPr="003A716D" w:rsidR="00F40A2F" w:rsidP="00F40A2F" w:rsidRDefault="00F40A2F" w14:paraId="7051E813" w14:textId="7777777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0.9m tCO₂e</w:t>
            </w:r>
          </w:p>
        </w:tc>
        <w:tc>
          <w:tcPr>
            <w:tcW w:w="1729" w:type="dxa"/>
            <w:hideMark/>
          </w:tcPr>
          <w:p w:rsidRPr="003A716D" w:rsidR="00F40A2F" w:rsidP="00F40A2F" w:rsidRDefault="00F40A2F" w14:paraId="114116AE" w14:textId="7777777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0.8m tCO₂e</w:t>
            </w:r>
          </w:p>
        </w:tc>
        <w:tc>
          <w:tcPr>
            <w:tcW w:w="2839" w:type="dxa"/>
            <w:hideMark/>
          </w:tcPr>
          <w:p w:rsidRPr="003A716D" w:rsidR="00F40A2F" w:rsidP="00F40A2F" w:rsidRDefault="00F40A2F" w14:paraId="090FC298"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 xml:space="preserve">Total carbon emissions (tonnes CO₂e) </w:t>
            </w:r>
          </w:p>
        </w:tc>
      </w:tr>
      <w:tr w:rsidRPr="003A716D" w:rsidR="00F40A2F" w:rsidTr="00F40A2F" w14:paraId="5757391B" w14:textId="77777777">
        <w:trPr>
          <w:trHeight w:val="600"/>
          <w:jc w:val="center"/>
        </w:trPr>
        <w:tc>
          <w:tcPr>
            <w:cnfStyle w:val="001000000000" w:firstRow="0" w:lastRow="0" w:firstColumn="1" w:lastColumn="0" w:oddVBand="0" w:evenVBand="0" w:oddHBand="0" w:evenHBand="0" w:firstRowFirstColumn="0" w:firstRowLastColumn="0" w:lastRowFirstColumn="0" w:lastRowLastColumn="0"/>
            <w:tcW w:w="2476" w:type="dxa"/>
            <w:hideMark/>
          </w:tcPr>
          <w:p w:rsidRPr="003A716D" w:rsidR="00F40A2F" w:rsidP="00F40A2F" w:rsidRDefault="00F40A2F" w14:paraId="37085620" w14:textId="77777777">
            <w:pPr>
              <w:spacing w:line="240" w:lineRule="auto"/>
              <w:jc w:val="left"/>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Carbon Emissions Reduction vs Baseline</w:t>
            </w:r>
          </w:p>
        </w:tc>
        <w:tc>
          <w:tcPr>
            <w:tcW w:w="1344" w:type="dxa"/>
            <w:hideMark/>
          </w:tcPr>
          <w:p w:rsidRPr="003A716D" w:rsidR="00F40A2F" w:rsidP="00F40A2F" w:rsidRDefault="00F40A2F" w14:paraId="55DCCD5C" w14:textId="7777777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61%</w:t>
            </w:r>
          </w:p>
        </w:tc>
        <w:tc>
          <w:tcPr>
            <w:tcW w:w="1729" w:type="dxa"/>
            <w:hideMark/>
          </w:tcPr>
          <w:p w:rsidRPr="003A716D" w:rsidR="00F40A2F" w:rsidP="00F40A2F" w:rsidRDefault="00F40A2F" w14:paraId="12BF240E" w14:textId="7777777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65%</w:t>
            </w:r>
          </w:p>
        </w:tc>
        <w:tc>
          <w:tcPr>
            <w:tcW w:w="2839" w:type="dxa"/>
            <w:hideMark/>
          </w:tcPr>
          <w:p w:rsidRPr="003A716D" w:rsidR="00F40A2F" w:rsidP="00F40A2F" w:rsidRDefault="00F40A2F" w14:paraId="49D6FA90" w14:textId="7777777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 xml:space="preserve">% reduction vs 2015/16 baseline </w:t>
            </w:r>
          </w:p>
        </w:tc>
      </w:tr>
      <w:tr w:rsidRPr="003A716D" w:rsidR="00F40A2F" w:rsidTr="00F40A2F" w14:paraId="383A2BA6" w14:textId="77777777">
        <w:trPr>
          <w:cnfStyle w:val="000000100000" w:firstRow="0" w:lastRow="0" w:firstColumn="0" w:lastColumn="0" w:oddVBand="0" w:evenVBand="0" w:oddHBand="1" w:evenHBand="0" w:firstRowFirstColumn="0" w:firstRowLastColumn="0" w:lastRowFirstColumn="0" w:lastRowLastColumn="0"/>
          <w:trHeight w:val="915"/>
          <w:jc w:val="center"/>
        </w:trPr>
        <w:tc>
          <w:tcPr>
            <w:cnfStyle w:val="001000000000" w:firstRow="0" w:lastRow="0" w:firstColumn="1" w:lastColumn="0" w:oddVBand="0" w:evenVBand="0" w:oddHBand="0" w:evenHBand="0" w:firstRowFirstColumn="0" w:firstRowLastColumn="0" w:lastRowFirstColumn="0" w:lastRowLastColumn="0"/>
            <w:tcW w:w="2476" w:type="dxa"/>
            <w:hideMark/>
          </w:tcPr>
          <w:p w:rsidRPr="003A716D" w:rsidR="00F40A2F" w:rsidP="00F40A2F" w:rsidRDefault="00F40A2F" w14:paraId="4836B5FF" w14:textId="77777777">
            <w:pPr>
              <w:spacing w:line="240" w:lineRule="auto"/>
              <w:jc w:val="left"/>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Own Brand Packaging Recyclability (kerbside)</w:t>
            </w:r>
          </w:p>
        </w:tc>
        <w:tc>
          <w:tcPr>
            <w:tcW w:w="1344" w:type="dxa"/>
            <w:hideMark/>
          </w:tcPr>
          <w:p w:rsidRPr="003A716D" w:rsidR="00F40A2F" w:rsidP="00F40A2F" w:rsidRDefault="00F40A2F" w14:paraId="75F0D4C5" w14:textId="7777777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86%</w:t>
            </w:r>
          </w:p>
        </w:tc>
        <w:tc>
          <w:tcPr>
            <w:tcW w:w="1729" w:type="dxa"/>
            <w:hideMark/>
          </w:tcPr>
          <w:p w:rsidRPr="003A716D" w:rsidR="00F40A2F" w:rsidP="00F40A2F" w:rsidRDefault="00F40A2F" w14:paraId="331F814E" w14:textId="7777777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87%</w:t>
            </w:r>
          </w:p>
        </w:tc>
        <w:tc>
          <w:tcPr>
            <w:tcW w:w="2839" w:type="dxa"/>
            <w:hideMark/>
          </w:tcPr>
          <w:p w:rsidRPr="003A716D" w:rsidR="00F40A2F" w:rsidP="00F40A2F" w:rsidRDefault="00F40A2F" w14:paraId="5AB04B00" w14:textId="7777777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kern w:val="0"/>
                <w:sz w:val="22"/>
                <w:szCs w:val="22"/>
                <w:lang w:eastAsia="en-GB"/>
                <w14:ligatures w14:val="none"/>
              </w:rPr>
            </w:pPr>
            <w:r w:rsidRPr="003A716D">
              <w:rPr>
                <w:rFonts w:eastAsia="Times New Roman" w:cs="Times New Roman"/>
                <w:color w:val="000000"/>
                <w:kern w:val="0"/>
                <w:sz w:val="22"/>
                <w:szCs w:val="22"/>
                <w:lang w:eastAsia="en-GB"/>
                <w14:ligatures w14:val="none"/>
              </w:rPr>
              <w:t>% of own brand packaging recyclable at kerbside</w:t>
            </w:r>
          </w:p>
        </w:tc>
      </w:tr>
    </w:tbl>
    <w:p w:rsidRPr="003A716D" w:rsidR="000143CD" w:rsidP="000143CD" w:rsidRDefault="000143CD" w14:paraId="0B415152" w14:textId="77777777"/>
    <w:p w:rsidRPr="003A716D" w:rsidR="00D50882" w:rsidP="00595A32" w:rsidRDefault="00ED012E" w14:paraId="71313596" w14:textId="01BD0A59">
      <w:r w:rsidRPr="003A716D">
        <w:t>The Tesco non-financial KPIs</w:t>
      </w:r>
      <w:r w:rsidRPr="003A716D" w:rsidR="0098781C">
        <w:t>, Table 1</w:t>
      </w:r>
      <w:r w:rsidRPr="003A716D">
        <w:t xml:space="preserve"> had direct triggers of responsive actions of strategy and operations instead of passive performance indicators. The increment of GROUP NET </w:t>
      </w:r>
      <w:r w:rsidRPr="003A716D" w:rsidR="00591E16">
        <w:t xml:space="preserve">Promoter </w:t>
      </w:r>
      <w:r w:rsidRPr="003A716D">
        <w:t xml:space="preserve">SCORE (NPS) by 19 points in 2023 to 28 points in 2024 gave the management signs that the customer experience programmes were bearing fruits hence the decision to increase capital allocation towards additional refurbishment of all stores, further development of self-checkout systems, and investment in digital fulfilment capacity (Annual Report, 2024). The better NPS also facilitated further spending on colleague service training, which enhanced the strategic move towards competing on experience in addition to price. Ocran (2023) asserts that customer satisfaction metrics can be turned into decision-driven tools in case they are integrated into the operational planning cycles. </w:t>
      </w:r>
      <w:r w:rsidRPr="003A716D" w:rsidR="00591E16">
        <w:t>In similar vein</w:t>
      </w:r>
      <w:r w:rsidRPr="003A716D">
        <w:t xml:space="preserve">, the rise of the </w:t>
      </w:r>
      <w:r w:rsidRPr="003A716D" w:rsidR="00591E16">
        <w:t>Great Place to Work Score</w:t>
      </w:r>
      <w:r w:rsidRPr="003A716D">
        <w:t xml:space="preserve"> by 84 to 85% made Tesco resort to increasing the pay of colleagues and development programmes on leadership by noting that the involvement of the workforce is a productivity driver. </w:t>
      </w:r>
    </w:p>
    <w:p w:rsidRPr="003A716D" w:rsidR="00D50882" w:rsidP="00D50882" w:rsidRDefault="00DA3E91" w14:paraId="07E1B6C1" w14:textId="1AB9213A">
      <w:r w:rsidRPr="003A716D">
        <w:lastRenderedPageBreak/>
        <w:t>Further,</w:t>
      </w:r>
      <w:r w:rsidRPr="003A716D" w:rsidR="00D50882">
        <w:t xml:space="preserve"> </w:t>
      </w:r>
      <w:r w:rsidRPr="003A716D">
        <w:t>p</w:t>
      </w:r>
      <w:r w:rsidRPr="003A716D" w:rsidR="00D50882">
        <w:t xml:space="preserve">roactive environmental management was exhibited with Tesco </w:t>
      </w:r>
      <w:r w:rsidRPr="003A716D">
        <w:t>reducing</w:t>
      </w:r>
      <w:r w:rsidRPr="003A716D" w:rsidR="00D50882">
        <w:t xml:space="preserve"> </w:t>
      </w:r>
      <w:r w:rsidRPr="003A716D">
        <w:t>Carbon Emissions</w:t>
      </w:r>
      <w:r w:rsidRPr="003A716D" w:rsidR="00D50882">
        <w:t xml:space="preserve"> (SCOPE 1 &amp; 2) of 0.9m tCO2e and improving the </w:t>
      </w:r>
      <w:r w:rsidRPr="003A716D">
        <w:t xml:space="preserve">Carbon Emissions Reduction Vs Baseline </w:t>
      </w:r>
      <w:r w:rsidRPr="003A716D" w:rsidR="00D50882">
        <w:t>of 61% into 65%</w:t>
      </w:r>
      <w:r w:rsidRPr="003A716D" w:rsidR="009C2AA8">
        <w:t xml:space="preserve"> (Annual Report, 2024)</w:t>
      </w:r>
      <w:r w:rsidRPr="003A716D" w:rsidR="00D50882">
        <w:t xml:space="preserve">. The investments in energy saving fridges, LED lighting, and the purchase of renewable electricity were also expressly directed at the emissions reduction, </w:t>
      </w:r>
      <w:r w:rsidRPr="003A716D" w:rsidR="003B7410">
        <w:t xml:space="preserve">which is suggested by </w:t>
      </w:r>
      <w:r w:rsidRPr="003A716D" w:rsidR="00C63A66">
        <w:t xml:space="preserve">RITH (2025) </w:t>
      </w:r>
      <w:r w:rsidRPr="003A716D" w:rsidR="003B7410">
        <w:t>as well</w:t>
      </w:r>
      <w:r w:rsidRPr="003A716D" w:rsidR="00D50882">
        <w:t xml:space="preserve">. Moreover, the </w:t>
      </w:r>
      <w:r w:rsidRPr="003A716D" w:rsidR="003A1ED9">
        <w:t>Own Brand Packaging Recyclability</w:t>
      </w:r>
      <w:r w:rsidRPr="003A716D" w:rsidR="00D50882">
        <w:t xml:space="preserve"> (KERBSIDE) (86 to 87) is also enhanced, and it demonstrates that Tesco focused on eco-design of products strategically, which is why the supply chain and product management are aligned with environmental KPIs (Tesco plc, 2024).</w:t>
      </w:r>
      <w:r w:rsidRPr="003A716D" w:rsidR="00730FE4">
        <w:t xml:space="preserve"> </w:t>
      </w:r>
    </w:p>
    <w:p w:rsidRPr="003A716D" w:rsidR="00873792" w:rsidP="003A716D" w:rsidRDefault="00D50882" w14:paraId="404E4AA0" w14:textId="6A4A1A7A">
      <w:r w:rsidRPr="003A716D">
        <w:t xml:space="preserve">Taken together, these trends demonstrate that Tesco involves performance measurement as a feedback mechanism to inform the strategic decisions in the areas of customer experience, workforce engagement, and sustainability. </w:t>
      </w:r>
      <w:r w:rsidRPr="003A716D" w:rsidR="00C63A66">
        <w:t xml:space="preserve">Molina Wilestari (2023) </w:t>
      </w:r>
      <w:r w:rsidRPr="003A716D" w:rsidR="003B7410">
        <w:t>also supports this by stating</w:t>
      </w:r>
      <w:r w:rsidRPr="003A716D">
        <w:t xml:space="preserve"> that the combination of non-financial KPIs and the financial performance allow organisations to attain strategic objectives in the long-term. </w:t>
      </w:r>
    </w:p>
    <w:p w:rsidRPr="003A716D" w:rsidR="00873792" w:rsidP="00C2037F" w:rsidRDefault="00C2037F" w14:paraId="7CE63AED" w14:textId="1C9414AD">
      <w:pPr>
        <w:pStyle w:val="Heading1"/>
      </w:pPr>
      <w:bookmarkStart w:name="_Toc221917946" w:id="8"/>
      <w:r w:rsidRPr="003A716D">
        <w:t>Sustainability and Ethical Considerations</w:t>
      </w:r>
      <w:bookmarkEnd w:id="8"/>
      <w:r w:rsidRPr="003A716D">
        <w:t xml:space="preserve"> </w:t>
      </w:r>
    </w:p>
    <w:p w:rsidRPr="003A716D" w:rsidR="005F27F1" w:rsidP="005F27F1" w:rsidRDefault="005F27F1" w14:paraId="62BA27F9" w14:textId="3C60C3F0">
      <w:r w:rsidRPr="003A716D">
        <w:t xml:space="preserve">Tesco has shown that it has strategically incorporated sustainability in its financial decision-making processes by connecting environmental performance goals with capital allocation and operational budgets. Tesco said that </w:t>
      </w:r>
      <w:r w:rsidRPr="003A716D" w:rsidR="006E6F81">
        <w:t>Carbon Emissions</w:t>
      </w:r>
      <w:r w:rsidRPr="003A716D">
        <w:t xml:space="preserve"> (SCOPE 1 &amp; 2) decreased by 0.9m tCO2e to 0.8m tCO2e and </w:t>
      </w:r>
      <w:r w:rsidRPr="003A716D" w:rsidR="006E6F81">
        <w:t xml:space="preserve">Carbon Emissions Reduction Vs Baseline </w:t>
      </w:r>
      <w:r w:rsidRPr="003A716D">
        <w:t>improved by 61 to 65% in FY 2024 (Tesco plc, 2024). This is in line with the principle of sustainability accounting that proposes incorporation of environmental indicators into corporate budget to promote long-term value</w:t>
      </w:r>
      <w:r w:rsidRPr="003A716D" w:rsidR="006E6F81">
        <w:t xml:space="preserve"> and educing unnecessary utility expenses or overheads</w:t>
      </w:r>
      <w:r w:rsidRPr="003A716D">
        <w:t xml:space="preserve"> </w:t>
      </w:r>
      <w:r w:rsidRPr="003A716D" w:rsidR="006E6F81">
        <w:t xml:space="preserve">argued in the study of </w:t>
      </w:r>
      <w:r w:rsidRPr="003A716D" w:rsidR="00C63A66">
        <w:t xml:space="preserve">Molina Wilestari (2023) </w:t>
      </w:r>
      <w:r w:rsidRPr="003A716D" w:rsidR="006E6F81">
        <w:t>also</w:t>
      </w:r>
      <w:r w:rsidRPr="003A716D">
        <w:t>.</w:t>
      </w:r>
    </w:p>
    <w:p w:rsidRPr="003A716D" w:rsidR="005F27F1" w:rsidP="005F27F1" w:rsidRDefault="006E6F81" w14:paraId="7DCB5063" w14:textId="3FD3AAAA">
      <w:r w:rsidRPr="003A716D">
        <w:t xml:space="preserve">Moreover, as per </w:t>
      </w:r>
      <w:r w:rsidRPr="003A716D" w:rsidR="00C63A66">
        <w:t xml:space="preserve">Adi (2023) </w:t>
      </w:r>
      <w:r w:rsidRPr="003A716D">
        <w:t>c</w:t>
      </w:r>
      <w:r w:rsidRPr="003A716D" w:rsidR="005F27F1">
        <w:t>ost management and pricing also are shaped by ethics.</w:t>
      </w:r>
      <w:r w:rsidRPr="003A716D">
        <w:t xml:space="preserve"> For instance,</w:t>
      </w:r>
      <w:r w:rsidRPr="003A716D" w:rsidR="005F27F1">
        <w:t xml:space="preserve"> </w:t>
      </w:r>
      <w:r w:rsidRPr="003A716D">
        <w:t>i</w:t>
      </w:r>
      <w:r w:rsidRPr="003A716D" w:rsidR="005F27F1">
        <w:t xml:space="preserve">n 2024, Tesco </w:t>
      </w:r>
      <w:r w:rsidRPr="003A716D">
        <w:t>experienced</w:t>
      </w:r>
      <w:r w:rsidRPr="003A716D" w:rsidR="005F27F1">
        <w:t xml:space="preserve"> inflationary rise in costs instead of raising them entirely to customers pricing with competitiveness and responsiveness to society. It is a decision that </w:t>
      </w:r>
      <w:r w:rsidRPr="003A716D" w:rsidR="009D03FE">
        <w:t>aligns with</w:t>
      </w:r>
      <w:r w:rsidRPr="003A716D" w:rsidR="005F27F1">
        <w:t xml:space="preserve"> stakeholder theory which</w:t>
      </w:r>
      <w:r w:rsidRPr="003A716D" w:rsidR="009D03FE">
        <w:t xml:space="preserve"> according </w:t>
      </w:r>
      <w:r w:rsidRPr="003A716D" w:rsidR="00C63A66">
        <w:t xml:space="preserve">Yoshikuni et al. (2023) </w:t>
      </w:r>
      <w:r w:rsidRPr="003A716D" w:rsidR="005F27F1">
        <w:t>places strong emphasis on ethical responsibility in relation to customers, employees, and communities along with the shareholder returns. In line with the concept of corporate social responsibility, the strategy of Tesco has an equal measure of profitability and social impact, which has resulted in brand trust and consumer loyalty.</w:t>
      </w:r>
    </w:p>
    <w:p w:rsidRPr="003A716D" w:rsidR="00AC6EEA" w:rsidP="005F27F1" w:rsidRDefault="005F27F1" w14:paraId="519EE28E" w14:textId="02A656C9">
      <w:r w:rsidRPr="003A716D">
        <w:t xml:space="preserve">The fact that Tesco has increased the </w:t>
      </w:r>
      <w:r w:rsidRPr="003A716D" w:rsidR="009D03FE">
        <w:t xml:space="preserve">Own Brand Packaging Recyclability </w:t>
      </w:r>
      <w:r w:rsidRPr="003A716D">
        <w:t xml:space="preserve">(KERBSIDE) to 87% out of 86% also demonstrates ethical supply chain management and responsible sourcing </w:t>
      </w:r>
      <w:r w:rsidRPr="003A716D">
        <w:lastRenderedPageBreak/>
        <w:t xml:space="preserve">that reduces the regulatory and reputational risk as well as addressing consumer demand of sustainable products. According to </w:t>
      </w:r>
      <w:r w:rsidRPr="003A716D" w:rsidR="00C63A66">
        <w:t xml:space="preserve">Alkaraan et al. (2023) </w:t>
      </w:r>
      <w:r w:rsidRPr="003A716D">
        <w:t>an increase in operational resilience and systematic risk reduction could be achieved through the incorporation of ESG</w:t>
      </w:r>
      <w:r w:rsidRPr="003A716D" w:rsidR="009D03FE">
        <w:t xml:space="preserve">, </w:t>
      </w:r>
      <w:r w:rsidRPr="003A716D">
        <w:t xml:space="preserve">environmental, social, governance factors in financial planning </w:t>
      </w:r>
      <w:r w:rsidRPr="003A716D" w:rsidR="009D03FE">
        <w:t xml:space="preserve">revealed by </w:t>
      </w:r>
      <w:r w:rsidRPr="003A716D" w:rsidR="00C63A66">
        <w:t xml:space="preserve">Chowdhury (2023) </w:t>
      </w:r>
      <w:r w:rsidRPr="003A716D" w:rsidR="009D03FE">
        <w:t>also</w:t>
      </w:r>
      <w:r w:rsidRPr="003A716D">
        <w:t xml:space="preserve">. </w:t>
      </w:r>
      <w:r w:rsidRPr="003A716D" w:rsidR="009D03FE">
        <w:t>Hence</w:t>
      </w:r>
      <w:r w:rsidRPr="003A716D">
        <w:t>,</w:t>
      </w:r>
      <w:r w:rsidRPr="003A716D" w:rsidR="009D03FE">
        <w:t xml:space="preserve"> it can be said that</w:t>
      </w:r>
      <w:r w:rsidRPr="003A716D">
        <w:t xml:space="preserve"> the combination of Tesco sustainability-based investments and ethical pricing practises can be seen as a considered and quantifiable effect of the implementation of environmental and social priorities in financial decision-making, which add</w:t>
      </w:r>
      <w:r w:rsidRPr="003A716D" w:rsidR="009D03FE">
        <w:t>s</w:t>
      </w:r>
      <w:r w:rsidRPr="003A716D">
        <w:t xml:space="preserve"> long-term strategic resilience and value to the stakeholders.</w:t>
      </w:r>
      <w:r w:rsidRPr="003A716D" w:rsidR="003B7410">
        <w:t xml:space="preserve"> </w:t>
      </w:r>
      <w:r w:rsidRPr="003A716D" w:rsidR="00C51A2B">
        <w:t xml:space="preserve"> </w:t>
      </w:r>
    </w:p>
    <w:p w:rsidRPr="003A716D" w:rsidR="00EC15E9" w:rsidP="005F27F1" w:rsidRDefault="00ED012E" w14:paraId="7256DA07" w14:textId="38D93424">
      <w:r w:rsidRPr="003A716D">
        <w:t xml:space="preserve">There are financial implications to these sustainability and ethical programmes. Tesco </w:t>
      </w:r>
      <w:r w:rsidRPr="003A716D" w:rsidR="002C0019">
        <w:t>credited</w:t>
      </w:r>
      <w:r w:rsidRPr="003A716D">
        <w:t xml:space="preserve"> some of the increase in the cost of inflation, keeping the prices competitive which increased brand loyalty and assisted in the sustainment of the growth in revenues</w:t>
      </w:r>
      <w:r w:rsidRPr="003A716D" w:rsidR="002C0019">
        <w:t xml:space="preserve"> (Annual Report, 2024)</w:t>
      </w:r>
      <w:r w:rsidRPr="003A716D">
        <w:t xml:space="preserve">. Operation costs were also cut with investments and packaging that was energy-efficient and minimised regulatory risk assisting in maintaining margins. The investor confidence and perception of the stakeholders also improved, which </w:t>
      </w:r>
      <w:r w:rsidRPr="003A716D" w:rsidR="009805EF">
        <w:t xml:space="preserve">as per Alkaraan et al. (2023) </w:t>
      </w:r>
      <w:r w:rsidRPr="003A716D">
        <w:t>result</w:t>
      </w:r>
      <w:r w:rsidRPr="003A716D" w:rsidR="009805EF">
        <w:t>s</w:t>
      </w:r>
      <w:r w:rsidRPr="003A716D">
        <w:t xml:space="preserve"> in reputational value that may be converted into retaining customers in the long-term and preserving market share, which proves to be financially and strategically beneficial </w:t>
      </w:r>
      <w:r w:rsidRPr="003A716D" w:rsidR="009805EF">
        <w:t>in the context of Tesco also</w:t>
      </w:r>
      <w:r w:rsidRPr="003A716D">
        <w:t>.</w:t>
      </w:r>
    </w:p>
    <w:p w:rsidRPr="003A716D" w:rsidR="00AC6EEA" w:rsidP="00AC6EEA" w:rsidRDefault="00AC6EEA" w14:paraId="55CE53E8" w14:textId="689A3B92">
      <w:pPr>
        <w:pStyle w:val="Heading1"/>
      </w:pPr>
      <w:bookmarkStart w:name="_Toc221917947" w:id="9"/>
      <w:r w:rsidRPr="003A716D">
        <w:t>Conclusion And Recommendations</w:t>
      </w:r>
      <w:bookmarkEnd w:id="9"/>
    </w:p>
    <w:p w:rsidRPr="003A716D" w:rsidR="00C63A66" w:rsidP="007E4F38" w:rsidRDefault="007E4F38" w14:paraId="469CB811" w14:textId="6C90D1E5">
      <w:r w:rsidRPr="003A716D">
        <w:t xml:space="preserve">This report demonstrates that Tesco effectively employs management accounting tools to support financial and strategic decision-making across its retail operations. </w:t>
      </w:r>
      <w:r w:rsidRPr="003A716D" w:rsidR="005F27F1">
        <w:t xml:space="preserve">The cost analysis of the company indicates that it is well balanced between the fixed overheads, </w:t>
      </w:r>
      <w:r w:rsidRPr="003A716D" w:rsidR="000458E6">
        <w:t xml:space="preserve">that is </w:t>
      </w:r>
      <w:r w:rsidRPr="003A716D" w:rsidR="005F27F1">
        <w:t xml:space="preserve">store rent, IT infrastructure, and variable costs i.e. inventory procurement, which allows the management to sustain margins in a competitive and low-margin setting. </w:t>
      </w:r>
      <w:r w:rsidRPr="003A716D" w:rsidR="00ED012E">
        <w:t xml:space="preserve">The review suggests that Tesco </w:t>
      </w:r>
      <w:r w:rsidRPr="003A716D" w:rsidR="00470CC4">
        <w:t>can</w:t>
      </w:r>
      <w:r w:rsidRPr="003A716D" w:rsidR="00ED012E">
        <w:t xml:space="preserve"> invest strategically in automation, remuneration of the workforce, and product innovation to increase the level of operational efficiency and retention. Non-financial KPIs, such as GROUP NET </w:t>
      </w:r>
      <w:r w:rsidRPr="003A716D" w:rsidR="00470CC4">
        <w:t xml:space="preserve">Promotor </w:t>
      </w:r>
      <w:r w:rsidRPr="003A716D" w:rsidR="008409F4">
        <w:t>Score</w:t>
      </w:r>
      <w:r w:rsidRPr="003A716D" w:rsidR="00ED012E">
        <w:t xml:space="preserve">, </w:t>
      </w:r>
      <w:r w:rsidRPr="003A716D" w:rsidR="008409F4">
        <w:t xml:space="preserve">Great </w:t>
      </w:r>
      <w:r w:rsidRPr="003A716D" w:rsidR="00ED012E">
        <w:t xml:space="preserve">Place </w:t>
      </w:r>
      <w:r w:rsidRPr="003A716D" w:rsidR="00470CC4">
        <w:t xml:space="preserve">to </w:t>
      </w:r>
      <w:r w:rsidRPr="003A716D" w:rsidR="00ED012E">
        <w:t xml:space="preserve">Work Score, </w:t>
      </w:r>
      <w:r w:rsidRPr="003A716D" w:rsidR="00470CC4">
        <w:t xml:space="preserve">Carbon </w:t>
      </w:r>
      <w:r w:rsidRPr="003A716D" w:rsidR="00ED012E">
        <w:t xml:space="preserve">Emission, and </w:t>
      </w:r>
      <w:r w:rsidRPr="003A716D" w:rsidR="00470CC4">
        <w:t>Own</w:t>
      </w:r>
      <w:r w:rsidRPr="003A716D" w:rsidR="00ED012E">
        <w:t xml:space="preserve"> Brand </w:t>
      </w:r>
      <w:r w:rsidRPr="003A716D" w:rsidR="00470CC4">
        <w:t xml:space="preserve">Packaging </w:t>
      </w:r>
      <w:r w:rsidRPr="003A716D" w:rsidR="00ED012E">
        <w:t xml:space="preserve">Recyclability, evidences the inclusion of sustainability and ethical issues into the financial planning, customer satisfaction, employee engagement, and environmental performance. </w:t>
      </w:r>
      <w:r w:rsidRPr="003A716D" w:rsidR="00470CC4">
        <w:t>In response to</w:t>
      </w:r>
      <w:r w:rsidRPr="003A716D" w:rsidR="00ED012E">
        <w:t xml:space="preserve"> these </w:t>
      </w:r>
      <w:r w:rsidRPr="003A716D" w:rsidR="00470CC4">
        <w:t>findings</w:t>
      </w:r>
      <w:r w:rsidRPr="003A716D" w:rsidR="00ED012E">
        <w:t xml:space="preserve">, Tesco </w:t>
      </w:r>
      <w:r w:rsidRPr="003A716D" w:rsidR="00470CC4">
        <w:t>is suggested</w:t>
      </w:r>
      <w:r w:rsidRPr="003A716D" w:rsidR="00ED012E">
        <w:t xml:space="preserve"> to improve its budgeting process and use rolling forecasts to be more responsive to market volatilities, improve cost analysis using activity-based costing to gain more accurate margin information, and improve performance </w:t>
      </w:r>
      <w:r w:rsidRPr="003A716D" w:rsidR="00ED012E">
        <w:lastRenderedPageBreak/>
        <w:t>measurement by connecting KPIs to particular strategic initiatives. The expected barriers are the initial investment in automation and ESG and staff adjustment to the new process.</w:t>
      </w:r>
      <w:r w:rsidRPr="003A716D">
        <w:t xml:space="preserve"> </w:t>
      </w:r>
    </w:p>
    <w:p w:rsidRPr="003A716D" w:rsidR="00C63A66" w:rsidRDefault="00C63A66" w14:paraId="21281FA3" w14:textId="77777777">
      <w:pPr>
        <w:spacing w:line="278" w:lineRule="auto"/>
        <w:jc w:val="left"/>
      </w:pPr>
      <w:r w:rsidRPr="003A716D">
        <w:br w:type="page"/>
      </w:r>
    </w:p>
    <w:p w:rsidRPr="003A716D" w:rsidR="007E4F38" w:rsidP="00C63A66" w:rsidRDefault="00C63A66" w14:paraId="5E28E0E1" w14:textId="186206FC">
      <w:pPr>
        <w:pStyle w:val="Heading1"/>
      </w:pPr>
      <w:bookmarkStart w:name="_Toc221917948" w:id="10"/>
      <w:r w:rsidRPr="003A716D">
        <w:lastRenderedPageBreak/>
        <w:t>References</w:t>
      </w:r>
      <w:bookmarkEnd w:id="10"/>
    </w:p>
    <w:p w:rsidRPr="003A716D" w:rsidR="00C63A66" w:rsidP="00C63A66" w:rsidRDefault="00C63A66" w14:paraId="04350B36" w14:textId="491F83DD">
      <w:pPr>
        <w:ind w:left="720" w:hanging="720"/>
      </w:pPr>
      <w:r w:rsidR="00C63A66">
        <w:rPr/>
        <w:t>​​</w:t>
      </w:r>
    </w:p>
    <w:p w:rsidRPr="003A716D" w:rsidR="00C63A66" w:rsidP="00C63A66" w:rsidRDefault="00C63A66" w14:paraId="01FBD796" w14:textId="717A97F3">
      <w:pPr>
        <w:ind w:left="720" w:hanging="720"/>
      </w:pPr>
      <w:r w:rsidR="00C63A66">
        <w:rPr/>
        <w:t xml:space="preserve">Adi, A. F. (2023). Strategic Financial Management: Understanding the Dynamics of Financial Strategy, </w:t>
      </w:r>
      <w:r w:rsidR="00C63A66">
        <w:rPr/>
        <w:t>Performance</w:t>
      </w:r>
      <w:r w:rsidR="00C63A66">
        <w:rPr/>
        <w:t xml:space="preserve"> and Investment Decisions. </w:t>
      </w:r>
      <w:r w:rsidRPr="4D8E6156" w:rsidR="00C63A66">
        <w:rPr>
          <w:i w:val="1"/>
          <w:iCs w:val="1"/>
        </w:rPr>
        <w:t>Atestasi</w:t>
      </w:r>
      <w:r w:rsidRPr="4D8E6156" w:rsidR="00C63A66">
        <w:rPr>
          <w:i w:val="1"/>
          <w:iCs w:val="1"/>
        </w:rPr>
        <w:t xml:space="preserve">: </w:t>
      </w:r>
      <w:r w:rsidRPr="4D8E6156" w:rsidR="00C63A66">
        <w:rPr>
          <w:i w:val="1"/>
          <w:iCs w:val="1"/>
        </w:rPr>
        <w:t>Jurnal</w:t>
      </w:r>
      <w:r w:rsidRPr="4D8E6156" w:rsidR="00C63A66">
        <w:rPr>
          <w:i w:val="1"/>
          <w:iCs w:val="1"/>
        </w:rPr>
        <w:t xml:space="preserve"> </w:t>
      </w:r>
      <w:r w:rsidRPr="4D8E6156" w:rsidR="00C63A66">
        <w:rPr>
          <w:i w:val="1"/>
          <w:iCs w:val="1"/>
        </w:rPr>
        <w:t>Ilmiah</w:t>
      </w:r>
      <w:r w:rsidRPr="4D8E6156" w:rsidR="00C63A66">
        <w:rPr>
          <w:i w:val="1"/>
          <w:iCs w:val="1"/>
        </w:rPr>
        <w:t xml:space="preserve"> Akuntansi</w:t>
      </w:r>
      <w:r w:rsidR="00C63A66">
        <w:rPr/>
        <w:t>, </w:t>
      </w:r>
      <w:r w:rsidRPr="4D8E6156" w:rsidR="00C63A66">
        <w:rPr>
          <w:i w:val="1"/>
          <w:iCs w:val="1"/>
        </w:rPr>
        <w:t>6</w:t>
      </w:r>
      <w:r w:rsidR="00C63A66">
        <w:rPr/>
        <w:t>(1), 420-434.</w:t>
      </w:r>
      <w:r w:rsidR="49137137">
        <w:rPr/>
        <w:t xml:space="preserve"> (Accessed </w:t>
      </w:r>
      <w:r w:rsidR="79EEC0EA">
        <w:rPr/>
        <w:t>12.02.26</w:t>
      </w:r>
      <w:r w:rsidR="49137137">
        <w:rPr/>
        <w:t>)</w:t>
      </w:r>
    </w:p>
    <w:p w:rsidRPr="003A716D" w:rsidR="00C63A66" w:rsidP="4D8E6156" w:rsidRDefault="00C63A66" w14:paraId="358A351D" w14:textId="686A529E">
      <w:pPr>
        <w:pStyle w:val="Normal"/>
        <w:ind w:left="720" w:hanging="720"/>
        <w:jc w:val="left"/>
      </w:pPr>
      <w:r w:rsidR="00C63A66">
        <w:rPr/>
        <w:t>Alkaraan</w:t>
      </w:r>
      <w:r w:rsidR="00C63A66">
        <w:rPr/>
        <w:t xml:space="preserve">, F., </w:t>
      </w:r>
      <w:r w:rsidR="00C63A66">
        <w:rPr/>
        <w:t>Elmarzouky</w:t>
      </w:r>
      <w:r w:rsidR="00C63A66">
        <w:rPr/>
        <w:t xml:space="preserve">, M., </w:t>
      </w:r>
      <w:r w:rsidR="00C63A66">
        <w:rPr/>
        <w:t>Hussainey</w:t>
      </w:r>
      <w:r w:rsidR="00C63A66">
        <w:rPr/>
        <w:t xml:space="preserve">, K., &amp; Venkatesh, V. G. (2023). Sustainable strategic investment decision-making practices in UK companies: The influence of governance mechanisms on </w:t>
      </w:r>
      <w:r w:rsidR="00C63A66">
        <w:rPr/>
        <w:t>synergy</w:t>
      </w:r>
      <w:r w:rsidR="00C63A66">
        <w:rPr/>
        <w:t xml:space="preserve"> between industry 4.0 and circular economy. </w:t>
      </w:r>
      <w:r w:rsidRPr="4D8E6156" w:rsidR="00C63A66">
        <w:rPr>
          <w:i w:val="1"/>
          <w:iCs w:val="1"/>
        </w:rPr>
        <w:t>Technological Forecasting and Social Change</w:t>
      </w:r>
      <w:r w:rsidR="00C63A66">
        <w:rPr/>
        <w:t>, </w:t>
      </w:r>
      <w:r w:rsidRPr="4D8E6156" w:rsidR="00C63A66">
        <w:rPr>
          <w:i w:val="1"/>
          <w:iCs w:val="1"/>
        </w:rPr>
        <w:t>187</w:t>
      </w:r>
      <w:r w:rsidR="00C63A66">
        <w:rPr/>
        <w:t>, 122187.</w:t>
      </w:r>
      <w:r w:rsidR="34EF6DE4">
        <w:rPr/>
        <w:t xml:space="preserve"> (Accessed </w:t>
      </w:r>
      <w:r w:rsidR="3ECF524D">
        <w:rPr/>
        <w:t>15.02.</w:t>
      </w:r>
      <w:r w:rsidR="34EF6DE4">
        <w:rPr/>
        <w:t>26)</w:t>
      </w:r>
    </w:p>
    <w:p w:rsidRPr="003A716D" w:rsidR="00C63A66" w:rsidP="4D8E6156" w:rsidRDefault="00C63A66" w14:paraId="1224660B" w14:textId="380202E6">
      <w:pPr>
        <w:ind w:left="720" w:hanging="720"/>
        <w:jc w:val="left"/>
      </w:pPr>
      <w:r w:rsidR="00C63A66">
        <w:rPr/>
        <w:t xml:space="preserve">Annual Report (2024). Retrieved From: </w:t>
      </w:r>
      <w:hyperlink r:id="Rb37061ef4ce649a2">
        <w:r w:rsidRPr="4D8E6156" w:rsidR="00C63A66">
          <w:rPr>
            <w:rStyle w:val="Hyperlink"/>
          </w:rPr>
          <w:t>https://www.tescoplc.com/media/ky0bfwpo/tesco_ar25_interactive.pdf</w:t>
        </w:r>
      </w:hyperlink>
      <w:r w:rsidR="76A90283">
        <w:rPr/>
        <w:t xml:space="preserve"> (Accessed 10.02.26)</w:t>
      </w:r>
    </w:p>
    <w:p w:rsidRPr="003A716D" w:rsidR="00C63A66" w:rsidP="00C63A66" w:rsidRDefault="00C63A66" w14:paraId="196B6993" w14:textId="0D65CB61">
      <w:pPr>
        <w:ind w:left="720" w:hanging="720"/>
      </w:pPr>
      <w:r w:rsidR="00C63A66">
        <w:rPr/>
        <w:t>Chowdhury, I. U. Z., Safdar, Z., Adnan, M., Batool, F., Ali, W., Abbasi, M. U., &amp; Khan, K. (2023). Strategic Financial Management: Exploring the Interplay between Strategic Orientation and Financial Decision-Making in Corporate Settings. </w:t>
      </w:r>
      <w:r w:rsidRPr="4D8E6156" w:rsidR="00C63A66">
        <w:rPr>
          <w:i w:val="1"/>
          <w:iCs w:val="1"/>
        </w:rPr>
        <w:t>Bulletin of Business and Economics (BBE)</w:t>
      </w:r>
      <w:r w:rsidR="00C63A66">
        <w:rPr/>
        <w:t>, </w:t>
      </w:r>
      <w:r w:rsidRPr="4D8E6156" w:rsidR="00C63A66">
        <w:rPr>
          <w:i w:val="1"/>
          <w:iCs w:val="1"/>
        </w:rPr>
        <w:t>12</w:t>
      </w:r>
      <w:r w:rsidR="00C63A66">
        <w:rPr/>
        <w:t>(4), 231-237.</w:t>
      </w:r>
      <w:r w:rsidR="5D55FEB8">
        <w:rPr/>
        <w:t xml:space="preserve"> (Accessed 15.02.26)</w:t>
      </w:r>
    </w:p>
    <w:p w:rsidRPr="003A716D" w:rsidR="00C63A66" w:rsidP="00C63A66" w:rsidRDefault="00C63A66" w14:paraId="48BDDB02" w14:textId="7B645F2A">
      <w:pPr>
        <w:ind w:left="720" w:hanging="720"/>
      </w:pPr>
      <w:r w:rsidR="00C63A66">
        <w:rPr/>
        <w:t xml:space="preserve">Colley, J., &amp; </w:t>
      </w:r>
      <w:r w:rsidR="00C63A66">
        <w:rPr/>
        <w:t>Spyridonidis</w:t>
      </w:r>
      <w:r w:rsidR="00C63A66">
        <w:rPr/>
        <w:t>, D. (2022). Making Decisions in a Volatile, Uncertain World. In </w:t>
      </w:r>
      <w:r w:rsidRPr="4D8E6156" w:rsidR="00C63A66">
        <w:rPr>
          <w:i w:val="1"/>
          <w:iCs w:val="1"/>
        </w:rPr>
        <w:t>Unprecedented Leadership: Learning to Lead in Turbulent Times</w:t>
      </w:r>
      <w:r w:rsidR="00C63A66">
        <w:rPr/>
        <w:t> (pp. 41-63). Cham: Springer International Publishing.</w:t>
      </w:r>
      <w:r w:rsidR="28D94D4C">
        <w:rPr/>
        <w:t xml:space="preserve"> (Accessed 20.02.26)</w:t>
      </w:r>
    </w:p>
    <w:p w:rsidRPr="003A716D" w:rsidR="00C63A66" w:rsidP="00C63A66" w:rsidRDefault="00C63A66" w14:paraId="3687B4D1" w14:textId="30ADCED0">
      <w:pPr>
        <w:ind w:left="720" w:hanging="720"/>
      </w:pPr>
      <w:r w:rsidR="00C63A66">
        <w:rPr/>
        <w:t>Hendrawan</w:t>
      </w:r>
      <w:r w:rsidR="00C63A66">
        <w:rPr/>
        <w:t xml:space="preserve">, S. A., </w:t>
      </w:r>
      <w:r w:rsidR="00C63A66">
        <w:rPr/>
        <w:t>Chatra</w:t>
      </w:r>
      <w:r w:rsidR="00C63A66">
        <w:rPr/>
        <w:t xml:space="preserve">, A., Iman, N., Hidayatullah, S., &amp; </w:t>
      </w:r>
      <w:r w:rsidR="00C63A66">
        <w:rPr/>
        <w:t>Suprayitno</w:t>
      </w:r>
      <w:r w:rsidR="00C63A66">
        <w:rPr/>
        <w:t>, D. (2024). Digital transformation in MSMEs: Challenges and opportunities in technology management. </w:t>
      </w:r>
      <w:r w:rsidRPr="4D8E6156" w:rsidR="00C63A66">
        <w:rPr>
          <w:i w:val="1"/>
          <w:iCs w:val="1"/>
        </w:rPr>
        <w:t>Jurnal</w:t>
      </w:r>
      <w:r w:rsidRPr="4D8E6156" w:rsidR="00C63A66">
        <w:rPr>
          <w:i w:val="1"/>
          <w:iCs w:val="1"/>
        </w:rPr>
        <w:t xml:space="preserve"> </w:t>
      </w:r>
      <w:r w:rsidRPr="4D8E6156" w:rsidR="00C63A66">
        <w:rPr>
          <w:i w:val="1"/>
          <w:iCs w:val="1"/>
        </w:rPr>
        <w:t>Informasi</w:t>
      </w:r>
      <w:r w:rsidRPr="4D8E6156" w:rsidR="00C63A66">
        <w:rPr>
          <w:i w:val="1"/>
          <w:iCs w:val="1"/>
        </w:rPr>
        <w:t xml:space="preserve"> dan </w:t>
      </w:r>
      <w:r w:rsidRPr="4D8E6156" w:rsidR="00C63A66">
        <w:rPr>
          <w:i w:val="1"/>
          <w:iCs w:val="1"/>
        </w:rPr>
        <w:t>Teknologi</w:t>
      </w:r>
      <w:r w:rsidR="00C63A66">
        <w:rPr/>
        <w:t>, </w:t>
      </w:r>
      <w:r w:rsidRPr="4D8E6156" w:rsidR="00C63A66">
        <w:rPr>
          <w:i w:val="1"/>
          <w:iCs w:val="1"/>
        </w:rPr>
        <w:t>6</w:t>
      </w:r>
      <w:r w:rsidR="00C63A66">
        <w:rPr/>
        <w:t>(2), 141-149.</w:t>
      </w:r>
      <w:r w:rsidR="507E644E">
        <w:rPr/>
        <w:t xml:space="preserve"> (Accessed 17.02.26)</w:t>
      </w:r>
    </w:p>
    <w:p w:rsidRPr="003A716D" w:rsidR="00C63A66" w:rsidP="4D8E6156" w:rsidRDefault="00C63A66" w14:paraId="5A61A01E" w14:textId="72D289E3">
      <w:pPr>
        <w:ind w:left="720" w:hanging="720"/>
        <w:jc w:val="left"/>
      </w:pPr>
      <w:r w:rsidR="65E35E53">
        <w:rPr/>
        <w:t xml:space="preserve">IG International (2025). </w:t>
      </w:r>
      <w:r w:rsidRPr="4D8E6156" w:rsidR="65E35E53">
        <w:rPr>
          <w:i w:val="1"/>
          <w:iCs w:val="1"/>
        </w:rPr>
        <w:t>Tesco Q1 2025/26 Results: What Next for Tesco AS Market Share Hits Decade High as Growth Accelerates</w:t>
      </w:r>
      <w:r w:rsidR="65E35E53">
        <w:rPr/>
        <w:t xml:space="preserve">​. Retrieved from </w:t>
      </w:r>
      <w:hyperlink r:id="R55f57b73f0e14bbe">
        <w:r w:rsidRPr="4D8E6156" w:rsidR="65E35E53">
          <w:rPr>
            <w:rStyle w:val="Hyperlink"/>
          </w:rPr>
          <w:t>https://www.ig.com/en/news-and-trade-ideas/tesco-q1-2025-26-trading-statement--what-next-as-uk-market-share-250610</w:t>
        </w:r>
      </w:hyperlink>
      <w:r w:rsidR="25F38380">
        <w:rPr/>
        <w:t xml:space="preserve"> (Accessed 25.02.26)</w:t>
      </w:r>
    </w:p>
    <w:p w:rsidRPr="003A716D" w:rsidR="00C63A66" w:rsidP="4D8E6156" w:rsidRDefault="00C63A66" w14:paraId="0F308EA5" w14:textId="2742C679">
      <w:pPr>
        <w:pStyle w:val="Normal"/>
        <w:ind w:left="720" w:hanging="720"/>
      </w:pPr>
      <w:r w:rsidR="00C63A66">
        <w:rPr/>
        <w:t>Meng, S. (2024). Operation Management of Grocery Retailer in the UK: A Case of Tesco. </w:t>
      </w:r>
      <w:r w:rsidRPr="4D8E6156" w:rsidR="00C63A66">
        <w:rPr>
          <w:i w:val="1"/>
          <w:iCs w:val="1"/>
        </w:rPr>
        <w:t>Pacific International Journal</w:t>
      </w:r>
      <w:r w:rsidR="00C63A66">
        <w:rPr/>
        <w:t>, </w:t>
      </w:r>
      <w:r w:rsidRPr="4D8E6156" w:rsidR="00C63A66">
        <w:rPr>
          <w:i w:val="1"/>
          <w:iCs w:val="1"/>
        </w:rPr>
        <w:t>7</w:t>
      </w:r>
      <w:r w:rsidR="00C63A66">
        <w:rPr/>
        <w:t>(2), 136-142.</w:t>
      </w:r>
      <w:r w:rsidR="56875FAD">
        <w:rPr/>
        <w:t xml:space="preserve"> (Accessed 10.02.26)</w:t>
      </w:r>
    </w:p>
    <w:p w:rsidR="4D8E6156" w:rsidP="4D8E6156" w:rsidRDefault="4D8E6156" w14:paraId="731D4AF0" w14:textId="76CC9371">
      <w:pPr>
        <w:ind w:left="720" w:hanging="720"/>
      </w:pPr>
    </w:p>
    <w:p w:rsidRPr="003A716D" w:rsidR="00C63A66" w:rsidP="00C63A66" w:rsidRDefault="00C63A66" w14:paraId="54DD05D0" w14:textId="36F374A2">
      <w:pPr>
        <w:ind w:left="720" w:hanging="720"/>
      </w:pPr>
      <w:r w:rsidR="00C63A66">
        <w:rPr/>
        <w:t xml:space="preserve">Molina, M., &amp; </w:t>
      </w:r>
      <w:r w:rsidR="00C63A66">
        <w:rPr/>
        <w:t>Wilestari</w:t>
      </w:r>
      <w:r w:rsidR="00C63A66">
        <w:rPr/>
        <w:t>, M. (2023). Examining financial strategy management: understanding financial performance, investment decisions, and strategic approaches through qualitative description and literature review. </w:t>
      </w:r>
      <w:r w:rsidRPr="4D8E6156" w:rsidR="00C63A66">
        <w:rPr>
          <w:i w:val="1"/>
          <w:iCs w:val="1"/>
        </w:rPr>
        <w:t>Atestasi</w:t>
      </w:r>
      <w:r w:rsidRPr="4D8E6156" w:rsidR="00C63A66">
        <w:rPr>
          <w:i w:val="1"/>
          <w:iCs w:val="1"/>
        </w:rPr>
        <w:t xml:space="preserve">: </w:t>
      </w:r>
      <w:r w:rsidRPr="4D8E6156" w:rsidR="00C63A66">
        <w:rPr>
          <w:i w:val="1"/>
          <w:iCs w:val="1"/>
        </w:rPr>
        <w:t>Jurnal</w:t>
      </w:r>
      <w:r w:rsidRPr="4D8E6156" w:rsidR="00C63A66">
        <w:rPr>
          <w:i w:val="1"/>
          <w:iCs w:val="1"/>
        </w:rPr>
        <w:t xml:space="preserve"> </w:t>
      </w:r>
      <w:r w:rsidRPr="4D8E6156" w:rsidR="00C63A66">
        <w:rPr>
          <w:i w:val="1"/>
          <w:iCs w:val="1"/>
        </w:rPr>
        <w:t>Ilmiah</w:t>
      </w:r>
      <w:r w:rsidRPr="4D8E6156" w:rsidR="00C63A66">
        <w:rPr>
          <w:i w:val="1"/>
          <w:iCs w:val="1"/>
        </w:rPr>
        <w:t xml:space="preserve"> </w:t>
      </w:r>
      <w:r w:rsidRPr="4D8E6156" w:rsidR="00C63A66">
        <w:rPr>
          <w:i w:val="1"/>
          <w:iCs w:val="1"/>
        </w:rPr>
        <w:t>Akuntansi</w:t>
      </w:r>
      <w:r w:rsidR="00C63A66">
        <w:rPr/>
        <w:t>, </w:t>
      </w:r>
      <w:r w:rsidRPr="4D8E6156" w:rsidR="00C63A66">
        <w:rPr>
          <w:i w:val="1"/>
          <w:iCs w:val="1"/>
        </w:rPr>
        <w:t>6</w:t>
      </w:r>
      <w:r w:rsidR="00C63A66">
        <w:rPr/>
        <w:t>(1), 406-419.</w:t>
      </w:r>
      <w:r w:rsidR="7AD983C6">
        <w:rPr/>
        <w:t xml:space="preserve"> (Accessed 10.02.26)</w:t>
      </w:r>
    </w:p>
    <w:p w:rsidRPr="003A716D" w:rsidR="00C63A66" w:rsidP="4D8E6156" w:rsidRDefault="00C63A66" w14:paraId="3E34ED68" w14:textId="3856377B">
      <w:pPr>
        <w:ind w:left="720" w:hanging="720"/>
        <w:jc w:val="left"/>
      </w:pPr>
      <w:r w:rsidR="00C63A66">
        <w:rPr/>
        <w:t>Ocran, J. N. (2023). The Tesco Group and Sustainable Operations Management. </w:t>
      </w:r>
      <w:r w:rsidRPr="4D8E6156" w:rsidR="00C63A66">
        <w:rPr>
          <w:i w:val="1"/>
          <w:iCs w:val="1"/>
        </w:rPr>
        <w:t xml:space="preserve">Journal of Earth and Environmental Science Research. SRC/JEESR-264. DOI: </w:t>
      </w:r>
      <w:r w:rsidRPr="4D8E6156" w:rsidR="00C63A66">
        <w:rPr>
          <w:i w:val="1"/>
          <w:iCs w:val="1"/>
        </w:rPr>
        <w:t>doi</w:t>
      </w:r>
      <w:r w:rsidRPr="4D8E6156" w:rsidR="00C63A66">
        <w:rPr>
          <w:i w:val="1"/>
          <w:iCs w:val="1"/>
        </w:rPr>
        <w:t>. org/10.47363/JEESR/2023 (5)</w:t>
      </w:r>
      <w:r w:rsidR="00C63A66">
        <w:rPr/>
        <w:t>, </w:t>
      </w:r>
      <w:r w:rsidRPr="4D8E6156" w:rsidR="00C63A66">
        <w:rPr>
          <w:i w:val="1"/>
          <w:iCs w:val="1"/>
        </w:rPr>
        <w:t>212</w:t>
      </w:r>
      <w:r w:rsidR="00C63A66">
        <w:rPr/>
        <w:t>, 2-6.</w:t>
      </w:r>
      <w:r w:rsidR="3617716A">
        <w:rPr/>
        <w:t xml:space="preserve"> (Accessed 19.02.26)</w:t>
      </w:r>
    </w:p>
    <w:p w:rsidRPr="003A716D" w:rsidR="00C63A66" w:rsidP="4D8E6156" w:rsidRDefault="00C63A66" w14:paraId="0F847764" w14:textId="245D19C6">
      <w:pPr>
        <w:ind w:left="720" w:hanging="720"/>
        <w:jc w:val="left"/>
      </w:pPr>
      <w:r w:rsidR="00C63A66">
        <w:rPr/>
        <w:t xml:space="preserve">RITH (2025). Tesco sees AI and automation technology investment pay off as grocery giant’s first half sales rise. Retrieved from </w:t>
      </w:r>
      <w:hyperlink r:id="R8bdd6797d7fd4803">
        <w:r w:rsidRPr="4D8E6156" w:rsidR="00C63A66">
          <w:rPr>
            <w:rStyle w:val="Hyperlink"/>
          </w:rPr>
          <w:t>https://retailtechinnovationhub.com/home/2025/10/2/tesco-sees-ai-and-automation-tech-investment-pay-off-as-grocery-giants-first-half-sales-rise</w:t>
        </w:r>
      </w:hyperlink>
      <w:r w:rsidR="53DA26BD">
        <w:rPr/>
        <w:t xml:space="preserve"> (Accessed 17.02.26)</w:t>
      </w:r>
    </w:p>
    <w:p w:rsidRPr="003A716D" w:rsidR="00C63A66" w:rsidP="4D8E6156" w:rsidRDefault="00C63A66" w14:paraId="67E4EB2D" w14:textId="72203513">
      <w:pPr>
        <w:ind w:left="720" w:hanging="720"/>
        <w:jc w:val="left"/>
      </w:pPr>
      <w:r w:rsidR="00C63A66">
        <w:rPr/>
        <w:t>Tesco</w:t>
      </w:r>
      <w:r w:rsidR="6ABB46F9">
        <w:rPr/>
        <w:t xml:space="preserve"> </w:t>
      </w:r>
      <w:r w:rsidR="00C63A66">
        <w:rPr/>
        <w:t xml:space="preserve">PLC (2024). </w:t>
      </w:r>
      <w:r w:rsidRPr="4D8E6156" w:rsidR="00C63A66">
        <w:rPr>
          <w:i w:val="1"/>
          <w:iCs w:val="1"/>
        </w:rPr>
        <w:t>Making a positive impact</w:t>
      </w:r>
      <w:r w:rsidR="00C63A66">
        <w:rPr/>
        <w:t xml:space="preserve">. Retrieved from </w:t>
      </w:r>
      <w:hyperlink r:id="R634511ff8f0442a9">
        <w:r w:rsidRPr="4D8E6156" w:rsidR="00C63A66">
          <w:rPr>
            <w:rStyle w:val="Hyperlink"/>
          </w:rPr>
          <w:t>https://www.tescoplc.com/media/wvkj1yic/tesco-sustainability-report-2025.pdf</w:t>
        </w:r>
      </w:hyperlink>
      <w:r w:rsidR="2EBBBCA7">
        <w:rPr/>
        <w:t xml:space="preserve"> (Accessed 15.02.26)</w:t>
      </w:r>
    </w:p>
    <w:p w:rsidRPr="003A716D" w:rsidR="00C63A66" w:rsidP="00C63A66" w:rsidRDefault="00C63A66" w14:paraId="541F11DC" w14:textId="6D1A5EC8">
      <w:pPr>
        <w:ind w:left="720" w:hanging="720"/>
      </w:pPr>
      <w:r w:rsidR="00C63A66">
        <w:rPr/>
        <w:t xml:space="preserve">Tesco PLC (2024). </w:t>
      </w:r>
      <w:r w:rsidRPr="4D8E6156" w:rsidR="00C63A66">
        <w:rPr>
          <w:i w:val="1"/>
          <w:iCs w:val="1"/>
        </w:rPr>
        <w:t xml:space="preserve">Serving our customers, </w:t>
      </w:r>
      <w:r w:rsidRPr="4D8E6156" w:rsidR="00C63A66">
        <w:rPr>
          <w:i w:val="1"/>
          <w:iCs w:val="1"/>
        </w:rPr>
        <w:t>communities</w:t>
      </w:r>
      <w:r w:rsidRPr="4D8E6156" w:rsidR="00C63A66">
        <w:rPr>
          <w:i w:val="1"/>
          <w:iCs w:val="1"/>
        </w:rPr>
        <w:t xml:space="preserve"> and planet a little better every day</w:t>
      </w:r>
      <w:r w:rsidR="00C63A66">
        <w:rPr/>
        <w:t xml:space="preserve">. Retrieved from </w:t>
      </w:r>
      <w:hyperlink r:id="R3c8338567b894fac">
        <w:r w:rsidRPr="4D8E6156" w:rsidR="00C63A66">
          <w:rPr>
            <w:rStyle w:val="Hyperlink"/>
          </w:rPr>
          <w:t>https://www.tescoplc.com/media/cfujcdsq/tesi-report-20250319.pdf</w:t>
        </w:r>
      </w:hyperlink>
      <w:r w:rsidR="031CF3A9">
        <w:rPr/>
        <w:t xml:space="preserve"> (Accessed 15.02.26)</w:t>
      </w:r>
    </w:p>
    <w:p w:rsidRPr="003A716D" w:rsidR="00C93BE6" w:rsidP="4D8E6156" w:rsidRDefault="00C93BE6" w14:paraId="5A3987C9" w14:textId="2F02E586">
      <w:pPr>
        <w:ind w:left="720" w:hanging="720"/>
        <w:jc w:val="left"/>
      </w:pPr>
      <w:r w:rsidR="00C93BE6">
        <w:rPr/>
        <w:t>Virparia</w:t>
      </w:r>
      <w:r w:rsidR="00C93BE6">
        <w:rPr/>
        <w:t>, V., &amp; Panchal, N. (2025). COST VARIANCE ANALYSIS: A PRE &amp; POST COVID STUDY OF GUJARAT STATE FERTILIZER COMPANY LTD. </w:t>
      </w:r>
      <w:r w:rsidRPr="4D8E6156" w:rsidR="00C93BE6">
        <w:rPr>
          <w:i w:val="1"/>
          <w:iCs w:val="1"/>
        </w:rPr>
        <w:t xml:space="preserve">International Journal of Management, Public </w:t>
      </w:r>
      <w:r w:rsidRPr="4D8E6156" w:rsidR="00C93BE6">
        <w:rPr>
          <w:i w:val="1"/>
          <w:iCs w:val="1"/>
        </w:rPr>
        <w:t>Policy</w:t>
      </w:r>
      <w:r w:rsidRPr="4D8E6156" w:rsidR="00C93BE6">
        <w:rPr>
          <w:i w:val="1"/>
          <w:iCs w:val="1"/>
        </w:rPr>
        <w:t xml:space="preserve"> and Research</w:t>
      </w:r>
      <w:r w:rsidR="00C93BE6">
        <w:rPr/>
        <w:t>, </w:t>
      </w:r>
      <w:r w:rsidRPr="4D8E6156" w:rsidR="00C93BE6">
        <w:rPr>
          <w:i w:val="1"/>
          <w:iCs w:val="1"/>
        </w:rPr>
        <w:t>4</w:t>
      </w:r>
      <w:r w:rsidR="00C93BE6">
        <w:rPr/>
        <w:t>(2), 10-20</w:t>
      </w:r>
      <w:r w:rsidR="66AB3313">
        <w:rPr/>
        <w:t xml:space="preserve"> (Accessed 12.02.26)</w:t>
      </w:r>
    </w:p>
    <w:p w:rsidR="00C63A66" w:rsidP="00C63A66" w:rsidRDefault="00C63A66" w14:paraId="46FD1012" w14:textId="68FCA65F">
      <w:pPr>
        <w:ind w:left="720" w:hanging="720"/>
      </w:pPr>
      <w:r w:rsidR="00C63A66">
        <w:rPr/>
        <w:t>Yoshikuni</w:t>
      </w:r>
      <w:r w:rsidR="00C63A66">
        <w:rPr/>
        <w:t xml:space="preserve">, A. C., Dwivedi, R., </w:t>
      </w:r>
      <w:r w:rsidR="00C63A66">
        <w:rPr/>
        <w:t>Dultra</w:t>
      </w:r>
      <w:r w:rsidR="00C63A66">
        <w:rPr/>
        <w:t>-de-Lima, R. G., Parisi, C., &amp; Oyadomari, J. C. T. (2023). Role of emerging technologies in accounting information systems for achieving strategic flexibility through decision-making performance: an exploratory study based on North American and South American firms. </w:t>
      </w:r>
      <w:r w:rsidRPr="4D8E6156" w:rsidR="00C63A66">
        <w:rPr>
          <w:i w:val="1"/>
          <w:iCs w:val="1"/>
        </w:rPr>
        <w:t>Global Journal of Flexible Systems Management</w:t>
      </w:r>
      <w:r w:rsidR="00C63A66">
        <w:rPr/>
        <w:t>, </w:t>
      </w:r>
      <w:r w:rsidRPr="4D8E6156" w:rsidR="00C63A66">
        <w:rPr>
          <w:i w:val="1"/>
          <w:iCs w:val="1"/>
        </w:rPr>
        <w:t>24</w:t>
      </w:r>
      <w:r w:rsidR="00C63A66">
        <w:rPr/>
        <w:t>(2), 199-218.</w:t>
      </w:r>
      <w:r w:rsidR="00E913B4">
        <w:rPr/>
        <w:t xml:space="preserve"> </w:t>
      </w:r>
      <w:r w:rsidR="43B8D866">
        <w:rPr/>
        <w:t>(Accessed 15.02.26)</w:t>
      </w:r>
    </w:p>
    <w:p w:rsidRPr="00C63A66" w:rsidR="00C63A66" w:rsidP="00C63A66" w:rsidRDefault="00C63A66" w14:paraId="21E1EA79" w14:textId="77777777"/>
    <w:p w:rsidRPr="007E4F38" w:rsidR="00C63A66" w:rsidP="007E4F38" w:rsidRDefault="00C63A66" w14:paraId="77C2253A" w14:textId="77777777"/>
    <w:p w:rsidRPr="00AC6EEA" w:rsidR="00AC6EEA" w:rsidP="00AC6EEA" w:rsidRDefault="00AC6EEA" w14:paraId="27A12E44" w14:textId="77777777"/>
    <w:p w:rsidRPr="00C2037F" w:rsidR="00C2037F" w:rsidP="00C2037F" w:rsidRDefault="00C2037F" w14:paraId="06870DAD" w14:textId="77777777"/>
    <w:p w:rsidRPr="000143CD" w:rsidR="000143CD" w:rsidP="000143CD" w:rsidRDefault="000143CD" w14:paraId="5C58CB0C" w14:textId="77777777"/>
    <w:p w:rsidRPr="00B1740A" w:rsidR="00B1740A" w:rsidP="00B1740A" w:rsidRDefault="00B1740A" w14:paraId="0060FAED" w14:textId="77777777"/>
    <w:sectPr w:rsidRPr="00B1740A" w:rsidR="00B1740A">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7C03" w:rsidP="001C6038" w:rsidRDefault="00237C03" w14:paraId="54F34B97" w14:textId="77777777">
      <w:pPr>
        <w:spacing w:after="0" w:line="240" w:lineRule="auto"/>
      </w:pPr>
      <w:r>
        <w:separator/>
      </w:r>
    </w:p>
  </w:endnote>
  <w:endnote w:type="continuationSeparator" w:id="0">
    <w:p w:rsidR="00237C03" w:rsidP="001C6038" w:rsidRDefault="00237C03" w14:paraId="012437F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7C03" w:rsidP="001C6038" w:rsidRDefault="00237C03" w14:paraId="61EA02C4" w14:textId="77777777">
      <w:pPr>
        <w:spacing w:after="0" w:line="240" w:lineRule="auto"/>
      </w:pPr>
      <w:r>
        <w:separator/>
      </w:r>
    </w:p>
  </w:footnote>
  <w:footnote w:type="continuationSeparator" w:id="0">
    <w:p w:rsidR="00237C03" w:rsidP="001C6038" w:rsidRDefault="00237C03" w14:paraId="63359A74"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D10"/>
    <w:rsid w:val="000143CD"/>
    <w:rsid w:val="00026EBA"/>
    <w:rsid w:val="000458E6"/>
    <w:rsid w:val="000C06FC"/>
    <w:rsid w:val="000D1087"/>
    <w:rsid w:val="000D7788"/>
    <w:rsid w:val="00104E5F"/>
    <w:rsid w:val="0010572E"/>
    <w:rsid w:val="00107DF8"/>
    <w:rsid w:val="00127235"/>
    <w:rsid w:val="001A372E"/>
    <w:rsid w:val="001C6038"/>
    <w:rsid w:val="001F2D05"/>
    <w:rsid w:val="00237C03"/>
    <w:rsid w:val="00241AEE"/>
    <w:rsid w:val="0024276D"/>
    <w:rsid w:val="00275F14"/>
    <w:rsid w:val="002801A3"/>
    <w:rsid w:val="002C0019"/>
    <w:rsid w:val="003355AF"/>
    <w:rsid w:val="00336E9C"/>
    <w:rsid w:val="003649AE"/>
    <w:rsid w:val="00394A8B"/>
    <w:rsid w:val="003A1ED9"/>
    <w:rsid w:val="003A716D"/>
    <w:rsid w:val="003B7410"/>
    <w:rsid w:val="003C7BE1"/>
    <w:rsid w:val="004364A2"/>
    <w:rsid w:val="00467486"/>
    <w:rsid w:val="00470CC4"/>
    <w:rsid w:val="00491D3C"/>
    <w:rsid w:val="004F1890"/>
    <w:rsid w:val="005906B5"/>
    <w:rsid w:val="00591E16"/>
    <w:rsid w:val="00595A32"/>
    <w:rsid w:val="005F27F1"/>
    <w:rsid w:val="006024B7"/>
    <w:rsid w:val="0062112B"/>
    <w:rsid w:val="00642D10"/>
    <w:rsid w:val="00692488"/>
    <w:rsid w:val="006945B2"/>
    <w:rsid w:val="006E6F81"/>
    <w:rsid w:val="00724809"/>
    <w:rsid w:val="00730FE4"/>
    <w:rsid w:val="00755C6A"/>
    <w:rsid w:val="007C0D35"/>
    <w:rsid w:val="007D0C4F"/>
    <w:rsid w:val="007E4F38"/>
    <w:rsid w:val="007E7A92"/>
    <w:rsid w:val="00820F07"/>
    <w:rsid w:val="00832A0D"/>
    <w:rsid w:val="008409F4"/>
    <w:rsid w:val="00860F4E"/>
    <w:rsid w:val="00873792"/>
    <w:rsid w:val="009217C3"/>
    <w:rsid w:val="009525F6"/>
    <w:rsid w:val="009617D7"/>
    <w:rsid w:val="009805EF"/>
    <w:rsid w:val="0098781C"/>
    <w:rsid w:val="00996E56"/>
    <w:rsid w:val="009A20D3"/>
    <w:rsid w:val="009B0C6A"/>
    <w:rsid w:val="009C2AA8"/>
    <w:rsid w:val="009D03FE"/>
    <w:rsid w:val="009F1EEA"/>
    <w:rsid w:val="00A11CE4"/>
    <w:rsid w:val="00A1452C"/>
    <w:rsid w:val="00A676D1"/>
    <w:rsid w:val="00AC6EEA"/>
    <w:rsid w:val="00AE1C71"/>
    <w:rsid w:val="00AE2FE2"/>
    <w:rsid w:val="00AF4984"/>
    <w:rsid w:val="00B1740A"/>
    <w:rsid w:val="00B76412"/>
    <w:rsid w:val="00B817D5"/>
    <w:rsid w:val="00B84461"/>
    <w:rsid w:val="00BE152B"/>
    <w:rsid w:val="00BE1962"/>
    <w:rsid w:val="00BF69D6"/>
    <w:rsid w:val="00C2037F"/>
    <w:rsid w:val="00C357BB"/>
    <w:rsid w:val="00C51A2B"/>
    <w:rsid w:val="00C55FCD"/>
    <w:rsid w:val="00C63A66"/>
    <w:rsid w:val="00C93BE6"/>
    <w:rsid w:val="00CA30A6"/>
    <w:rsid w:val="00D032B5"/>
    <w:rsid w:val="00D50882"/>
    <w:rsid w:val="00D5103F"/>
    <w:rsid w:val="00D639E1"/>
    <w:rsid w:val="00D959D6"/>
    <w:rsid w:val="00DA3E91"/>
    <w:rsid w:val="00E52336"/>
    <w:rsid w:val="00E86344"/>
    <w:rsid w:val="00E913B4"/>
    <w:rsid w:val="00EA6A9A"/>
    <w:rsid w:val="00EB1DBF"/>
    <w:rsid w:val="00EC15E9"/>
    <w:rsid w:val="00ED012E"/>
    <w:rsid w:val="00F2230E"/>
    <w:rsid w:val="00F40A2F"/>
    <w:rsid w:val="00FA6772"/>
    <w:rsid w:val="031CF3A9"/>
    <w:rsid w:val="039B6DD4"/>
    <w:rsid w:val="0405F06D"/>
    <w:rsid w:val="0C70E2A6"/>
    <w:rsid w:val="11D17E5B"/>
    <w:rsid w:val="1A5A119F"/>
    <w:rsid w:val="2403F35E"/>
    <w:rsid w:val="25F38380"/>
    <w:rsid w:val="2640E9BF"/>
    <w:rsid w:val="28201030"/>
    <w:rsid w:val="28D7E826"/>
    <w:rsid w:val="28D94D4C"/>
    <w:rsid w:val="2EBBBCA7"/>
    <w:rsid w:val="31AAB951"/>
    <w:rsid w:val="3389CC4E"/>
    <w:rsid w:val="34EF6DE4"/>
    <w:rsid w:val="3617716A"/>
    <w:rsid w:val="36F6750F"/>
    <w:rsid w:val="383829C4"/>
    <w:rsid w:val="3ECF524D"/>
    <w:rsid w:val="3FA693B6"/>
    <w:rsid w:val="43B8D866"/>
    <w:rsid w:val="49137137"/>
    <w:rsid w:val="4D8E6156"/>
    <w:rsid w:val="507E644E"/>
    <w:rsid w:val="53DA26BD"/>
    <w:rsid w:val="56875FAD"/>
    <w:rsid w:val="5ADC96B3"/>
    <w:rsid w:val="5D55FEB8"/>
    <w:rsid w:val="5FC08E2A"/>
    <w:rsid w:val="653ED33E"/>
    <w:rsid w:val="65E35E53"/>
    <w:rsid w:val="66AB3313"/>
    <w:rsid w:val="68DF6BF0"/>
    <w:rsid w:val="6ABB46F9"/>
    <w:rsid w:val="76A90283"/>
    <w:rsid w:val="79EEC0EA"/>
    <w:rsid w:val="7A34C3CA"/>
    <w:rsid w:val="7AD983C6"/>
    <w:rsid w:val="7E2A1A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6966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C0D35"/>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7C0D35"/>
    <w:pPr>
      <w:outlineLvl w:val="0"/>
    </w:pPr>
    <w:rPr>
      <w:b/>
      <w:i/>
    </w:rPr>
  </w:style>
  <w:style w:type="paragraph" w:styleId="Heading2">
    <w:name w:val="heading 2"/>
    <w:basedOn w:val="Heading1"/>
    <w:next w:val="Normal"/>
    <w:link w:val="Heading2Char"/>
    <w:uiPriority w:val="9"/>
    <w:unhideWhenUsed/>
    <w:qFormat/>
    <w:rsid w:val="007C0D35"/>
    <w:pPr>
      <w:outlineLvl w:val="1"/>
    </w:pPr>
    <w:rPr>
      <w:b w:val="0"/>
    </w:rPr>
  </w:style>
  <w:style w:type="paragraph" w:styleId="Heading3">
    <w:name w:val="heading 3"/>
    <w:basedOn w:val="Normal"/>
    <w:next w:val="Normal"/>
    <w:link w:val="Heading3Char"/>
    <w:uiPriority w:val="9"/>
    <w:semiHidden/>
    <w:unhideWhenUsed/>
    <w:qFormat/>
    <w:rsid w:val="00642D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2D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2D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2D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D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D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D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C0D35"/>
    <w:rPr>
      <w:rFonts w:ascii="Times New Roman" w:hAnsi="Times New Roman"/>
      <w:b/>
      <w:i/>
      <w:color w:val="000000" w:themeColor="text1"/>
    </w:rPr>
  </w:style>
  <w:style w:type="character" w:styleId="Heading2Char" w:customStyle="1">
    <w:name w:val="Heading 2 Char"/>
    <w:basedOn w:val="DefaultParagraphFont"/>
    <w:link w:val="Heading2"/>
    <w:uiPriority w:val="9"/>
    <w:rsid w:val="007C0D35"/>
    <w:rPr>
      <w:rFonts w:ascii="Times New Roman" w:hAnsi="Times New Roman"/>
      <w:i/>
      <w:color w:val="000000" w:themeColor="text1"/>
    </w:rPr>
  </w:style>
  <w:style w:type="character" w:styleId="Heading3Char" w:customStyle="1">
    <w:name w:val="Heading 3 Char"/>
    <w:basedOn w:val="DefaultParagraphFont"/>
    <w:link w:val="Heading3"/>
    <w:uiPriority w:val="9"/>
    <w:semiHidden/>
    <w:rsid w:val="00642D10"/>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642D1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642D1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642D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42D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42D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42D10"/>
    <w:rPr>
      <w:rFonts w:eastAsiaTheme="majorEastAsia" w:cstheme="majorBidi"/>
      <w:color w:val="272727" w:themeColor="text1" w:themeTint="D8"/>
    </w:rPr>
  </w:style>
  <w:style w:type="paragraph" w:styleId="Title">
    <w:name w:val="Title"/>
    <w:basedOn w:val="Normal"/>
    <w:next w:val="Normal"/>
    <w:link w:val="TitleChar"/>
    <w:uiPriority w:val="10"/>
    <w:qFormat/>
    <w:rsid w:val="00642D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42D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42D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42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D10"/>
    <w:pPr>
      <w:spacing w:before="160"/>
      <w:jc w:val="center"/>
    </w:pPr>
    <w:rPr>
      <w:i/>
      <w:iCs/>
      <w:color w:val="404040" w:themeColor="text1" w:themeTint="BF"/>
    </w:rPr>
  </w:style>
  <w:style w:type="character" w:styleId="QuoteChar" w:customStyle="1">
    <w:name w:val="Quote Char"/>
    <w:basedOn w:val="DefaultParagraphFont"/>
    <w:link w:val="Quote"/>
    <w:uiPriority w:val="29"/>
    <w:rsid w:val="00642D10"/>
    <w:rPr>
      <w:i/>
      <w:iCs/>
      <w:color w:val="404040" w:themeColor="text1" w:themeTint="BF"/>
    </w:rPr>
  </w:style>
  <w:style w:type="paragraph" w:styleId="ListParagraph">
    <w:name w:val="List Paragraph"/>
    <w:basedOn w:val="Normal"/>
    <w:uiPriority w:val="34"/>
    <w:qFormat/>
    <w:rsid w:val="00642D10"/>
    <w:pPr>
      <w:ind w:left="720"/>
      <w:contextualSpacing/>
    </w:pPr>
  </w:style>
  <w:style w:type="character" w:styleId="IntenseEmphasis">
    <w:name w:val="Intense Emphasis"/>
    <w:basedOn w:val="DefaultParagraphFont"/>
    <w:uiPriority w:val="21"/>
    <w:qFormat/>
    <w:rsid w:val="00642D10"/>
    <w:rPr>
      <w:i/>
      <w:iCs/>
      <w:color w:val="2F5496" w:themeColor="accent1" w:themeShade="BF"/>
    </w:rPr>
  </w:style>
  <w:style w:type="paragraph" w:styleId="IntenseQuote">
    <w:name w:val="Intense Quote"/>
    <w:basedOn w:val="Normal"/>
    <w:next w:val="Normal"/>
    <w:link w:val="IntenseQuoteChar"/>
    <w:uiPriority w:val="30"/>
    <w:qFormat/>
    <w:rsid w:val="00642D1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642D10"/>
    <w:rPr>
      <w:i/>
      <w:iCs/>
      <w:color w:val="2F5496" w:themeColor="accent1" w:themeShade="BF"/>
    </w:rPr>
  </w:style>
  <w:style w:type="character" w:styleId="IntenseReference">
    <w:name w:val="Intense Reference"/>
    <w:basedOn w:val="DefaultParagraphFont"/>
    <w:uiPriority w:val="32"/>
    <w:qFormat/>
    <w:rsid w:val="00642D10"/>
    <w:rPr>
      <w:b/>
      <w:bCs/>
      <w:smallCaps/>
      <w:color w:val="2F5496" w:themeColor="accent1" w:themeShade="BF"/>
      <w:spacing w:val="5"/>
    </w:rPr>
  </w:style>
  <w:style w:type="paragraph" w:styleId="Caption">
    <w:name w:val="caption"/>
    <w:basedOn w:val="Normal"/>
    <w:next w:val="Normal"/>
    <w:uiPriority w:val="35"/>
    <w:unhideWhenUsed/>
    <w:qFormat/>
    <w:rsid w:val="00B1740A"/>
    <w:pPr>
      <w:spacing w:after="200" w:line="240" w:lineRule="auto"/>
    </w:pPr>
    <w:rPr>
      <w:i/>
      <w:iCs/>
      <w:color w:val="44546A" w:themeColor="text2"/>
      <w:sz w:val="18"/>
      <w:szCs w:val="18"/>
    </w:rPr>
  </w:style>
  <w:style w:type="table" w:styleId="GridTable4-Accent4">
    <w:name w:val="Grid Table 4 Accent 4"/>
    <w:basedOn w:val="TableNormal"/>
    <w:uiPriority w:val="49"/>
    <w:rsid w:val="00F40A2F"/>
    <w:pPr>
      <w:spacing w:after="0" w:line="240" w:lineRule="auto"/>
    </w:pPr>
    <w:tblPr>
      <w:tblStyleRowBandSize w:val="1"/>
      <w:tblStyleColBandSize w:val="1"/>
      <w:tblInd w:w="0" w:type="dxa"/>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CellMar>
        <w:top w:w="0" w:type="dxa"/>
        <w:left w:w="108" w:type="dxa"/>
        <w:bottom w:w="0" w:type="dxa"/>
        <w:right w:w="108" w:type="dxa"/>
      </w:tblCellMar>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C63A66"/>
    <w:rPr>
      <w:color w:val="0563C1" w:themeColor="hyperlink"/>
      <w:u w:val="single"/>
    </w:rPr>
  </w:style>
  <w:style w:type="paragraph" w:styleId="Header">
    <w:name w:val="header"/>
    <w:basedOn w:val="Normal"/>
    <w:link w:val="HeaderChar"/>
    <w:uiPriority w:val="99"/>
    <w:unhideWhenUsed/>
    <w:rsid w:val="001C6038"/>
    <w:pPr>
      <w:tabs>
        <w:tab w:val="center" w:pos="4513"/>
        <w:tab w:val="right" w:pos="9026"/>
      </w:tabs>
      <w:spacing w:after="0" w:line="240" w:lineRule="auto"/>
    </w:pPr>
  </w:style>
  <w:style w:type="character" w:styleId="HeaderChar" w:customStyle="1">
    <w:name w:val="Header Char"/>
    <w:basedOn w:val="DefaultParagraphFont"/>
    <w:link w:val="Header"/>
    <w:uiPriority w:val="99"/>
    <w:rsid w:val="001C6038"/>
    <w:rPr>
      <w:rFonts w:ascii="Times New Roman" w:hAnsi="Times New Roman"/>
      <w:color w:val="000000" w:themeColor="text1"/>
    </w:rPr>
  </w:style>
  <w:style w:type="paragraph" w:styleId="Footer">
    <w:name w:val="footer"/>
    <w:basedOn w:val="Normal"/>
    <w:link w:val="FooterChar"/>
    <w:uiPriority w:val="99"/>
    <w:unhideWhenUsed/>
    <w:rsid w:val="001C603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C6038"/>
    <w:rPr>
      <w:rFonts w:ascii="Times New Roman" w:hAnsi="Times New Roman"/>
      <w:color w:val="000000" w:themeColor="text1"/>
    </w:rPr>
  </w:style>
  <w:style w:type="character" w:styleId="CommentReference">
    <w:name w:val="annotation reference"/>
    <w:basedOn w:val="DefaultParagraphFont"/>
    <w:uiPriority w:val="99"/>
    <w:semiHidden/>
    <w:unhideWhenUsed/>
    <w:rsid w:val="00832A0D"/>
    <w:rPr>
      <w:sz w:val="16"/>
      <w:szCs w:val="16"/>
    </w:rPr>
  </w:style>
  <w:style w:type="paragraph" w:styleId="CommentText">
    <w:name w:val="annotation text"/>
    <w:basedOn w:val="Normal"/>
    <w:link w:val="CommentTextChar"/>
    <w:uiPriority w:val="99"/>
    <w:semiHidden/>
    <w:unhideWhenUsed/>
    <w:rsid w:val="00832A0D"/>
    <w:pPr>
      <w:spacing w:line="240" w:lineRule="auto"/>
    </w:pPr>
    <w:rPr>
      <w:sz w:val="20"/>
      <w:szCs w:val="20"/>
    </w:rPr>
  </w:style>
  <w:style w:type="character" w:styleId="CommentTextChar" w:customStyle="1">
    <w:name w:val="Comment Text Char"/>
    <w:basedOn w:val="DefaultParagraphFont"/>
    <w:link w:val="CommentText"/>
    <w:uiPriority w:val="99"/>
    <w:semiHidden/>
    <w:rsid w:val="00832A0D"/>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832A0D"/>
    <w:rPr>
      <w:b/>
      <w:bCs/>
    </w:rPr>
  </w:style>
  <w:style w:type="character" w:styleId="CommentSubjectChar" w:customStyle="1">
    <w:name w:val="Comment Subject Char"/>
    <w:basedOn w:val="CommentTextChar"/>
    <w:link w:val="CommentSubject"/>
    <w:uiPriority w:val="99"/>
    <w:semiHidden/>
    <w:rsid w:val="00832A0D"/>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832A0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832A0D"/>
    <w:rPr>
      <w:rFonts w:ascii="Segoe UI" w:hAnsi="Segoe UI" w:cs="Segoe UI"/>
      <w:color w:val="000000" w:themeColor="text1"/>
      <w:sz w:val="18"/>
      <w:szCs w:val="18"/>
    </w:rPr>
  </w:style>
  <w:style w:type="paragraph" w:styleId="TOC1">
    <w:name w:val="toc 1"/>
    <w:basedOn w:val="Normal"/>
    <w:next w:val="Normal"/>
    <w:autoRedefine/>
    <w:uiPriority w:val="39"/>
    <w:unhideWhenUsed/>
    <w:rsid w:val="003A716D"/>
    <w:pPr>
      <w:tabs>
        <w:tab w:val="right" w:leader="dot" w:pos="9016"/>
      </w:tabs>
      <w:spacing w:after="100"/>
      <w:jc w:val="center"/>
    </w:pPr>
    <w:rPr>
      <w:b/>
      <w:bCs/>
    </w:rPr>
  </w:style>
  <w:style w:type="paragraph" w:styleId="TOC2">
    <w:name w:val="toc 2"/>
    <w:basedOn w:val="Normal"/>
    <w:next w:val="Normal"/>
    <w:autoRedefine/>
    <w:uiPriority w:val="39"/>
    <w:unhideWhenUsed/>
    <w:rsid w:val="003A71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2.xml" Id="rId8" /><Relationship Type="http://schemas.openxmlformats.org/officeDocument/2006/relationships/settings" Target="settings.xml" Id="rId3" /><Relationship Type="http://schemas.openxmlformats.org/officeDocument/2006/relationships/chart" Target="charts/chart1.xml"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chart" Target="charts/chart4.xml" Id="rId10" /><Relationship Type="http://schemas.openxmlformats.org/officeDocument/2006/relationships/webSettings" Target="webSettings.xml" Id="rId4" /><Relationship Type="http://schemas.openxmlformats.org/officeDocument/2006/relationships/chart" Target="charts/chart3.xml" Id="rId9" /><Relationship Type="http://schemas.openxmlformats.org/officeDocument/2006/relationships/hyperlink" Target="https://www.tescoplc.com/media/ky0bfwpo/tesco_ar25_interactive.pdf" TargetMode="External" Id="Rb37061ef4ce649a2" /><Relationship Type="http://schemas.openxmlformats.org/officeDocument/2006/relationships/hyperlink" Target="https://www.ig.com/en/news-and-trade-ideas/tesco-q1-2025-26-trading-statement--what-next-as-uk-market-share-250610" TargetMode="External" Id="R55f57b73f0e14bbe" /><Relationship Type="http://schemas.openxmlformats.org/officeDocument/2006/relationships/hyperlink" Target="https://retailtechinnovationhub.com/home/2025/10/2/tesco-sees-ai-and-automation-tech-investment-pay-off-as-grocery-giants-first-half-sales-rise" TargetMode="External" Id="R8bdd6797d7fd4803" /><Relationship Type="http://schemas.openxmlformats.org/officeDocument/2006/relationships/hyperlink" Target="https://www.tescoplc.com/media/wvkj1yic/tesco-sustainability-report-2025.pdf" TargetMode="External" Id="R634511ff8f0442a9" /><Relationship Type="http://schemas.openxmlformats.org/officeDocument/2006/relationships/hyperlink" Target="https://www.tescoplc.com/media/cfujcdsq/tesi-report-20250319.pdf" TargetMode="External" Id="R3c8338567b894fac" /></Relationships>
</file>

<file path=word/charts/_rels/chart1.xml.rels><?xml version="1.0" encoding="UTF-8" standalone="yes"?>
<Relationships xmlns="http://schemas.openxmlformats.org/package/2006/relationships"><Relationship Id="rId3" Type="http://schemas.openxmlformats.org/officeDocument/2006/relationships/oleObject" Target="file:///C:\Users\muhammad.zain\Documents\Muhammad%20Zain%20Khan\TG-UKAH-ALICE-03\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uhammad.zain\Documents\Muhammad%20Zain%20Khan\TG-UKAH-ALICE-03\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uhammad.zain\Documents\Muhammad%20Zain%20Khan\TG-UKAH-ALICE-03\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uhammad.zain\Documents\Muhammad%20Zain%20Khan\TG-UKAH-ALICE-03\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Average</a:t>
            </a:r>
            <a:r>
              <a:rPr lang="en-US" baseline="0"/>
              <a:t> </a:t>
            </a:r>
            <a:r>
              <a:rPr lang="en-US"/>
              <a:t>Contribution to Total Revenue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Sheet1!$B$8</c:f>
              <c:strCache>
                <c:ptCount val="1"/>
                <c:pt idx="0">
                  <c:v>Approx. Contribution to Total Revenue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1D5B-43A9-895C-183E4F39956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1D5B-43A9-895C-183E4F39956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1D5B-43A9-895C-183E4F39956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7-1D5B-43A9-895C-183E4F39956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9-1D5B-43A9-895C-183E4F39956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Sheet1!$A$9:$A$13</c:f>
              <c:strCache>
                <c:ptCount val="5"/>
                <c:pt idx="0">
                  <c:v>UK &amp; ROI Grocery Retail</c:v>
                </c:pt>
                <c:pt idx="1">
                  <c:v>Non-Food Retail</c:v>
                </c:pt>
                <c:pt idx="2">
                  <c:v>Online Sales (included within retail)</c:v>
                </c:pt>
                <c:pt idx="3">
                  <c:v>Tesco Bank &amp; Financial Services</c:v>
                </c:pt>
                <c:pt idx="4">
                  <c:v>Telecom &amp; Other Services</c:v>
                </c:pt>
              </c:strCache>
            </c:strRef>
          </c:cat>
          <c:val>
            <c:numRef>
              <c:f>Sheet1!$B$9:$B$13</c:f>
              <c:numCache>
                <c:formatCode>0%</c:formatCode>
                <c:ptCount val="5"/>
                <c:pt idx="0">
                  <c:v>0.85</c:v>
                </c:pt>
                <c:pt idx="1">
                  <c:v>0.08</c:v>
                </c:pt>
                <c:pt idx="2">
                  <c:v>0.12</c:v>
                </c:pt>
                <c:pt idx="3">
                  <c:v>0.03</c:v>
                </c:pt>
                <c:pt idx="4">
                  <c:v>0.02</c:v>
                </c:pt>
              </c:numCache>
            </c:numRef>
          </c:val>
          <c:extLst xmlns:c16r2="http://schemas.microsoft.com/office/drawing/2015/06/chart">
            <c:ext xmlns:c16="http://schemas.microsoft.com/office/drawing/2014/chart" uri="{C3380CC4-5D6E-409C-BE32-E72D297353CC}">
              <c16:uniqueId val="{0000000A-1D5B-43A9-895C-183E4F39956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Revenue by</a:t>
            </a:r>
            <a:r>
              <a:rPr lang="en-GB" baseline="0"/>
              <a:t> Region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Sheet5!$A$13</c:f>
              <c:strCache>
                <c:ptCount val="1"/>
                <c:pt idx="0">
                  <c:v>UK and Republic of Ireland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Sheet5!$B$12:$D$12</c:f>
              <c:numCache>
                <c:formatCode>General</c:formatCode>
                <c:ptCount val="3"/>
                <c:pt idx="0">
                  <c:v>2023</c:v>
                </c:pt>
                <c:pt idx="1">
                  <c:v>2024</c:v>
                </c:pt>
                <c:pt idx="2">
                  <c:v>2025</c:v>
                </c:pt>
              </c:numCache>
            </c:numRef>
          </c:cat>
          <c:val>
            <c:numRef>
              <c:f>Sheet5!$B$13:$D$13</c:f>
              <c:numCache>
                <c:formatCode>0.00%</c:formatCode>
                <c:ptCount val="3"/>
                <c:pt idx="0">
                  <c:v>0.93179287305122493</c:v>
                </c:pt>
                <c:pt idx="1">
                  <c:v>0.93406367782715183</c:v>
                </c:pt>
                <c:pt idx="2">
                  <c:v>0.93802563075690826</c:v>
                </c:pt>
              </c:numCache>
            </c:numRef>
          </c:val>
          <c:extLst xmlns:c16r2="http://schemas.microsoft.com/office/drawing/2015/06/chart">
            <c:ext xmlns:c16="http://schemas.microsoft.com/office/drawing/2014/chart" uri="{C3380CC4-5D6E-409C-BE32-E72D297353CC}">
              <c16:uniqueId val="{00000000-0D64-4A31-954A-AB7C9FD253B6}"/>
            </c:ext>
          </c:extLst>
        </c:ser>
        <c:ser>
          <c:idx val="1"/>
          <c:order val="1"/>
          <c:tx>
            <c:strRef>
              <c:f>Sheet5!$A$14</c:f>
              <c:strCache>
                <c:ptCount val="1"/>
                <c:pt idx="0">
                  <c:v>Central Europe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Sheet5!$B$12:$D$12</c:f>
              <c:numCache>
                <c:formatCode>General</c:formatCode>
                <c:ptCount val="3"/>
                <c:pt idx="0">
                  <c:v>2023</c:v>
                </c:pt>
                <c:pt idx="1">
                  <c:v>2024</c:v>
                </c:pt>
                <c:pt idx="2">
                  <c:v>2025</c:v>
                </c:pt>
              </c:numCache>
            </c:numRef>
          </c:cat>
          <c:val>
            <c:numRef>
              <c:f>Sheet5!$B$14:$D$14</c:f>
              <c:numCache>
                <c:formatCode>0.00%</c:formatCode>
                <c:ptCount val="3"/>
                <c:pt idx="0">
                  <c:v>6.8207126948775051E-2</c:v>
                </c:pt>
                <c:pt idx="1">
                  <c:v>6.59363221728482E-2</c:v>
                </c:pt>
                <c:pt idx="2">
                  <c:v>6.1974369243091708E-2</c:v>
                </c:pt>
              </c:numCache>
            </c:numRef>
          </c:val>
          <c:extLst xmlns:c16r2="http://schemas.microsoft.com/office/drawing/2015/06/chart">
            <c:ext xmlns:c16="http://schemas.microsoft.com/office/drawing/2014/chart" uri="{C3380CC4-5D6E-409C-BE32-E72D297353CC}">
              <c16:uniqueId val="{00000001-0D64-4A31-954A-AB7C9FD253B6}"/>
            </c:ext>
          </c:extLst>
        </c:ser>
        <c:dLbls>
          <c:dLblPos val="outEnd"/>
          <c:showLegendKey val="0"/>
          <c:showVal val="1"/>
          <c:showCatName val="0"/>
          <c:showSerName val="0"/>
          <c:showPercent val="0"/>
          <c:showBubbleSize val="0"/>
        </c:dLbls>
        <c:gapWidth val="219"/>
        <c:overlap val="-27"/>
        <c:axId val="375715928"/>
        <c:axId val="375718672"/>
      </c:barChart>
      <c:catAx>
        <c:axId val="375715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718672"/>
        <c:crosses val="autoZero"/>
        <c:auto val="1"/>
        <c:lblAlgn val="ctr"/>
        <c:lblOffset val="100"/>
        <c:noMultiLvlLbl val="0"/>
      </c:catAx>
      <c:valAx>
        <c:axId val="3757186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715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Sheet2!$A$3</c:f>
              <c:strCache>
                <c:ptCount val="1"/>
                <c:pt idx="0">
                  <c:v>Gross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Sheet2!$B$2:$D$2</c:f>
              <c:numCache>
                <c:formatCode>General</c:formatCode>
                <c:ptCount val="3"/>
                <c:pt idx="0">
                  <c:v>2022</c:v>
                </c:pt>
                <c:pt idx="1">
                  <c:v>2023</c:v>
                </c:pt>
                <c:pt idx="2">
                  <c:v>2024</c:v>
                </c:pt>
              </c:numCache>
            </c:numRef>
          </c:cat>
          <c:val>
            <c:numRef>
              <c:f>Sheet2!$B$3:$D$3</c:f>
              <c:numCache>
                <c:formatCode>0%</c:formatCode>
                <c:ptCount val="3"/>
                <c:pt idx="0">
                  <c:v>5.1452803037261567E-2</c:v>
                </c:pt>
                <c:pt idx="1">
                  <c:v>7.1113262058750196E-2</c:v>
                </c:pt>
                <c:pt idx="2">
                  <c:v>7.2243835459694497E-2</c:v>
                </c:pt>
              </c:numCache>
            </c:numRef>
          </c:val>
          <c:extLst xmlns:c16r2="http://schemas.microsoft.com/office/drawing/2015/06/chart">
            <c:ext xmlns:c16="http://schemas.microsoft.com/office/drawing/2014/chart" uri="{C3380CC4-5D6E-409C-BE32-E72D297353CC}">
              <c16:uniqueId val="{00000000-95AD-4EFB-B528-4AE292842841}"/>
            </c:ext>
          </c:extLst>
        </c:ser>
        <c:ser>
          <c:idx val="1"/>
          <c:order val="1"/>
          <c:tx>
            <c:strRef>
              <c:f>Sheet2!$A$4</c:f>
              <c:strCache>
                <c:ptCount val="1"/>
                <c:pt idx="0">
                  <c:v>Operating Profit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Sheet2!$B$2:$D$2</c:f>
              <c:numCache>
                <c:formatCode>General</c:formatCode>
                <c:ptCount val="3"/>
                <c:pt idx="0">
                  <c:v>2022</c:v>
                </c:pt>
                <c:pt idx="1">
                  <c:v>2023</c:v>
                </c:pt>
                <c:pt idx="2">
                  <c:v>2024</c:v>
                </c:pt>
              </c:numCache>
            </c:numRef>
          </c:cat>
          <c:val>
            <c:numRef>
              <c:f>Sheet2!$B$4:$D$4</c:f>
              <c:numCache>
                <c:formatCode>0%</c:formatCode>
                <c:ptCount val="3"/>
                <c:pt idx="0">
                  <c:v>2.2656991518936957E-2</c:v>
                </c:pt>
                <c:pt idx="1">
                  <c:v>4.0344933785032337E-2</c:v>
                </c:pt>
                <c:pt idx="2">
                  <c:v>3.908976486068997E-2</c:v>
                </c:pt>
              </c:numCache>
            </c:numRef>
          </c:val>
          <c:extLst xmlns:c16r2="http://schemas.microsoft.com/office/drawing/2015/06/chart">
            <c:ext xmlns:c16="http://schemas.microsoft.com/office/drawing/2014/chart" uri="{C3380CC4-5D6E-409C-BE32-E72D297353CC}">
              <c16:uniqueId val="{00000001-95AD-4EFB-B528-4AE292842841}"/>
            </c:ext>
          </c:extLst>
        </c:ser>
        <c:dLbls>
          <c:dLblPos val="outEnd"/>
          <c:showLegendKey val="0"/>
          <c:showVal val="1"/>
          <c:showCatName val="0"/>
          <c:showSerName val="0"/>
          <c:showPercent val="0"/>
          <c:showBubbleSize val="0"/>
        </c:dLbls>
        <c:gapWidth val="219"/>
        <c:overlap val="-27"/>
        <c:axId val="375716320"/>
        <c:axId val="375717104"/>
      </c:barChart>
      <c:catAx>
        <c:axId val="375716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717104"/>
        <c:crosses val="autoZero"/>
        <c:auto val="1"/>
        <c:lblAlgn val="ctr"/>
        <c:lblOffset val="100"/>
        <c:noMultiLvlLbl val="0"/>
      </c:catAx>
      <c:valAx>
        <c:axId val="3757171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716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Operating Expense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Sheet3!$A$10</c:f>
              <c:strCache>
                <c:ptCount val="1"/>
                <c:pt idx="0">
                  <c:v>Operating Expense</c:v>
                </c:pt>
              </c:strCache>
            </c:strRef>
          </c:tx>
          <c:spPr>
            <a:solidFill>
              <a:schemeClr val="accent1"/>
            </a:solidFill>
            <a:ln>
              <a:noFill/>
            </a:ln>
            <a:effectLst/>
          </c:spPr>
          <c:invertIfNegative val="0"/>
          <c:dLbls>
            <c:delete val="1"/>
          </c:dLbls>
          <c:cat>
            <c:numRef>
              <c:f>Sheet3!$B$9:$E$9</c:f>
              <c:numCache>
                <c:formatCode>0</c:formatCode>
                <c:ptCount val="4"/>
                <c:pt idx="0">
                  <c:v>2024</c:v>
                </c:pt>
                <c:pt idx="1">
                  <c:v>2023</c:v>
                </c:pt>
                <c:pt idx="2">
                  <c:v>2022</c:v>
                </c:pt>
                <c:pt idx="3">
                  <c:v>2021</c:v>
                </c:pt>
              </c:numCache>
            </c:numRef>
          </c:cat>
          <c:val>
            <c:numRef>
              <c:f>Sheet3!$B$10:$E$10</c:f>
              <c:numCache>
                <c:formatCode>0.00%</c:formatCode>
                <c:ptCount val="4"/>
                <c:pt idx="0">
                  <c:v>0.10770750988142293</c:v>
                </c:pt>
                <c:pt idx="1">
                  <c:v>7.6023391812865493E-2</c:v>
                </c:pt>
                <c:pt idx="2">
                  <c:v>-5.1915322580645164E-2</c:v>
                </c:pt>
              </c:numCache>
            </c:numRef>
          </c:val>
          <c:extLst xmlns:c16r2="http://schemas.microsoft.com/office/drawing/2015/06/chart">
            <c:ext xmlns:c16="http://schemas.microsoft.com/office/drawing/2014/chart" uri="{C3380CC4-5D6E-409C-BE32-E72D297353CC}">
              <c16:uniqueId val="{00000000-701C-4ED5-B60A-66BED22ADC37}"/>
            </c:ext>
          </c:extLst>
        </c:ser>
        <c:dLbls>
          <c:dLblPos val="outEnd"/>
          <c:showLegendKey val="0"/>
          <c:showVal val="1"/>
          <c:showCatName val="0"/>
          <c:showSerName val="0"/>
          <c:showPercent val="0"/>
          <c:showBubbleSize val="0"/>
        </c:dLbls>
        <c:gapWidth val="219"/>
        <c:overlap val="-27"/>
        <c:axId val="380578248"/>
        <c:axId val="380578640"/>
      </c:barChart>
      <c:catAx>
        <c:axId val="380578248"/>
        <c:scaling>
          <c:orientation val="minMax"/>
        </c:scaling>
        <c:delete val="0"/>
        <c:axPos val="b"/>
        <c:numFmt formatCode="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578640"/>
        <c:crosses val="autoZero"/>
        <c:auto val="1"/>
        <c:lblAlgn val="ctr"/>
        <c:lblOffset val="100"/>
        <c:noMultiLvlLbl val="0"/>
      </c:catAx>
      <c:valAx>
        <c:axId val="3805786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5782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9059E-0F16-4936-9F84-BDCB641960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Alice Elizabeth Natalie Holtom (2328613)</lastModifiedBy>
  <dcterms:created xsi:type="dcterms:W3CDTF">2026-02-13T18:32:00.0000000Z</dcterms:created>
  <dcterms:modified xsi:type="dcterms:W3CDTF">2026-02-28T23:04:12.3265485Z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09311c7e-3af2-4602-a1dc-d2e54f906c85</vt:lpwstr>
  </property>
</Properties>
</file>