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03714" w:rsidRDefault="000E2E7E" w14:paraId="6713002F" w14:textId="59EE91EB">
      <w:r>
        <w:t xml:space="preserve">                                     </w:t>
      </w:r>
      <w:r>
        <w:rPr>
          <w:noProof/>
        </w:rPr>
        <w:drawing>
          <wp:inline distT="0" distB="0" distL="0" distR="0" wp14:anchorId="2D3EAADE" wp14:editId="6E298D89">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2794449"/>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rsidR="000E2E7E" w:rsidRDefault="000E2E7E" w14:paraId="0E3F4352" w14:textId="77777777"/>
    <w:p w:rsidR="000E2E7E" w:rsidRDefault="000E2E7E" w14:paraId="73022E7D" w14:textId="77777777">
      <w:pPr>
        <w:rPr>
          <w:sz w:val="52"/>
          <w:szCs w:val="52"/>
        </w:rPr>
      </w:pPr>
    </w:p>
    <w:p w:rsidRPr="000E2E7E" w:rsidR="000E2E7E" w:rsidRDefault="000E2E7E" w14:paraId="0C87A799" w14:textId="2E11B833">
      <w:pPr>
        <w:rPr>
          <w:b/>
          <w:bCs/>
          <w:sz w:val="52"/>
          <w:szCs w:val="52"/>
        </w:rPr>
      </w:pPr>
      <w:r w:rsidRPr="2664E39D">
        <w:rPr>
          <w:b/>
          <w:bCs/>
          <w:sz w:val="52"/>
          <w:szCs w:val="52"/>
        </w:rPr>
        <w:t xml:space="preserve">Module Code:  </w:t>
      </w:r>
      <w:r w:rsidRPr="2664E39D">
        <w:rPr>
          <w:b/>
          <w:bCs/>
          <w:sz w:val="48"/>
          <w:szCs w:val="48"/>
        </w:rPr>
        <w:t>ECAD</w:t>
      </w:r>
      <w:r w:rsidRPr="2664E39D" w:rsidR="00510D18">
        <w:rPr>
          <w:b/>
          <w:bCs/>
          <w:sz w:val="48"/>
          <w:szCs w:val="48"/>
        </w:rPr>
        <w:t>5014</w:t>
      </w:r>
    </w:p>
    <w:p w:rsidRPr="000E2E7E" w:rsidR="000E2E7E" w:rsidRDefault="000E2E7E" w14:paraId="10FFAE95" w14:textId="77777777">
      <w:pPr>
        <w:rPr>
          <w:b/>
          <w:bCs/>
          <w:sz w:val="52"/>
          <w:szCs w:val="52"/>
        </w:rPr>
      </w:pPr>
    </w:p>
    <w:p w:rsidR="000E2E7E" w:rsidRDefault="000E2E7E" w14:paraId="12C585B1" w14:textId="77777777">
      <w:pPr>
        <w:rPr>
          <w:b/>
          <w:bCs/>
          <w:sz w:val="52"/>
          <w:szCs w:val="52"/>
        </w:rPr>
      </w:pPr>
      <w:r w:rsidRPr="2664E39D">
        <w:rPr>
          <w:b/>
          <w:bCs/>
          <w:sz w:val="52"/>
          <w:szCs w:val="52"/>
        </w:rPr>
        <w:t xml:space="preserve">Assignment Title: </w:t>
      </w:r>
    </w:p>
    <w:p w:rsidRPr="000E2E7E" w:rsidR="000E2E7E" w:rsidRDefault="00510D18" w14:paraId="1648AA10" w14:textId="0F7AD627">
      <w:pPr>
        <w:rPr>
          <w:b/>
          <w:bCs/>
          <w:sz w:val="52"/>
          <w:szCs w:val="52"/>
        </w:rPr>
      </w:pPr>
      <w:r w:rsidRPr="2664E39D">
        <w:rPr>
          <w:b/>
          <w:bCs/>
          <w:sz w:val="44"/>
          <w:szCs w:val="44"/>
        </w:rPr>
        <w:t>Design and conduct a small-scale research study, and critically evaluate the chosen research tools, and the impact of your findings on your professional practice.</w:t>
      </w:r>
    </w:p>
    <w:p w:rsidRPr="000E2E7E" w:rsidR="000E2E7E" w:rsidRDefault="000E2E7E" w14:paraId="78DCE9B9" w14:textId="77777777">
      <w:pPr>
        <w:rPr>
          <w:b/>
          <w:bCs/>
          <w:sz w:val="52"/>
          <w:szCs w:val="52"/>
        </w:rPr>
      </w:pPr>
    </w:p>
    <w:p w:rsidRPr="000E2E7E" w:rsidR="000E2E7E" w:rsidRDefault="000E2E7E" w14:paraId="47D65DC0" w14:textId="0BF76B2A">
      <w:pPr>
        <w:rPr>
          <w:b/>
          <w:bCs/>
          <w:sz w:val="52"/>
          <w:szCs w:val="52"/>
        </w:rPr>
      </w:pPr>
      <w:r w:rsidRPr="2664E39D">
        <w:rPr>
          <w:b/>
          <w:bCs/>
          <w:sz w:val="52"/>
          <w:szCs w:val="52"/>
        </w:rPr>
        <w:t>Student Name:</w:t>
      </w:r>
      <w:r w:rsidRPr="2664E39D" w:rsidR="240879AA">
        <w:rPr>
          <w:b/>
          <w:bCs/>
          <w:sz w:val="52"/>
          <w:szCs w:val="52"/>
        </w:rPr>
        <w:t xml:space="preserve"> Stella Griffiths</w:t>
      </w:r>
    </w:p>
    <w:p w:rsidRPr="000E2E7E" w:rsidR="000E2E7E" w:rsidRDefault="000E2E7E" w14:paraId="1025240F" w14:textId="016CF089">
      <w:pPr>
        <w:rPr>
          <w:b/>
          <w:bCs/>
          <w:sz w:val="52"/>
          <w:szCs w:val="52"/>
        </w:rPr>
      </w:pPr>
      <w:r w:rsidRPr="2664E39D">
        <w:rPr>
          <w:b/>
          <w:bCs/>
          <w:sz w:val="52"/>
          <w:szCs w:val="52"/>
        </w:rPr>
        <w:t>Student Number:</w:t>
      </w:r>
      <w:r w:rsidRPr="2664E39D" w:rsidR="53E244B9">
        <w:rPr>
          <w:b/>
          <w:bCs/>
          <w:sz w:val="52"/>
          <w:szCs w:val="52"/>
        </w:rPr>
        <w:t xml:space="preserve"> 2305515</w:t>
      </w:r>
    </w:p>
    <w:p w:rsidR="000E2E7E" w:rsidRDefault="000E2E7E" w14:paraId="66EB3C44" w14:textId="3EA69FAC">
      <w:pPr>
        <w:rPr>
          <w:b/>
          <w:bCs/>
          <w:sz w:val="52"/>
          <w:szCs w:val="52"/>
        </w:rPr>
      </w:pPr>
      <w:r w:rsidRPr="2664E39D">
        <w:rPr>
          <w:b/>
          <w:bCs/>
          <w:sz w:val="52"/>
          <w:szCs w:val="52"/>
        </w:rPr>
        <w:t>BA Primary Education (QTS)</w:t>
      </w:r>
    </w:p>
    <w:p w:rsidRPr="000E2E7E" w:rsidR="000E2E7E" w:rsidRDefault="000E2E7E" w14:paraId="097A6454" w14:textId="77777777">
      <w:pPr>
        <w:rPr>
          <w:b/>
          <w:bCs/>
          <w:sz w:val="52"/>
          <w:szCs w:val="52"/>
        </w:rPr>
      </w:pPr>
    </w:p>
    <w:p w:rsidRPr="00E243A8" w:rsidR="000E2E7E" w:rsidP="000E2E7E" w:rsidRDefault="000E2E7E" w14:paraId="0BE6D22C" w14:textId="77777777">
      <w:pPr>
        <w:rPr>
          <w:b/>
          <w:bCs/>
          <w:sz w:val="32"/>
          <w:szCs w:val="32"/>
          <w:u w:val="single"/>
        </w:rPr>
      </w:pPr>
      <w:r w:rsidRPr="2664E39D">
        <w:rPr>
          <w:b/>
          <w:bCs/>
          <w:sz w:val="32"/>
          <w:szCs w:val="32"/>
          <w:u w:val="single"/>
        </w:rPr>
        <w:lastRenderedPageBreak/>
        <w:t>AI Acknowledgement</w:t>
      </w:r>
    </w:p>
    <w:p w:rsidR="000E2E7E" w:rsidP="000E2E7E" w:rsidRDefault="000E2E7E" w14:paraId="311990D1" w14:textId="77777777"/>
    <w:p w:rsidR="000E2E7E" w:rsidP="000E2E7E" w:rsidRDefault="000E2E7E" w14:paraId="3CD5698F" w14:textId="77777777">
      <w:r w:rsidRPr="00E243A8">
        <w:t xml:space="preserve">I confirm that I have not used any AI tools in the research and creation of this assignment. </w:t>
      </w:r>
    </w:p>
    <w:p w:rsidR="000E2E7E" w:rsidP="000E2E7E" w:rsidRDefault="000E2E7E" w14:paraId="623F5F4D" w14:textId="77777777">
      <w:r w:rsidRPr="00E243A8">
        <w:t xml:space="preserve">I confirm that I have not presented any AI generated materials as my own work. </w:t>
      </w:r>
    </w:p>
    <w:p w:rsidR="000E2E7E" w:rsidP="000E2E7E" w:rsidRDefault="000E2E7E" w14:paraId="3B533FD1" w14:textId="42B8A0C6">
      <w:r w:rsidRPr="00E243A8">
        <w:t xml:space="preserve">I confirm </w:t>
      </w:r>
      <w:r>
        <w:t xml:space="preserve">that </w:t>
      </w:r>
      <w:r w:rsidRPr="00E243A8">
        <w:t>I have copies of my drafts, notes, and other resources I used, which I may be asked to provide in evidence.</w:t>
      </w:r>
    </w:p>
    <w:p w:rsidR="004A2501" w:rsidP="000E2E7E" w:rsidRDefault="004A2501" w14:paraId="499ACE18" w14:textId="77777777"/>
    <w:p w:rsidRPr="004A2501" w:rsidR="004A2501" w:rsidP="000E2E7E" w:rsidRDefault="004A2501" w14:paraId="26D79110" w14:textId="77777777"/>
    <w:p w:rsidR="000E2E7E" w:rsidP="000E2E7E" w:rsidRDefault="000E2E7E" w14:paraId="576F22A4" w14:textId="77777777">
      <w:pPr>
        <w:rPr>
          <w:sz w:val="16"/>
          <w:szCs w:val="16"/>
        </w:rPr>
      </w:pPr>
    </w:p>
    <w:tbl>
      <w:tblPr>
        <w:tblStyle w:val="TableGrid"/>
        <w:tblW w:w="11340" w:type="dxa"/>
        <w:tblInd w:w="-1139" w:type="dxa"/>
        <w:tblLook w:val="04A0" w:firstRow="1" w:lastRow="0" w:firstColumn="1" w:lastColumn="0" w:noHBand="0" w:noVBand="1"/>
      </w:tblPr>
      <w:tblGrid>
        <w:gridCol w:w="4304"/>
        <w:gridCol w:w="3209"/>
        <w:gridCol w:w="3827"/>
      </w:tblGrid>
      <w:tr w:rsidRPr="001B4AB4" w:rsidR="000E2E7E" w:rsidTr="5E860BD4" w14:paraId="0ADB3F25" w14:textId="77777777">
        <w:trPr>
          <w:trHeight w:val="360"/>
        </w:trPr>
        <w:tc>
          <w:tcPr>
            <w:tcW w:w="4304" w:type="dxa"/>
            <w:tcMar/>
          </w:tcPr>
          <w:p w:rsidRPr="00121BB2" w:rsidR="000E2E7E" w:rsidP="00AE36BB" w:rsidRDefault="000E2E7E" w14:paraId="2110C93E" w14:textId="45B7432A">
            <w:pPr>
              <w:rPr>
                <w:b/>
                <w:bCs/>
                <w:color w:val="FFFFFF"/>
                <w:sz w:val="28"/>
                <w:szCs w:val="28"/>
                <w:lang w:val="cy-GB"/>
              </w:rPr>
            </w:pPr>
            <w:r w:rsidRPr="2664E39D">
              <w:rPr>
                <w:b/>
                <w:bCs/>
                <w:sz w:val="28"/>
                <w:szCs w:val="28"/>
              </w:rPr>
              <w:t>Targets from previous module</w:t>
            </w:r>
          </w:p>
        </w:tc>
        <w:tc>
          <w:tcPr>
            <w:tcW w:w="3209" w:type="dxa"/>
            <w:tcMar/>
          </w:tcPr>
          <w:p w:rsidRPr="00121BB2" w:rsidR="000E2E7E" w:rsidP="00AE36BB" w:rsidRDefault="000E2E7E" w14:paraId="1C0504E0" w14:textId="7F9D37D3">
            <w:pPr>
              <w:rPr>
                <w:b/>
                <w:bCs/>
                <w:color w:val="FFFFFF"/>
                <w:sz w:val="28"/>
                <w:szCs w:val="28"/>
                <w:lang w:val="cy-GB"/>
              </w:rPr>
            </w:pPr>
            <w:r w:rsidRPr="2664E39D">
              <w:rPr>
                <w:b/>
                <w:bCs/>
                <w:sz w:val="28"/>
                <w:szCs w:val="28"/>
              </w:rPr>
              <w:t xml:space="preserve">How </w:t>
            </w:r>
            <w:r w:rsidRPr="2664E39D" w:rsidR="00054E23">
              <w:rPr>
                <w:b/>
                <w:bCs/>
                <w:sz w:val="28"/>
                <w:szCs w:val="28"/>
              </w:rPr>
              <w:t>have I</w:t>
            </w:r>
            <w:r w:rsidRPr="2664E39D">
              <w:rPr>
                <w:b/>
                <w:bCs/>
                <w:sz w:val="28"/>
                <w:szCs w:val="28"/>
              </w:rPr>
              <w:t xml:space="preserve"> worked on these?</w:t>
            </w:r>
          </w:p>
        </w:tc>
        <w:tc>
          <w:tcPr>
            <w:tcW w:w="3827" w:type="dxa"/>
            <w:tcMar/>
          </w:tcPr>
          <w:p w:rsidRPr="00121BB2" w:rsidR="000E2E7E" w:rsidP="00AE36BB" w:rsidRDefault="000E2E7E" w14:paraId="0ED8A1ED" w14:textId="77777777">
            <w:pPr>
              <w:rPr>
                <w:rFonts w:ascii="Calibri" w:hAnsi="Calibri" w:cs="Calibri"/>
                <w:b/>
                <w:bCs/>
                <w:sz w:val="28"/>
                <w:szCs w:val="28"/>
                <w:lang w:val="cy-GB"/>
              </w:rPr>
            </w:pPr>
            <w:r w:rsidRPr="2664E39D">
              <w:rPr>
                <w:rFonts w:ascii="Calibri" w:hAnsi="Calibri" w:cs="Calibri"/>
                <w:b/>
                <w:bCs/>
                <w:sz w:val="28"/>
                <w:szCs w:val="28"/>
              </w:rPr>
              <w:t>An example can be seen on…</w:t>
            </w:r>
          </w:p>
          <w:p w:rsidRPr="00121BB2" w:rsidR="000E2E7E" w:rsidP="00AE36BB" w:rsidRDefault="000E2E7E" w14:paraId="0798C571" w14:textId="146BBBF0">
            <w:pPr>
              <w:rPr>
                <w:b/>
                <w:bCs/>
                <w:color w:val="FFFFFF"/>
                <w:sz w:val="28"/>
                <w:szCs w:val="28"/>
                <w:lang w:val="cy-GB"/>
              </w:rPr>
            </w:pPr>
          </w:p>
        </w:tc>
      </w:tr>
      <w:tr w:rsidRPr="001B4AB4" w:rsidR="000E2E7E" w:rsidTr="5E860BD4" w14:paraId="0EC7171C" w14:textId="77777777">
        <w:trPr>
          <w:trHeight w:val="338"/>
        </w:trPr>
        <w:tc>
          <w:tcPr>
            <w:tcW w:w="4304" w:type="dxa"/>
            <w:tcMar/>
          </w:tcPr>
          <w:p w:rsidRPr="004A2501" w:rsidR="000E2E7E" w:rsidP="22BA31AD" w:rsidRDefault="44378F4F" w14:paraId="18121FAC" w14:textId="09502A7B">
            <w:pPr>
              <w:rPr>
                <w:rFonts w:ascii="Calibri" w:hAnsi="Calibri" w:eastAsia="Calibri" w:cs="Calibri"/>
                <w:color w:val="283041"/>
                <w:sz w:val="28"/>
                <w:szCs w:val="28"/>
                <w:lang w:val="en-US"/>
              </w:rPr>
            </w:pPr>
            <w:r w:rsidRPr="004A2501">
              <w:rPr>
                <w:rFonts w:ascii="Calibri" w:hAnsi="Calibri" w:eastAsia="Calibri" w:cs="Calibri"/>
                <w:color w:val="283041"/>
                <w:sz w:val="28"/>
                <w:szCs w:val="28"/>
              </w:rPr>
              <w:t>Continue to draw on independent</w:t>
            </w:r>
            <w:r w:rsidRPr="004A2501" w:rsidR="282AC2A4">
              <w:rPr>
                <w:rFonts w:ascii="Calibri" w:hAnsi="Calibri" w:eastAsia="Calibri" w:cs="Calibri"/>
                <w:color w:val="283041"/>
                <w:sz w:val="28"/>
                <w:szCs w:val="28"/>
              </w:rPr>
              <w:t xml:space="preserve"> </w:t>
            </w:r>
            <w:r w:rsidRPr="004A2501">
              <w:rPr>
                <w:rFonts w:ascii="Calibri" w:hAnsi="Calibri" w:eastAsia="Calibri" w:cs="Calibri"/>
                <w:color w:val="283041"/>
                <w:sz w:val="28"/>
                <w:szCs w:val="28"/>
              </w:rPr>
              <w:t>sources of literature to develop a supported critical approach throughout, offering the opposing view whenever possible.</w:t>
            </w:r>
          </w:p>
        </w:tc>
        <w:tc>
          <w:tcPr>
            <w:tcW w:w="3209" w:type="dxa"/>
            <w:tcMar/>
          </w:tcPr>
          <w:p w:rsidRPr="004A2501" w:rsidR="000E2E7E" w:rsidP="00AE36BB" w:rsidRDefault="009B33DA" w14:paraId="0A55C9ED" w14:textId="1FFAF953">
            <w:pPr>
              <w:rPr>
                <w:rFonts w:ascii="Calibri" w:hAnsi="Calibri" w:cs="Calibri"/>
                <w:sz w:val="28"/>
                <w:szCs w:val="28"/>
                <w:lang w:val="cy-GB"/>
              </w:rPr>
            </w:pPr>
            <w:r w:rsidRPr="004A2501">
              <w:rPr>
                <w:rFonts w:ascii="Calibri" w:hAnsi="Calibri" w:cs="Calibri"/>
                <w:sz w:val="28"/>
                <w:szCs w:val="28"/>
                <w:lang w:val="cy-GB"/>
              </w:rPr>
              <w:t xml:space="preserve">I have identified critical views to majority of my </w:t>
            </w:r>
            <w:r w:rsidRPr="004A2501" w:rsidR="00546C34">
              <w:rPr>
                <w:rFonts w:ascii="Calibri" w:hAnsi="Calibri" w:cs="Calibri"/>
                <w:sz w:val="28"/>
                <w:szCs w:val="28"/>
                <w:lang w:val="cy-GB"/>
              </w:rPr>
              <w:t>statements with the use of multiple literature</w:t>
            </w:r>
            <w:r w:rsidRPr="004A2501" w:rsidR="00582A0B">
              <w:rPr>
                <w:rFonts w:ascii="Calibri" w:hAnsi="Calibri" w:cs="Calibri"/>
                <w:sz w:val="28"/>
                <w:szCs w:val="28"/>
                <w:lang w:val="cy-GB"/>
              </w:rPr>
              <w:t>. I have ensures to highligh the opposite views.</w:t>
            </w:r>
          </w:p>
        </w:tc>
        <w:tc>
          <w:tcPr>
            <w:tcW w:w="3827" w:type="dxa"/>
            <w:tcMar/>
          </w:tcPr>
          <w:p w:rsidRPr="004A2501" w:rsidR="000E2E7E" w:rsidP="00AE36BB" w:rsidRDefault="004A2501" w14:paraId="183044AB" w14:textId="36E4E622">
            <w:pPr>
              <w:rPr>
                <w:rFonts w:ascii="Calibri" w:hAnsi="Calibri" w:cs="Calibri"/>
                <w:sz w:val="28"/>
                <w:szCs w:val="28"/>
                <w:lang w:val="cy-GB"/>
              </w:rPr>
            </w:pPr>
            <w:r w:rsidRPr="004A2501">
              <w:rPr>
                <w:rFonts w:ascii="Calibri" w:hAnsi="Calibri" w:eastAsia="Calibri" w:cs="Calibri"/>
                <w:color w:val="000000" w:themeColor="text1"/>
                <w:sz w:val="28"/>
                <w:szCs w:val="28"/>
              </w:rPr>
              <w:t>An alternative viewpoint to self-evaluation is reported by Black (2003)</w:t>
            </w:r>
            <w:r>
              <w:rPr>
                <w:rFonts w:ascii="Calibri" w:hAnsi="Calibri" w:eastAsia="Calibri" w:cs="Calibri"/>
                <w:color w:val="000000" w:themeColor="text1"/>
                <w:sz w:val="28"/>
                <w:szCs w:val="28"/>
              </w:rPr>
              <w:t>,</w:t>
            </w:r>
            <w:r w:rsidRPr="004A2501">
              <w:rPr>
                <w:rFonts w:ascii="Calibri" w:hAnsi="Calibri" w:eastAsia="Calibri" w:cs="Calibri"/>
                <w:color w:val="000000" w:themeColor="text1"/>
                <w:sz w:val="28"/>
                <w:szCs w:val="28"/>
              </w:rPr>
              <w:t xml:space="preserve"> self-evaluation cannot be performed accurately without the correct guidance. Without correct understanding of how to critically evaluate the strengths and weakness to supply practical feedback, pupils may not engage correctly with self-reflection (Black, 2003).</w:t>
            </w:r>
          </w:p>
        </w:tc>
      </w:tr>
      <w:tr w:rsidRPr="001B4AB4" w:rsidR="000E2E7E" w:rsidTr="5E860BD4" w14:paraId="388E36FE" w14:textId="77777777">
        <w:trPr>
          <w:trHeight w:val="4264"/>
        </w:trPr>
        <w:tc>
          <w:tcPr>
            <w:tcW w:w="4304" w:type="dxa"/>
            <w:tcMar/>
          </w:tcPr>
          <w:p w:rsidRPr="004A2501" w:rsidR="000E2E7E" w:rsidP="00AE36BB" w:rsidRDefault="44378F4F" w14:paraId="2740262D" w14:textId="3B93AF1E">
            <w:pPr>
              <w:rPr>
                <w:rFonts w:ascii="Calibri" w:hAnsi="Calibri" w:cs="Calibri"/>
                <w:sz w:val="28"/>
                <w:szCs w:val="28"/>
              </w:rPr>
            </w:pPr>
            <w:r w:rsidRPr="004A2501">
              <w:rPr>
                <w:rFonts w:ascii="Calibri" w:hAnsi="Calibri" w:eastAsia="Helvetica Neue" w:cs="Calibri"/>
                <w:color w:val="283041"/>
                <w:sz w:val="28"/>
                <w:szCs w:val="28"/>
              </w:rPr>
              <w:t>Continue to synthesise research into your writing to aid the support of your key points.</w:t>
            </w:r>
          </w:p>
          <w:p w:rsidRPr="004A2501" w:rsidR="000E2E7E" w:rsidP="00AE36BB" w:rsidRDefault="000E2E7E" w14:paraId="06CE4F7D" w14:textId="77777777">
            <w:pPr>
              <w:rPr>
                <w:rFonts w:ascii="Calibri" w:hAnsi="Calibri" w:cs="Calibri"/>
                <w:sz w:val="28"/>
                <w:szCs w:val="28"/>
                <w:lang w:val="cy-GB"/>
              </w:rPr>
            </w:pPr>
          </w:p>
        </w:tc>
        <w:tc>
          <w:tcPr>
            <w:tcW w:w="3209" w:type="dxa"/>
            <w:tcMar/>
          </w:tcPr>
          <w:p w:rsidRPr="004A2501" w:rsidR="000E2E7E" w:rsidP="00AE36BB" w:rsidRDefault="004A2501" w14:paraId="33CC185F" w14:textId="46EC18CF">
            <w:pPr>
              <w:rPr>
                <w:rFonts w:ascii="Calibri" w:hAnsi="Calibri" w:cs="Calibri"/>
                <w:sz w:val="28"/>
                <w:szCs w:val="28"/>
                <w:lang w:val="cy-GB"/>
              </w:rPr>
            </w:pPr>
            <w:r>
              <w:rPr>
                <w:rFonts w:ascii="Calibri" w:hAnsi="Calibri" w:cs="Calibri"/>
                <w:sz w:val="28"/>
                <w:szCs w:val="28"/>
                <w:lang w:val="cy-GB"/>
              </w:rPr>
              <w:t xml:space="preserve">I </w:t>
            </w:r>
            <w:r w:rsidR="002844A3">
              <w:rPr>
                <w:rFonts w:ascii="Calibri" w:hAnsi="Calibri" w:cs="Calibri"/>
                <w:sz w:val="28"/>
                <w:szCs w:val="28"/>
                <w:lang w:val="cy-GB"/>
              </w:rPr>
              <w:t>read several pages of the books, articals and journals based on the same topic to get a better under</w:t>
            </w:r>
            <w:r w:rsidR="0058738A">
              <w:rPr>
                <w:rFonts w:ascii="Calibri" w:hAnsi="Calibri" w:cs="Calibri"/>
                <w:sz w:val="28"/>
                <w:szCs w:val="28"/>
                <w:lang w:val="cy-GB"/>
              </w:rPr>
              <w:t>st</w:t>
            </w:r>
            <w:r w:rsidR="002844A3">
              <w:rPr>
                <w:rFonts w:ascii="Calibri" w:hAnsi="Calibri" w:cs="Calibri"/>
                <w:sz w:val="28"/>
                <w:szCs w:val="28"/>
                <w:lang w:val="cy-GB"/>
              </w:rPr>
              <w:t>and</w:t>
            </w:r>
            <w:r w:rsidR="0058738A">
              <w:rPr>
                <w:rFonts w:ascii="Calibri" w:hAnsi="Calibri" w:cs="Calibri"/>
                <w:sz w:val="28"/>
                <w:szCs w:val="28"/>
                <w:lang w:val="cy-GB"/>
              </w:rPr>
              <w:t>ing</w:t>
            </w:r>
            <w:r w:rsidR="002844A3">
              <w:rPr>
                <w:rFonts w:ascii="Calibri" w:hAnsi="Calibri" w:cs="Calibri"/>
                <w:sz w:val="28"/>
                <w:szCs w:val="28"/>
                <w:lang w:val="cy-GB"/>
              </w:rPr>
              <w:t xml:space="preserve"> to </w:t>
            </w:r>
            <w:r w:rsidR="0058738A">
              <w:rPr>
                <w:rFonts w:ascii="Calibri" w:hAnsi="Calibri" w:cs="Calibri"/>
                <w:sz w:val="28"/>
                <w:szCs w:val="28"/>
                <w:lang w:val="cy-GB"/>
              </w:rPr>
              <w:t xml:space="preserve">then </w:t>
            </w:r>
            <w:r w:rsidR="002844A3">
              <w:rPr>
                <w:rFonts w:ascii="Calibri" w:hAnsi="Calibri" w:cs="Calibri"/>
                <w:sz w:val="28"/>
                <w:szCs w:val="28"/>
                <w:lang w:val="cy-GB"/>
              </w:rPr>
              <w:t xml:space="preserve">be able to </w:t>
            </w:r>
            <w:r w:rsidR="0058738A">
              <w:rPr>
                <w:rFonts w:ascii="Calibri" w:hAnsi="Calibri" w:cs="Calibri"/>
                <w:sz w:val="28"/>
                <w:szCs w:val="28"/>
                <w:lang w:val="cy-GB"/>
              </w:rPr>
              <w:t>create key points to write in my assignment.</w:t>
            </w:r>
          </w:p>
        </w:tc>
        <w:tc>
          <w:tcPr>
            <w:tcW w:w="3827" w:type="dxa"/>
            <w:tcMar/>
          </w:tcPr>
          <w:p w:rsidRPr="004A2501" w:rsidR="000E2E7E" w:rsidP="00AE36BB" w:rsidRDefault="004A2501" w14:paraId="37CFC390" w14:textId="72D6F2BF">
            <w:pPr>
              <w:rPr>
                <w:rFonts w:ascii="Calibri" w:hAnsi="Calibri" w:cs="Calibri"/>
                <w:sz w:val="28"/>
                <w:szCs w:val="28"/>
                <w:lang w:val="cy-GB"/>
              </w:rPr>
            </w:pPr>
            <w:r w:rsidRPr="5257E1B0">
              <w:rPr>
                <w:rFonts w:ascii="Calibri" w:hAnsi="Calibri" w:eastAsia="Calibri" w:cs="Calibri"/>
                <w:color w:val="000000" w:themeColor="text1"/>
                <w:sz w:val="28"/>
                <w:szCs w:val="28"/>
              </w:rPr>
              <w:t>Through the use of peer assessment children evaluate the quality of their peer’s work by referring to vital information from the lesson. Influencing deeper understanding of the content learnt during the lesson to support the pupil in creating useful feedback (Topping, 2009).</w:t>
            </w:r>
          </w:p>
        </w:tc>
      </w:tr>
    </w:tbl>
    <w:p w:rsidR="5E860BD4" w:rsidP="5E860BD4" w:rsidRDefault="5E860BD4" w14:paraId="15C9E011" w14:textId="11705976">
      <w:pPr>
        <w:rPr>
          <w:sz w:val="36"/>
          <w:szCs w:val="36"/>
        </w:rPr>
      </w:pPr>
    </w:p>
    <w:p w:rsidR="000E2E7E" w:rsidP="22BA31AD" w:rsidRDefault="000E2E7E" w14:paraId="1F63C271" w14:textId="5EDD8C99">
      <w:pPr>
        <w:rPr>
          <w:rFonts w:ascii="Calibri" w:hAnsi="Calibri" w:eastAsia="Calibri" w:cs="Calibri"/>
          <w:b/>
          <w:bCs/>
          <w:color w:val="000000" w:themeColor="text1"/>
          <w:sz w:val="36"/>
          <w:szCs w:val="36"/>
          <w:u w:val="single"/>
        </w:rPr>
      </w:pPr>
      <w:r w:rsidRPr="5257E1B0">
        <w:rPr>
          <w:sz w:val="36"/>
          <w:szCs w:val="36"/>
        </w:rPr>
        <w:lastRenderedPageBreak/>
        <w:t>Research Question</w:t>
      </w:r>
      <w:r w:rsidRPr="5257E1B0" w:rsidR="4E2BAF1B">
        <w:rPr>
          <w:sz w:val="36"/>
          <w:szCs w:val="36"/>
        </w:rPr>
        <w:t xml:space="preserve"> - </w:t>
      </w:r>
      <w:r w:rsidRPr="5257E1B0" w:rsidR="4E2BAF1B">
        <w:rPr>
          <w:rFonts w:ascii="Calibri" w:hAnsi="Calibri" w:eastAsia="Calibri" w:cs="Calibri"/>
          <w:b/>
          <w:bCs/>
          <w:color w:val="000000" w:themeColor="text1"/>
          <w:sz w:val="36"/>
          <w:szCs w:val="36"/>
          <w:u w:val="single"/>
        </w:rPr>
        <w:t>What benefit does the assessment for learning strategy peer assessment have on teaching and learning?</w:t>
      </w:r>
    </w:p>
    <w:p w:rsidRPr="000E2E7E" w:rsidR="0058738A" w:rsidP="22BA31AD" w:rsidRDefault="0058738A" w14:paraId="1411D3F1" w14:textId="77777777">
      <w:pPr>
        <w:rPr>
          <w:sz w:val="36"/>
          <w:szCs w:val="36"/>
        </w:rPr>
      </w:pPr>
    </w:p>
    <w:p w:rsidRPr="000E2E7E" w:rsidR="000E2E7E" w:rsidP="5E860BD4" w:rsidRDefault="57397D63" w14:paraId="7078D5FD" w14:textId="31C153D1" w14:noSpellErr="1">
      <w:pPr>
        <w:spacing w:line="360" w:lineRule="auto"/>
      </w:pPr>
      <w:r w:rsidRPr="5E860BD4" w:rsidR="57397D63">
        <w:rPr>
          <w:rFonts w:ascii="Calibri" w:hAnsi="Calibri" w:eastAsia="Calibri" w:cs="Calibri"/>
          <w:b w:val="1"/>
          <w:bCs w:val="1"/>
          <w:color w:val="000000" w:themeColor="text1" w:themeTint="FF" w:themeShade="FF"/>
          <w:sz w:val="32"/>
          <w:szCs w:val="32"/>
        </w:rPr>
        <w:t xml:space="preserve">Introduction </w:t>
      </w:r>
    </w:p>
    <w:p w:rsidRPr="000E2E7E" w:rsidR="000E2E7E" w:rsidP="5E860BD4" w:rsidRDefault="57397D63" w14:paraId="183B0737" w14:textId="63E59AB4">
      <w:pPr>
        <w:spacing w:line="360" w:lineRule="auto"/>
      </w:pPr>
      <w:r w:rsidRPr="5E860BD4" w:rsidR="57397D63">
        <w:rPr>
          <w:rFonts w:ascii="Calibri" w:hAnsi="Calibri" w:eastAsia="Calibri" w:cs="Calibri"/>
          <w:color w:val="000000" w:themeColor="text1" w:themeTint="FF" w:themeShade="FF"/>
          <w:sz w:val="28"/>
          <w:szCs w:val="28"/>
        </w:rPr>
        <w:t xml:space="preserve">The importance of conducting this research study is to develop an advance understanding of the importance of the Assessment for Learning (AFL) strategy peer assessment during professional practice, through exploring the benefit staff and </w:t>
      </w:r>
      <w:r w:rsidRPr="5E860BD4" w:rsidR="00054E23">
        <w:rPr>
          <w:rFonts w:ascii="Calibri" w:hAnsi="Calibri" w:eastAsia="Calibri" w:cs="Calibri"/>
          <w:color w:val="000000" w:themeColor="text1" w:themeTint="FF" w:themeShade="FF"/>
          <w:sz w:val="28"/>
          <w:szCs w:val="28"/>
        </w:rPr>
        <w:t>pupils</w:t>
      </w:r>
      <w:r w:rsidRPr="5E860BD4" w:rsidR="57397D63">
        <w:rPr>
          <w:rFonts w:ascii="Calibri" w:hAnsi="Calibri" w:eastAsia="Calibri" w:cs="Calibri"/>
          <w:color w:val="000000" w:themeColor="text1" w:themeTint="FF" w:themeShade="FF"/>
          <w:sz w:val="28"/>
          <w:szCs w:val="28"/>
        </w:rPr>
        <w:t xml:space="preserve"> receive to their teaching and learning in a year 4 to 5 classroom. The research conducted will </w:t>
      </w:r>
      <w:r w:rsidRPr="5E860BD4" w:rsidR="57397D63">
        <w:rPr>
          <w:rFonts w:ascii="Calibri" w:hAnsi="Calibri" w:eastAsia="Calibri" w:cs="Calibri"/>
          <w:color w:val="000000" w:themeColor="text1" w:themeTint="FF" w:themeShade="FF"/>
          <w:sz w:val="28"/>
          <w:szCs w:val="28"/>
        </w:rPr>
        <w:t>identify</w:t>
      </w:r>
      <w:r w:rsidRPr="5E860BD4" w:rsidR="57397D63">
        <w:rPr>
          <w:rFonts w:ascii="Calibri" w:hAnsi="Calibri" w:eastAsia="Calibri" w:cs="Calibri"/>
          <w:color w:val="000000" w:themeColor="text1" w:themeTint="FF" w:themeShade="FF"/>
          <w:sz w:val="28"/>
          <w:szCs w:val="28"/>
        </w:rPr>
        <w:t xml:space="preserve"> how peer assessment enhances teaching and learning, the use of peer assessment for immediate feedback, the quality of the feedback given, and the influence peer assessment has on teaching methods aligning with the content in the Curriculum for Wales. The research based around the AFL strategy is carried out in a year 4 to 5 class within a Welsh Primary school, where they use peer assessment regularly as a formative assessment approach. The purpose for </w:t>
      </w:r>
      <w:r w:rsidRPr="5E860BD4" w:rsidR="57397D63">
        <w:rPr>
          <w:rFonts w:ascii="Calibri" w:hAnsi="Calibri" w:eastAsia="Calibri" w:cs="Calibri"/>
          <w:color w:val="000000" w:themeColor="text1" w:themeTint="FF" w:themeShade="FF"/>
          <w:sz w:val="28"/>
          <w:szCs w:val="28"/>
        </w:rPr>
        <w:t>writing</w:t>
      </w:r>
      <w:r w:rsidRPr="5E860BD4" w:rsidR="57397D63">
        <w:rPr>
          <w:rFonts w:ascii="Calibri" w:hAnsi="Calibri" w:eastAsia="Calibri" w:cs="Calibri"/>
          <w:color w:val="000000" w:themeColor="text1" w:themeTint="FF" w:themeShade="FF"/>
          <w:sz w:val="28"/>
          <w:szCs w:val="28"/>
        </w:rPr>
        <w:t xml:space="preserve"> this research assignment is to better understand the benefits of the </w:t>
      </w:r>
      <w:r w:rsidRPr="5E860BD4" w:rsidR="57397D63">
        <w:rPr>
          <w:rFonts w:ascii="Calibri" w:hAnsi="Calibri" w:eastAsia="Calibri" w:cs="Calibri"/>
          <w:color w:val="000000" w:themeColor="text1" w:themeTint="FF" w:themeShade="FF"/>
          <w:sz w:val="28"/>
          <w:szCs w:val="28"/>
        </w:rPr>
        <w:t>AfL</w:t>
      </w:r>
      <w:r w:rsidRPr="5E860BD4" w:rsidR="57397D63">
        <w:rPr>
          <w:rFonts w:ascii="Calibri" w:hAnsi="Calibri" w:eastAsia="Calibri" w:cs="Calibri"/>
          <w:color w:val="000000" w:themeColor="text1" w:themeTint="FF" w:themeShade="FF"/>
          <w:sz w:val="28"/>
          <w:szCs w:val="28"/>
        </w:rPr>
        <w:t xml:space="preserve"> strategy peer assessment and underpin potential areas for improvement in professional practice. </w:t>
      </w:r>
    </w:p>
    <w:p w:rsidRPr="000E2E7E" w:rsidR="000E2E7E" w:rsidP="5E860BD4" w:rsidRDefault="57397D63" w14:paraId="31803874" w14:textId="4550D02D"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E2E7E" w:rsidR="000E2E7E" w:rsidP="5E860BD4" w:rsidRDefault="57397D63" w14:paraId="02E4EE2B" w14:textId="7EA64084" w14:noSpellErr="1">
      <w:pPr>
        <w:spacing w:line="360" w:lineRule="auto"/>
      </w:pPr>
      <w:r w:rsidRPr="5E860BD4" w:rsidR="57397D63">
        <w:rPr>
          <w:rFonts w:ascii="Calibri" w:hAnsi="Calibri" w:eastAsia="Calibri" w:cs="Calibri"/>
          <w:b w:val="1"/>
          <w:bCs w:val="1"/>
          <w:color w:val="000000" w:themeColor="text1" w:themeTint="FF" w:themeShade="FF"/>
          <w:sz w:val="32"/>
          <w:szCs w:val="32"/>
        </w:rPr>
        <w:t>Literature Review</w:t>
      </w:r>
    </w:p>
    <w:p w:rsidRPr="000E2E7E" w:rsidR="000E2E7E" w:rsidP="5E860BD4" w:rsidRDefault="57397D63" w14:paraId="001A6B7D" w14:textId="59359E57">
      <w:pPr>
        <w:spacing w:line="360" w:lineRule="auto"/>
      </w:pPr>
      <w:r w:rsidRPr="5E860BD4" w:rsidR="57397D63">
        <w:rPr>
          <w:rFonts w:ascii="Calibri" w:hAnsi="Calibri" w:eastAsia="Calibri" w:cs="Calibri"/>
          <w:color w:val="000000" w:themeColor="text1" w:themeTint="FF" w:themeShade="FF"/>
          <w:sz w:val="28"/>
          <w:szCs w:val="28"/>
        </w:rPr>
        <w:t xml:space="preserve">The focus of this literature review is to outline the benefits of peer assessment in an educational setting through recent literature. Assessment for Learning (AFL) is crucial in an educational setting because assessments </w:t>
      </w:r>
      <w:r w:rsidRPr="5E860BD4" w:rsidR="57397D63">
        <w:rPr>
          <w:rFonts w:ascii="Calibri" w:hAnsi="Calibri" w:eastAsia="Calibri" w:cs="Calibri"/>
          <w:color w:val="000000" w:themeColor="text1" w:themeTint="FF" w:themeShade="FF"/>
          <w:sz w:val="28"/>
          <w:szCs w:val="28"/>
        </w:rPr>
        <w:t>identify</w:t>
      </w:r>
      <w:r w:rsidRPr="5E860BD4" w:rsidR="57397D63">
        <w:rPr>
          <w:rFonts w:ascii="Calibri" w:hAnsi="Calibri" w:eastAsia="Calibri" w:cs="Calibri"/>
          <w:color w:val="000000" w:themeColor="text1" w:themeTint="FF" w:themeShade="FF"/>
          <w:sz w:val="28"/>
          <w:szCs w:val="28"/>
        </w:rPr>
        <w:t xml:space="preserve"> areas a </w:t>
      </w:r>
      <w:r w:rsidRPr="5E860BD4" w:rsidR="57397D63">
        <w:rPr>
          <w:rFonts w:ascii="Calibri" w:hAnsi="Calibri" w:eastAsia="Calibri" w:cs="Calibri"/>
          <w:color w:val="000000" w:themeColor="text1" w:themeTint="FF" w:themeShade="FF"/>
          <w:sz w:val="28"/>
          <w:szCs w:val="28"/>
        </w:rPr>
        <w:t xml:space="preserve">pupil needs to improve to supply essential feedback that can support the child in understanding their own goals to enhance their learning progress (Nicol and Macfarlane-Dick, 2006). The AFL strategy peer assessment is a formative assessment approach that allows pupils to make judgements about a peer's work using a criterion to refer to, </w:t>
      </w:r>
      <w:r w:rsidRPr="5E860BD4" w:rsidR="57397D63">
        <w:rPr>
          <w:rFonts w:ascii="Calibri" w:hAnsi="Calibri" w:eastAsia="Calibri" w:cs="Calibri"/>
          <w:color w:val="000000" w:themeColor="text1" w:themeTint="FF" w:themeShade="FF"/>
          <w:sz w:val="28"/>
          <w:szCs w:val="28"/>
        </w:rPr>
        <w:t>in order to</w:t>
      </w:r>
      <w:r w:rsidRPr="5E860BD4" w:rsidR="57397D63">
        <w:rPr>
          <w:rFonts w:ascii="Calibri" w:hAnsi="Calibri" w:eastAsia="Calibri" w:cs="Calibri"/>
          <w:color w:val="000000" w:themeColor="text1" w:themeTint="FF" w:themeShade="FF"/>
          <w:sz w:val="28"/>
          <w:szCs w:val="28"/>
        </w:rPr>
        <w:t xml:space="preserve"> supply relevant comments that can influence improvement and progression (Black and Wiliam,1998). The Welsh Government (2022) emphases that when peer assessment is performed appropriately it plays </w:t>
      </w:r>
      <w:r w:rsidRPr="5E860BD4" w:rsidR="57397D63">
        <w:rPr>
          <w:rFonts w:ascii="Calibri" w:hAnsi="Calibri" w:eastAsia="Calibri" w:cs="Calibri"/>
          <w:color w:val="000000" w:themeColor="text1" w:themeTint="FF" w:themeShade="FF"/>
          <w:sz w:val="28"/>
          <w:szCs w:val="28"/>
        </w:rPr>
        <w:t>an important role</w:t>
      </w:r>
      <w:r w:rsidRPr="5E860BD4" w:rsidR="57397D63">
        <w:rPr>
          <w:rFonts w:ascii="Calibri" w:hAnsi="Calibri" w:eastAsia="Calibri" w:cs="Calibri"/>
          <w:color w:val="000000" w:themeColor="text1" w:themeTint="FF" w:themeShade="FF"/>
          <w:sz w:val="28"/>
          <w:szCs w:val="28"/>
        </w:rPr>
        <w:t xml:space="preserve"> in teaching and learning by influencing independence, engagement and understanding of how to succeed through their work. This statement aligns with the purpose of the new Curriculum for Wales by focusing on the learner’s development through the child’s motivation and engagement when learning (Welsh Government, 2024).</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gramStart"/>
      <w:proofErr w:type="gramEnd"/>
      <w:proofErr w:type="spellStart"/>
      <w:proofErr w:type="spellEnd"/>
      <w:proofErr w:type="gramStart"/>
      <w:proofErr w:type="gramEnd"/>
    </w:p>
    <w:p w:rsidRPr="000E2E7E" w:rsidR="000E2E7E" w:rsidP="5E860BD4" w:rsidRDefault="57397D63" w14:paraId="3CE4D1E2" w14:textId="7DD72955">
      <w:pPr>
        <w:spacing w:line="360" w:lineRule="auto"/>
      </w:pPr>
      <w:r w:rsidRPr="5E860BD4" w:rsidR="57397D63">
        <w:rPr>
          <w:rFonts w:ascii="Calibri" w:hAnsi="Calibri" w:eastAsia="Calibri" w:cs="Calibri"/>
          <w:color w:val="000000" w:themeColor="text1" w:themeTint="FF" w:themeShade="FF"/>
          <w:sz w:val="28"/>
          <w:szCs w:val="28"/>
        </w:rPr>
        <w:t xml:space="preserve">The effectiveness of peer assessment has been outlined by </w:t>
      </w:r>
      <w:r w:rsidRPr="5E860BD4" w:rsidR="57397D63">
        <w:rPr>
          <w:rFonts w:ascii="Calibri" w:hAnsi="Calibri" w:eastAsia="Calibri" w:cs="Calibri"/>
          <w:color w:val="000000" w:themeColor="text1" w:themeTint="FF" w:themeShade="FF"/>
          <w:sz w:val="28"/>
          <w:szCs w:val="28"/>
        </w:rPr>
        <w:t>numerous</w:t>
      </w:r>
      <w:r w:rsidRPr="5E860BD4" w:rsidR="57397D63">
        <w:rPr>
          <w:rFonts w:ascii="Calibri" w:hAnsi="Calibri" w:eastAsia="Calibri" w:cs="Calibri"/>
          <w:color w:val="000000" w:themeColor="text1" w:themeTint="FF" w:themeShade="FF"/>
          <w:sz w:val="28"/>
          <w:szCs w:val="28"/>
        </w:rPr>
        <w:t xml:space="preserve"> literatures. </w:t>
      </w:r>
      <w:r w:rsidRPr="5E860BD4" w:rsidR="57397D63">
        <w:rPr>
          <w:rFonts w:ascii="Calibri" w:hAnsi="Calibri" w:eastAsia="Calibri" w:cs="Calibri"/>
          <w:color w:val="000000" w:themeColor="text1" w:themeTint="FF" w:themeShade="FF"/>
          <w:sz w:val="28"/>
          <w:szCs w:val="28"/>
        </w:rPr>
        <w:t>Through the use of</w:t>
      </w:r>
      <w:r w:rsidRPr="5E860BD4" w:rsidR="57397D63">
        <w:rPr>
          <w:rFonts w:ascii="Calibri" w:hAnsi="Calibri" w:eastAsia="Calibri" w:cs="Calibri"/>
          <w:color w:val="000000" w:themeColor="text1" w:themeTint="FF" w:themeShade="FF"/>
          <w:sz w:val="28"/>
          <w:szCs w:val="28"/>
        </w:rPr>
        <w:t xml:space="preserve"> peer assessment</w:t>
      </w:r>
      <w:r w:rsidRPr="5E860BD4" w:rsidR="3E76EEE6">
        <w:rPr>
          <w:rFonts w:ascii="Calibri" w:hAnsi="Calibri" w:eastAsia="Calibri" w:cs="Calibri"/>
          <w:color w:val="000000" w:themeColor="text1" w:themeTint="FF" w:themeShade="FF"/>
          <w:sz w:val="28"/>
          <w:szCs w:val="28"/>
        </w:rPr>
        <w:t>,</w:t>
      </w:r>
      <w:r w:rsidRPr="5E860BD4" w:rsidR="57397D63">
        <w:rPr>
          <w:rFonts w:ascii="Calibri" w:hAnsi="Calibri" w:eastAsia="Calibri" w:cs="Calibri"/>
          <w:color w:val="000000" w:themeColor="text1" w:themeTint="FF" w:themeShade="FF"/>
          <w:sz w:val="28"/>
          <w:szCs w:val="28"/>
        </w:rPr>
        <w:t xml:space="preserve"> children evaluate the quality of their peer’s work by referring to vital information from the lesson. Influencing deeper understanding of the content learnt during the lesson to support the pupil in creating useful feedback (Topping, 2009). This outcome will improve the pupil’s academic development because the child does not only develop an advanced understanding of the lesson, but they must critically evaluate the content. </w:t>
      </w:r>
      <w:r w:rsidRPr="5E860BD4" w:rsidR="57397D63">
        <w:rPr>
          <w:rFonts w:ascii="Calibri" w:hAnsi="Calibri" w:eastAsia="Calibri" w:cs="Calibri"/>
          <w:color w:val="000000" w:themeColor="text1" w:themeTint="FF" w:themeShade="FF"/>
          <w:sz w:val="28"/>
          <w:szCs w:val="28"/>
        </w:rPr>
        <w:t>Falchikov</w:t>
      </w:r>
      <w:r w:rsidRPr="5E860BD4" w:rsidR="57397D63">
        <w:rPr>
          <w:rFonts w:ascii="Calibri" w:hAnsi="Calibri" w:eastAsia="Calibri" w:cs="Calibri"/>
          <w:color w:val="000000" w:themeColor="text1" w:themeTint="FF" w:themeShade="FF"/>
          <w:sz w:val="28"/>
          <w:szCs w:val="28"/>
        </w:rPr>
        <w:t xml:space="preserve"> (2013) outlines that peer assessment can improve understanding of content, however if the child’s understanding of content is not up to standards</w:t>
      </w:r>
      <w:r w:rsidRPr="5E860BD4" w:rsidR="4E8EC62A">
        <w:rPr>
          <w:rFonts w:ascii="Calibri" w:hAnsi="Calibri" w:eastAsia="Calibri" w:cs="Calibri"/>
          <w:color w:val="000000" w:themeColor="text1" w:themeTint="FF" w:themeShade="FF"/>
          <w:sz w:val="28"/>
          <w:szCs w:val="28"/>
        </w:rPr>
        <w:t xml:space="preserve"> of the curriculum</w:t>
      </w:r>
      <w:r w:rsidRPr="5E860BD4" w:rsidR="57397D63">
        <w:rPr>
          <w:rFonts w:ascii="Calibri" w:hAnsi="Calibri" w:eastAsia="Calibri" w:cs="Calibri"/>
          <w:color w:val="000000" w:themeColor="text1" w:themeTint="FF" w:themeShade="FF"/>
          <w:sz w:val="28"/>
          <w:szCs w:val="28"/>
        </w:rPr>
        <w:t xml:space="preserve">, the child could struggle to produce relevant feedback to support progression. Additionally, peer assessment can </w:t>
      </w:r>
      <w:r w:rsidRPr="5E860BD4" w:rsidR="57397D63">
        <w:rPr>
          <w:rFonts w:ascii="Calibri" w:hAnsi="Calibri" w:eastAsia="Calibri" w:cs="Calibri"/>
          <w:color w:val="000000" w:themeColor="text1" w:themeTint="FF" w:themeShade="FF"/>
          <w:sz w:val="28"/>
          <w:szCs w:val="28"/>
        </w:rPr>
        <w:t>benefit</w:t>
      </w:r>
      <w:r w:rsidRPr="5E860BD4" w:rsidR="57397D63">
        <w:rPr>
          <w:rFonts w:ascii="Calibri" w:hAnsi="Calibri" w:eastAsia="Calibri" w:cs="Calibri"/>
          <w:color w:val="000000" w:themeColor="text1" w:themeTint="FF" w:themeShade="FF"/>
          <w:sz w:val="28"/>
          <w:szCs w:val="28"/>
        </w:rPr>
        <w:t xml:space="preserve"> children’s emotional development towards their academic learning (Black and </w:t>
      </w:r>
      <w:r w:rsidRPr="5E860BD4" w:rsidR="57397D63">
        <w:rPr>
          <w:rFonts w:ascii="Calibri" w:hAnsi="Calibri" w:eastAsia="Calibri" w:cs="Calibri"/>
          <w:color w:val="000000" w:themeColor="text1" w:themeTint="FF" w:themeShade="FF"/>
          <w:sz w:val="28"/>
          <w:szCs w:val="28"/>
        </w:rPr>
        <w:t>Wiliam</w:t>
      </w:r>
      <w:r w:rsidRPr="5E860BD4" w:rsidR="57397D63">
        <w:rPr>
          <w:rFonts w:ascii="Calibri" w:hAnsi="Calibri" w:eastAsia="Calibri" w:cs="Calibri"/>
          <w:color w:val="000000" w:themeColor="text1" w:themeTint="FF" w:themeShade="FF"/>
          <w:sz w:val="28"/>
          <w:szCs w:val="28"/>
        </w:rPr>
        <w:t>,</w:t>
      </w:r>
      <w:r w:rsidRPr="5E860BD4" w:rsidR="004A2501">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color w:val="000000" w:themeColor="text1" w:themeTint="FF" w:themeShade="FF"/>
          <w:sz w:val="28"/>
          <w:szCs w:val="28"/>
        </w:rPr>
        <w:t xml:space="preserve">1998). Peer assessment requires a child to </w:t>
      </w:r>
      <w:r w:rsidRPr="5E860BD4" w:rsidR="57397D63">
        <w:rPr>
          <w:rFonts w:ascii="Calibri" w:hAnsi="Calibri" w:eastAsia="Calibri" w:cs="Calibri"/>
          <w:color w:val="000000" w:themeColor="text1" w:themeTint="FF" w:themeShade="FF"/>
          <w:sz w:val="28"/>
          <w:szCs w:val="28"/>
        </w:rPr>
        <w:t>identify</w:t>
      </w:r>
      <w:r w:rsidRPr="5E860BD4" w:rsidR="57397D63">
        <w:rPr>
          <w:rFonts w:ascii="Calibri" w:hAnsi="Calibri" w:eastAsia="Calibri" w:cs="Calibri"/>
          <w:color w:val="000000" w:themeColor="text1" w:themeTint="FF" w:themeShade="FF"/>
          <w:sz w:val="28"/>
          <w:szCs w:val="28"/>
        </w:rPr>
        <w:t xml:space="preserve"> areas for their peer to develop which can enhance the child’s confidence in their own work. When the </w:t>
      </w:r>
      <w:r w:rsidRPr="5E860BD4" w:rsidR="57397D63">
        <w:rPr>
          <w:rFonts w:ascii="Calibri" w:hAnsi="Calibri" w:eastAsia="Calibri" w:cs="Calibri"/>
          <w:color w:val="000000" w:themeColor="text1" w:themeTint="FF" w:themeShade="FF"/>
          <w:sz w:val="28"/>
          <w:szCs w:val="28"/>
        </w:rPr>
        <w:t xml:space="preserve">child receives a positive and improvement comment from their peer, it can boost their confidence levels by highlighting their strengths in their academic skills (Black and </w:t>
      </w:r>
      <w:r w:rsidRPr="5E860BD4" w:rsidR="57397D63">
        <w:rPr>
          <w:rFonts w:ascii="Calibri" w:hAnsi="Calibri" w:eastAsia="Calibri" w:cs="Calibri"/>
          <w:color w:val="000000" w:themeColor="text1" w:themeTint="FF" w:themeShade="FF"/>
          <w:sz w:val="28"/>
          <w:szCs w:val="28"/>
        </w:rPr>
        <w:t>Wiliam</w:t>
      </w:r>
      <w:r w:rsidRPr="5E860BD4" w:rsidR="57397D63">
        <w:rPr>
          <w:rFonts w:ascii="Calibri" w:hAnsi="Calibri" w:eastAsia="Calibri" w:cs="Calibri"/>
          <w:color w:val="000000" w:themeColor="text1" w:themeTint="FF" w:themeShade="FF"/>
          <w:sz w:val="28"/>
          <w:szCs w:val="28"/>
        </w:rPr>
        <w:t xml:space="preserve">, 1998). Contrastingly, </w:t>
      </w:r>
      <w:r w:rsidRPr="5E860BD4" w:rsidR="57397D63">
        <w:rPr>
          <w:rFonts w:ascii="Calibri" w:hAnsi="Calibri" w:eastAsia="Calibri" w:cs="Calibri"/>
          <w:color w:val="000000" w:themeColor="text1" w:themeTint="FF" w:themeShade="FF"/>
          <w:sz w:val="28"/>
          <w:szCs w:val="28"/>
        </w:rPr>
        <w:t>Boud</w:t>
      </w:r>
      <w:r w:rsidRPr="5E860BD4" w:rsidR="57397D63">
        <w:rPr>
          <w:rFonts w:ascii="Calibri" w:hAnsi="Calibri" w:eastAsia="Calibri" w:cs="Calibri"/>
          <w:color w:val="000000" w:themeColor="text1" w:themeTint="FF" w:themeShade="FF"/>
          <w:sz w:val="28"/>
          <w:szCs w:val="28"/>
        </w:rPr>
        <w:t xml:space="preserve"> and </w:t>
      </w:r>
      <w:r w:rsidRPr="5E860BD4" w:rsidR="57397D63">
        <w:rPr>
          <w:rFonts w:ascii="Calibri" w:hAnsi="Calibri" w:eastAsia="Calibri" w:cs="Calibri"/>
          <w:color w:val="000000" w:themeColor="text1" w:themeTint="FF" w:themeShade="FF"/>
          <w:sz w:val="28"/>
          <w:szCs w:val="28"/>
        </w:rPr>
        <w:t>Falchikov</w:t>
      </w:r>
      <w:r w:rsidRPr="5E860BD4" w:rsidR="57397D63">
        <w:rPr>
          <w:rFonts w:ascii="Calibri" w:hAnsi="Calibri" w:eastAsia="Calibri" w:cs="Calibri"/>
          <w:color w:val="000000" w:themeColor="text1" w:themeTint="FF" w:themeShade="FF"/>
          <w:sz w:val="28"/>
          <w:szCs w:val="28"/>
        </w:rPr>
        <w:t xml:space="preserve"> (2006) </w:t>
      </w:r>
      <w:r w:rsidRPr="5E860BD4" w:rsidR="57397D63">
        <w:rPr>
          <w:rFonts w:ascii="Calibri" w:hAnsi="Calibri" w:eastAsia="Calibri" w:cs="Calibri"/>
          <w:color w:val="000000" w:themeColor="text1" w:themeTint="FF" w:themeShade="FF"/>
          <w:sz w:val="28"/>
          <w:szCs w:val="28"/>
        </w:rPr>
        <w:t>identify</w:t>
      </w:r>
      <w:r w:rsidRPr="5E860BD4" w:rsidR="57397D63">
        <w:rPr>
          <w:rFonts w:ascii="Calibri" w:hAnsi="Calibri" w:eastAsia="Calibri" w:cs="Calibri"/>
          <w:color w:val="000000" w:themeColor="text1" w:themeTint="FF" w:themeShade="FF"/>
          <w:sz w:val="28"/>
          <w:szCs w:val="28"/>
        </w:rPr>
        <w:t xml:space="preserve"> that the outcome of peer assessment relies on the specific child marking their work. Peer assessment can </w:t>
      </w:r>
      <w:r w:rsidRPr="5E860BD4" w:rsidR="57397D63">
        <w:rPr>
          <w:rFonts w:ascii="Calibri" w:hAnsi="Calibri" w:eastAsia="Calibri" w:cs="Calibri"/>
          <w:color w:val="000000" w:themeColor="text1" w:themeTint="FF" w:themeShade="FF"/>
          <w:sz w:val="28"/>
          <w:szCs w:val="28"/>
        </w:rPr>
        <w:t>impact</w:t>
      </w:r>
      <w:r w:rsidRPr="5E860BD4" w:rsidR="57397D63">
        <w:rPr>
          <w:rFonts w:ascii="Calibri" w:hAnsi="Calibri" w:eastAsia="Calibri" w:cs="Calibri"/>
          <w:color w:val="000000" w:themeColor="text1" w:themeTint="FF" w:themeShade="FF"/>
          <w:sz w:val="28"/>
          <w:szCs w:val="28"/>
        </w:rPr>
        <w:t xml:space="preserve"> a child’s confidence due to harsh feedback from children who may favour other peers, affecting their motivation to learn. According to Dweck (2006) peer assessment requires children to self-evaluate their own work before being able to critically evaluate their peers. Evaluating their own work supports the child in </w:t>
      </w:r>
      <w:r w:rsidRPr="5E860BD4" w:rsidR="57397D63">
        <w:rPr>
          <w:rFonts w:ascii="Calibri" w:hAnsi="Calibri" w:eastAsia="Calibri" w:cs="Calibri"/>
          <w:color w:val="000000" w:themeColor="text1" w:themeTint="FF" w:themeShade="FF"/>
          <w:sz w:val="28"/>
          <w:szCs w:val="28"/>
        </w:rPr>
        <w:t>identifying</w:t>
      </w:r>
      <w:r w:rsidRPr="5E860BD4" w:rsidR="57397D63">
        <w:rPr>
          <w:rFonts w:ascii="Calibri" w:hAnsi="Calibri" w:eastAsia="Calibri" w:cs="Calibri"/>
          <w:color w:val="000000" w:themeColor="text1" w:themeTint="FF" w:themeShade="FF"/>
          <w:sz w:val="28"/>
          <w:szCs w:val="28"/>
        </w:rPr>
        <w:t xml:space="preserve"> the possible development areas from diverse perspectives by comparing both peer’s work. Self-evaluation is not only a crucial skill in teaching and learning, but the ability </w:t>
      </w:r>
      <w:r w:rsidRPr="5E860BD4" w:rsidR="65ED169A">
        <w:rPr>
          <w:rFonts w:ascii="Calibri" w:hAnsi="Calibri" w:eastAsia="Calibri" w:cs="Calibri"/>
          <w:color w:val="000000" w:themeColor="text1" w:themeTint="FF" w:themeShade="FF"/>
          <w:sz w:val="28"/>
          <w:szCs w:val="28"/>
        </w:rPr>
        <w:t>to also</w:t>
      </w:r>
      <w:r w:rsidRPr="5E860BD4" w:rsidR="57397D63">
        <w:rPr>
          <w:rFonts w:ascii="Calibri" w:hAnsi="Calibri" w:eastAsia="Calibri" w:cs="Calibri"/>
          <w:color w:val="000000" w:themeColor="text1" w:themeTint="FF" w:themeShade="FF"/>
          <w:sz w:val="28"/>
          <w:szCs w:val="28"/>
        </w:rPr>
        <w:t xml:space="preserve"> critically evaluate is an essential skill that is needed during personal life events. An alternative viewpoint to self-evaluation is reported by Black (2003)</w:t>
      </w:r>
      <w:r w:rsidRPr="5E860BD4" w:rsidR="004A2501">
        <w:rPr>
          <w:rFonts w:ascii="Calibri" w:hAnsi="Calibri" w:eastAsia="Calibri" w:cs="Calibri"/>
          <w:color w:val="000000" w:themeColor="text1" w:themeTint="FF" w:themeShade="FF"/>
          <w:sz w:val="28"/>
          <w:szCs w:val="28"/>
        </w:rPr>
        <w:t>,</w:t>
      </w:r>
      <w:r w:rsidRPr="5E860BD4" w:rsidR="57397D63">
        <w:rPr>
          <w:rFonts w:ascii="Calibri" w:hAnsi="Calibri" w:eastAsia="Calibri" w:cs="Calibri"/>
          <w:color w:val="000000" w:themeColor="text1" w:themeTint="FF" w:themeShade="FF"/>
          <w:sz w:val="28"/>
          <w:szCs w:val="28"/>
        </w:rPr>
        <w:t xml:space="preserve"> self-evaluation cannot be performed accurately without the correct guidance. Without correct understanding of how to critically evaluate the strengths and weakness to supply practical feedback, pupils may not engage correctly with self-reflection (Black, 2003). Although there are </w:t>
      </w:r>
      <w:r w:rsidRPr="5E860BD4" w:rsidR="57397D63">
        <w:rPr>
          <w:rFonts w:ascii="Calibri" w:hAnsi="Calibri" w:eastAsia="Calibri" w:cs="Calibri"/>
          <w:color w:val="000000" w:themeColor="text1" w:themeTint="FF" w:themeShade="FF"/>
          <w:sz w:val="28"/>
          <w:szCs w:val="28"/>
        </w:rPr>
        <w:t>numerous</w:t>
      </w:r>
      <w:r w:rsidRPr="5E860BD4" w:rsidR="57397D63">
        <w:rPr>
          <w:rFonts w:ascii="Calibri" w:hAnsi="Calibri" w:eastAsia="Calibri" w:cs="Calibri"/>
          <w:color w:val="000000" w:themeColor="text1" w:themeTint="FF" w:themeShade="FF"/>
          <w:sz w:val="28"/>
          <w:szCs w:val="28"/>
        </w:rPr>
        <w:t xml:space="preserve"> benefits of peer assessment in an academic environment, peer assessment can support pupils in </w:t>
      </w:r>
      <w:r w:rsidRPr="5E860BD4" w:rsidR="57397D63">
        <w:rPr>
          <w:rFonts w:ascii="Calibri" w:hAnsi="Calibri" w:eastAsia="Calibri" w:cs="Calibri"/>
          <w:color w:val="000000" w:themeColor="text1" w:themeTint="FF" w:themeShade="FF"/>
          <w:sz w:val="28"/>
          <w:szCs w:val="28"/>
        </w:rPr>
        <w:t>additional</w:t>
      </w:r>
      <w:r w:rsidRPr="5E860BD4" w:rsidR="57397D63">
        <w:rPr>
          <w:rFonts w:ascii="Calibri" w:hAnsi="Calibri" w:eastAsia="Calibri" w:cs="Calibri"/>
          <w:color w:val="000000" w:themeColor="text1" w:themeTint="FF" w:themeShade="FF"/>
          <w:sz w:val="28"/>
          <w:szCs w:val="28"/>
        </w:rPr>
        <w:t xml:space="preserve"> ways outside of the classroom environment. Peer assessment helps children develop necessary skills needed regularly outside of the classroom (</w:t>
      </w:r>
      <w:r w:rsidRPr="5E860BD4" w:rsidR="57397D63">
        <w:rPr>
          <w:rFonts w:ascii="Calibri" w:hAnsi="Calibri" w:eastAsia="Calibri" w:cs="Calibri"/>
          <w:color w:val="000000" w:themeColor="text1" w:themeTint="FF" w:themeShade="FF"/>
          <w:sz w:val="28"/>
          <w:szCs w:val="28"/>
        </w:rPr>
        <w:t>Falchikov</w:t>
      </w:r>
      <w:r w:rsidRPr="5E860BD4" w:rsidR="57397D63">
        <w:rPr>
          <w:rFonts w:ascii="Calibri" w:hAnsi="Calibri" w:eastAsia="Calibri" w:cs="Calibri"/>
          <w:color w:val="000000" w:themeColor="text1" w:themeTint="FF" w:themeShade="FF"/>
          <w:sz w:val="28"/>
          <w:szCs w:val="28"/>
        </w:rPr>
        <w:t xml:space="preserve">, 2013). Communication skills are developed continuously during the process of peer assessment by sharing feedback to one another in a considerate matter. Communication skills are needed in a child’s personal life to share and understand their own and </w:t>
      </w:r>
      <w:r w:rsidRPr="5E860BD4" w:rsidR="57397D63">
        <w:rPr>
          <w:rFonts w:ascii="Calibri" w:hAnsi="Calibri" w:eastAsia="Calibri" w:cs="Calibri"/>
          <w:color w:val="000000" w:themeColor="text1" w:themeTint="FF" w:themeShade="FF"/>
          <w:sz w:val="28"/>
          <w:szCs w:val="28"/>
        </w:rPr>
        <w:t>others</w:t>
      </w:r>
      <w:r w:rsidRPr="5E860BD4" w:rsidR="57397D63">
        <w:rPr>
          <w:rFonts w:ascii="Calibri" w:hAnsi="Calibri" w:eastAsia="Calibri" w:cs="Calibri"/>
          <w:color w:val="000000" w:themeColor="text1" w:themeTint="FF" w:themeShade="FF"/>
          <w:sz w:val="28"/>
          <w:szCs w:val="28"/>
        </w:rPr>
        <w:t xml:space="preserve"> feelings and emotions to develop personal relationships outside of school (</w:t>
      </w:r>
      <w:r w:rsidRPr="5E860BD4" w:rsidR="57397D63">
        <w:rPr>
          <w:rFonts w:ascii="Calibri" w:hAnsi="Calibri" w:eastAsia="Calibri" w:cs="Calibri"/>
          <w:color w:val="000000" w:themeColor="text1" w:themeTint="FF" w:themeShade="FF"/>
          <w:sz w:val="28"/>
          <w:szCs w:val="28"/>
        </w:rPr>
        <w:t>Falchikov</w:t>
      </w:r>
      <w:r w:rsidRPr="5E860BD4" w:rsidR="57397D63">
        <w:rPr>
          <w:rFonts w:ascii="Calibri" w:hAnsi="Calibri" w:eastAsia="Calibri" w:cs="Calibri"/>
          <w:color w:val="000000" w:themeColor="text1" w:themeTint="FF" w:themeShade="FF"/>
          <w:sz w:val="28"/>
          <w:szCs w:val="28"/>
        </w:rPr>
        <w:t xml:space="preserve">, 2013). Children </w:t>
      </w:r>
      <w:r w:rsidRPr="5E860BD4" w:rsidR="57397D63">
        <w:rPr>
          <w:rFonts w:ascii="Calibri" w:hAnsi="Calibri" w:eastAsia="Calibri" w:cs="Calibri"/>
          <w:color w:val="000000" w:themeColor="text1" w:themeTint="FF" w:themeShade="FF"/>
          <w:sz w:val="28"/>
          <w:szCs w:val="28"/>
        </w:rPr>
        <w:t>are required to</w:t>
      </w:r>
      <w:r w:rsidRPr="5E860BD4" w:rsidR="57397D63">
        <w:rPr>
          <w:rFonts w:ascii="Calibri" w:hAnsi="Calibri" w:eastAsia="Calibri" w:cs="Calibri"/>
          <w:color w:val="000000" w:themeColor="text1" w:themeTint="FF" w:themeShade="FF"/>
          <w:sz w:val="28"/>
          <w:szCs w:val="28"/>
        </w:rPr>
        <w:t xml:space="preserve"> assess their peers work during the </w:t>
      </w:r>
      <w:r w:rsidRPr="5E860BD4" w:rsidR="57397D63">
        <w:rPr>
          <w:rFonts w:ascii="Calibri" w:hAnsi="Calibri" w:eastAsia="Calibri" w:cs="Calibri"/>
          <w:color w:val="000000" w:themeColor="text1" w:themeTint="FF" w:themeShade="FF"/>
          <w:sz w:val="28"/>
          <w:szCs w:val="28"/>
        </w:rPr>
        <w:t xml:space="preserve">lesson rather than the teacher marking all work after the lesson affecting the teacher workload (Sadler, 1989). On the other hand, </w:t>
      </w:r>
      <w:r w:rsidRPr="5E860BD4" w:rsidR="57397D63">
        <w:rPr>
          <w:rFonts w:ascii="Calibri" w:hAnsi="Calibri" w:eastAsia="Calibri" w:cs="Calibri"/>
          <w:color w:val="000000" w:themeColor="text1" w:themeTint="FF" w:themeShade="FF"/>
          <w:sz w:val="28"/>
          <w:szCs w:val="28"/>
        </w:rPr>
        <w:t>Liu</w:t>
      </w:r>
      <w:r w:rsidRPr="5E860BD4" w:rsidR="57397D63">
        <w:rPr>
          <w:rFonts w:ascii="Calibri" w:hAnsi="Calibri" w:eastAsia="Calibri" w:cs="Calibri"/>
          <w:color w:val="000000" w:themeColor="text1" w:themeTint="FF" w:themeShade="FF"/>
          <w:sz w:val="28"/>
          <w:szCs w:val="28"/>
        </w:rPr>
        <w:t xml:space="preserve"> and Carless (2006) imply that incorrect feedback may be received due to the lack of </w:t>
      </w:r>
      <w:r w:rsidRPr="5E860BD4" w:rsidR="57397D63">
        <w:rPr>
          <w:rFonts w:ascii="Calibri" w:hAnsi="Calibri" w:eastAsia="Calibri" w:cs="Calibri"/>
          <w:color w:val="000000" w:themeColor="text1" w:themeTint="FF" w:themeShade="FF"/>
          <w:sz w:val="28"/>
          <w:szCs w:val="28"/>
        </w:rPr>
        <w:t>expertise</w:t>
      </w:r>
      <w:r w:rsidRPr="5E860BD4" w:rsidR="57397D63">
        <w:rPr>
          <w:rFonts w:ascii="Calibri" w:hAnsi="Calibri" w:eastAsia="Calibri" w:cs="Calibri"/>
          <w:color w:val="000000" w:themeColor="text1" w:themeTint="FF" w:themeShade="FF"/>
          <w:sz w:val="28"/>
          <w:szCs w:val="28"/>
        </w:rPr>
        <w:t xml:space="preserve">, requiring the teacher to remark each work to check the quality of feedback. Overall, peer assessment has been proven to have multiple benefits on learning and teaching as well as a child’s development skills. However, it has been </w:t>
      </w:r>
      <w:r w:rsidRPr="5E860BD4" w:rsidR="57397D63">
        <w:rPr>
          <w:rFonts w:ascii="Calibri" w:hAnsi="Calibri" w:eastAsia="Calibri" w:cs="Calibri"/>
          <w:color w:val="000000" w:themeColor="text1" w:themeTint="FF" w:themeShade="FF"/>
          <w:sz w:val="28"/>
          <w:szCs w:val="28"/>
        </w:rPr>
        <w:t>evident</w:t>
      </w:r>
      <w:r w:rsidRPr="5E860BD4" w:rsidR="57397D63">
        <w:rPr>
          <w:rFonts w:ascii="Calibri" w:hAnsi="Calibri" w:eastAsia="Calibri" w:cs="Calibri"/>
          <w:color w:val="000000" w:themeColor="text1" w:themeTint="FF" w:themeShade="FF"/>
          <w:sz w:val="28"/>
          <w:szCs w:val="28"/>
        </w:rPr>
        <w:t xml:space="preserve"> that there are </w:t>
      </w:r>
      <w:r w:rsidRPr="5E860BD4" w:rsidR="57397D63">
        <w:rPr>
          <w:rFonts w:ascii="Calibri" w:hAnsi="Calibri" w:eastAsia="Calibri" w:cs="Calibri"/>
          <w:color w:val="000000" w:themeColor="text1" w:themeTint="FF" w:themeShade="FF"/>
          <w:sz w:val="28"/>
          <w:szCs w:val="28"/>
        </w:rPr>
        <w:t>numerous</w:t>
      </w:r>
      <w:r w:rsidRPr="5E860BD4" w:rsidR="57397D63">
        <w:rPr>
          <w:rFonts w:ascii="Calibri" w:hAnsi="Calibri" w:eastAsia="Calibri" w:cs="Calibri"/>
          <w:color w:val="000000" w:themeColor="text1" w:themeTint="FF" w:themeShade="FF"/>
          <w:sz w:val="28"/>
          <w:szCs w:val="28"/>
        </w:rPr>
        <w:t xml:space="preserve"> contrasting views that can affect the process of peer assessment that will be taken into consideration throughout this assignment.</w:t>
      </w:r>
    </w:p>
    <w:p w:rsidRPr="000E2E7E" w:rsidR="000E2E7E" w:rsidP="5E860BD4" w:rsidRDefault="57397D63" w14:paraId="435359E9" w14:textId="6E5D27E8"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E2E7E" w:rsidR="000E2E7E" w:rsidP="5E860BD4" w:rsidRDefault="57397D63" w14:paraId="30194CFC" w14:textId="06228227" w14:noSpellErr="1">
      <w:pPr>
        <w:spacing w:line="360" w:lineRule="auto"/>
      </w:pPr>
      <w:r w:rsidRPr="5E860BD4" w:rsidR="57397D63">
        <w:rPr>
          <w:rFonts w:ascii="Calibri" w:hAnsi="Calibri" w:eastAsia="Calibri" w:cs="Calibri"/>
          <w:b w:val="1"/>
          <w:bCs w:val="1"/>
          <w:color w:val="000000" w:themeColor="text1" w:themeTint="FF" w:themeShade="FF"/>
          <w:sz w:val="32"/>
          <w:szCs w:val="32"/>
        </w:rPr>
        <w:t xml:space="preserve">Methodology </w:t>
      </w:r>
    </w:p>
    <w:p w:rsidRPr="000E2E7E" w:rsidR="000E2E7E" w:rsidP="5E860BD4" w:rsidRDefault="57397D63" w14:paraId="45F2B207" w14:textId="4A48B6BF" w14:noSpellErr="1">
      <w:pPr>
        <w:spacing w:line="360" w:lineRule="auto"/>
      </w:pPr>
      <w:r w:rsidRPr="5E860BD4" w:rsidR="57397D63">
        <w:rPr>
          <w:rFonts w:ascii="Calibri" w:hAnsi="Calibri" w:eastAsia="Calibri" w:cs="Calibri"/>
          <w:color w:val="000000" w:themeColor="text1" w:themeTint="FF" w:themeShade="FF"/>
          <w:sz w:val="28"/>
          <w:szCs w:val="28"/>
        </w:rPr>
        <w:t xml:space="preserve">Throughout this research, the use of questionnaires and interviews are identified as data collection methods to develop an understanding of the benefit peer assessment has on teaching and learning. Both methods were used when collecting quantitative and qualitative data from an urban primary school on their views of peer assessment. </w:t>
      </w:r>
    </w:p>
    <w:p w:rsidRPr="000E2E7E" w:rsidR="000E2E7E" w:rsidP="5E860BD4" w:rsidRDefault="57397D63" w14:paraId="154E9206" w14:textId="3CB4698D"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E2E7E" w:rsidR="000E2E7E" w:rsidP="5E860BD4" w:rsidRDefault="57397D63" w14:paraId="639D5D13" w14:textId="41DAB338">
      <w:pPr>
        <w:spacing w:line="360" w:lineRule="auto"/>
      </w:pPr>
      <w:r w:rsidRPr="5E860BD4" w:rsidR="57397D63">
        <w:rPr>
          <w:rFonts w:ascii="Calibri" w:hAnsi="Calibri" w:eastAsia="Calibri" w:cs="Calibri"/>
          <w:color w:val="000000" w:themeColor="text1" w:themeTint="FF" w:themeShade="FF"/>
          <w:sz w:val="28"/>
          <w:szCs w:val="28"/>
        </w:rPr>
        <w:t xml:space="preserve">Questionnaires are used as a research tool to collect essential data from participants related to the subject. Questionnaire results can differ on how it is used and </w:t>
      </w:r>
      <w:r w:rsidRPr="5E860BD4" w:rsidR="57397D63">
        <w:rPr>
          <w:rFonts w:ascii="Calibri" w:hAnsi="Calibri" w:eastAsia="Calibri" w:cs="Calibri"/>
          <w:color w:val="000000" w:themeColor="text1" w:themeTint="FF" w:themeShade="FF"/>
          <w:sz w:val="28"/>
          <w:szCs w:val="28"/>
        </w:rPr>
        <w:t>validated</w:t>
      </w:r>
      <w:r w:rsidRPr="5E860BD4" w:rsidR="57397D63">
        <w:rPr>
          <w:rFonts w:ascii="Calibri" w:hAnsi="Calibri" w:eastAsia="Calibri" w:cs="Calibri"/>
          <w:color w:val="000000" w:themeColor="text1" w:themeTint="FF" w:themeShade="FF"/>
          <w:sz w:val="28"/>
          <w:szCs w:val="28"/>
        </w:rPr>
        <w:t xml:space="preserve">, affecting the result outcomes (Ranganathan, </w:t>
      </w:r>
      <w:r w:rsidRPr="5E860BD4" w:rsidR="57397D63">
        <w:rPr>
          <w:rFonts w:ascii="Calibri" w:hAnsi="Calibri" w:eastAsia="Calibri" w:cs="Calibri"/>
          <w:color w:val="000000" w:themeColor="text1" w:themeTint="FF" w:themeShade="FF"/>
          <w:sz w:val="28"/>
          <w:szCs w:val="28"/>
        </w:rPr>
        <w:t>Caduff</w:t>
      </w:r>
      <w:r w:rsidRPr="5E860BD4" w:rsidR="57397D63">
        <w:rPr>
          <w:rFonts w:ascii="Calibri" w:hAnsi="Calibri" w:eastAsia="Calibri" w:cs="Calibri"/>
          <w:color w:val="000000" w:themeColor="text1" w:themeTint="FF" w:themeShade="FF"/>
          <w:sz w:val="28"/>
          <w:szCs w:val="28"/>
        </w:rPr>
        <w:t xml:space="preserve">, 2023). The questionnaire </w:t>
      </w:r>
      <w:r w:rsidRPr="5E860BD4" w:rsidR="57397D63">
        <w:rPr>
          <w:rFonts w:ascii="Calibri" w:hAnsi="Calibri" w:eastAsia="Calibri" w:cs="Calibri"/>
          <w:color w:val="000000" w:themeColor="text1" w:themeTint="FF" w:themeShade="FF"/>
          <w:sz w:val="28"/>
          <w:szCs w:val="28"/>
        </w:rPr>
        <w:t>contains</w:t>
      </w:r>
      <w:r w:rsidRPr="5E860BD4" w:rsidR="57397D63">
        <w:rPr>
          <w:rFonts w:ascii="Calibri" w:hAnsi="Calibri" w:eastAsia="Calibri" w:cs="Calibri"/>
          <w:color w:val="000000" w:themeColor="text1" w:themeTint="FF" w:themeShade="FF"/>
          <w:sz w:val="28"/>
          <w:szCs w:val="28"/>
        </w:rPr>
        <w:t xml:space="preserve"> open-ended, closed ended and Likert scale questions. Open-ended questions allow the participants to share their feelings and thoughts by elaborating on their points, </w:t>
      </w:r>
      <w:r w:rsidRPr="5E860BD4" w:rsidR="57397D63">
        <w:rPr>
          <w:rFonts w:ascii="Calibri" w:hAnsi="Calibri" w:eastAsia="Calibri" w:cs="Calibri"/>
          <w:color w:val="000000" w:themeColor="text1" w:themeTint="FF" w:themeShade="FF"/>
          <w:sz w:val="28"/>
          <w:szCs w:val="28"/>
        </w:rPr>
        <w:t>whereas</w:t>
      </w:r>
      <w:r w:rsidRPr="5E860BD4" w:rsidR="57397D63">
        <w:rPr>
          <w:rFonts w:ascii="Calibri" w:hAnsi="Calibri" w:eastAsia="Calibri" w:cs="Calibri"/>
          <w:color w:val="000000" w:themeColor="text1" w:themeTint="FF" w:themeShade="FF"/>
          <w:sz w:val="28"/>
          <w:szCs w:val="28"/>
        </w:rPr>
        <w:t xml:space="preserve"> closed ended questions require short answer that include a yes or no (Bryman, 2016). Furthermore, </w:t>
      </w:r>
      <w:r w:rsidRPr="5E860BD4" w:rsidR="57397D63">
        <w:rPr>
          <w:rFonts w:ascii="Calibri" w:hAnsi="Calibri" w:eastAsia="Calibri" w:cs="Calibri"/>
          <w:color w:val="000000" w:themeColor="text1" w:themeTint="FF" w:themeShade="FF"/>
          <w:sz w:val="28"/>
          <w:szCs w:val="28"/>
        </w:rPr>
        <w:t xml:space="preserve">Likert scale questions often collect a ranking response from agreement to disagreement (Bryman, 2016). These types of questions were chosen because the relevant questions give the opportunity to expand on their feelings, </w:t>
      </w:r>
      <w:r w:rsidRPr="5E860BD4" w:rsidR="57397D63">
        <w:rPr>
          <w:rFonts w:ascii="Calibri" w:hAnsi="Calibri" w:eastAsia="Calibri" w:cs="Calibri"/>
          <w:color w:val="000000" w:themeColor="text1" w:themeTint="FF" w:themeShade="FF"/>
          <w:sz w:val="28"/>
          <w:szCs w:val="28"/>
        </w:rPr>
        <w:t>whereas</w:t>
      </w:r>
      <w:r w:rsidRPr="5E860BD4" w:rsidR="57397D63">
        <w:rPr>
          <w:rFonts w:ascii="Calibri" w:hAnsi="Calibri" w:eastAsia="Calibri" w:cs="Calibri"/>
          <w:color w:val="000000" w:themeColor="text1" w:themeTint="FF" w:themeShade="FF"/>
          <w:sz w:val="28"/>
          <w:szCs w:val="28"/>
        </w:rPr>
        <w:t xml:space="preserve"> the questions that do not need an extended answer can be answered accordingly. The questionnaire conducted is shared</w:t>
      </w:r>
      <w:r w:rsidRPr="5E860BD4" w:rsidR="340AE323">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color w:val="000000" w:themeColor="text1" w:themeTint="FF" w:themeShade="FF"/>
          <w:sz w:val="28"/>
          <w:szCs w:val="28"/>
        </w:rPr>
        <w:t>through an online platform such as google forms. Online questionnaires reach the participants efficiently and allow the participants to answer in their own time. By conducting the questionnaire online, it can prevent stress for needing to complete an immediate response (</w:t>
      </w:r>
      <w:r w:rsidRPr="5E860BD4" w:rsidR="57397D63">
        <w:rPr>
          <w:rFonts w:ascii="Calibri" w:hAnsi="Calibri" w:eastAsia="Calibri" w:cs="Calibri"/>
          <w:color w:val="000000" w:themeColor="text1" w:themeTint="FF" w:themeShade="FF"/>
          <w:sz w:val="28"/>
          <w:szCs w:val="28"/>
        </w:rPr>
        <w:t xml:space="preserve">Bradburn, Sudman and </w:t>
      </w:r>
      <w:r w:rsidRPr="5E860BD4" w:rsidR="57397D63">
        <w:rPr>
          <w:rFonts w:ascii="Calibri" w:hAnsi="Calibri" w:eastAsia="Calibri" w:cs="Calibri"/>
          <w:color w:val="000000" w:themeColor="text1" w:themeTint="FF" w:themeShade="FF"/>
          <w:sz w:val="28"/>
          <w:szCs w:val="28"/>
        </w:rPr>
        <w:t>Wansink</w:t>
      </w:r>
      <w:r w:rsidRPr="5E860BD4" w:rsidR="57397D63">
        <w:rPr>
          <w:rFonts w:ascii="Calibri" w:hAnsi="Calibri" w:eastAsia="Calibri" w:cs="Calibri"/>
          <w:color w:val="000000" w:themeColor="text1" w:themeTint="FF" w:themeShade="FF"/>
          <w:sz w:val="28"/>
          <w:szCs w:val="28"/>
        </w:rPr>
        <w:t xml:space="preserve">, 2004). An </w:t>
      </w:r>
      <w:r w:rsidRPr="5E860BD4" w:rsidR="57397D63">
        <w:rPr>
          <w:rFonts w:ascii="Calibri" w:hAnsi="Calibri" w:eastAsia="Calibri" w:cs="Calibri"/>
          <w:color w:val="000000" w:themeColor="text1" w:themeTint="FF" w:themeShade="FF"/>
          <w:sz w:val="28"/>
          <w:szCs w:val="28"/>
        </w:rPr>
        <w:t>additional</w:t>
      </w:r>
      <w:r w:rsidRPr="5E860BD4" w:rsidR="57397D63">
        <w:rPr>
          <w:rFonts w:ascii="Calibri" w:hAnsi="Calibri" w:eastAsia="Calibri" w:cs="Calibri"/>
          <w:color w:val="000000" w:themeColor="text1" w:themeTint="FF" w:themeShade="FF"/>
          <w:sz w:val="28"/>
          <w:szCs w:val="28"/>
        </w:rPr>
        <w:t xml:space="preserve"> benefit to online questionnaires is that they can be anonymous by ensuring no personal information is taken. A critical view is offered by Couper (2000), he implies that online questionnaires can often produce bias responses due to the questionnaire not being accessible to a further range of population that may not have access to the internet. The research results may be invalid due to the implication. The advantages for conducting a questionnaire are that the online questionnaire can reach the participants fast and allow the participants to take their time to complete (Welsh Government, 2015). However, the return rates may be significantly low due to the participants forgetting to complete. Another advantage for the use of questionaries is that the cost is low because there is no printing cost and postal cost (Bryman, 2016). Cohen and Manion (2018) </w:t>
      </w:r>
      <w:r w:rsidRPr="5E860BD4" w:rsidR="57397D63">
        <w:rPr>
          <w:rFonts w:ascii="Calibri" w:hAnsi="Calibri" w:eastAsia="Calibri" w:cs="Calibri"/>
          <w:color w:val="000000" w:themeColor="text1" w:themeTint="FF" w:themeShade="FF"/>
          <w:sz w:val="28"/>
          <w:szCs w:val="28"/>
        </w:rPr>
        <w:t>indicated</w:t>
      </w:r>
      <w:r w:rsidRPr="5E860BD4" w:rsidR="57397D63">
        <w:rPr>
          <w:rFonts w:ascii="Calibri" w:hAnsi="Calibri" w:eastAsia="Calibri" w:cs="Calibri"/>
          <w:color w:val="000000" w:themeColor="text1" w:themeTint="FF" w:themeShade="FF"/>
          <w:sz w:val="28"/>
          <w:szCs w:val="28"/>
        </w:rPr>
        <w:t xml:space="preserve"> that participants that volunteer to take part in online research are often self-selected with specific characteristics which can be biased as the research is not conducted in a broader group.</w:t>
      </w:r>
    </w:p>
    <w:p w:rsidRPr="000E2E7E" w:rsidR="000E2E7E" w:rsidP="5E860BD4" w:rsidRDefault="57397D63" w14:paraId="78F2B78F" w14:textId="0085D975"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E2E7E" w:rsidR="000E2E7E" w:rsidP="5E860BD4" w:rsidRDefault="57397D63" w14:paraId="0122DCF8" w14:textId="7E48DAFD">
      <w:pPr>
        <w:spacing w:line="360" w:lineRule="auto"/>
      </w:pPr>
      <w:r w:rsidRPr="5E860BD4" w:rsidR="57397D63">
        <w:rPr>
          <w:rFonts w:ascii="Calibri" w:hAnsi="Calibri" w:eastAsia="Calibri" w:cs="Calibri"/>
          <w:color w:val="000000" w:themeColor="text1" w:themeTint="FF" w:themeShade="FF"/>
          <w:sz w:val="28"/>
          <w:szCs w:val="28"/>
        </w:rPr>
        <w:t>Moreover, interviews are completed with two or more individuals. One individual known as the interviewe</w:t>
      </w:r>
      <w:r w:rsidRPr="5E860BD4" w:rsidR="57397D63">
        <w:rPr>
          <w:rFonts w:ascii="Calibri" w:hAnsi="Calibri" w:eastAsia="Calibri" w:cs="Calibri"/>
          <w:color w:val="000000" w:themeColor="text1" w:themeTint="FF" w:themeShade="FF"/>
          <w:sz w:val="28"/>
          <w:szCs w:val="28"/>
        </w:rPr>
        <w:t>r</w:t>
      </w:r>
      <w:r w:rsidRPr="5E860BD4" w:rsidR="0EFBA31F">
        <w:rPr>
          <w:rFonts w:ascii="Calibri" w:hAnsi="Calibri" w:eastAsia="Calibri" w:cs="Calibri"/>
          <w:color w:val="000000" w:themeColor="text1" w:themeTint="FF" w:themeShade="FF"/>
          <w:sz w:val="28"/>
          <w:szCs w:val="28"/>
        </w:rPr>
        <w:t>,</w:t>
      </w:r>
      <w:r w:rsidRPr="5E860BD4" w:rsidR="57397D63">
        <w:rPr>
          <w:rFonts w:ascii="Calibri" w:hAnsi="Calibri" w:eastAsia="Calibri" w:cs="Calibri"/>
          <w:color w:val="000000" w:themeColor="text1" w:themeTint="FF" w:themeShade="FF"/>
          <w:sz w:val="28"/>
          <w:szCs w:val="28"/>
        </w:rPr>
        <w:t xml:space="preserve"> ask relevant research questions and </w:t>
      </w:r>
      <w:r w:rsidRPr="5E860BD4" w:rsidR="57397D63">
        <w:rPr>
          <w:rFonts w:ascii="Calibri" w:hAnsi="Calibri" w:eastAsia="Calibri" w:cs="Calibri"/>
          <w:color w:val="000000" w:themeColor="text1" w:themeTint="FF" w:themeShade="FF"/>
          <w:sz w:val="28"/>
          <w:szCs w:val="28"/>
        </w:rPr>
        <w:t>the participant suppl</w:t>
      </w:r>
      <w:r w:rsidRPr="5E860BD4" w:rsidR="713660CD">
        <w:rPr>
          <w:rFonts w:ascii="Calibri" w:hAnsi="Calibri" w:eastAsia="Calibri" w:cs="Calibri"/>
          <w:color w:val="000000" w:themeColor="text1" w:themeTint="FF" w:themeShade="FF"/>
          <w:sz w:val="28"/>
          <w:szCs w:val="28"/>
        </w:rPr>
        <w:t>y</w:t>
      </w:r>
      <w:r w:rsidRPr="5E860BD4" w:rsidR="57397D63">
        <w:rPr>
          <w:rFonts w:ascii="Calibri" w:hAnsi="Calibri" w:eastAsia="Calibri" w:cs="Calibri"/>
          <w:color w:val="000000" w:themeColor="text1" w:themeTint="FF" w:themeShade="FF"/>
          <w:sz w:val="28"/>
          <w:szCs w:val="28"/>
        </w:rPr>
        <w:t xml:space="preserve"> essential responses. The purpose of an interview is to gather specific information related to the research topic (Campion, Palmer, and Campion, 1997). The interview in this research is a semi-structured interview that consists of a group of pupils. A semi-structured interview follows a set of research questions that are asked to each participant that prevents biased answers.  Semi-structured interviews allow the participants to elaborate on their responses related to the research (</w:t>
      </w:r>
      <w:r w:rsidRPr="5E860BD4" w:rsidR="57397D63">
        <w:rPr>
          <w:rFonts w:ascii="Calibri" w:hAnsi="Calibri" w:eastAsia="Calibri" w:cs="Calibri"/>
          <w:color w:val="000000" w:themeColor="text1" w:themeTint="FF" w:themeShade="FF"/>
          <w:sz w:val="28"/>
          <w:szCs w:val="28"/>
        </w:rPr>
        <w:t xml:space="preserve">Campion, Palmer, and Campion, 1997). The set of questions used for the semi-structured interview are six open-ended questions that enable the participant to explain and elaborate their answers. There are several advantages and disadvantages to the use of interviews to complete research. An advantage is there is a higher response rate because the interviews are arranged beforehand, and the interviewer is aware of how many people are </w:t>
      </w:r>
      <w:r w:rsidRPr="5E860BD4" w:rsidR="57397D63">
        <w:rPr>
          <w:rFonts w:ascii="Calibri" w:hAnsi="Calibri" w:eastAsia="Calibri" w:cs="Calibri"/>
          <w:color w:val="000000" w:themeColor="text1" w:themeTint="FF" w:themeShade="FF"/>
          <w:sz w:val="28"/>
          <w:szCs w:val="28"/>
        </w:rPr>
        <w:t>participating</w:t>
      </w:r>
      <w:r w:rsidRPr="5E860BD4" w:rsidR="57397D63">
        <w:rPr>
          <w:rFonts w:ascii="Calibri" w:hAnsi="Calibri" w:eastAsia="Calibri" w:cs="Calibri"/>
          <w:color w:val="000000" w:themeColor="text1" w:themeTint="FF" w:themeShade="FF"/>
          <w:sz w:val="28"/>
          <w:szCs w:val="28"/>
        </w:rPr>
        <w:t xml:space="preserve"> (Welsh Government, 2015). Contrastingly, interviews require </w:t>
      </w:r>
      <w:r w:rsidRPr="5E860BD4" w:rsidR="57397D63">
        <w:rPr>
          <w:rFonts w:ascii="Calibri" w:hAnsi="Calibri" w:eastAsia="Calibri" w:cs="Calibri"/>
          <w:color w:val="000000" w:themeColor="text1" w:themeTint="FF" w:themeShade="FF"/>
          <w:sz w:val="28"/>
          <w:szCs w:val="28"/>
        </w:rPr>
        <w:t>a long period</w:t>
      </w:r>
      <w:r w:rsidRPr="5E860BD4" w:rsidR="57397D63">
        <w:rPr>
          <w:rFonts w:ascii="Calibri" w:hAnsi="Calibri" w:eastAsia="Calibri" w:cs="Calibri"/>
          <w:color w:val="000000" w:themeColor="text1" w:themeTint="FF" w:themeShade="FF"/>
          <w:sz w:val="28"/>
          <w:szCs w:val="28"/>
        </w:rPr>
        <w:t xml:space="preserve"> of time and become time consuming affecting the number of volunteers that want to </w:t>
      </w:r>
      <w:r w:rsidRPr="5E860BD4" w:rsidR="57397D63">
        <w:rPr>
          <w:rFonts w:ascii="Calibri" w:hAnsi="Calibri" w:eastAsia="Calibri" w:cs="Calibri"/>
          <w:color w:val="000000" w:themeColor="text1" w:themeTint="FF" w:themeShade="FF"/>
          <w:sz w:val="28"/>
          <w:szCs w:val="28"/>
        </w:rPr>
        <w:t>participate</w:t>
      </w:r>
      <w:r w:rsidRPr="5E860BD4" w:rsidR="57397D63">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color w:val="000000" w:themeColor="text1" w:themeTint="FF" w:themeShade="FF"/>
          <w:sz w:val="28"/>
          <w:szCs w:val="28"/>
        </w:rPr>
        <w:t>Cohen and Manion, 2018).</w:t>
      </w:r>
      <w:r w:rsidRPr="5E860BD4" w:rsidR="57397D63">
        <w:rPr>
          <w:rFonts w:ascii="Calibri" w:hAnsi="Calibri" w:eastAsia="Calibri" w:cs="Calibri"/>
          <w:color w:val="000000" w:themeColor="text1" w:themeTint="FF" w:themeShade="FF"/>
          <w:sz w:val="28"/>
          <w:szCs w:val="28"/>
        </w:rPr>
        <w:t xml:space="preserve"> Furthermore, interview participants can ask for prompts if they do not understand questions. This can help the quality of the results if the interviewee develops a better understanding of what each question means (Welsh Government, 2015).</w:t>
      </w:r>
    </w:p>
    <w:p w:rsidRPr="000E2E7E" w:rsidR="000E2E7E" w:rsidP="5E860BD4" w:rsidRDefault="57397D63" w14:paraId="1511D80A" w14:textId="54CA724B"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54E23" w:rsidR="000E2E7E" w:rsidP="5E860BD4" w:rsidRDefault="57397D63" w14:paraId="1F4E0B18" w14:textId="6F2DA843">
      <w:pPr>
        <w:spacing w:line="360" w:lineRule="auto"/>
      </w:pPr>
      <w:r w:rsidRPr="5E860BD4" w:rsidR="57397D63">
        <w:rPr>
          <w:rFonts w:ascii="Calibri" w:hAnsi="Calibri" w:eastAsia="Calibri" w:cs="Calibri"/>
          <w:color w:val="000000" w:themeColor="text1" w:themeTint="FF" w:themeShade="FF"/>
          <w:sz w:val="28"/>
          <w:szCs w:val="28"/>
        </w:rPr>
        <w:t xml:space="preserve">The research was taken place at a </w:t>
      </w:r>
      <w:r w:rsidRPr="5E860BD4" w:rsidR="418F3417">
        <w:rPr>
          <w:rFonts w:ascii="Calibri" w:hAnsi="Calibri" w:eastAsia="Calibri" w:cs="Calibri"/>
          <w:color w:val="000000" w:themeColor="text1" w:themeTint="FF" w:themeShade="FF"/>
          <w:sz w:val="28"/>
          <w:szCs w:val="28"/>
        </w:rPr>
        <w:t>p</w:t>
      </w:r>
      <w:r w:rsidRPr="5E860BD4" w:rsidR="57397D63">
        <w:rPr>
          <w:rFonts w:ascii="Calibri" w:hAnsi="Calibri" w:eastAsia="Calibri" w:cs="Calibri"/>
          <w:color w:val="000000" w:themeColor="text1" w:themeTint="FF" w:themeShade="FF"/>
          <w:sz w:val="28"/>
          <w:szCs w:val="28"/>
        </w:rPr>
        <w:t xml:space="preserve">rimary </w:t>
      </w:r>
      <w:r w:rsidRPr="5E860BD4" w:rsidR="2043B680">
        <w:rPr>
          <w:rFonts w:ascii="Calibri" w:hAnsi="Calibri" w:eastAsia="Calibri" w:cs="Calibri"/>
          <w:color w:val="000000" w:themeColor="text1" w:themeTint="FF" w:themeShade="FF"/>
          <w:sz w:val="28"/>
          <w:szCs w:val="28"/>
        </w:rPr>
        <w:t>s</w:t>
      </w:r>
      <w:r w:rsidRPr="5E860BD4" w:rsidR="57397D63">
        <w:rPr>
          <w:rFonts w:ascii="Calibri" w:hAnsi="Calibri" w:eastAsia="Calibri" w:cs="Calibri"/>
          <w:color w:val="000000" w:themeColor="text1" w:themeTint="FF" w:themeShade="FF"/>
          <w:sz w:val="28"/>
          <w:szCs w:val="28"/>
        </w:rPr>
        <w:t>chool in Wales</w:t>
      </w:r>
      <w:r w:rsidRPr="5E860BD4" w:rsidR="57397D63">
        <w:rPr>
          <w:rFonts w:ascii="Calibri" w:hAnsi="Calibri" w:eastAsia="Calibri" w:cs="Calibri"/>
          <w:color w:val="000000" w:themeColor="text1" w:themeTint="FF" w:themeShade="FF"/>
          <w:sz w:val="28"/>
          <w:szCs w:val="28"/>
        </w:rPr>
        <w:t xml:space="preserve">. The school consists of 166 pupils from the age range of five to eleven years old. The location of the school is in a deprived area as suggested in the percentage of free school meals which is 31.6% (Estyn, 2024). The percentage is above the average of 24.6% of pupils that are entitled to free school meals (Department for Education, 2024). </w:t>
      </w:r>
      <w:r w:rsidRPr="5E860BD4" w:rsidR="57397D63">
        <w:rPr>
          <w:rFonts w:ascii="Calibri" w:hAnsi="Calibri" w:eastAsia="Calibri" w:cs="Calibri"/>
          <w:color w:val="000000" w:themeColor="text1" w:themeTint="FF" w:themeShade="FF"/>
          <w:sz w:val="28"/>
          <w:szCs w:val="28"/>
        </w:rPr>
        <w:t xml:space="preserve">The school that </w:t>
      </w:r>
      <w:r w:rsidRPr="5E860BD4" w:rsidR="57397D63">
        <w:rPr>
          <w:rFonts w:ascii="Calibri" w:hAnsi="Calibri" w:eastAsia="Calibri" w:cs="Calibri"/>
          <w:color w:val="000000" w:themeColor="text1" w:themeTint="FF" w:themeShade="FF"/>
          <w:sz w:val="28"/>
          <w:szCs w:val="28"/>
        </w:rPr>
        <w:t>participated</w:t>
      </w:r>
      <w:r w:rsidRPr="5E860BD4" w:rsidR="57397D63">
        <w:rPr>
          <w:rFonts w:ascii="Calibri" w:hAnsi="Calibri" w:eastAsia="Calibri" w:cs="Calibri"/>
          <w:color w:val="000000" w:themeColor="text1" w:themeTint="FF" w:themeShade="FF"/>
          <w:sz w:val="28"/>
          <w:szCs w:val="28"/>
        </w:rPr>
        <w:t xml:space="preserve"> in the research will be referred to as ‘School A’ for confidentiality reasons. </w:t>
      </w:r>
    </w:p>
    <w:p w:rsidRPr="00054E23" w:rsidR="000E2E7E" w:rsidP="5E860BD4" w:rsidRDefault="57397D63" w14:paraId="602258B4" w14:textId="77983812"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54E23" w:rsidR="000E2E7E" w:rsidP="5E860BD4" w:rsidRDefault="57397D63" w14:paraId="151028E2" w14:textId="000B05E8">
      <w:pPr>
        <w:spacing w:line="360" w:lineRule="auto"/>
      </w:pPr>
      <w:r w:rsidRPr="5E860BD4" w:rsidR="57397D63">
        <w:rPr>
          <w:rFonts w:ascii="Calibri" w:hAnsi="Calibri" w:eastAsia="Calibri" w:cs="Calibri"/>
          <w:color w:val="000000" w:themeColor="text1" w:themeTint="FF" w:themeShade="FF"/>
          <w:sz w:val="28"/>
          <w:szCs w:val="28"/>
        </w:rPr>
        <w:t xml:space="preserve">Confidentiality and protection of the participants were considered before the research day and were in line with ethical guidelines. The British Educational Research Association (2024) Ethics Guidelines inform the researcher that before directing ethical research, the rights and well-being of all participants are too be considered and protected. Respect for all participants is continuous throughout the research by respecting their confidentiality (The British Educational Research Association, 2024). Consent from pupils’ parents for </w:t>
      </w:r>
      <w:r w:rsidRPr="5E860BD4" w:rsidR="57397D63">
        <w:rPr>
          <w:rFonts w:ascii="Calibri" w:hAnsi="Calibri" w:eastAsia="Calibri" w:cs="Calibri"/>
          <w:color w:val="000000" w:themeColor="text1" w:themeTint="FF" w:themeShade="FF"/>
          <w:sz w:val="28"/>
          <w:szCs w:val="28"/>
        </w:rPr>
        <w:t>participating</w:t>
      </w:r>
      <w:r w:rsidRPr="5E860BD4" w:rsidR="57397D63">
        <w:rPr>
          <w:rFonts w:ascii="Calibri" w:hAnsi="Calibri" w:eastAsia="Calibri" w:cs="Calibri"/>
          <w:color w:val="000000" w:themeColor="text1" w:themeTint="FF" w:themeShade="FF"/>
          <w:sz w:val="28"/>
          <w:szCs w:val="28"/>
        </w:rPr>
        <w:t xml:space="preserve"> in the interview was granted </w:t>
      </w:r>
      <w:r w:rsidRPr="5E860BD4" w:rsidR="57FD614C">
        <w:rPr>
          <w:rFonts w:ascii="Calibri" w:hAnsi="Calibri" w:eastAsia="Calibri" w:cs="Calibri"/>
          <w:color w:val="000000" w:themeColor="text1" w:themeTint="FF" w:themeShade="FF"/>
          <w:sz w:val="28"/>
          <w:szCs w:val="28"/>
        </w:rPr>
        <w:t>from</w:t>
      </w:r>
      <w:r w:rsidRPr="5E860BD4" w:rsidR="57397D63">
        <w:rPr>
          <w:rFonts w:ascii="Calibri" w:hAnsi="Calibri" w:eastAsia="Calibri" w:cs="Calibri"/>
          <w:color w:val="000000" w:themeColor="text1" w:themeTint="FF" w:themeShade="FF"/>
          <w:sz w:val="28"/>
          <w:szCs w:val="28"/>
        </w:rPr>
        <w:t xml:space="preserve"> the school ahead of the research day to ensure the pupils and parents are aware of the purpose and process of the research. By conducting consent from the participants, it al</w:t>
      </w:r>
      <w:r w:rsidRPr="5E860BD4" w:rsidR="0FDC5A7C">
        <w:rPr>
          <w:rFonts w:ascii="Calibri" w:hAnsi="Calibri" w:eastAsia="Calibri" w:cs="Calibri"/>
          <w:color w:val="000000" w:themeColor="text1" w:themeTint="FF" w:themeShade="FF"/>
          <w:sz w:val="28"/>
          <w:szCs w:val="28"/>
        </w:rPr>
        <w:t>gins</w:t>
      </w:r>
      <w:r w:rsidRPr="5E860BD4" w:rsidR="57397D63">
        <w:rPr>
          <w:rFonts w:ascii="Calibri" w:hAnsi="Calibri" w:eastAsia="Calibri" w:cs="Calibri"/>
          <w:color w:val="000000" w:themeColor="text1" w:themeTint="FF" w:themeShade="FF"/>
          <w:sz w:val="28"/>
          <w:szCs w:val="28"/>
        </w:rPr>
        <w:t xml:space="preserve"> with The British Educational Research Association (2024) Ethics Guidelines of receiving informed consent from each participant and that they are aware of the purpose for their research beforehand</w:t>
      </w:r>
      <w:r w:rsidRPr="5E860BD4" w:rsidR="57397D63">
        <w:rPr>
          <w:rFonts w:ascii="Calibri" w:hAnsi="Calibri" w:eastAsia="Calibri" w:cs="Calibri"/>
          <w:color w:val="000000" w:themeColor="text1" w:themeTint="FF" w:themeShade="FF"/>
          <w:sz w:val="28"/>
          <w:szCs w:val="28"/>
        </w:rPr>
        <w:t xml:space="preserve">.  The consent form also made the participants and parents aware of the child’s rights to withdraw from the research at any given time (see appendix 26). The data </w:t>
      </w:r>
      <w:r w:rsidRPr="5E860BD4" w:rsidR="57397D63">
        <w:rPr>
          <w:rFonts w:ascii="Calibri" w:hAnsi="Calibri" w:eastAsia="Calibri" w:cs="Calibri"/>
          <w:color w:val="000000" w:themeColor="text1" w:themeTint="FF" w:themeShade="FF"/>
          <w:sz w:val="28"/>
          <w:szCs w:val="28"/>
        </w:rPr>
        <w:t>acquired</w:t>
      </w:r>
      <w:r w:rsidRPr="5E860BD4" w:rsidR="57397D63">
        <w:rPr>
          <w:rFonts w:ascii="Calibri" w:hAnsi="Calibri" w:eastAsia="Calibri" w:cs="Calibri"/>
          <w:color w:val="000000" w:themeColor="text1" w:themeTint="FF" w:themeShade="FF"/>
          <w:sz w:val="28"/>
          <w:szCs w:val="28"/>
        </w:rPr>
        <w:t xml:space="preserve"> from the research will continue to stay anonymised and all personal information about the participants will be confidential ensuring there is no ability to </w:t>
      </w:r>
      <w:r w:rsidRPr="5E860BD4" w:rsidR="57397D63">
        <w:rPr>
          <w:rFonts w:ascii="Calibri" w:hAnsi="Calibri" w:eastAsia="Calibri" w:cs="Calibri"/>
          <w:color w:val="000000" w:themeColor="text1" w:themeTint="FF" w:themeShade="FF"/>
          <w:sz w:val="28"/>
          <w:szCs w:val="28"/>
        </w:rPr>
        <w:t>identify</w:t>
      </w:r>
      <w:r w:rsidRPr="5E860BD4" w:rsidR="57397D63">
        <w:rPr>
          <w:rFonts w:ascii="Calibri" w:hAnsi="Calibri" w:eastAsia="Calibri" w:cs="Calibri"/>
          <w:color w:val="000000" w:themeColor="text1" w:themeTint="FF" w:themeShade="FF"/>
          <w:sz w:val="28"/>
          <w:szCs w:val="28"/>
        </w:rPr>
        <w:t xml:space="preserve"> individual participants. School A received an ethics form created by the researcher and confirmed by a university lead (see appendix 25).</w:t>
      </w:r>
    </w:p>
    <w:p w:rsidRPr="00054E23" w:rsidR="000E2E7E" w:rsidP="5E860BD4" w:rsidRDefault="57397D63" w14:paraId="5F4EB3EC" w14:textId="1C6F6018"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E2E7E" w:rsidR="000E2E7E" w:rsidP="5E860BD4" w:rsidRDefault="57397D63" w14:paraId="206BEFBD" w14:textId="27F98298">
      <w:pPr>
        <w:spacing w:line="360" w:lineRule="auto"/>
        <w:rPr>
          <w:rFonts w:ascii="Calibri" w:hAnsi="Calibri" w:eastAsia="Calibri" w:cs="Calibri"/>
          <w:color w:val="000000" w:themeColor="text1" w:themeTint="FF" w:themeShade="FF"/>
          <w:sz w:val="28"/>
          <w:szCs w:val="28"/>
        </w:rPr>
      </w:pPr>
      <w:r w:rsidRPr="5E860BD4" w:rsidR="57397D63">
        <w:rPr>
          <w:rFonts w:ascii="Calibri" w:hAnsi="Calibri" w:eastAsia="Calibri" w:cs="Calibri"/>
          <w:color w:val="000000" w:themeColor="text1" w:themeTint="FF" w:themeShade="FF"/>
          <w:sz w:val="28"/>
          <w:szCs w:val="28"/>
        </w:rPr>
        <w:t xml:space="preserve">The questionnaire target participants were teaching staff at an urban primary school in Wales, that have </w:t>
      </w:r>
      <w:r w:rsidRPr="5E860BD4" w:rsidR="57397D63">
        <w:rPr>
          <w:rFonts w:ascii="Calibri" w:hAnsi="Calibri" w:eastAsia="Calibri" w:cs="Calibri"/>
          <w:color w:val="000000" w:themeColor="text1" w:themeTint="FF" w:themeShade="FF"/>
          <w:sz w:val="28"/>
          <w:szCs w:val="28"/>
        </w:rPr>
        <w:t>regularly used</w:t>
      </w:r>
      <w:r w:rsidRPr="5E860BD4" w:rsidR="57397D63">
        <w:rPr>
          <w:rFonts w:ascii="Calibri" w:hAnsi="Calibri" w:eastAsia="Calibri" w:cs="Calibri"/>
          <w:color w:val="000000" w:themeColor="text1" w:themeTint="FF" w:themeShade="FF"/>
          <w:sz w:val="28"/>
          <w:szCs w:val="28"/>
        </w:rPr>
        <w:t xml:space="preserve"> peer assessment as an assessment </w:t>
      </w:r>
      <w:r w:rsidRPr="5E860BD4" w:rsidR="57397D63">
        <w:rPr>
          <w:rFonts w:ascii="Calibri" w:hAnsi="Calibri" w:eastAsia="Calibri" w:cs="Calibri"/>
          <w:color w:val="000000" w:themeColor="text1" w:themeTint="FF" w:themeShade="FF"/>
          <w:sz w:val="28"/>
          <w:szCs w:val="28"/>
        </w:rPr>
        <w:t xml:space="preserve">strategy to </w:t>
      </w:r>
      <w:r w:rsidRPr="5E860BD4" w:rsidR="57397D63">
        <w:rPr>
          <w:rFonts w:ascii="Calibri" w:hAnsi="Calibri" w:eastAsia="Calibri" w:cs="Calibri"/>
          <w:color w:val="000000" w:themeColor="text1" w:themeTint="FF" w:themeShade="FF"/>
          <w:sz w:val="28"/>
          <w:szCs w:val="28"/>
        </w:rPr>
        <w:t>identify</w:t>
      </w:r>
      <w:r w:rsidRPr="5E860BD4" w:rsidR="57397D63">
        <w:rPr>
          <w:rFonts w:ascii="Calibri" w:hAnsi="Calibri" w:eastAsia="Calibri" w:cs="Calibri"/>
          <w:color w:val="000000" w:themeColor="text1" w:themeTint="FF" w:themeShade="FF"/>
          <w:sz w:val="28"/>
          <w:szCs w:val="28"/>
        </w:rPr>
        <w:t xml:space="preserve"> strengths and weaknesses. The questionnaire was c</w:t>
      </w:r>
      <w:r w:rsidRPr="5E860BD4" w:rsidR="0E252A7B">
        <w:rPr>
          <w:rFonts w:ascii="Calibri" w:hAnsi="Calibri" w:eastAsia="Calibri" w:cs="Calibri"/>
          <w:color w:val="000000" w:themeColor="text1" w:themeTint="FF" w:themeShade="FF"/>
          <w:sz w:val="28"/>
          <w:szCs w:val="28"/>
        </w:rPr>
        <w:t>reated</w:t>
      </w:r>
      <w:r w:rsidRPr="5E860BD4" w:rsidR="57397D63">
        <w:rPr>
          <w:rFonts w:ascii="Calibri" w:hAnsi="Calibri" w:eastAsia="Calibri" w:cs="Calibri"/>
          <w:color w:val="000000" w:themeColor="text1" w:themeTint="FF" w:themeShade="FF"/>
          <w:sz w:val="28"/>
          <w:szCs w:val="28"/>
        </w:rPr>
        <w:t xml:space="preserve"> before the research day and distributed to the staff through a link online. The interview target participants were pupils in a year 4 to 5 class, that have taken part in </w:t>
      </w:r>
      <w:r w:rsidRPr="5E860BD4" w:rsidR="57397D63">
        <w:rPr>
          <w:rFonts w:ascii="Calibri" w:hAnsi="Calibri" w:eastAsia="Calibri" w:cs="Calibri"/>
          <w:color w:val="000000" w:themeColor="text1" w:themeTint="FF" w:themeShade="FF"/>
          <w:sz w:val="28"/>
          <w:szCs w:val="28"/>
        </w:rPr>
        <w:t>numerous</w:t>
      </w:r>
      <w:r w:rsidRPr="5E860BD4" w:rsidR="57397D63">
        <w:rPr>
          <w:rFonts w:ascii="Calibri" w:hAnsi="Calibri" w:eastAsia="Calibri" w:cs="Calibri"/>
          <w:color w:val="000000" w:themeColor="text1" w:themeTint="FF" w:themeShade="FF"/>
          <w:sz w:val="28"/>
          <w:szCs w:val="28"/>
        </w:rPr>
        <w:t xml:space="preserve"> peer assessment marking. The interview took place for the approximate duration of 10 minutes.</w:t>
      </w:r>
      <w:r w:rsidRPr="5E860BD4" w:rsidR="57397D63">
        <w:rPr>
          <w:rFonts w:ascii="Calibri" w:hAnsi="Calibri" w:eastAsia="Calibri" w:cs="Calibri"/>
          <w:color w:val="000000" w:themeColor="text1" w:themeTint="FF" w:themeShade="FF"/>
          <w:sz w:val="28"/>
          <w:szCs w:val="28"/>
        </w:rPr>
        <w:t xml:space="preserve"> The interview questions were open-ended question that allowed the children to communicate their views and opinions of the use of peer assessment in their academic work. The Rights of the child (UNCRC) outlines the importance of giving the pupils the ‘right to express their views’ </w:t>
      </w:r>
      <w:r w:rsidRPr="5E860BD4" w:rsidR="5213D000">
        <w:rPr>
          <w:rFonts w:ascii="Calibri" w:hAnsi="Calibri" w:eastAsia="Calibri" w:cs="Calibri"/>
          <w:color w:val="000000" w:themeColor="text1" w:themeTint="FF" w:themeShade="FF"/>
          <w:sz w:val="28"/>
          <w:szCs w:val="28"/>
        </w:rPr>
        <w:t xml:space="preserve">leading to an </w:t>
      </w:r>
      <w:r w:rsidRPr="5E860BD4" w:rsidR="57397D63">
        <w:rPr>
          <w:rFonts w:ascii="Calibri" w:hAnsi="Calibri" w:eastAsia="Calibri" w:cs="Calibri"/>
          <w:color w:val="000000" w:themeColor="text1" w:themeTint="FF" w:themeShade="FF"/>
          <w:sz w:val="28"/>
          <w:szCs w:val="28"/>
        </w:rPr>
        <w:t>impact on their learning experiences (UNICEF, 2025). The sample included two teachers completing the questionnaire and 10 year four to five pupils taking part in the interview.</w:t>
      </w:r>
    </w:p>
    <w:p w:rsidRPr="000E2E7E" w:rsidR="000E2E7E" w:rsidP="5E860BD4" w:rsidRDefault="57397D63" w14:paraId="772BD685" w14:textId="5D6471FE"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54E23" w:rsidR="000E2E7E" w:rsidP="5E860BD4" w:rsidRDefault="57397D63" w14:paraId="31AC4D85" w14:textId="3F88A574">
      <w:pPr>
        <w:spacing w:line="360" w:lineRule="auto"/>
      </w:pPr>
      <w:r w:rsidRPr="5E860BD4" w:rsidR="57397D63">
        <w:rPr>
          <w:rFonts w:ascii="Calibri" w:hAnsi="Calibri" w:eastAsia="Calibri" w:cs="Calibri"/>
          <w:color w:val="000000" w:themeColor="text1" w:themeTint="FF" w:themeShade="FF"/>
          <w:sz w:val="28"/>
          <w:szCs w:val="28"/>
        </w:rPr>
        <w:t xml:space="preserve">Qualitative data from the interview was written into detailed notes due to consent for recording (see in appendix 2). To analyse the research data, the detailed notes were coded to chunk information to </w:t>
      </w:r>
      <w:r w:rsidRPr="5E860BD4" w:rsidR="57397D63">
        <w:rPr>
          <w:rFonts w:ascii="Calibri" w:hAnsi="Calibri" w:eastAsia="Calibri" w:cs="Calibri"/>
          <w:color w:val="000000" w:themeColor="text1" w:themeTint="FF" w:themeShade="FF"/>
          <w:sz w:val="28"/>
          <w:szCs w:val="28"/>
        </w:rPr>
        <w:t>identify</w:t>
      </w:r>
      <w:r w:rsidRPr="5E860BD4" w:rsidR="57397D63">
        <w:rPr>
          <w:rFonts w:ascii="Calibri" w:hAnsi="Calibri" w:eastAsia="Calibri" w:cs="Calibri"/>
          <w:color w:val="000000" w:themeColor="text1" w:themeTint="FF" w:themeShade="FF"/>
          <w:sz w:val="28"/>
          <w:szCs w:val="28"/>
        </w:rPr>
        <w:t xml:space="preserve"> similar themes in the data (NFER, 2013). I used the method coding to analyse my research findings because it </w:t>
      </w:r>
      <w:r w:rsidRPr="5E860BD4" w:rsidR="069E41D1">
        <w:rPr>
          <w:rFonts w:ascii="Calibri" w:hAnsi="Calibri" w:eastAsia="Calibri" w:cs="Calibri"/>
          <w:color w:val="000000" w:themeColor="text1" w:themeTint="FF" w:themeShade="FF"/>
          <w:sz w:val="28"/>
          <w:szCs w:val="28"/>
        </w:rPr>
        <w:t>highlighted</w:t>
      </w:r>
      <w:r w:rsidRPr="5E860BD4" w:rsidR="57397D63">
        <w:rPr>
          <w:rFonts w:ascii="Calibri" w:hAnsi="Calibri" w:eastAsia="Calibri" w:cs="Calibri"/>
          <w:color w:val="000000" w:themeColor="text1" w:themeTint="FF" w:themeShade="FF"/>
          <w:sz w:val="28"/>
          <w:szCs w:val="28"/>
        </w:rPr>
        <w:t xml:space="preserve"> the patterns between the participants answers, making it easier to compare the research results from the interviews and questionnaires. The quantitative data from the questionnaire online was inverted into graphs (see in appendix 4-22). </w:t>
      </w:r>
      <w:r w:rsidRPr="5E860BD4" w:rsidR="57397D63">
        <w:rPr>
          <w:rFonts w:ascii="Calibri" w:hAnsi="Calibri" w:eastAsia="Calibri" w:cs="Calibri"/>
          <w:color w:val="000000" w:themeColor="text1" w:themeTint="FF" w:themeShade="FF"/>
          <w:sz w:val="28"/>
          <w:szCs w:val="28"/>
        </w:rPr>
        <w:t>Cohen and Manion (2018) emphases that using visual aids as a part of research findings highlights the advantages and disadvantages making it easier to compare research findings.</w:t>
      </w:r>
    </w:p>
    <w:p w:rsidRPr="00054E23" w:rsidR="000E2E7E" w:rsidP="5E860BD4" w:rsidRDefault="57397D63" w14:paraId="5D1BBA95" w14:textId="079DED0C"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54E23" w:rsidR="000E2E7E" w:rsidP="5E860BD4" w:rsidRDefault="57397D63" w14:paraId="5A710932" w14:textId="0B833B8A" w14:noSpellErr="1">
      <w:pPr>
        <w:spacing w:line="360" w:lineRule="auto"/>
      </w:pPr>
      <w:r w:rsidRPr="5E860BD4" w:rsidR="57397D63">
        <w:rPr>
          <w:rFonts w:ascii="Calibri" w:hAnsi="Calibri" w:eastAsia="Calibri" w:cs="Calibri"/>
          <w:color w:val="000000" w:themeColor="text1" w:themeTint="FF" w:themeShade="FF"/>
          <w:sz w:val="28"/>
          <w:szCs w:val="28"/>
        </w:rPr>
        <w:t xml:space="preserve">There are limitations to the research because the staff who completed the research were from the same school, who could </w:t>
      </w:r>
      <w:r w:rsidRPr="5E860BD4" w:rsidR="57397D63">
        <w:rPr>
          <w:rFonts w:ascii="Calibri" w:hAnsi="Calibri" w:eastAsia="Calibri" w:cs="Calibri"/>
          <w:color w:val="000000" w:themeColor="text1" w:themeTint="FF" w:themeShade="FF"/>
          <w:sz w:val="28"/>
          <w:szCs w:val="28"/>
        </w:rPr>
        <w:t>possibly follow</w:t>
      </w:r>
      <w:r w:rsidRPr="5E860BD4" w:rsidR="57397D63">
        <w:rPr>
          <w:rFonts w:ascii="Calibri" w:hAnsi="Calibri" w:eastAsia="Calibri" w:cs="Calibri"/>
          <w:color w:val="000000" w:themeColor="text1" w:themeTint="FF" w:themeShade="FF"/>
          <w:sz w:val="28"/>
          <w:szCs w:val="28"/>
        </w:rPr>
        <w:t xml:space="preserve"> the same structure of using peer assessment leading to possible biased findings. Another limitation to the questionnaire is that only two teachers completed the questionnaire which could lead to the results being invalid. A limitation for the interviews was that not all children had the opportunity to answer because there were certain participants that would speak over individuals. To overcome limitations in the future, </w:t>
      </w:r>
      <w:r w:rsidRPr="5E860BD4" w:rsidR="57397D63">
        <w:rPr>
          <w:rFonts w:ascii="Calibri" w:hAnsi="Calibri" w:eastAsia="Calibri" w:cs="Calibri"/>
          <w:color w:val="000000" w:themeColor="text1" w:themeTint="FF" w:themeShade="FF"/>
          <w:sz w:val="28"/>
          <w:szCs w:val="28"/>
        </w:rPr>
        <w:t>numerous</w:t>
      </w:r>
      <w:r w:rsidRPr="5E860BD4" w:rsidR="57397D63">
        <w:rPr>
          <w:rFonts w:ascii="Calibri" w:hAnsi="Calibri" w:eastAsia="Calibri" w:cs="Calibri"/>
          <w:color w:val="000000" w:themeColor="text1" w:themeTint="FF" w:themeShade="FF"/>
          <w:sz w:val="28"/>
          <w:szCs w:val="28"/>
        </w:rPr>
        <w:t xml:space="preserve"> schools could complete the questionnaire which may result in a range of various answers and experiences of using peer assessment. To overcome the limitations of the interview, the interviews could be on a one-to-one basis to ensure each participant </w:t>
      </w:r>
      <w:r w:rsidRPr="5E860BD4" w:rsidR="57397D63">
        <w:rPr>
          <w:rFonts w:ascii="Calibri" w:hAnsi="Calibri" w:eastAsia="Calibri" w:cs="Calibri"/>
          <w:color w:val="000000" w:themeColor="text1" w:themeTint="FF" w:themeShade="FF"/>
          <w:sz w:val="28"/>
          <w:szCs w:val="28"/>
        </w:rPr>
        <w:t>has the opportunity to</w:t>
      </w:r>
      <w:r w:rsidRPr="5E860BD4" w:rsidR="57397D63">
        <w:rPr>
          <w:rFonts w:ascii="Calibri" w:hAnsi="Calibri" w:eastAsia="Calibri" w:cs="Calibri"/>
          <w:color w:val="000000" w:themeColor="text1" w:themeTint="FF" w:themeShade="FF"/>
          <w:sz w:val="28"/>
          <w:szCs w:val="28"/>
        </w:rPr>
        <w:t xml:space="preserve"> answer.</w:t>
      </w:r>
    </w:p>
    <w:p w:rsidRPr="000E2E7E" w:rsidR="000E2E7E" w:rsidP="5E860BD4" w:rsidRDefault="57397D63" w14:paraId="19AD955E" w14:textId="2B1ABA6E"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E2E7E" w:rsidR="000E2E7E" w:rsidP="5E860BD4" w:rsidRDefault="57397D63" w14:paraId="7DB4E820" w14:textId="6C0630F8" w14:noSpellErr="1">
      <w:pPr>
        <w:spacing w:line="360" w:lineRule="auto"/>
      </w:pPr>
      <w:r w:rsidRPr="5E860BD4" w:rsidR="57397D63">
        <w:rPr>
          <w:rFonts w:ascii="Calibri" w:hAnsi="Calibri" w:eastAsia="Calibri" w:cs="Calibri"/>
          <w:b w:val="1"/>
          <w:bCs w:val="1"/>
          <w:color w:val="000000" w:themeColor="text1" w:themeTint="FF" w:themeShade="FF"/>
          <w:sz w:val="32"/>
          <w:szCs w:val="32"/>
        </w:rPr>
        <w:t>Findings and Discussion</w:t>
      </w:r>
    </w:p>
    <w:p w:rsidRPr="000E2E7E" w:rsidR="000E2E7E" w:rsidP="5E860BD4" w:rsidRDefault="57397D63" w14:paraId="76276ED8" w14:textId="547B3692">
      <w:pPr>
        <w:spacing w:line="360" w:lineRule="auto"/>
        <w:rPr>
          <w:rFonts w:ascii="Calibri" w:hAnsi="Calibri" w:eastAsia="Calibri" w:cs="Calibri"/>
          <w:color w:val="000000" w:themeColor="text1" w:themeTint="FF" w:themeShade="FF"/>
          <w:sz w:val="28"/>
          <w:szCs w:val="28"/>
        </w:rPr>
      </w:pPr>
      <w:r w:rsidRPr="5E860BD4" w:rsidR="57397D63">
        <w:rPr>
          <w:rFonts w:ascii="Calibri" w:hAnsi="Calibri" w:eastAsia="Calibri" w:cs="Calibri"/>
          <w:color w:val="000000" w:themeColor="text1" w:themeTint="FF" w:themeShade="FF"/>
          <w:sz w:val="28"/>
          <w:szCs w:val="28"/>
        </w:rPr>
        <w:t xml:space="preserve">The research results of the questionnaire were conducted on two staff </w:t>
      </w:r>
      <w:r w:rsidRPr="5E860BD4" w:rsidR="63BA8660">
        <w:rPr>
          <w:rFonts w:ascii="Calibri" w:hAnsi="Calibri" w:eastAsia="Calibri" w:cs="Calibri"/>
          <w:color w:val="000000" w:themeColor="text1" w:themeTint="FF" w:themeShade="FF"/>
          <w:sz w:val="28"/>
          <w:szCs w:val="28"/>
        </w:rPr>
        <w:t>at</w:t>
      </w:r>
      <w:r w:rsidRPr="5E860BD4" w:rsidR="57397D63">
        <w:rPr>
          <w:rFonts w:ascii="Calibri" w:hAnsi="Calibri" w:eastAsia="Calibri" w:cs="Calibri"/>
          <w:color w:val="000000" w:themeColor="text1" w:themeTint="FF" w:themeShade="FF"/>
          <w:sz w:val="28"/>
          <w:szCs w:val="28"/>
        </w:rPr>
        <w:t xml:space="preserve"> School A in key stage 2 who have being using the AFL strategy for over two years. It was </w:t>
      </w:r>
      <w:r w:rsidRPr="5E860BD4" w:rsidR="57397D63">
        <w:rPr>
          <w:rFonts w:ascii="Calibri" w:hAnsi="Calibri" w:eastAsia="Calibri" w:cs="Calibri"/>
          <w:color w:val="000000" w:themeColor="text1" w:themeTint="FF" w:themeShade="FF"/>
          <w:sz w:val="28"/>
          <w:szCs w:val="28"/>
        </w:rPr>
        <w:t>evident</w:t>
      </w:r>
      <w:r w:rsidRPr="5E860BD4" w:rsidR="57397D63">
        <w:rPr>
          <w:rFonts w:ascii="Calibri" w:hAnsi="Calibri" w:eastAsia="Calibri" w:cs="Calibri"/>
          <w:color w:val="000000" w:themeColor="text1" w:themeTint="FF" w:themeShade="FF"/>
          <w:sz w:val="28"/>
          <w:szCs w:val="28"/>
        </w:rPr>
        <w:t xml:space="preserve"> from question four (see in appendix 7) that the main use of peer assessment is during the mathematics and numeracy and Languages, </w:t>
      </w:r>
      <w:r w:rsidRPr="5E860BD4" w:rsidR="57397D63">
        <w:rPr>
          <w:rFonts w:ascii="Calibri" w:hAnsi="Calibri" w:eastAsia="Calibri" w:cs="Calibri"/>
          <w:color w:val="000000" w:themeColor="text1" w:themeTint="FF" w:themeShade="FF"/>
          <w:sz w:val="28"/>
          <w:szCs w:val="28"/>
        </w:rPr>
        <w:t>literacy</w:t>
      </w:r>
      <w:r w:rsidRPr="5E860BD4" w:rsidR="57397D63">
        <w:rPr>
          <w:rFonts w:ascii="Calibri" w:hAnsi="Calibri" w:eastAsia="Calibri" w:cs="Calibri"/>
          <w:color w:val="000000" w:themeColor="text1" w:themeTint="FF" w:themeShade="FF"/>
          <w:sz w:val="28"/>
          <w:szCs w:val="28"/>
        </w:rPr>
        <w:t xml:space="preserve"> and communication areas for learning. Topping (2009) suggests that it is important to use peer assessment in the two specific areas for learning because the children self-reflect on their work which improve understanding of advanced vocabulary and various writing styles. Peer assessment is essential in mathematics and numeracy because it benefits teaching and learning due to </w:t>
      </w:r>
      <w:r w:rsidRPr="5E860BD4" w:rsidR="57397D63">
        <w:rPr>
          <w:rFonts w:ascii="Calibri" w:hAnsi="Calibri" w:eastAsia="Calibri" w:cs="Calibri"/>
          <w:color w:val="000000" w:themeColor="text1" w:themeTint="FF" w:themeShade="FF"/>
          <w:sz w:val="28"/>
          <w:szCs w:val="28"/>
        </w:rPr>
        <w:t>identifying</w:t>
      </w:r>
      <w:r w:rsidRPr="5E860BD4" w:rsidR="57397D63">
        <w:rPr>
          <w:rFonts w:ascii="Calibri" w:hAnsi="Calibri" w:eastAsia="Calibri" w:cs="Calibri"/>
          <w:color w:val="000000" w:themeColor="text1" w:themeTint="FF" w:themeShade="FF"/>
          <w:sz w:val="28"/>
          <w:szCs w:val="28"/>
        </w:rPr>
        <w:t xml:space="preserve"> mistakes and overcoming misconceptions (Topping, 2009). However, this suggests that peer assessment needs to be brought into </w:t>
      </w:r>
      <w:r w:rsidRPr="5E860BD4" w:rsidR="57397D63">
        <w:rPr>
          <w:rFonts w:ascii="Calibri" w:hAnsi="Calibri" w:eastAsia="Calibri" w:cs="Calibri"/>
          <w:color w:val="000000" w:themeColor="text1" w:themeTint="FF" w:themeShade="FF"/>
          <w:sz w:val="28"/>
          <w:szCs w:val="28"/>
        </w:rPr>
        <w:t>additional</w:t>
      </w:r>
      <w:r w:rsidRPr="5E860BD4" w:rsidR="57397D63">
        <w:rPr>
          <w:rFonts w:ascii="Calibri" w:hAnsi="Calibri" w:eastAsia="Calibri" w:cs="Calibri"/>
          <w:color w:val="000000" w:themeColor="text1" w:themeTint="FF" w:themeShade="FF"/>
          <w:sz w:val="28"/>
          <w:szCs w:val="28"/>
        </w:rPr>
        <w:t xml:space="preserve"> areas </w:t>
      </w:r>
      <w:r w:rsidRPr="5E860BD4" w:rsidR="57397D63">
        <w:rPr>
          <w:rFonts w:ascii="Calibri" w:hAnsi="Calibri" w:eastAsia="Calibri" w:cs="Calibri"/>
          <w:color w:val="000000" w:themeColor="text1" w:themeTint="FF" w:themeShade="FF"/>
          <w:sz w:val="28"/>
          <w:szCs w:val="28"/>
        </w:rPr>
        <w:t xml:space="preserve">for learning. Questions five and six (see appendix 8 and 9) </w:t>
      </w:r>
      <w:r w:rsidRPr="5E860BD4" w:rsidR="57397D63">
        <w:rPr>
          <w:rFonts w:ascii="Calibri" w:hAnsi="Calibri" w:eastAsia="Calibri" w:cs="Calibri"/>
          <w:color w:val="000000" w:themeColor="text1" w:themeTint="FF" w:themeShade="FF"/>
          <w:sz w:val="28"/>
          <w:szCs w:val="28"/>
        </w:rPr>
        <w:t>emphase</w:t>
      </w:r>
      <w:r w:rsidRPr="5E860BD4" w:rsidR="57397D63">
        <w:rPr>
          <w:rFonts w:ascii="Calibri" w:hAnsi="Calibri" w:eastAsia="Calibri" w:cs="Calibri"/>
          <w:color w:val="000000" w:themeColor="text1" w:themeTint="FF" w:themeShade="FF"/>
          <w:sz w:val="28"/>
          <w:szCs w:val="28"/>
        </w:rPr>
        <w:t xml:space="preserve"> that both participants believe that peer assessment improve the outcome of the pupils learning and understanding. Comparing to the interview question, the participants also believe that peer assessment supports the pupils understanding of their own work by receiving feedback that helps the child improve further. Bransford, Brown and Cocking (2000) suggest that when pupils have a deep understanding and knowledge it allows the child to be critical and develop problem solving skills to enhance teaching and learning. It has become </w:t>
      </w:r>
      <w:r w:rsidRPr="5E860BD4" w:rsidR="57397D63">
        <w:rPr>
          <w:rFonts w:ascii="Calibri" w:hAnsi="Calibri" w:eastAsia="Calibri" w:cs="Calibri"/>
          <w:color w:val="000000" w:themeColor="text1" w:themeTint="FF" w:themeShade="FF"/>
          <w:sz w:val="28"/>
          <w:szCs w:val="28"/>
        </w:rPr>
        <w:t>evident</w:t>
      </w:r>
      <w:r w:rsidRPr="5E860BD4" w:rsidR="57397D63">
        <w:rPr>
          <w:rFonts w:ascii="Calibri" w:hAnsi="Calibri" w:eastAsia="Calibri" w:cs="Calibri"/>
          <w:color w:val="000000" w:themeColor="text1" w:themeTint="FF" w:themeShade="FF"/>
          <w:sz w:val="28"/>
          <w:szCs w:val="28"/>
        </w:rPr>
        <w:t xml:space="preserve"> through question ten (see appendix 13) that peer assessment can have a negative impact on teaching and learning due to the quality of feedback. Contrastingly, question three of the interview (see in appendix 2) shows that some the pupils believe that by receiving the positive feedback from peers </w:t>
      </w:r>
      <w:r w:rsidRPr="5E860BD4" w:rsidR="7DE0AD67">
        <w:rPr>
          <w:rFonts w:ascii="Calibri" w:hAnsi="Calibri" w:eastAsia="Calibri" w:cs="Calibri"/>
          <w:color w:val="000000" w:themeColor="text1" w:themeTint="FF" w:themeShade="FF"/>
          <w:sz w:val="28"/>
          <w:szCs w:val="28"/>
        </w:rPr>
        <w:t xml:space="preserve">it </w:t>
      </w:r>
      <w:r w:rsidRPr="5E860BD4" w:rsidR="57397D63">
        <w:rPr>
          <w:rFonts w:ascii="Calibri" w:hAnsi="Calibri" w:eastAsia="Calibri" w:cs="Calibri"/>
          <w:color w:val="000000" w:themeColor="text1" w:themeTint="FF" w:themeShade="FF"/>
          <w:sz w:val="28"/>
          <w:szCs w:val="28"/>
        </w:rPr>
        <w:t>improves their self-esteem. However, other pupils imply that they receive comments that are not beneficial to their improvement. According to Nicol and Macfarlane-Dick (2006) low quality feedback create</w:t>
      </w:r>
      <w:r w:rsidRPr="5E860BD4" w:rsidR="4F48F3C6">
        <w:rPr>
          <w:rFonts w:ascii="Calibri" w:hAnsi="Calibri" w:eastAsia="Calibri" w:cs="Calibri"/>
          <w:color w:val="000000" w:themeColor="text1" w:themeTint="FF" w:themeShade="FF"/>
          <w:sz w:val="28"/>
          <w:szCs w:val="28"/>
        </w:rPr>
        <w:t>s</w:t>
      </w:r>
      <w:r w:rsidRPr="5E860BD4" w:rsidR="57397D63">
        <w:rPr>
          <w:rFonts w:ascii="Calibri" w:hAnsi="Calibri" w:eastAsia="Calibri" w:cs="Calibri"/>
          <w:color w:val="000000" w:themeColor="text1" w:themeTint="FF" w:themeShade="FF"/>
          <w:sz w:val="28"/>
          <w:szCs w:val="28"/>
        </w:rPr>
        <w:t xml:space="preserve"> misunderstanding and misconceptions if the feedback is not specific to the pupil’s work affecting the overall learning outcome. Through question six of the questionnaire, the pupils have </w:t>
      </w:r>
      <w:r w:rsidRPr="5E860BD4" w:rsidR="57397D63">
        <w:rPr>
          <w:rFonts w:ascii="Calibri" w:hAnsi="Calibri" w:eastAsia="Calibri" w:cs="Calibri"/>
          <w:color w:val="000000" w:themeColor="text1" w:themeTint="FF" w:themeShade="FF"/>
          <w:sz w:val="28"/>
          <w:szCs w:val="28"/>
        </w:rPr>
        <w:t>identified</w:t>
      </w:r>
      <w:r w:rsidRPr="5E860BD4" w:rsidR="57397D63">
        <w:rPr>
          <w:rFonts w:ascii="Calibri" w:hAnsi="Calibri" w:eastAsia="Calibri" w:cs="Calibri"/>
          <w:color w:val="000000" w:themeColor="text1" w:themeTint="FF" w:themeShade="FF"/>
          <w:sz w:val="28"/>
          <w:szCs w:val="28"/>
        </w:rPr>
        <w:t xml:space="preserve"> areas of improvement when using peer assessment. The peers have suggested using the same partners to assess their work in all areas of learning to build a better understanding of how each other learn. Topping (1998) </w:t>
      </w:r>
      <w:r w:rsidRPr="5E860BD4" w:rsidR="57397D63">
        <w:rPr>
          <w:rFonts w:ascii="Calibri" w:hAnsi="Calibri" w:eastAsia="Calibri" w:cs="Calibri"/>
          <w:color w:val="000000" w:themeColor="text1" w:themeTint="FF" w:themeShade="FF"/>
          <w:sz w:val="28"/>
          <w:szCs w:val="28"/>
        </w:rPr>
        <w:t>identif</w:t>
      </w:r>
      <w:r w:rsidRPr="5E860BD4" w:rsidR="0E472C7C">
        <w:rPr>
          <w:rFonts w:ascii="Calibri" w:hAnsi="Calibri" w:eastAsia="Calibri" w:cs="Calibri"/>
          <w:color w:val="000000" w:themeColor="text1" w:themeTint="FF" w:themeShade="FF"/>
          <w:sz w:val="28"/>
          <w:szCs w:val="28"/>
        </w:rPr>
        <w:t>es</w:t>
      </w:r>
      <w:r w:rsidRPr="5E860BD4" w:rsidR="57397D63">
        <w:rPr>
          <w:rFonts w:ascii="Calibri" w:hAnsi="Calibri" w:eastAsia="Calibri" w:cs="Calibri"/>
          <w:color w:val="000000" w:themeColor="text1" w:themeTint="FF" w:themeShade="FF"/>
          <w:sz w:val="28"/>
          <w:szCs w:val="28"/>
        </w:rPr>
        <w:t xml:space="preserve"> that when pupils consistently mark the same peers work it enables the peers to become more aware of each other’s strengths and weaknesses and support each other to overcome these. An alternative point of view is that the peers can become reliant on the pupils to assess each other’s work accurately. However, this may not occur throughout all areas of learning due to lack of knowledge (Topping, 2009). The </w:t>
      </w:r>
      <w:r w:rsidRPr="5E860BD4" w:rsidR="57397D63">
        <w:rPr>
          <w:rFonts w:ascii="Calibri" w:hAnsi="Calibri" w:eastAsia="Calibri" w:cs="Calibri"/>
          <w:color w:val="000000" w:themeColor="text1" w:themeTint="FF" w:themeShade="FF"/>
          <w:sz w:val="28"/>
          <w:szCs w:val="28"/>
        </w:rPr>
        <w:t xml:space="preserve">questionnaire results </w:t>
      </w:r>
      <w:r w:rsidRPr="5E860BD4" w:rsidR="57397D63">
        <w:rPr>
          <w:rFonts w:ascii="Calibri" w:hAnsi="Calibri" w:eastAsia="Calibri" w:cs="Calibri"/>
          <w:color w:val="000000" w:themeColor="text1" w:themeTint="FF" w:themeShade="FF"/>
          <w:sz w:val="28"/>
          <w:szCs w:val="28"/>
        </w:rPr>
        <w:t>indicated</w:t>
      </w:r>
      <w:r w:rsidRPr="5E860BD4" w:rsidR="57397D63">
        <w:rPr>
          <w:rFonts w:ascii="Calibri" w:hAnsi="Calibri" w:eastAsia="Calibri" w:cs="Calibri"/>
          <w:color w:val="000000" w:themeColor="text1" w:themeTint="FF" w:themeShade="FF"/>
          <w:sz w:val="28"/>
          <w:szCs w:val="28"/>
        </w:rPr>
        <w:t xml:space="preserve"> that peer assessment has not made a drastic effect on lesson planning and teaching. The teachers suggest that their teach</w:t>
      </w:r>
      <w:r w:rsidRPr="5E860BD4" w:rsidR="03A0F34A">
        <w:rPr>
          <w:rFonts w:ascii="Calibri" w:hAnsi="Calibri" w:eastAsia="Calibri" w:cs="Calibri"/>
          <w:color w:val="000000" w:themeColor="text1" w:themeTint="FF" w:themeShade="FF"/>
          <w:sz w:val="28"/>
          <w:szCs w:val="28"/>
        </w:rPr>
        <w:t>ing</w:t>
      </w:r>
      <w:r w:rsidRPr="5E860BD4" w:rsidR="57397D63">
        <w:rPr>
          <w:rFonts w:ascii="Calibri" w:hAnsi="Calibri" w:eastAsia="Calibri" w:cs="Calibri"/>
          <w:color w:val="000000" w:themeColor="text1" w:themeTint="FF" w:themeShade="FF"/>
          <w:sz w:val="28"/>
          <w:szCs w:val="28"/>
        </w:rPr>
        <w:t xml:space="preserve"> and planning has changed slightly. However, their teaching and planning </w:t>
      </w:r>
      <w:r w:rsidRPr="5E860BD4" w:rsidR="57397D63">
        <w:rPr>
          <w:rFonts w:ascii="Calibri" w:hAnsi="Calibri" w:eastAsia="Calibri" w:cs="Calibri"/>
          <w:color w:val="000000" w:themeColor="text1" w:themeTint="FF" w:themeShade="FF"/>
          <w:sz w:val="28"/>
          <w:szCs w:val="28"/>
        </w:rPr>
        <w:t>mainly stays</w:t>
      </w:r>
      <w:r w:rsidRPr="5E860BD4" w:rsidR="57397D63">
        <w:rPr>
          <w:rFonts w:ascii="Calibri" w:hAnsi="Calibri" w:eastAsia="Calibri" w:cs="Calibri"/>
          <w:color w:val="000000" w:themeColor="text1" w:themeTint="FF" w:themeShade="FF"/>
          <w:sz w:val="28"/>
          <w:szCs w:val="28"/>
        </w:rPr>
        <w:t xml:space="preserve"> the same. As highlighted in the literature review, Sadler (1989) implies that peer assessment reduces the amount of workload for teachers, helping the planning stay consistent. Contrastingly, according to Topping (2009)</w:t>
      </w:r>
      <w:r w:rsidRPr="5E860BD4" w:rsidR="1C74CC5E">
        <w:rPr>
          <w:rFonts w:ascii="Calibri" w:hAnsi="Calibri" w:eastAsia="Calibri" w:cs="Calibri"/>
          <w:color w:val="000000" w:themeColor="text1" w:themeTint="FF" w:themeShade="FF"/>
          <w:sz w:val="28"/>
          <w:szCs w:val="28"/>
        </w:rPr>
        <w:t>,</w:t>
      </w:r>
      <w:r w:rsidRPr="5E860BD4" w:rsidR="57397D63">
        <w:rPr>
          <w:rFonts w:ascii="Calibri" w:hAnsi="Calibri" w:eastAsia="Calibri" w:cs="Calibri"/>
          <w:color w:val="000000" w:themeColor="text1" w:themeTint="FF" w:themeShade="FF"/>
          <w:sz w:val="28"/>
          <w:szCs w:val="28"/>
        </w:rPr>
        <w:t xml:space="preserve"> teacher</w:t>
      </w:r>
      <w:r w:rsidRPr="5E860BD4" w:rsidR="4418A2C1">
        <w:rPr>
          <w:rFonts w:ascii="Calibri" w:hAnsi="Calibri" w:eastAsia="Calibri" w:cs="Calibri"/>
          <w:color w:val="000000" w:themeColor="text1" w:themeTint="FF" w:themeShade="FF"/>
          <w:sz w:val="28"/>
          <w:szCs w:val="28"/>
        </w:rPr>
        <w:t>s</w:t>
      </w:r>
      <w:r w:rsidRPr="5E860BD4" w:rsidR="57397D63">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color w:val="000000" w:themeColor="text1" w:themeTint="FF" w:themeShade="FF"/>
          <w:sz w:val="28"/>
          <w:szCs w:val="28"/>
        </w:rPr>
        <w:t>are required to</w:t>
      </w:r>
      <w:r w:rsidRPr="5E860BD4" w:rsidR="57397D63">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color w:val="000000" w:themeColor="text1" w:themeTint="FF" w:themeShade="FF"/>
          <w:sz w:val="28"/>
          <w:szCs w:val="28"/>
        </w:rPr>
        <w:t>monitor</w:t>
      </w:r>
      <w:r w:rsidRPr="5E860BD4" w:rsidR="57397D63">
        <w:rPr>
          <w:rFonts w:ascii="Calibri" w:hAnsi="Calibri" w:eastAsia="Calibri" w:cs="Calibri"/>
          <w:color w:val="000000" w:themeColor="text1" w:themeTint="FF" w:themeShade="FF"/>
          <w:sz w:val="28"/>
          <w:szCs w:val="28"/>
        </w:rPr>
        <w:t xml:space="preserve"> students through the process of peer assessment to ensure it is completed correctly. This requires </w:t>
      </w:r>
      <w:r w:rsidRPr="5E860BD4" w:rsidR="57397D63">
        <w:rPr>
          <w:rFonts w:ascii="Calibri" w:hAnsi="Calibri" w:eastAsia="Calibri" w:cs="Calibri"/>
          <w:color w:val="000000" w:themeColor="text1" w:themeTint="FF" w:themeShade="FF"/>
          <w:sz w:val="28"/>
          <w:szCs w:val="28"/>
        </w:rPr>
        <w:t>additional</w:t>
      </w:r>
      <w:r w:rsidRPr="5E860BD4" w:rsidR="57397D63">
        <w:rPr>
          <w:rFonts w:ascii="Calibri" w:hAnsi="Calibri" w:eastAsia="Calibri" w:cs="Calibri"/>
          <w:color w:val="000000" w:themeColor="text1" w:themeTint="FF" w:themeShade="FF"/>
          <w:sz w:val="28"/>
          <w:szCs w:val="28"/>
        </w:rPr>
        <w:t xml:space="preserve"> planning, to </w:t>
      </w:r>
      <w:r w:rsidRPr="5E860BD4" w:rsidR="57397D63">
        <w:rPr>
          <w:rFonts w:ascii="Calibri" w:hAnsi="Calibri" w:eastAsia="Calibri" w:cs="Calibri"/>
          <w:color w:val="000000" w:themeColor="text1" w:themeTint="FF" w:themeShade="FF"/>
          <w:sz w:val="28"/>
          <w:szCs w:val="28"/>
        </w:rPr>
        <w:t>identify</w:t>
      </w:r>
      <w:r w:rsidRPr="5E860BD4" w:rsidR="57397D63">
        <w:rPr>
          <w:rFonts w:ascii="Calibri" w:hAnsi="Calibri" w:eastAsia="Calibri" w:cs="Calibri"/>
          <w:color w:val="000000" w:themeColor="text1" w:themeTint="FF" w:themeShade="FF"/>
          <w:sz w:val="28"/>
          <w:szCs w:val="28"/>
        </w:rPr>
        <w:t xml:space="preserve"> w</w:t>
      </w:r>
      <w:r w:rsidRPr="5E860BD4" w:rsidR="41BCFE3F">
        <w:rPr>
          <w:rFonts w:ascii="Calibri" w:hAnsi="Calibri" w:eastAsia="Calibri" w:cs="Calibri"/>
          <w:color w:val="000000" w:themeColor="text1" w:themeTint="FF" w:themeShade="FF"/>
          <w:sz w:val="28"/>
          <w:szCs w:val="28"/>
        </w:rPr>
        <w:t>hich</w:t>
      </w:r>
      <w:r w:rsidRPr="5E860BD4" w:rsidR="57397D63">
        <w:rPr>
          <w:rFonts w:ascii="Calibri" w:hAnsi="Calibri" w:eastAsia="Calibri" w:cs="Calibri"/>
          <w:color w:val="000000" w:themeColor="text1" w:themeTint="FF" w:themeShade="FF"/>
          <w:sz w:val="28"/>
          <w:szCs w:val="28"/>
        </w:rPr>
        <w:t xml:space="preserve"> students may need extra help completing feedback correctly. </w:t>
      </w:r>
    </w:p>
    <w:p w:rsidRPr="000E2E7E" w:rsidR="000E2E7E" w:rsidP="5E860BD4" w:rsidRDefault="57397D63" w14:paraId="58318016" w14:textId="33B9F5E1" w14:noSpellErr="1">
      <w:pPr>
        <w:spacing w:line="360" w:lineRule="auto"/>
      </w:pPr>
      <w:r w:rsidRPr="5E860BD4" w:rsidR="57397D63">
        <w:rPr>
          <w:rFonts w:ascii="Calibri" w:hAnsi="Calibri" w:eastAsia="Calibri" w:cs="Calibri"/>
          <w:color w:val="000000" w:themeColor="text1" w:themeTint="FF" w:themeShade="FF"/>
          <w:sz w:val="28"/>
          <w:szCs w:val="28"/>
        </w:rPr>
        <w:t xml:space="preserve"> </w:t>
      </w:r>
    </w:p>
    <w:p w:rsidRPr="000E2E7E" w:rsidR="000E2E7E" w:rsidP="5E860BD4" w:rsidRDefault="57397D63" w14:paraId="5336C4C9" w14:textId="3A8749EC" w14:noSpellErr="1">
      <w:pPr>
        <w:spacing w:line="360" w:lineRule="auto"/>
      </w:pPr>
      <w:r w:rsidRPr="5E860BD4" w:rsidR="57397D63">
        <w:rPr>
          <w:rFonts w:ascii="Calibri" w:hAnsi="Calibri" w:eastAsia="Calibri" w:cs="Calibri"/>
          <w:b w:val="1"/>
          <w:bCs w:val="1"/>
          <w:color w:val="000000" w:themeColor="text1" w:themeTint="FF" w:themeShade="FF"/>
          <w:sz w:val="32"/>
          <w:szCs w:val="32"/>
        </w:rPr>
        <w:t>Conclusion</w:t>
      </w:r>
    </w:p>
    <w:p w:rsidRPr="000E2E7E" w:rsidR="000E2E7E" w:rsidP="5E860BD4" w:rsidRDefault="57397D63" w14:paraId="125EF74A" w14:textId="164913CD">
      <w:pPr>
        <w:spacing w:line="360" w:lineRule="auto"/>
      </w:pPr>
      <w:r w:rsidRPr="5E860BD4" w:rsidR="57397D63">
        <w:rPr>
          <w:rFonts w:ascii="Calibri" w:hAnsi="Calibri" w:eastAsia="Calibri" w:cs="Calibri"/>
          <w:color w:val="000000" w:themeColor="text1" w:themeTint="FF" w:themeShade="FF"/>
          <w:sz w:val="28"/>
          <w:szCs w:val="28"/>
        </w:rPr>
        <w:t xml:space="preserve">To conclude, peer assessment is an essential pedagogical tool that improves the learning outcome for pupil by taking responsibility for their learning and academic performance (Johnson and Johnson, 1994). Educational research has a ginormous impact on learning practices. Educational research ensures that the curriculum is meeting standards and learning outcomes by pinpointing the important content and areas </w:t>
      </w:r>
      <w:r w:rsidRPr="5E860BD4" w:rsidR="480678A9">
        <w:rPr>
          <w:rFonts w:ascii="Calibri" w:hAnsi="Calibri" w:eastAsia="Calibri" w:cs="Calibri"/>
          <w:color w:val="000000" w:themeColor="text1" w:themeTint="FF" w:themeShade="FF"/>
          <w:sz w:val="28"/>
          <w:szCs w:val="28"/>
        </w:rPr>
        <w:t>for</w:t>
      </w:r>
      <w:r w:rsidRPr="5E860BD4" w:rsidR="57397D63">
        <w:rPr>
          <w:rFonts w:ascii="Calibri" w:hAnsi="Calibri" w:eastAsia="Calibri" w:cs="Calibri"/>
          <w:color w:val="000000" w:themeColor="text1" w:themeTint="FF" w:themeShade="FF"/>
          <w:sz w:val="28"/>
          <w:szCs w:val="28"/>
        </w:rPr>
        <w:t xml:space="preserve"> improvement </w:t>
      </w:r>
      <w:r w:rsidRPr="5E860BD4" w:rsidR="5A6CBACD">
        <w:rPr>
          <w:rFonts w:ascii="Calibri" w:hAnsi="Calibri" w:eastAsia="Calibri" w:cs="Calibri"/>
          <w:color w:val="000000" w:themeColor="text1" w:themeTint="FF" w:themeShade="FF"/>
          <w:sz w:val="28"/>
          <w:szCs w:val="28"/>
        </w:rPr>
        <w:t>in</w:t>
      </w:r>
      <w:r w:rsidRPr="5E860BD4" w:rsidR="57397D63">
        <w:rPr>
          <w:rFonts w:ascii="Calibri" w:hAnsi="Calibri" w:eastAsia="Calibri" w:cs="Calibri"/>
          <w:color w:val="000000" w:themeColor="text1" w:themeTint="FF" w:themeShade="FF"/>
          <w:sz w:val="28"/>
          <w:szCs w:val="28"/>
        </w:rPr>
        <w:t xml:space="preserve"> the curriculum to improve learning outcomes (</w:t>
      </w:r>
      <w:r w:rsidRPr="5E860BD4" w:rsidR="57397D63">
        <w:rPr>
          <w:rFonts w:ascii="Calibri" w:hAnsi="Calibri" w:eastAsia="Calibri" w:cs="Calibri"/>
          <w:color w:val="000000" w:themeColor="text1" w:themeTint="FF" w:themeShade="FF"/>
          <w:sz w:val="28"/>
          <w:szCs w:val="28"/>
        </w:rPr>
        <w:t>Sweller</w:t>
      </w:r>
      <w:r w:rsidRPr="5E860BD4" w:rsidR="57397D63">
        <w:rPr>
          <w:rFonts w:ascii="Calibri" w:hAnsi="Calibri" w:eastAsia="Calibri" w:cs="Calibri"/>
          <w:color w:val="000000" w:themeColor="text1" w:themeTint="FF" w:themeShade="FF"/>
          <w:sz w:val="28"/>
          <w:szCs w:val="28"/>
        </w:rPr>
        <w:t xml:space="preserve">, 1988). However, I have acknowledged the limitations to the research conducted as possibly unreliable to the lack of responses received. It has become </w:t>
      </w:r>
      <w:r w:rsidRPr="5E860BD4" w:rsidR="57397D63">
        <w:rPr>
          <w:rFonts w:ascii="Calibri" w:hAnsi="Calibri" w:eastAsia="Calibri" w:cs="Calibri"/>
          <w:color w:val="000000" w:themeColor="text1" w:themeTint="FF" w:themeShade="FF"/>
          <w:sz w:val="28"/>
          <w:szCs w:val="28"/>
        </w:rPr>
        <w:t>evident</w:t>
      </w:r>
      <w:r w:rsidRPr="5E860BD4" w:rsidR="57397D63">
        <w:rPr>
          <w:rFonts w:ascii="Calibri" w:hAnsi="Calibri" w:eastAsia="Calibri" w:cs="Calibri"/>
          <w:color w:val="000000" w:themeColor="text1" w:themeTint="FF" w:themeShade="FF"/>
          <w:sz w:val="28"/>
          <w:szCs w:val="28"/>
        </w:rPr>
        <w:t xml:space="preserve"> through various literature that peer assessment can </w:t>
      </w:r>
      <w:r w:rsidRPr="5E860BD4" w:rsidR="57397D63">
        <w:rPr>
          <w:rFonts w:ascii="Calibri" w:hAnsi="Calibri" w:eastAsia="Calibri" w:cs="Calibri"/>
          <w:color w:val="000000" w:themeColor="text1" w:themeTint="FF" w:themeShade="FF"/>
          <w:sz w:val="28"/>
          <w:szCs w:val="28"/>
        </w:rPr>
        <w:t>benefit</w:t>
      </w:r>
      <w:r w:rsidRPr="5E860BD4" w:rsidR="57397D63">
        <w:rPr>
          <w:rFonts w:ascii="Calibri" w:hAnsi="Calibri" w:eastAsia="Calibri" w:cs="Calibri"/>
          <w:color w:val="000000" w:themeColor="text1" w:themeTint="FF" w:themeShade="FF"/>
          <w:sz w:val="28"/>
          <w:szCs w:val="28"/>
        </w:rPr>
        <w:t xml:space="preserve"> professional teaching and learning in </w:t>
      </w:r>
      <w:r w:rsidRPr="5E860BD4" w:rsidR="57397D63">
        <w:rPr>
          <w:rFonts w:ascii="Calibri" w:hAnsi="Calibri" w:eastAsia="Calibri" w:cs="Calibri"/>
          <w:color w:val="000000" w:themeColor="text1" w:themeTint="FF" w:themeShade="FF"/>
          <w:sz w:val="28"/>
          <w:szCs w:val="28"/>
        </w:rPr>
        <w:t>numerous</w:t>
      </w:r>
      <w:r w:rsidRPr="5E860BD4" w:rsidR="57397D63">
        <w:rPr>
          <w:rFonts w:ascii="Calibri" w:hAnsi="Calibri" w:eastAsia="Calibri" w:cs="Calibri"/>
          <w:color w:val="000000" w:themeColor="text1" w:themeTint="FF" w:themeShade="FF"/>
          <w:sz w:val="28"/>
          <w:szCs w:val="28"/>
        </w:rPr>
        <w:t xml:space="preserve"> ways including supporting the children to self-reflect on their own work critically to understand learning content (Black, 2003). Contrastingly, it has been highlighted by other literature that peer assessment can negatively </w:t>
      </w:r>
      <w:r w:rsidRPr="5E860BD4" w:rsidR="57397D63">
        <w:rPr>
          <w:rFonts w:ascii="Calibri" w:hAnsi="Calibri" w:eastAsia="Calibri" w:cs="Calibri"/>
          <w:color w:val="000000" w:themeColor="text1" w:themeTint="FF" w:themeShade="FF"/>
          <w:sz w:val="28"/>
          <w:szCs w:val="28"/>
        </w:rPr>
        <w:t>impact</w:t>
      </w:r>
      <w:r w:rsidRPr="5E860BD4" w:rsidR="57397D63">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color w:val="000000" w:themeColor="text1" w:themeTint="FF" w:themeShade="FF"/>
          <w:sz w:val="28"/>
          <w:szCs w:val="28"/>
        </w:rPr>
        <w:t xml:space="preserve">teaching and learning which has been highly considered throughout the process of this assignment. I will implement the use of peer assessment into my teaching practice regularly to increase the benefit of teaching and learning because it magnifies learning experiences through active engagement (Hattie, 2009). </w:t>
      </w:r>
    </w:p>
    <w:p w:rsidRPr="000E2E7E" w:rsidR="000E2E7E" w:rsidP="5E860BD4" w:rsidRDefault="000E2E7E" w14:paraId="2155979B" w14:textId="0C837C00" w14:noSpellErr="1">
      <w:pPr>
        <w:spacing w:line="360" w:lineRule="auto"/>
        <w:rPr>
          <w:rFonts w:ascii="Calibri" w:hAnsi="Calibri" w:eastAsia="Calibri" w:cs="Calibri"/>
          <w:b w:val="1"/>
          <w:bCs w:val="1"/>
          <w:color w:val="000000" w:themeColor="text1"/>
          <w:sz w:val="32"/>
          <w:szCs w:val="32"/>
        </w:rPr>
      </w:pPr>
    </w:p>
    <w:p w:rsidRPr="000E2E7E" w:rsidR="000E2E7E" w:rsidP="5E860BD4" w:rsidRDefault="000E2E7E" w14:paraId="4410372C" w14:textId="19BA973A" w14:noSpellErr="1">
      <w:pPr>
        <w:spacing w:line="360" w:lineRule="auto"/>
        <w:rPr>
          <w:rFonts w:ascii="Calibri" w:hAnsi="Calibri" w:eastAsia="Calibri" w:cs="Calibri"/>
          <w:b w:val="1"/>
          <w:bCs w:val="1"/>
          <w:color w:val="000000" w:themeColor="text1"/>
          <w:sz w:val="32"/>
          <w:szCs w:val="32"/>
        </w:rPr>
      </w:pPr>
    </w:p>
    <w:p w:rsidRPr="000E2E7E" w:rsidR="000E2E7E" w:rsidP="5E860BD4" w:rsidRDefault="000E2E7E" w14:paraId="60B12506" w14:textId="1972864A" w14:noSpellErr="1">
      <w:pPr>
        <w:spacing w:line="360" w:lineRule="auto"/>
        <w:rPr>
          <w:rFonts w:ascii="Calibri" w:hAnsi="Calibri" w:eastAsia="Calibri" w:cs="Calibri"/>
          <w:b w:val="1"/>
          <w:bCs w:val="1"/>
          <w:color w:val="000000" w:themeColor="text1"/>
          <w:sz w:val="32"/>
          <w:szCs w:val="32"/>
        </w:rPr>
      </w:pPr>
    </w:p>
    <w:p w:rsidRPr="000E2E7E" w:rsidR="000E2E7E" w:rsidP="5E860BD4" w:rsidRDefault="000E2E7E" w14:paraId="4D57A3C0" w14:textId="7A9F47D6" w14:noSpellErr="1">
      <w:pPr>
        <w:spacing w:line="360" w:lineRule="auto"/>
        <w:rPr>
          <w:rFonts w:ascii="Calibri" w:hAnsi="Calibri" w:eastAsia="Calibri" w:cs="Calibri"/>
          <w:b w:val="1"/>
          <w:bCs w:val="1"/>
          <w:color w:val="000000" w:themeColor="text1"/>
          <w:sz w:val="32"/>
          <w:szCs w:val="32"/>
        </w:rPr>
      </w:pPr>
    </w:p>
    <w:p w:rsidRPr="000E2E7E" w:rsidR="000E2E7E" w:rsidP="5E860BD4" w:rsidRDefault="000E2E7E" w14:paraId="169065A6" w14:textId="5A7FCF61" w14:noSpellErr="1">
      <w:pPr>
        <w:spacing w:line="360" w:lineRule="auto"/>
        <w:rPr>
          <w:rFonts w:ascii="Calibri" w:hAnsi="Calibri" w:eastAsia="Calibri" w:cs="Calibri"/>
          <w:b w:val="1"/>
          <w:bCs w:val="1"/>
          <w:color w:val="000000" w:themeColor="text1"/>
          <w:sz w:val="32"/>
          <w:szCs w:val="32"/>
        </w:rPr>
      </w:pPr>
    </w:p>
    <w:p w:rsidR="00054E23" w:rsidP="5E860BD4" w:rsidRDefault="00054E23" w14:paraId="3E1E68D5" w14:textId="77777777" w14:noSpellErr="1">
      <w:pPr>
        <w:spacing w:line="360" w:lineRule="auto"/>
        <w:rPr>
          <w:rFonts w:ascii="Calibri" w:hAnsi="Calibri" w:eastAsia="Calibri" w:cs="Calibri"/>
          <w:b w:val="1"/>
          <w:bCs w:val="1"/>
          <w:color w:val="000000" w:themeColor="text1"/>
          <w:sz w:val="32"/>
          <w:szCs w:val="32"/>
        </w:rPr>
      </w:pPr>
    </w:p>
    <w:p w:rsidRPr="000E2E7E" w:rsidR="000E2E7E" w:rsidP="5E860BD4" w:rsidRDefault="57397D63" w14:paraId="779C82B5" w14:textId="6B5849AC">
      <w:pPr>
        <w:pStyle w:val="Normal"/>
        <w:spacing w:line="360" w:lineRule="auto"/>
        <w:rPr>
          <w:rFonts w:ascii="Calibri" w:hAnsi="Calibri" w:eastAsia="Calibri" w:cs="Calibri"/>
          <w:b w:val="1"/>
          <w:bCs w:val="1"/>
          <w:color w:val="000000" w:themeColor="text1" w:themeTint="FF" w:themeShade="FF"/>
          <w:sz w:val="32"/>
          <w:szCs w:val="32"/>
        </w:rPr>
      </w:pPr>
      <w:r w:rsidRPr="5E860BD4" w:rsidR="57397D63">
        <w:rPr>
          <w:rFonts w:ascii="Calibri" w:hAnsi="Calibri" w:eastAsia="Calibri" w:cs="Calibri"/>
          <w:b w:val="1"/>
          <w:bCs w:val="1"/>
          <w:color w:val="000000" w:themeColor="text1" w:themeTint="FF" w:themeShade="FF"/>
          <w:sz w:val="32"/>
          <w:szCs w:val="32"/>
        </w:rPr>
        <w:t>Reference List</w:t>
      </w:r>
    </w:p>
    <w:p w:rsidRPr="000E2E7E" w:rsidR="000E2E7E" w:rsidP="5257E1B0" w:rsidRDefault="57397D63" w14:paraId="78CEF062" w14:textId="1F9E7E79">
      <w:pPr>
        <w:spacing w:line="375" w:lineRule="auto"/>
      </w:pPr>
      <w:r w:rsidRPr="5257E1B0">
        <w:rPr>
          <w:rFonts w:ascii="Calibri" w:hAnsi="Calibri" w:eastAsia="Calibri" w:cs="Calibri"/>
          <w:b/>
          <w:bCs/>
          <w:color w:val="000000" w:themeColor="text1"/>
          <w:sz w:val="28"/>
          <w:szCs w:val="28"/>
        </w:rPr>
        <w:t xml:space="preserve"> </w:t>
      </w:r>
    </w:p>
    <w:p w:rsidRPr="000E2E7E" w:rsidR="000E2E7E" w:rsidP="5257E1B0" w:rsidRDefault="57397D63" w14:paraId="75043960" w14:textId="63ACCD11">
      <w:pPr>
        <w:spacing w:line="375" w:lineRule="auto"/>
      </w:pPr>
      <w:r w:rsidRPr="5257E1B0">
        <w:rPr>
          <w:rFonts w:ascii="Calibri" w:hAnsi="Calibri" w:eastAsia="Calibri" w:cs="Calibri"/>
          <w:color w:val="000000" w:themeColor="text1"/>
          <w:sz w:val="28"/>
          <w:szCs w:val="28"/>
        </w:rPr>
        <w:t>Black, P.</w:t>
      </w:r>
      <w:r w:rsidRPr="5257E1B0">
        <w:rPr>
          <w:rFonts w:ascii="Calibri" w:hAnsi="Calibri" w:eastAsia="Calibri" w:cs="Calibri"/>
          <w:color w:val="1F1F1F"/>
          <w:sz w:val="28"/>
          <w:szCs w:val="28"/>
        </w:rPr>
        <w:t xml:space="preserve"> (1998) </w:t>
      </w:r>
      <w:r w:rsidRPr="5257E1B0">
        <w:rPr>
          <w:rFonts w:ascii="Calibri" w:hAnsi="Calibri" w:eastAsia="Calibri" w:cs="Calibri"/>
          <w:i/>
          <w:iCs/>
          <w:color w:val="1F1F1F"/>
          <w:sz w:val="28"/>
          <w:szCs w:val="28"/>
        </w:rPr>
        <w:t xml:space="preserve">Assessment and classroom learning. Assessment in Education: Principles, Policy &amp; Practice. </w:t>
      </w:r>
      <w:r w:rsidRPr="5257E1B0">
        <w:rPr>
          <w:rFonts w:ascii="Calibri" w:hAnsi="Calibri" w:eastAsia="Calibri" w:cs="Calibri"/>
          <w:color w:val="1F1F1F"/>
          <w:sz w:val="28"/>
          <w:szCs w:val="28"/>
        </w:rPr>
        <w:t>Available at</w:t>
      </w:r>
      <w:r w:rsidRPr="5257E1B0">
        <w:rPr>
          <w:rFonts w:ascii="Calibri" w:hAnsi="Calibri" w:eastAsia="Calibri" w:cs="Calibri"/>
          <w:i/>
          <w:iCs/>
          <w:color w:val="1F1F1F"/>
          <w:sz w:val="28"/>
          <w:szCs w:val="28"/>
        </w:rPr>
        <w:t xml:space="preserve">: </w:t>
      </w:r>
      <w:hyperlink r:id="rId5">
        <w:r w:rsidRPr="5257E1B0">
          <w:rPr>
            <w:rStyle w:val="Hyperlink"/>
            <w:rFonts w:ascii="Calibri" w:hAnsi="Calibri" w:eastAsia="Calibri" w:cs="Calibri"/>
            <w:color w:val="215E99" w:themeColor="text2" w:themeTint="BF"/>
            <w:sz w:val="28"/>
            <w:szCs w:val="28"/>
          </w:rPr>
          <w:t>https://doi.org/10.1080/0969595980050102</w:t>
        </w:r>
      </w:hyperlink>
      <w:r w:rsidRPr="5257E1B0">
        <w:rPr>
          <w:rFonts w:ascii="Calibri" w:hAnsi="Calibri" w:eastAsia="Calibri" w:cs="Calibri"/>
          <w:color w:val="215E99" w:themeColor="text2" w:themeTint="BF"/>
          <w:sz w:val="28"/>
          <w:szCs w:val="28"/>
        </w:rPr>
        <w:t xml:space="preserve"> (</w:t>
      </w:r>
      <w:r w:rsidRPr="5257E1B0">
        <w:rPr>
          <w:rFonts w:ascii="Calibri" w:hAnsi="Calibri" w:eastAsia="Calibri" w:cs="Calibri"/>
          <w:color w:val="333333"/>
          <w:sz w:val="28"/>
          <w:szCs w:val="28"/>
        </w:rPr>
        <w:t xml:space="preserve">Accessed: 27th March 2025). </w:t>
      </w:r>
      <w:r w:rsidRPr="5257E1B0">
        <w:rPr>
          <w:rFonts w:ascii="Calibri" w:hAnsi="Calibri" w:eastAsia="Calibri" w:cs="Calibri"/>
          <w:color w:val="1F1F1F"/>
          <w:sz w:val="28"/>
          <w:szCs w:val="28"/>
        </w:rPr>
        <w:t>pp.7-74.</w:t>
      </w:r>
      <w:r w:rsidRPr="5257E1B0">
        <w:rPr>
          <w:rFonts w:ascii="Calibri" w:hAnsi="Calibri" w:eastAsia="Calibri" w:cs="Calibri"/>
          <w:color w:val="000000" w:themeColor="text1"/>
          <w:sz w:val="28"/>
          <w:szCs w:val="28"/>
        </w:rPr>
        <w:t xml:space="preserve"> </w:t>
      </w:r>
    </w:p>
    <w:p w:rsidRPr="000E2E7E" w:rsidR="000E2E7E" w:rsidP="5257E1B0" w:rsidRDefault="57397D63" w14:paraId="7A6497F2" w14:textId="5E06C647">
      <w:pPr>
        <w:spacing w:before="240" w:after="240"/>
      </w:pPr>
      <w:r w:rsidRPr="5257E1B0">
        <w:rPr>
          <w:rFonts w:ascii="Calibri" w:hAnsi="Calibri" w:eastAsia="Calibri" w:cs="Calibri"/>
          <w:color w:val="000000" w:themeColor="text1"/>
          <w:sz w:val="28"/>
          <w:szCs w:val="28"/>
        </w:rPr>
        <w:t xml:space="preserve"> </w:t>
      </w:r>
    </w:p>
    <w:p w:rsidRPr="000E2E7E" w:rsidR="000E2E7E" w:rsidP="5257E1B0" w:rsidRDefault="57397D63" w14:paraId="371F52D7" w14:textId="11141292">
      <w:pPr>
        <w:spacing w:before="240" w:after="240"/>
      </w:pPr>
      <w:r w:rsidRPr="5257E1B0">
        <w:rPr>
          <w:rFonts w:ascii="Calibri" w:hAnsi="Calibri" w:eastAsia="Calibri" w:cs="Calibri"/>
          <w:color w:val="000000" w:themeColor="text1"/>
          <w:sz w:val="28"/>
          <w:szCs w:val="28"/>
        </w:rPr>
        <w:t xml:space="preserve">Black, P.J., Harrison, C., Lee, C., Marshall, B. and </w:t>
      </w:r>
      <w:proofErr w:type="spellStart"/>
      <w:r w:rsidRPr="5257E1B0">
        <w:rPr>
          <w:rFonts w:ascii="Calibri" w:hAnsi="Calibri" w:eastAsia="Calibri" w:cs="Calibri"/>
          <w:color w:val="000000" w:themeColor="text1"/>
          <w:sz w:val="28"/>
          <w:szCs w:val="28"/>
        </w:rPr>
        <w:t>Wiliams</w:t>
      </w:r>
      <w:proofErr w:type="spellEnd"/>
      <w:r w:rsidRPr="5257E1B0">
        <w:rPr>
          <w:rFonts w:ascii="Calibri" w:hAnsi="Calibri" w:eastAsia="Calibri" w:cs="Calibri"/>
          <w:color w:val="000000" w:themeColor="text1"/>
          <w:sz w:val="28"/>
          <w:szCs w:val="28"/>
        </w:rPr>
        <w:t xml:space="preserve">, D. (2003) </w:t>
      </w:r>
      <w:r w:rsidRPr="5257E1B0">
        <w:rPr>
          <w:rFonts w:ascii="Calibri" w:hAnsi="Calibri" w:eastAsia="Calibri" w:cs="Calibri"/>
          <w:i/>
          <w:iCs/>
          <w:color w:val="000000" w:themeColor="text1"/>
          <w:sz w:val="28"/>
          <w:szCs w:val="28"/>
        </w:rPr>
        <w:t>Assessment for learning: putting it into practice</w:t>
      </w:r>
      <w:r w:rsidRPr="5257E1B0">
        <w:rPr>
          <w:rFonts w:ascii="Calibri" w:hAnsi="Calibri" w:eastAsia="Calibri" w:cs="Calibri"/>
          <w:color w:val="000000" w:themeColor="text1"/>
          <w:sz w:val="28"/>
          <w:szCs w:val="28"/>
        </w:rPr>
        <w:t>. Maidenhead: Open University Press.</w:t>
      </w:r>
    </w:p>
    <w:p w:rsidRPr="000E2E7E" w:rsidR="000E2E7E" w:rsidP="5257E1B0" w:rsidRDefault="57397D63" w14:paraId="4976C162" w14:noSpellErr="1" w14:textId="5CCED89A">
      <w:pPr>
        <w:spacing w:line="375" w:lineRule="auto"/>
      </w:pPr>
      <w:r w:rsidRPr="5E860BD4" w:rsidR="57397D63">
        <w:rPr>
          <w:rFonts w:ascii="Calibri" w:hAnsi="Calibri" w:eastAsia="Calibri" w:cs="Calibri"/>
          <w:color w:val="000000" w:themeColor="text1" w:themeTint="FF" w:themeShade="FF"/>
          <w:sz w:val="28"/>
          <w:szCs w:val="28"/>
        </w:rPr>
        <w:t xml:space="preserve"> </w:t>
      </w:r>
    </w:p>
    <w:p w:rsidRPr="000E2E7E" w:rsidR="000E2E7E" w:rsidP="5257E1B0" w:rsidRDefault="57397D63" w14:paraId="5A098033" w14:textId="16D95173">
      <w:pPr>
        <w:spacing w:line="375" w:lineRule="auto"/>
      </w:pPr>
      <w:r w:rsidRPr="5E860BD4" w:rsidR="57397D63">
        <w:rPr>
          <w:rFonts w:ascii="Calibri" w:hAnsi="Calibri" w:eastAsia="Calibri" w:cs="Calibri"/>
          <w:color w:val="000000" w:themeColor="text1" w:themeTint="FF" w:themeShade="FF"/>
          <w:sz w:val="28"/>
          <w:szCs w:val="28"/>
        </w:rPr>
        <w:t>Boud</w:t>
      </w:r>
      <w:r w:rsidRPr="5E860BD4" w:rsidR="57397D63">
        <w:rPr>
          <w:rFonts w:ascii="Calibri" w:hAnsi="Calibri" w:eastAsia="Calibri" w:cs="Calibri"/>
          <w:color w:val="000000" w:themeColor="text1" w:themeTint="FF" w:themeShade="FF"/>
          <w:sz w:val="28"/>
          <w:szCs w:val="28"/>
        </w:rPr>
        <w:t xml:space="preserve">, D. and </w:t>
      </w:r>
      <w:r w:rsidRPr="5E860BD4" w:rsidR="57397D63">
        <w:rPr>
          <w:rFonts w:ascii="Calibri" w:hAnsi="Calibri" w:eastAsia="Calibri" w:cs="Calibri"/>
          <w:color w:val="000000" w:themeColor="text1" w:themeTint="FF" w:themeShade="FF"/>
          <w:sz w:val="28"/>
          <w:szCs w:val="28"/>
        </w:rPr>
        <w:t>Falchikov</w:t>
      </w:r>
      <w:r w:rsidRPr="5E860BD4" w:rsidR="57397D63">
        <w:rPr>
          <w:rFonts w:ascii="Calibri" w:hAnsi="Calibri" w:eastAsia="Calibri" w:cs="Calibri"/>
          <w:color w:val="000000" w:themeColor="text1" w:themeTint="FF" w:themeShade="FF"/>
          <w:sz w:val="28"/>
          <w:szCs w:val="28"/>
        </w:rPr>
        <w:t xml:space="preserve">, N. (2006) </w:t>
      </w:r>
      <w:r w:rsidRPr="5E860BD4" w:rsidR="57397D63">
        <w:rPr>
          <w:rFonts w:ascii="Calibri" w:hAnsi="Calibri" w:eastAsia="Calibri" w:cs="Calibri"/>
          <w:i w:val="1"/>
          <w:iCs w:val="1"/>
          <w:color w:val="000000" w:themeColor="text1" w:themeTint="FF" w:themeShade="FF"/>
          <w:sz w:val="28"/>
          <w:szCs w:val="28"/>
        </w:rPr>
        <w:t>Aligning assessment with long-term learning. Assessment &amp; Evaluation in Higher Education.</w:t>
      </w:r>
      <w:r w:rsidRPr="5E860BD4" w:rsidR="57397D63">
        <w:rPr>
          <w:rFonts w:ascii="Calibri" w:hAnsi="Calibri" w:eastAsia="Calibri" w:cs="Calibri"/>
          <w:color w:val="000000" w:themeColor="text1" w:themeTint="FF" w:themeShade="FF"/>
          <w:sz w:val="28"/>
          <w:szCs w:val="28"/>
        </w:rPr>
        <w:t xml:space="preserve"> Available at: </w:t>
      </w:r>
      <w:hyperlink r:id="R5e00bd6320f04d99">
        <w:r w:rsidRPr="5E860BD4" w:rsidR="57397D63">
          <w:rPr>
            <w:rStyle w:val="Hyperlink"/>
            <w:rFonts w:ascii="Calibri" w:hAnsi="Calibri" w:eastAsia="Calibri" w:cs="Calibri"/>
            <w:color w:val="215E99" w:themeColor="text2" w:themeTint="BF" w:themeShade="FF"/>
            <w:sz w:val="28"/>
            <w:szCs w:val="28"/>
          </w:rPr>
          <w:t>https://doi.org/10.1080/02602930600679050</w:t>
        </w:r>
      </w:hyperlink>
      <w:r w:rsidRPr="5E860BD4" w:rsidR="74E6B5B7">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color w:val="000000" w:themeColor="text1" w:themeTint="FF" w:themeShade="FF"/>
          <w:sz w:val="28"/>
          <w:szCs w:val="28"/>
        </w:rPr>
        <w:t>(</w:t>
      </w:r>
      <w:r w:rsidRPr="5E860BD4" w:rsidR="57397D63">
        <w:rPr>
          <w:rFonts w:ascii="Calibri" w:hAnsi="Calibri" w:eastAsia="Calibri" w:cs="Calibri"/>
          <w:color w:val="000000" w:themeColor="text1" w:themeTint="FF" w:themeShade="FF"/>
          <w:sz w:val="28"/>
          <w:szCs w:val="28"/>
        </w:rPr>
        <w:t>Accessed: 28th March 2025). pp. 399-413.</w:t>
      </w:r>
    </w:p>
    <w:p w:rsidRPr="000E2E7E" w:rsidR="000E2E7E" w:rsidP="5257E1B0" w:rsidRDefault="57397D63" w14:paraId="06402FBB" w14:textId="5E117C9C">
      <w:pPr>
        <w:spacing w:line="375" w:lineRule="auto"/>
      </w:pPr>
      <w:r w:rsidRPr="5257E1B0">
        <w:rPr>
          <w:rFonts w:ascii="Calibri" w:hAnsi="Calibri" w:eastAsia="Calibri" w:cs="Calibri"/>
          <w:color w:val="000000" w:themeColor="text1"/>
          <w:sz w:val="28"/>
          <w:szCs w:val="28"/>
        </w:rPr>
        <w:t xml:space="preserve"> </w:t>
      </w:r>
    </w:p>
    <w:p w:rsidRPr="000E2E7E" w:rsidR="000E2E7E" w:rsidP="5257E1B0" w:rsidRDefault="57397D63" w14:paraId="0BBAAF5E" w14:textId="3337BC6E">
      <w:pPr>
        <w:spacing w:line="375" w:lineRule="auto"/>
      </w:pPr>
      <w:r w:rsidRPr="5E860BD4" w:rsidR="57397D63">
        <w:rPr>
          <w:rFonts w:ascii="Calibri" w:hAnsi="Calibri" w:eastAsia="Calibri" w:cs="Calibri"/>
          <w:b w:val="0"/>
          <w:bCs w:val="0"/>
          <w:color w:val="000000" w:themeColor="text1" w:themeTint="FF" w:themeShade="FF"/>
          <w:sz w:val="28"/>
          <w:szCs w:val="28"/>
        </w:rPr>
        <w:t xml:space="preserve">Bradburn, N. M., Sudman, S., &amp; </w:t>
      </w:r>
      <w:r w:rsidRPr="5E860BD4" w:rsidR="57397D63">
        <w:rPr>
          <w:rFonts w:ascii="Calibri" w:hAnsi="Calibri" w:eastAsia="Calibri" w:cs="Calibri"/>
          <w:b w:val="0"/>
          <w:bCs w:val="0"/>
          <w:color w:val="000000" w:themeColor="text1" w:themeTint="FF" w:themeShade="FF"/>
          <w:sz w:val="28"/>
          <w:szCs w:val="28"/>
        </w:rPr>
        <w:t>Wansink</w:t>
      </w:r>
      <w:r w:rsidRPr="5E860BD4" w:rsidR="57397D63">
        <w:rPr>
          <w:rFonts w:ascii="Calibri" w:hAnsi="Calibri" w:eastAsia="Calibri" w:cs="Calibri"/>
          <w:b w:val="0"/>
          <w:bCs w:val="0"/>
          <w:color w:val="000000" w:themeColor="text1" w:themeTint="FF" w:themeShade="FF"/>
          <w:sz w:val="28"/>
          <w:szCs w:val="28"/>
        </w:rPr>
        <w:t>, B. (2004)</w:t>
      </w:r>
      <w:r w:rsidRPr="5E860BD4" w:rsidR="57397D63">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i w:val="1"/>
          <w:iCs w:val="1"/>
          <w:color w:val="000000" w:themeColor="text1" w:themeTint="FF" w:themeShade="FF"/>
          <w:sz w:val="28"/>
          <w:szCs w:val="28"/>
        </w:rPr>
        <w:t>Asking Questions: The Definitive Guide to Questionnaire Design – For Market Research, Political Polls, and Social and Health Surveys.</w:t>
      </w:r>
      <w:r w:rsidRPr="5E860BD4" w:rsidR="57397D63">
        <w:rPr>
          <w:rFonts w:ascii="Calibri" w:hAnsi="Calibri" w:eastAsia="Calibri" w:cs="Calibri"/>
          <w:color w:val="000000" w:themeColor="text1" w:themeTint="FF" w:themeShade="FF"/>
          <w:sz w:val="28"/>
          <w:szCs w:val="28"/>
        </w:rPr>
        <w:t xml:space="preserve"> San Francisco: Jossey-Bass.</w:t>
      </w:r>
    </w:p>
    <w:p w:rsidRPr="000E2E7E" w:rsidR="000E2E7E" w:rsidP="5257E1B0" w:rsidRDefault="57397D63" w14:paraId="45146B69" w14:textId="51267F35">
      <w:pPr>
        <w:spacing w:line="375" w:lineRule="auto"/>
      </w:pPr>
      <w:r w:rsidRPr="5257E1B0">
        <w:rPr>
          <w:rFonts w:ascii="Calibri" w:hAnsi="Calibri" w:eastAsia="Calibri" w:cs="Calibri"/>
          <w:color w:val="000000" w:themeColor="text1"/>
          <w:sz w:val="28"/>
          <w:szCs w:val="28"/>
        </w:rPr>
        <w:t xml:space="preserve"> </w:t>
      </w:r>
    </w:p>
    <w:p w:rsidRPr="000E2E7E" w:rsidR="000E2E7E" w:rsidP="5257E1B0" w:rsidRDefault="57397D63" w14:paraId="513D2E08" w14:textId="37E93974">
      <w:pPr>
        <w:spacing w:line="375" w:lineRule="auto"/>
      </w:pPr>
      <w:r w:rsidRPr="5E860BD4" w:rsidR="57397D63">
        <w:rPr>
          <w:rFonts w:ascii="Calibri" w:hAnsi="Calibri" w:eastAsia="Calibri" w:cs="Calibri"/>
          <w:b w:val="0"/>
          <w:bCs w:val="0"/>
          <w:color w:val="000000" w:themeColor="text1" w:themeTint="FF" w:themeShade="FF"/>
          <w:sz w:val="28"/>
          <w:szCs w:val="28"/>
        </w:rPr>
        <w:t>Bransford, J., Brown, L., &amp; Cocking, R. (2000)</w:t>
      </w:r>
      <w:r w:rsidRPr="5E860BD4" w:rsidR="0C11AE27">
        <w:rPr>
          <w:rFonts w:ascii="Calibri" w:hAnsi="Calibri" w:eastAsia="Calibri" w:cs="Calibri"/>
          <w:b w:val="0"/>
          <w:bCs w:val="0"/>
          <w:color w:val="000000" w:themeColor="text1" w:themeTint="FF" w:themeShade="FF"/>
          <w:sz w:val="28"/>
          <w:szCs w:val="28"/>
        </w:rPr>
        <w:t xml:space="preserve"> </w:t>
      </w:r>
      <w:r w:rsidRPr="5E860BD4" w:rsidR="57397D63">
        <w:rPr>
          <w:rFonts w:ascii="Calibri" w:hAnsi="Calibri" w:eastAsia="Calibri" w:cs="Calibri"/>
          <w:i w:val="1"/>
          <w:iCs w:val="1"/>
          <w:color w:val="000000" w:themeColor="text1" w:themeTint="FF" w:themeShade="FF"/>
          <w:sz w:val="28"/>
          <w:szCs w:val="28"/>
        </w:rPr>
        <w:t>How People Learn: Brain, Mind, Experience, and School</w:t>
      </w:r>
      <w:r w:rsidRPr="5E860BD4" w:rsidR="57397D63">
        <w:rPr>
          <w:rFonts w:ascii="Calibri" w:hAnsi="Calibri" w:eastAsia="Calibri" w:cs="Calibri"/>
          <w:color w:val="000000" w:themeColor="text1" w:themeTint="FF" w:themeShade="FF"/>
          <w:sz w:val="28"/>
          <w:szCs w:val="28"/>
        </w:rPr>
        <w:t>. Washington D.C: National Academy Press.</w:t>
      </w:r>
    </w:p>
    <w:p w:rsidRPr="000E2E7E" w:rsidR="000E2E7E" w:rsidP="5257E1B0" w:rsidRDefault="57397D63" w14:paraId="127002A6" w14:textId="5796071A">
      <w:pPr>
        <w:spacing w:line="375" w:lineRule="auto"/>
      </w:pPr>
      <w:r w:rsidRPr="5257E1B0">
        <w:rPr>
          <w:rFonts w:ascii="Calibri" w:hAnsi="Calibri" w:eastAsia="Calibri" w:cs="Calibri"/>
          <w:color w:val="000000" w:themeColor="text1"/>
          <w:sz w:val="28"/>
          <w:szCs w:val="28"/>
        </w:rPr>
        <w:t xml:space="preserve"> </w:t>
      </w:r>
    </w:p>
    <w:p w:rsidRPr="000E2E7E" w:rsidR="000E2E7E" w:rsidP="5257E1B0" w:rsidRDefault="57397D63" w14:paraId="2A392ED3" w14:textId="6F6F7307">
      <w:pPr>
        <w:spacing w:line="375" w:lineRule="auto"/>
      </w:pPr>
      <w:r w:rsidRPr="5257E1B0">
        <w:rPr>
          <w:rFonts w:ascii="Calibri" w:hAnsi="Calibri" w:eastAsia="Calibri" w:cs="Calibri"/>
          <w:color w:val="000000" w:themeColor="text1"/>
          <w:sz w:val="28"/>
          <w:szCs w:val="28"/>
        </w:rPr>
        <w:t xml:space="preserve">British Educational Research Association (2024) </w:t>
      </w:r>
      <w:r w:rsidRPr="5257E1B0">
        <w:rPr>
          <w:rFonts w:ascii="Calibri" w:hAnsi="Calibri" w:eastAsia="Calibri" w:cs="Calibri"/>
          <w:i/>
          <w:iCs/>
          <w:color w:val="000000" w:themeColor="text1"/>
          <w:sz w:val="28"/>
          <w:szCs w:val="28"/>
        </w:rPr>
        <w:t xml:space="preserve">Ethical guidelines for educational research </w:t>
      </w:r>
      <w:r w:rsidRPr="5257E1B0">
        <w:rPr>
          <w:rFonts w:ascii="Calibri" w:hAnsi="Calibri" w:eastAsia="Calibri" w:cs="Calibri"/>
          <w:color w:val="000000" w:themeColor="text1"/>
          <w:sz w:val="28"/>
          <w:szCs w:val="28"/>
        </w:rPr>
        <w:t>(4th ed.). British Educational Research Association</w:t>
      </w:r>
      <w:r w:rsidRPr="5257E1B0">
        <w:rPr>
          <w:rFonts w:ascii="Aptos" w:hAnsi="Aptos" w:eastAsia="Aptos" w:cs="Aptos"/>
          <w:color w:val="000000" w:themeColor="text1"/>
          <w:sz w:val="36"/>
          <w:szCs w:val="36"/>
        </w:rPr>
        <w:t>.</w:t>
      </w:r>
    </w:p>
    <w:p w:rsidRPr="000E2E7E" w:rsidR="000E2E7E" w:rsidP="5257E1B0" w:rsidRDefault="57397D63" w14:paraId="77F70288" w14:textId="504C760C">
      <w:pPr>
        <w:spacing w:line="322" w:lineRule="auto"/>
      </w:pPr>
      <w:r w:rsidRPr="5257E1B0">
        <w:rPr>
          <w:rFonts w:ascii="Aptos" w:hAnsi="Aptos" w:eastAsia="Aptos" w:cs="Aptos"/>
          <w:color w:val="000000" w:themeColor="text1"/>
          <w:sz w:val="36"/>
          <w:szCs w:val="36"/>
        </w:rPr>
        <w:t xml:space="preserve"> </w:t>
      </w:r>
    </w:p>
    <w:p w:rsidRPr="000E2E7E" w:rsidR="000E2E7E" w:rsidP="5257E1B0" w:rsidRDefault="57397D63" w14:paraId="2E3E2097" w14:textId="4B74AB3D">
      <w:pPr>
        <w:spacing w:line="375" w:lineRule="auto"/>
      </w:pPr>
      <w:r w:rsidRPr="5257E1B0">
        <w:rPr>
          <w:rFonts w:ascii="Calibri" w:hAnsi="Calibri" w:eastAsia="Calibri" w:cs="Calibri"/>
          <w:color w:val="000000" w:themeColor="text1"/>
          <w:sz w:val="28"/>
          <w:szCs w:val="28"/>
        </w:rPr>
        <w:t xml:space="preserve">Bryman, A. (2016). </w:t>
      </w:r>
      <w:r w:rsidRPr="5257E1B0">
        <w:rPr>
          <w:rFonts w:ascii="Calibri" w:hAnsi="Calibri" w:eastAsia="Calibri" w:cs="Calibri"/>
          <w:i/>
          <w:iCs/>
          <w:color w:val="000000" w:themeColor="text1"/>
          <w:sz w:val="28"/>
          <w:szCs w:val="28"/>
        </w:rPr>
        <w:t>Social Research Methods</w:t>
      </w:r>
      <w:r w:rsidRPr="5257E1B0">
        <w:rPr>
          <w:rFonts w:ascii="Calibri" w:hAnsi="Calibri" w:eastAsia="Calibri" w:cs="Calibri"/>
          <w:color w:val="000000" w:themeColor="text1"/>
          <w:sz w:val="28"/>
          <w:szCs w:val="28"/>
        </w:rPr>
        <w:t>. 5th ed. Oxford: Oxford University Press.</w:t>
      </w:r>
    </w:p>
    <w:p w:rsidRPr="000E2E7E" w:rsidR="000E2E7E" w:rsidP="5257E1B0" w:rsidRDefault="57397D63" w14:paraId="16BF3F6B" w14:textId="65F3E58F">
      <w:pPr>
        <w:spacing w:line="322" w:lineRule="auto"/>
      </w:pPr>
      <w:r w:rsidRPr="5257E1B0">
        <w:rPr>
          <w:rFonts w:ascii="Aptos" w:hAnsi="Aptos" w:eastAsia="Aptos" w:cs="Aptos"/>
          <w:color w:val="000000" w:themeColor="text1"/>
          <w:sz w:val="36"/>
          <w:szCs w:val="36"/>
        </w:rPr>
        <w:t xml:space="preserve"> </w:t>
      </w:r>
    </w:p>
    <w:p w:rsidRPr="000E2E7E" w:rsidR="000E2E7E" w:rsidP="5257E1B0" w:rsidRDefault="57397D63" w14:paraId="020D1ED6" w14:textId="4E391D62" w14:noSpellErr="1">
      <w:pPr>
        <w:spacing w:line="375" w:lineRule="auto"/>
      </w:pPr>
      <w:r w:rsidRPr="5E860BD4" w:rsidR="57397D63">
        <w:rPr>
          <w:rFonts w:ascii="Calibri" w:hAnsi="Calibri" w:eastAsia="Calibri" w:cs="Calibri"/>
          <w:b w:val="0"/>
          <w:bCs w:val="0"/>
          <w:color w:val="000000" w:themeColor="text1" w:themeTint="FF" w:themeShade="FF"/>
          <w:sz w:val="28"/>
          <w:szCs w:val="28"/>
        </w:rPr>
        <w:t>C</w:t>
      </w:r>
      <w:r w:rsidRPr="5E860BD4" w:rsidR="57397D63">
        <w:rPr>
          <w:rFonts w:ascii="Calibri" w:hAnsi="Calibri" w:eastAsia="Calibri" w:cs="Calibri"/>
          <w:b w:val="0"/>
          <w:bCs w:val="0"/>
          <w:color w:val="000000" w:themeColor="text1" w:themeTint="FF" w:themeShade="FF"/>
          <w:sz w:val="28"/>
          <w:szCs w:val="28"/>
        </w:rPr>
        <w:t>ampion, M. A., Palmer, D. K., &amp; Campion, J. E. (1997)</w:t>
      </w:r>
      <w:r w:rsidRPr="5E860BD4" w:rsidR="57397D63">
        <w:rPr>
          <w:rFonts w:ascii="Calibri" w:hAnsi="Calibri" w:eastAsia="Calibri" w:cs="Calibri"/>
          <w:b w:val="1"/>
          <w:bCs w:val="1"/>
          <w:color w:val="000000" w:themeColor="text1" w:themeTint="FF" w:themeShade="FF"/>
          <w:sz w:val="28"/>
          <w:szCs w:val="28"/>
        </w:rPr>
        <w:t xml:space="preserve"> </w:t>
      </w:r>
      <w:r w:rsidRPr="5E860BD4" w:rsidR="57397D63">
        <w:rPr>
          <w:rFonts w:ascii="Calibri" w:hAnsi="Calibri" w:eastAsia="Calibri" w:cs="Calibri"/>
          <w:i w:val="1"/>
          <w:iCs w:val="1"/>
          <w:color w:val="000000" w:themeColor="text1" w:themeTint="FF" w:themeShade="FF"/>
          <w:sz w:val="28"/>
          <w:szCs w:val="28"/>
        </w:rPr>
        <w:t>A review of structure in the selection interview.</w:t>
      </w:r>
      <w:r w:rsidRPr="5E860BD4" w:rsidR="57397D63">
        <w:rPr>
          <w:rFonts w:ascii="Calibri" w:hAnsi="Calibri" w:eastAsia="Calibri" w:cs="Calibri"/>
          <w:color w:val="000000" w:themeColor="text1" w:themeTint="FF" w:themeShade="FF"/>
          <w:sz w:val="28"/>
          <w:szCs w:val="28"/>
        </w:rPr>
        <w:t xml:space="preserve"> </w:t>
      </w:r>
      <w:r w:rsidRPr="5E860BD4" w:rsidR="57397D63">
        <w:rPr>
          <w:rFonts w:ascii="Calibri" w:hAnsi="Calibri" w:eastAsia="Calibri" w:cs="Calibri"/>
          <w:i w:val="1"/>
          <w:iCs w:val="1"/>
          <w:color w:val="000000" w:themeColor="text1" w:themeTint="FF" w:themeShade="FF"/>
          <w:sz w:val="28"/>
          <w:szCs w:val="28"/>
        </w:rPr>
        <w:t>Personnel Psychology. pp 655-702.</w:t>
      </w:r>
    </w:p>
    <w:p w:rsidRPr="000E2E7E" w:rsidR="000E2E7E" w:rsidP="5257E1B0" w:rsidRDefault="57397D63" w14:paraId="2D07EE22" w14:textId="7DDDC3CD">
      <w:pPr>
        <w:spacing w:line="322" w:lineRule="auto"/>
      </w:pPr>
      <w:r w:rsidRPr="5257E1B0">
        <w:rPr>
          <w:rFonts w:ascii="Aptos" w:hAnsi="Aptos" w:eastAsia="Aptos" w:cs="Aptos"/>
          <w:color w:val="000000" w:themeColor="text1"/>
          <w:sz w:val="36"/>
          <w:szCs w:val="36"/>
        </w:rPr>
        <w:t xml:space="preserve"> </w:t>
      </w:r>
    </w:p>
    <w:p w:rsidRPr="000E2E7E" w:rsidR="000E2E7E" w:rsidP="5257E1B0" w:rsidRDefault="57397D63" w14:paraId="5A264482" w14:textId="146F886C">
      <w:pPr>
        <w:spacing w:line="375" w:lineRule="auto"/>
      </w:pPr>
      <w:r w:rsidRPr="5257E1B0">
        <w:rPr>
          <w:rFonts w:ascii="Calibri" w:hAnsi="Calibri" w:eastAsia="Calibri" w:cs="Calibri"/>
          <w:color w:val="000000" w:themeColor="text1"/>
          <w:sz w:val="28"/>
          <w:szCs w:val="28"/>
        </w:rPr>
        <w:t xml:space="preserve">Cohen, L., Manion, L and Morrison, K. (2018). </w:t>
      </w:r>
      <w:r w:rsidRPr="5257E1B0">
        <w:rPr>
          <w:rFonts w:ascii="Calibri" w:hAnsi="Calibri" w:eastAsia="Calibri" w:cs="Calibri"/>
          <w:i/>
          <w:iCs/>
          <w:color w:val="000000" w:themeColor="text1"/>
          <w:sz w:val="28"/>
          <w:szCs w:val="28"/>
        </w:rPr>
        <w:t>Research Methods in Education</w:t>
      </w:r>
      <w:r w:rsidRPr="5257E1B0">
        <w:rPr>
          <w:rFonts w:ascii="Calibri" w:hAnsi="Calibri" w:eastAsia="Calibri" w:cs="Calibri"/>
          <w:color w:val="000000" w:themeColor="text1"/>
          <w:sz w:val="28"/>
          <w:szCs w:val="28"/>
        </w:rPr>
        <w:t>. London: Sage Publications Ltd.</w:t>
      </w:r>
    </w:p>
    <w:p w:rsidRPr="000E2E7E" w:rsidR="000E2E7E" w:rsidP="5257E1B0" w:rsidRDefault="57397D63" w14:paraId="70349995" w14:textId="3D85F878">
      <w:pPr>
        <w:spacing w:line="322" w:lineRule="auto"/>
      </w:pPr>
      <w:r w:rsidRPr="5257E1B0">
        <w:rPr>
          <w:rFonts w:ascii="Aptos" w:hAnsi="Aptos" w:eastAsia="Aptos" w:cs="Aptos"/>
          <w:color w:val="000000" w:themeColor="text1"/>
          <w:sz w:val="36"/>
          <w:szCs w:val="36"/>
        </w:rPr>
        <w:t xml:space="preserve"> </w:t>
      </w:r>
    </w:p>
    <w:p w:rsidRPr="000E2E7E" w:rsidR="000E2E7E" w:rsidP="5257E1B0" w:rsidRDefault="57397D63" w14:paraId="0970E33A" w14:textId="72F0749E">
      <w:pPr>
        <w:spacing w:line="375" w:lineRule="auto"/>
      </w:pPr>
      <w:r w:rsidRPr="5257E1B0">
        <w:rPr>
          <w:rFonts w:ascii="Calibri" w:hAnsi="Calibri" w:eastAsia="Calibri" w:cs="Calibri"/>
          <w:color w:val="000000" w:themeColor="text1"/>
          <w:sz w:val="28"/>
          <w:szCs w:val="28"/>
        </w:rPr>
        <w:t xml:space="preserve">Couper, M.P. (2000) Web surveys: A review of issues and approaches. </w:t>
      </w:r>
      <w:r w:rsidRPr="5257E1B0">
        <w:rPr>
          <w:rFonts w:ascii="Calibri" w:hAnsi="Calibri" w:eastAsia="Calibri" w:cs="Calibri"/>
          <w:i/>
          <w:iCs/>
          <w:color w:val="000000" w:themeColor="text1"/>
          <w:sz w:val="28"/>
          <w:szCs w:val="28"/>
        </w:rPr>
        <w:t>Public Opinion Quarterly</w:t>
      </w:r>
      <w:r w:rsidRPr="5257E1B0">
        <w:rPr>
          <w:rFonts w:ascii="Calibri" w:hAnsi="Calibri" w:eastAsia="Calibri" w:cs="Calibri"/>
          <w:color w:val="000000" w:themeColor="text1"/>
          <w:sz w:val="28"/>
          <w:szCs w:val="28"/>
        </w:rPr>
        <w:t>, 64(4), pp.464-494.</w:t>
      </w:r>
    </w:p>
    <w:p w:rsidRPr="000E2E7E" w:rsidR="000E2E7E" w:rsidP="5257E1B0" w:rsidRDefault="57397D63" w14:paraId="12A0CA07" w14:textId="20C02850">
      <w:pPr>
        <w:spacing w:line="375" w:lineRule="auto"/>
      </w:pPr>
      <w:r w:rsidRPr="5257E1B0">
        <w:rPr>
          <w:rFonts w:ascii="Calibri" w:hAnsi="Calibri" w:eastAsia="Calibri" w:cs="Calibri"/>
          <w:color w:val="000000" w:themeColor="text1"/>
          <w:sz w:val="28"/>
          <w:szCs w:val="28"/>
        </w:rPr>
        <w:t xml:space="preserve"> </w:t>
      </w:r>
    </w:p>
    <w:p w:rsidRPr="000E2E7E" w:rsidR="000E2E7E" w:rsidP="5257E1B0" w:rsidRDefault="57397D63" w14:paraId="3D5DFE81" w14:textId="2AD21D34">
      <w:pPr>
        <w:spacing w:line="375" w:lineRule="auto"/>
      </w:pPr>
      <w:r w:rsidRPr="5257E1B0">
        <w:rPr>
          <w:rFonts w:ascii="Calibri" w:hAnsi="Calibri" w:eastAsia="Calibri" w:cs="Calibri"/>
          <w:color w:val="000000" w:themeColor="text1"/>
          <w:sz w:val="28"/>
          <w:szCs w:val="28"/>
        </w:rPr>
        <w:t xml:space="preserve">Department for Education (2024) </w:t>
      </w:r>
      <w:r w:rsidRPr="5257E1B0">
        <w:rPr>
          <w:rFonts w:ascii="Calibri" w:hAnsi="Calibri" w:eastAsia="Calibri" w:cs="Calibri"/>
          <w:i/>
          <w:iCs/>
          <w:color w:val="000000" w:themeColor="text1"/>
          <w:sz w:val="28"/>
          <w:szCs w:val="28"/>
        </w:rPr>
        <w:t>Schools, Pupils and Their Characteristics, Academic year 2023/24.</w:t>
      </w:r>
      <w:r w:rsidRPr="5257E1B0">
        <w:rPr>
          <w:rFonts w:ascii="Calibri" w:hAnsi="Calibri" w:eastAsia="Calibri" w:cs="Calibri"/>
          <w:color w:val="000000" w:themeColor="text1"/>
          <w:sz w:val="28"/>
          <w:szCs w:val="28"/>
        </w:rPr>
        <w:t xml:space="preserve"> Available at: </w:t>
      </w:r>
      <w:hyperlink w:anchor=":~:text=In%20January%202024%2C%202.1%20million,eligible%20for%20free%20school%20meals" r:id="rId7">
        <w:r w:rsidRPr="5257E1B0">
          <w:rPr>
            <w:rStyle w:val="Hyperlink"/>
            <w:rFonts w:ascii="Calibri" w:hAnsi="Calibri" w:eastAsia="Calibri" w:cs="Calibri"/>
            <w:color w:val="215E99" w:themeColor="text2" w:themeTint="BF"/>
            <w:sz w:val="28"/>
            <w:szCs w:val="28"/>
          </w:rPr>
          <w:t>https://explore-education-statistics.service.gov.uk/find-statistics/school-pupils-and-their-characteristics#:~:text=In%20January%202024%2C%202.1%20million,eligible%20for%20free%20school%20meals</w:t>
        </w:r>
      </w:hyperlink>
      <w:r w:rsidRPr="5257E1B0">
        <w:rPr>
          <w:rFonts w:ascii="Calibri" w:hAnsi="Calibri" w:eastAsia="Calibri" w:cs="Calibri"/>
          <w:color w:val="215E99" w:themeColor="text2" w:themeTint="BF"/>
          <w:sz w:val="28"/>
          <w:szCs w:val="28"/>
        </w:rPr>
        <w:t xml:space="preserve">. </w:t>
      </w:r>
      <w:r w:rsidRPr="5257E1B0">
        <w:rPr>
          <w:rFonts w:ascii="Calibri" w:hAnsi="Calibri" w:eastAsia="Calibri" w:cs="Calibri"/>
          <w:color w:val="000000" w:themeColor="text1"/>
          <w:sz w:val="28"/>
          <w:szCs w:val="28"/>
        </w:rPr>
        <w:t>(Accessed: 27</w:t>
      </w:r>
      <w:r w:rsidRPr="5257E1B0">
        <w:rPr>
          <w:rFonts w:ascii="Calibri" w:hAnsi="Calibri" w:eastAsia="Calibri" w:cs="Calibri"/>
          <w:color w:val="000000" w:themeColor="text1"/>
          <w:sz w:val="28"/>
          <w:szCs w:val="28"/>
          <w:vertAlign w:val="superscript"/>
        </w:rPr>
        <w:t>th</w:t>
      </w:r>
      <w:r w:rsidRPr="5257E1B0">
        <w:rPr>
          <w:rFonts w:ascii="Calibri" w:hAnsi="Calibri" w:eastAsia="Calibri" w:cs="Calibri"/>
          <w:color w:val="000000" w:themeColor="text1"/>
          <w:sz w:val="28"/>
          <w:szCs w:val="28"/>
        </w:rPr>
        <w:t xml:space="preserve"> March 2025).</w:t>
      </w:r>
    </w:p>
    <w:p w:rsidRPr="000E2E7E" w:rsidR="000E2E7E" w:rsidP="5257E1B0" w:rsidRDefault="57397D63" w14:paraId="21FBC66F" w14:textId="4DD619CE">
      <w:pPr>
        <w:spacing w:line="375" w:lineRule="auto"/>
      </w:pPr>
      <w:r w:rsidRPr="5257E1B0">
        <w:rPr>
          <w:rFonts w:ascii="Calibri" w:hAnsi="Calibri" w:eastAsia="Calibri" w:cs="Calibri"/>
          <w:color w:val="000000" w:themeColor="text1"/>
          <w:sz w:val="28"/>
          <w:szCs w:val="28"/>
        </w:rPr>
        <w:lastRenderedPageBreak/>
        <w:t xml:space="preserve"> </w:t>
      </w:r>
    </w:p>
    <w:p w:rsidRPr="000E2E7E" w:rsidR="000E2E7E" w:rsidP="5257E1B0" w:rsidRDefault="57397D63" w14:paraId="0F8C7431" w14:textId="2E310AD3">
      <w:pPr>
        <w:spacing w:line="375" w:lineRule="auto"/>
      </w:pPr>
      <w:r w:rsidRPr="5257E1B0">
        <w:rPr>
          <w:rFonts w:ascii="Calibri" w:hAnsi="Calibri" w:eastAsia="Calibri" w:cs="Calibri"/>
          <w:color w:val="000000" w:themeColor="text1"/>
          <w:sz w:val="28"/>
          <w:szCs w:val="28"/>
        </w:rPr>
        <w:t xml:space="preserve">Dweck, C. S. (2006) </w:t>
      </w:r>
      <w:r w:rsidRPr="5257E1B0">
        <w:rPr>
          <w:rFonts w:ascii="Calibri" w:hAnsi="Calibri" w:eastAsia="Calibri" w:cs="Calibri"/>
          <w:i/>
          <w:iCs/>
          <w:color w:val="000000" w:themeColor="text1"/>
          <w:sz w:val="28"/>
          <w:szCs w:val="28"/>
        </w:rPr>
        <w:t>Mindset: The New Psychology of Success</w:t>
      </w:r>
      <w:r w:rsidRPr="5257E1B0">
        <w:rPr>
          <w:rFonts w:ascii="Calibri" w:hAnsi="Calibri" w:eastAsia="Calibri" w:cs="Calibri"/>
          <w:color w:val="000000" w:themeColor="text1"/>
          <w:sz w:val="28"/>
          <w:szCs w:val="28"/>
        </w:rPr>
        <w:t>. New York: Random House.</w:t>
      </w:r>
    </w:p>
    <w:p w:rsidRPr="000E2E7E" w:rsidR="000E2E7E" w:rsidP="5257E1B0" w:rsidRDefault="57397D63" w14:paraId="0A61F50E" w14:textId="1FF4C50E">
      <w:pPr>
        <w:spacing w:line="322" w:lineRule="auto"/>
      </w:pPr>
      <w:r w:rsidRPr="5257E1B0">
        <w:rPr>
          <w:rFonts w:ascii="Aptos" w:hAnsi="Aptos" w:eastAsia="Aptos" w:cs="Aptos"/>
          <w:color w:val="000000" w:themeColor="text1"/>
          <w:sz w:val="36"/>
          <w:szCs w:val="36"/>
        </w:rPr>
        <w:t xml:space="preserve"> </w:t>
      </w:r>
    </w:p>
    <w:p w:rsidRPr="000E2E7E" w:rsidR="000E2E7E" w:rsidP="5257E1B0" w:rsidRDefault="57397D63" w14:paraId="5F31FE35" w14:textId="127F2999">
      <w:pPr>
        <w:spacing w:line="322" w:lineRule="auto"/>
      </w:pPr>
      <w:r w:rsidRPr="5257E1B0">
        <w:rPr>
          <w:rFonts w:ascii="Calibri" w:hAnsi="Calibri" w:eastAsia="Calibri" w:cs="Calibri"/>
          <w:color w:val="000000" w:themeColor="text1"/>
          <w:sz w:val="28"/>
          <w:szCs w:val="28"/>
        </w:rPr>
        <w:t xml:space="preserve">Estyn (2024) </w:t>
      </w:r>
      <w:r w:rsidRPr="5257E1B0">
        <w:rPr>
          <w:rFonts w:ascii="Calibri" w:hAnsi="Calibri" w:eastAsia="Calibri" w:cs="Calibri"/>
          <w:i/>
          <w:iCs/>
          <w:color w:val="000000" w:themeColor="text1"/>
          <w:sz w:val="28"/>
          <w:szCs w:val="28"/>
        </w:rPr>
        <w:t xml:space="preserve">Report Summary for Parents and Carers on </w:t>
      </w:r>
      <w:proofErr w:type="spellStart"/>
      <w:r w:rsidRPr="5257E1B0">
        <w:rPr>
          <w:rFonts w:ascii="Calibri" w:hAnsi="Calibri" w:eastAsia="Calibri" w:cs="Calibri"/>
          <w:i/>
          <w:iCs/>
          <w:color w:val="000000" w:themeColor="text1"/>
          <w:sz w:val="28"/>
          <w:szCs w:val="28"/>
        </w:rPr>
        <w:t>Blaengarw</w:t>
      </w:r>
      <w:proofErr w:type="spellEnd"/>
      <w:r w:rsidRPr="5257E1B0">
        <w:rPr>
          <w:rFonts w:ascii="Calibri" w:hAnsi="Calibri" w:eastAsia="Calibri" w:cs="Calibri"/>
          <w:i/>
          <w:iCs/>
          <w:color w:val="000000" w:themeColor="text1"/>
          <w:sz w:val="28"/>
          <w:szCs w:val="28"/>
        </w:rPr>
        <w:t xml:space="preserve"> Primary </w:t>
      </w:r>
      <w:proofErr w:type="spellStart"/>
      <w:r w:rsidRPr="5257E1B0">
        <w:rPr>
          <w:rFonts w:ascii="Calibri" w:hAnsi="Calibri" w:eastAsia="Calibri" w:cs="Calibri"/>
          <w:i/>
          <w:iCs/>
          <w:color w:val="000000" w:themeColor="text1"/>
          <w:sz w:val="28"/>
          <w:szCs w:val="28"/>
        </w:rPr>
        <w:t>School.</w:t>
      </w:r>
      <w:r w:rsidRPr="5257E1B0">
        <w:rPr>
          <w:rFonts w:ascii="Calibri" w:hAnsi="Calibri" w:eastAsia="Calibri" w:cs="Calibri"/>
          <w:color w:val="000000" w:themeColor="text1"/>
          <w:sz w:val="28"/>
          <w:szCs w:val="28"/>
        </w:rPr>
        <w:t>Available</w:t>
      </w:r>
      <w:proofErr w:type="spellEnd"/>
      <w:r w:rsidRPr="5257E1B0">
        <w:rPr>
          <w:rFonts w:ascii="Calibri" w:hAnsi="Calibri" w:eastAsia="Calibri" w:cs="Calibri"/>
          <w:color w:val="000000" w:themeColor="text1"/>
          <w:sz w:val="28"/>
          <w:szCs w:val="28"/>
        </w:rPr>
        <w:t xml:space="preserve"> at</w:t>
      </w:r>
      <w:r w:rsidRPr="5257E1B0">
        <w:rPr>
          <w:rFonts w:ascii="Calibri" w:hAnsi="Calibri" w:eastAsia="Calibri" w:cs="Calibri"/>
          <w:color w:val="215E99" w:themeColor="text2" w:themeTint="BF"/>
          <w:sz w:val="28"/>
          <w:szCs w:val="28"/>
        </w:rPr>
        <w:t xml:space="preserve">: </w:t>
      </w:r>
      <w:hyperlink r:id="rId8">
        <w:r w:rsidRPr="5257E1B0">
          <w:rPr>
            <w:rStyle w:val="Hyperlink"/>
            <w:rFonts w:ascii="Calibri" w:hAnsi="Calibri" w:eastAsia="Calibri" w:cs="Calibri"/>
            <w:color w:val="215E99" w:themeColor="text2" w:themeTint="BF"/>
            <w:sz w:val="28"/>
            <w:szCs w:val="28"/>
          </w:rPr>
          <w:t>https://estyn.gov.wales/system/files/2024-03/Parents%20and%20carers%20-%20Inspection%20Report%20-%20Blaengarw%20Primary%20School%202024.pdf</w:t>
        </w:r>
      </w:hyperlink>
      <w:r w:rsidRPr="5257E1B0">
        <w:rPr>
          <w:rFonts w:ascii="Calibri" w:hAnsi="Calibri" w:eastAsia="Calibri" w:cs="Calibri"/>
          <w:color w:val="000000" w:themeColor="text1"/>
          <w:sz w:val="28"/>
          <w:szCs w:val="28"/>
        </w:rPr>
        <w:t>(Accessed: 27</w:t>
      </w:r>
      <w:r w:rsidRPr="5257E1B0">
        <w:rPr>
          <w:rFonts w:ascii="Calibri" w:hAnsi="Calibri" w:eastAsia="Calibri" w:cs="Calibri"/>
          <w:color w:val="000000" w:themeColor="text1"/>
          <w:sz w:val="28"/>
          <w:szCs w:val="28"/>
          <w:vertAlign w:val="superscript"/>
        </w:rPr>
        <w:t>th</w:t>
      </w:r>
      <w:r w:rsidRPr="5257E1B0">
        <w:rPr>
          <w:rFonts w:ascii="Calibri" w:hAnsi="Calibri" w:eastAsia="Calibri" w:cs="Calibri"/>
          <w:color w:val="000000" w:themeColor="text1"/>
          <w:sz w:val="28"/>
          <w:szCs w:val="28"/>
        </w:rPr>
        <w:t xml:space="preserve"> march 2025).</w:t>
      </w:r>
    </w:p>
    <w:p w:rsidRPr="000E2E7E" w:rsidR="000E2E7E" w:rsidP="5257E1B0" w:rsidRDefault="57397D63" w14:paraId="6C194F5F" w14:textId="6C45A703">
      <w:pPr>
        <w:spacing w:line="322" w:lineRule="auto"/>
      </w:pPr>
      <w:r w:rsidRPr="5257E1B0">
        <w:rPr>
          <w:rFonts w:ascii="Aptos" w:hAnsi="Aptos" w:eastAsia="Aptos" w:cs="Aptos"/>
          <w:color w:val="000000" w:themeColor="text1"/>
          <w:sz w:val="36"/>
          <w:szCs w:val="36"/>
        </w:rPr>
        <w:t xml:space="preserve"> </w:t>
      </w:r>
    </w:p>
    <w:p w:rsidRPr="000E2E7E" w:rsidR="000E2E7E" w:rsidP="5257E1B0" w:rsidRDefault="57397D63" w14:paraId="1C575631" w14:textId="7E6E781C">
      <w:pPr>
        <w:spacing w:line="375" w:lineRule="auto"/>
      </w:pPr>
      <w:proofErr w:type="spellStart"/>
      <w:r w:rsidRPr="5257E1B0">
        <w:rPr>
          <w:rFonts w:ascii="Calibri" w:hAnsi="Calibri" w:eastAsia="Calibri" w:cs="Calibri"/>
          <w:color w:val="000000" w:themeColor="text1"/>
          <w:sz w:val="28"/>
          <w:szCs w:val="28"/>
        </w:rPr>
        <w:t>Falchikov</w:t>
      </w:r>
      <w:proofErr w:type="spellEnd"/>
      <w:r w:rsidRPr="5257E1B0">
        <w:rPr>
          <w:rFonts w:ascii="Calibri" w:hAnsi="Calibri" w:eastAsia="Calibri" w:cs="Calibri"/>
          <w:color w:val="000000" w:themeColor="text1"/>
          <w:sz w:val="28"/>
          <w:szCs w:val="28"/>
        </w:rPr>
        <w:t xml:space="preserve">, N., 2013. </w:t>
      </w:r>
      <w:r w:rsidRPr="5257E1B0">
        <w:rPr>
          <w:rFonts w:ascii="Calibri" w:hAnsi="Calibri" w:eastAsia="Calibri" w:cs="Calibri"/>
          <w:i/>
          <w:iCs/>
          <w:color w:val="000000" w:themeColor="text1"/>
          <w:sz w:val="28"/>
          <w:szCs w:val="28"/>
        </w:rPr>
        <w:t xml:space="preserve">Improving assessment through student involvement. </w:t>
      </w:r>
      <w:r w:rsidRPr="5257E1B0">
        <w:rPr>
          <w:rFonts w:ascii="Calibri" w:hAnsi="Calibri" w:eastAsia="Calibri" w:cs="Calibri"/>
          <w:color w:val="000000" w:themeColor="text1"/>
          <w:sz w:val="28"/>
          <w:szCs w:val="28"/>
        </w:rPr>
        <w:t>Routledge.</w:t>
      </w:r>
    </w:p>
    <w:p w:rsidRPr="000E2E7E" w:rsidR="000E2E7E" w:rsidP="5257E1B0" w:rsidRDefault="57397D63" w14:paraId="31520A66" w14:textId="5A42843E">
      <w:pPr>
        <w:spacing w:line="375" w:lineRule="auto"/>
      </w:pPr>
      <w:r w:rsidRPr="5257E1B0">
        <w:rPr>
          <w:rFonts w:ascii="Calibri" w:hAnsi="Calibri" w:eastAsia="Calibri" w:cs="Calibri"/>
          <w:color w:val="000000" w:themeColor="text1"/>
          <w:sz w:val="28"/>
          <w:szCs w:val="28"/>
        </w:rPr>
        <w:t xml:space="preserve"> </w:t>
      </w:r>
    </w:p>
    <w:p w:rsidRPr="000E2E7E" w:rsidR="000E2E7E" w:rsidP="5257E1B0" w:rsidRDefault="57397D63" w14:paraId="07418513" w14:textId="5BE132E0">
      <w:pPr>
        <w:spacing w:line="375" w:lineRule="auto"/>
      </w:pPr>
      <w:r w:rsidRPr="5257E1B0">
        <w:rPr>
          <w:rFonts w:ascii="Calibri" w:hAnsi="Calibri" w:eastAsia="Calibri" w:cs="Calibri"/>
          <w:color w:val="000000" w:themeColor="text1"/>
          <w:sz w:val="28"/>
          <w:szCs w:val="28"/>
        </w:rPr>
        <w:t xml:space="preserve">Hattie, J. (2009) </w:t>
      </w:r>
      <w:r w:rsidRPr="5257E1B0">
        <w:rPr>
          <w:rFonts w:ascii="Calibri" w:hAnsi="Calibri" w:eastAsia="Calibri" w:cs="Calibri"/>
          <w:i/>
          <w:iCs/>
          <w:color w:val="000000" w:themeColor="text1"/>
          <w:sz w:val="28"/>
          <w:szCs w:val="28"/>
        </w:rPr>
        <w:t>Visible Learning: A Synthesis of Over 800 Meta-Analyses Relating to Achievement</w:t>
      </w:r>
      <w:r w:rsidRPr="5257E1B0">
        <w:rPr>
          <w:rFonts w:ascii="Calibri" w:hAnsi="Calibri" w:eastAsia="Calibri" w:cs="Calibri"/>
          <w:color w:val="000000" w:themeColor="text1"/>
          <w:sz w:val="28"/>
          <w:szCs w:val="28"/>
        </w:rPr>
        <w:t>. London: Routledge.</w:t>
      </w:r>
    </w:p>
    <w:p w:rsidRPr="000E2E7E" w:rsidR="000E2E7E" w:rsidP="5257E1B0" w:rsidRDefault="57397D63" w14:paraId="23EDEEE4" w14:textId="728F9B81">
      <w:r w:rsidRPr="5257E1B0">
        <w:rPr>
          <w:rFonts w:ascii="Calibri" w:hAnsi="Calibri" w:eastAsia="Calibri" w:cs="Calibri"/>
          <w:color w:val="000000" w:themeColor="text1"/>
          <w:sz w:val="28"/>
          <w:szCs w:val="28"/>
        </w:rPr>
        <w:t xml:space="preserve"> </w:t>
      </w:r>
    </w:p>
    <w:p w:rsidRPr="000E2E7E" w:rsidR="000E2E7E" w:rsidP="5257E1B0" w:rsidRDefault="57397D63" w14:paraId="5C1F5BB5" w14:textId="7929143C">
      <w:r w:rsidRPr="5257E1B0">
        <w:rPr>
          <w:rFonts w:ascii="Calibri" w:hAnsi="Calibri" w:eastAsia="Calibri" w:cs="Calibri"/>
          <w:color w:val="000000" w:themeColor="text1"/>
          <w:sz w:val="28"/>
          <w:szCs w:val="28"/>
        </w:rPr>
        <w:t xml:space="preserve">Johnson, D. W. and Johnson, F. P. (1994) </w:t>
      </w:r>
      <w:r w:rsidRPr="5257E1B0">
        <w:rPr>
          <w:rFonts w:ascii="Calibri" w:hAnsi="Calibri" w:eastAsia="Calibri" w:cs="Calibri"/>
          <w:i/>
          <w:iCs/>
          <w:color w:val="000000" w:themeColor="text1"/>
          <w:sz w:val="28"/>
          <w:szCs w:val="28"/>
        </w:rPr>
        <w:t>Joining Together: Group Theory and Group Skills</w:t>
      </w:r>
      <w:r w:rsidRPr="5257E1B0">
        <w:rPr>
          <w:rFonts w:ascii="Calibri" w:hAnsi="Calibri" w:eastAsia="Calibri" w:cs="Calibri"/>
          <w:color w:val="000000" w:themeColor="text1"/>
          <w:sz w:val="28"/>
          <w:szCs w:val="28"/>
        </w:rPr>
        <w:t xml:space="preserve">. 6th ed. Boston: </w:t>
      </w:r>
      <w:proofErr w:type="spellStart"/>
      <w:r w:rsidRPr="5257E1B0">
        <w:rPr>
          <w:rFonts w:ascii="Calibri" w:hAnsi="Calibri" w:eastAsia="Calibri" w:cs="Calibri"/>
          <w:color w:val="000000" w:themeColor="text1"/>
          <w:sz w:val="28"/>
          <w:szCs w:val="28"/>
        </w:rPr>
        <w:t>Allyn</w:t>
      </w:r>
      <w:proofErr w:type="spellEnd"/>
      <w:r w:rsidRPr="5257E1B0">
        <w:rPr>
          <w:rFonts w:ascii="Calibri" w:hAnsi="Calibri" w:eastAsia="Calibri" w:cs="Calibri"/>
          <w:color w:val="000000" w:themeColor="text1"/>
          <w:sz w:val="28"/>
          <w:szCs w:val="28"/>
        </w:rPr>
        <w:t xml:space="preserve"> and Bacon.</w:t>
      </w:r>
    </w:p>
    <w:p w:rsidRPr="000E2E7E" w:rsidR="000E2E7E" w:rsidP="5257E1B0" w:rsidRDefault="57397D63" w14:paraId="728F9149" w14:textId="4F8628E3">
      <w:r w:rsidRPr="5257E1B0">
        <w:rPr>
          <w:rFonts w:ascii="Calibri" w:hAnsi="Calibri" w:eastAsia="Calibri" w:cs="Calibri"/>
          <w:color w:val="000000" w:themeColor="text1"/>
          <w:sz w:val="28"/>
          <w:szCs w:val="28"/>
        </w:rPr>
        <w:t xml:space="preserve"> </w:t>
      </w:r>
    </w:p>
    <w:p w:rsidRPr="000E2E7E" w:rsidR="000E2E7E" w:rsidP="5257E1B0" w:rsidRDefault="57397D63" w14:paraId="6C40DA37" w14:textId="297EDE99">
      <w:r w:rsidRPr="5257E1B0">
        <w:rPr>
          <w:rFonts w:ascii="Calibri" w:hAnsi="Calibri" w:eastAsia="Calibri" w:cs="Calibri"/>
          <w:color w:val="000000" w:themeColor="text1"/>
          <w:sz w:val="28"/>
          <w:szCs w:val="28"/>
        </w:rPr>
        <w:t xml:space="preserve">NFER (2013) </w:t>
      </w:r>
      <w:r w:rsidRPr="5257E1B0">
        <w:rPr>
          <w:rFonts w:ascii="Calibri" w:hAnsi="Calibri" w:eastAsia="Calibri" w:cs="Calibri"/>
          <w:i/>
          <w:iCs/>
          <w:color w:val="000000" w:themeColor="text1"/>
          <w:sz w:val="28"/>
          <w:szCs w:val="28"/>
        </w:rPr>
        <w:t>Run qualitative and quantitative research.</w:t>
      </w:r>
      <w:r w:rsidRPr="5257E1B0">
        <w:rPr>
          <w:rFonts w:ascii="Calibri" w:hAnsi="Calibri" w:eastAsia="Calibri" w:cs="Calibri"/>
          <w:color w:val="000000" w:themeColor="text1"/>
          <w:sz w:val="28"/>
          <w:szCs w:val="28"/>
        </w:rPr>
        <w:t xml:space="preserve"> Available at: </w:t>
      </w:r>
      <w:hyperlink r:id="rId9">
        <w:r w:rsidRPr="5257E1B0">
          <w:rPr>
            <w:rStyle w:val="Hyperlink"/>
            <w:rFonts w:ascii="Calibri" w:hAnsi="Calibri" w:eastAsia="Calibri" w:cs="Calibri"/>
            <w:color w:val="215F9A"/>
            <w:sz w:val="28"/>
            <w:szCs w:val="28"/>
          </w:rPr>
          <w:t>https://www.nfer.ac.uk/publications/how-to-run-qualitative-and-quantitative-research-from-definitions-through-to-analysis/</w:t>
        </w:r>
      </w:hyperlink>
      <w:r w:rsidRPr="5257E1B0">
        <w:rPr>
          <w:rFonts w:ascii="Calibri" w:hAnsi="Calibri" w:eastAsia="Calibri" w:cs="Calibri"/>
          <w:color w:val="215F9A"/>
          <w:sz w:val="28"/>
          <w:szCs w:val="28"/>
        </w:rPr>
        <w:t xml:space="preserve"> </w:t>
      </w:r>
      <w:r w:rsidRPr="5257E1B0">
        <w:rPr>
          <w:rFonts w:ascii="Calibri" w:hAnsi="Calibri" w:eastAsia="Calibri" w:cs="Calibri"/>
          <w:color w:val="000000" w:themeColor="text1"/>
          <w:sz w:val="28"/>
          <w:szCs w:val="28"/>
        </w:rPr>
        <w:t>(Accessed: 1</w:t>
      </w:r>
      <w:r w:rsidRPr="5257E1B0">
        <w:rPr>
          <w:rFonts w:ascii="Calibri" w:hAnsi="Calibri" w:eastAsia="Calibri" w:cs="Calibri"/>
          <w:color w:val="000000" w:themeColor="text1"/>
          <w:sz w:val="28"/>
          <w:szCs w:val="28"/>
          <w:vertAlign w:val="superscript"/>
        </w:rPr>
        <w:t>st</w:t>
      </w:r>
      <w:r w:rsidRPr="5257E1B0">
        <w:rPr>
          <w:rFonts w:ascii="Calibri" w:hAnsi="Calibri" w:eastAsia="Calibri" w:cs="Calibri"/>
          <w:color w:val="000000" w:themeColor="text1"/>
          <w:sz w:val="28"/>
          <w:szCs w:val="28"/>
        </w:rPr>
        <w:t xml:space="preserve"> April 2025).</w:t>
      </w:r>
    </w:p>
    <w:p w:rsidRPr="000E2E7E" w:rsidR="000E2E7E" w:rsidP="5257E1B0" w:rsidRDefault="57397D63" w14:paraId="48125B2D" w14:textId="1A38B965">
      <w:pPr>
        <w:spacing w:line="375" w:lineRule="auto"/>
      </w:pPr>
      <w:r w:rsidRPr="5257E1B0">
        <w:rPr>
          <w:rFonts w:ascii="Calibri" w:hAnsi="Calibri" w:eastAsia="Calibri" w:cs="Calibri"/>
          <w:b/>
          <w:bCs/>
          <w:color w:val="000000" w:themeColor="text1"/>
          <w:sz w:val="28"/>
          <w:szCs w:val="28"/>
        </w:rPr>
        <w:t xml:space="preserve"> </w:t>
      </w:r>
    </w:p>
    <w:p w:rsidRPr="000E2E7E" w:rsidR="000E2E7E" w:rsidP="5257E1B0" w:rsidRDefault="57397D63" w14:paraId="14E0CE5E" w14:textId="0461D67D">
      <w:pPr>
        <w:spacing w:line="375" w:lineRule="auto"/>
      </w:pPr>
      <w:r w:rsidRPr="5257E1B0">
        <w:rPr>
          <w:rFonts w:ascii="Calibri" w:hAnsi="Calibri" w:eastAsia="Calibri" w:cs="Calibri"/>
          <w:color w:val="1F1F1F"/>
          <w:sz w:val="28"/>
          <w:szCs w:val="28"/>
        </w:rPr>
        <w:t xml:space="preserve">Nicol, D.J and Macfarlane-Dick D. (2006) </w:t>
      </w:r>
      <w:r w:rsidRPr="5257E1B0">
        <w:rPr>
          <w:rFonts w:ascii="Calibri" w:hAnsi="Calibri" w:eastAsia="Calibri" w:cs="Calibri"/>
          <w:i/>
          <w:iCs/>
          <w:color w:val="1F1F1F"/>
          <w:sz w:val="28"/>
          <w:szCs w:val="28"/>
        </w:rPr>
        <w:t xml:space="preserve">Formative assessment and self-regulated learning: A model and seven principles of good feedback practice. </w:t>
      </w:r>
      <w:r w:rsidRPr="5257E1B0">
        <w:rPr>
          <w:rFonts w:ascii="Calibri" w:hAnsi="Calibri" w:eastAsia="Calibri" w:cs="Calibri"/>
          <w:color w:val="1F1F1F"/>
          <w:sz w:val="28"/>
          <w:szCs w:val="28"/>
        </w:rPr>
        <w:t xml:space="preserve">Available at: </w:t>
      </w:r>
      <w:hyperlink r:id="rId10">
        <w:r w:rsidRPr="5257E1B0">
          <w:rPr>
            <w:rStyle w:val="Hyperlink"/>
            <w:rFonts w:ascii="Calibri" w:hAnsi="Calibri" w:eastAsia="Calibri" w:cs="Calibri"/>
            <w:color w:val="215E99" w:themeColor="text2" w:themeTint="BF"/>
            <w:sz w:val="28"/>
            <w:szCs w:val="28"/>
          </w:rPr>
          <w:t>https://www.reap.ac.uk/reap/public/papers/DN_SHE_Final.pdf</w:t>
        </w:r>
      </w:hyperlink>
      <w:r w:rsidRPr="5257E1B0">
        <w:rPr>
          <w:rFonts w:ascii="Calibri" w:hAnsi="Calibri" w:eastAsia="Calibri" w:cs="Calibri"/>
          <w:color w:val="1F1F1F"/>
          <w:sz w:val="28"/>
          <w:szCs w:val="28"/>
        </w:rPr>
        <w:t xml:space="preserve"> (Accessed: 29th March 2025). pp 199-218</w:t>
      </w:r>
    </w:p>
    <w:p w:rsidRPr="000E2E7E" w:rsidR="000E2E7E" w:rsidP="5257E1B0" w:rsidRDefault="57397D63" w14:paraId="221FAA9D" w14:textId="4C22A44B">
      <w:pPr>
        <w:spacing w:line="322" w:lineRule="auto"/>
      </w:pPr>
      <w:r w:rsidRPr="5257E1B0">
        <w:rPr>
          <w:rFonts w:ascii="Aptos" w:hAnsi="Aptos" w:eastAsia="Aptos" w:cs="Aptos"/>
          <w:color w:val="000000" w:themeColor="text1"/>
          <w:sz w:val="36"/>
          <w:szCs w:val="36"/>
        </w:rPr>
        <w:lastRenderedPageBreak/>
        <w:t xml:space="preserve"> </w:t>
      </w:r>
    </w:p>
    <w:p w:rsidRPr="000E2E7E" w:rsidR="000E2E7E" w:rsidP="5257E1B0" w:rsidRDefault="57397D63" w14:paraId="2F205EB7" w14:textId="3453701F">
      <w:pPr>
        <w:spacing w:line="375" w:lineRule="auto"/>
      </w:pPr>
      <w:r w:rsidRPr="5257E1B0">
        <w:rPr>
          <w:rFonts w:ascii="Calibri" w:hAnsi="Calibri" w:eastAsia="Calibri" w:cs="Calibri"/>
          <w:color w:val="000000" w:themeColor="text1"/>
          <w:sz w:val="28"/>
          <w:szCs w:val="28"/>
        </w:rPr>
        <w:t xml:space="preserve">Ranganathan, P. and </w:t>
      </w:r>
      <w:proofErr w:type="spellStart"/>
      <w:r w:rsidRPr="5257E1B0">
        <w:rPr>
          <w:rFonts w:ascii="Calibri" w:hAnsi="Calibri" w:eastAsia="Calibri" w:cs="Calibri"/>
          <w:color w:val="000000" w:themeColor="text1"/>
          <w:sz w:val="28"/>
          <w:szCs w:val="28"/>
        </w:rPr>
        <w:t>Caduff</w:t>
      </w:r>
      <w:proofErr w:type="spellEnd"/>
      <w:r w:rsidRPr="5257E1B0">
        <w:rPr>
          <w:rFonts w:ascii="Calibri" w:hAnsi="Calibri" w:eastAsia="Calibri" w:cs="Calibri"/>
          <w:color w:val="000000" w:themeColor="text1"/>
          <w:sz w:val="28"/>
          <w:szCs w:val="28"/>
        </w:rPr>
        <w:t xml:space="preserve">, C. (2023) </w:t>
      </w:r>
      <w:r w:rsidRPr="5257E1B0">
        <w:rPr>
          <w:rFonts w:ascii="Calibri" w:hAnsi="Calibri" w:eastAsia="Calibri" w:cs="Calibri"/>
          <w:i/>
          <w:iCs/>
          <w:color w:val="000000" w:themeColor="text1"/>
          <w:sz w:val="28"/>
          <w:szCs w:val="28"/>
        </w:rPr>
        <w:t xml:space="preserve">Designing and Validating a Research </w:t>
      </w:r>
      <w:proofErr w:type="spellStart"/>
      <w:r w:rsidRPr="5257E1B0">
        <w:rPr>
          <w:rFonts w:ascii="Calibri" w:hAnsi="Calibri" w:eastAsia="Calibri" w:cs="Calibri"/>
          <w:i/>
          <w:iCs/>
          <w:color w:val="000000" w:themeColor="text1"/>
          <w:sz w:val="28"/>
          <w:szCs w:val="28"/>
        </w:rPr>
        <w:t>Questionnaire.</w:t>
      </w:r>
      <w:r w:rsidRPr="5257E1B0">
        <w:rPr>
          <w:rFonts w:ascii="Calibri" w:hAnsi="Calibri" w:eastAsia="Calibri" w:cs="Calibri"/>
          <w:color w:val="000000" w:themeColor="text1"/>
          <w:sz w:val="28"/>
          <w:szCs w:val="28"/>
        </w:rPr>
        <w:t>Available</w:t>
      </w:r>
      <w:proofErr w:type="spellEnd"/>
      <w:r w:rsidRPr="5257E1B0">
        <w:rPr>
          <w:rFonts w:ascii="Calibri" w:hAnsi="Calibri" w:eastAsia="Calibri" w:cs="Calibri"/>
          <w:color w:val="000000" w:themeColor="text1"/>
          <w:sz w:val="28"/>
          <w:szCs w:val="28"/>
        </w:rPr>
        <w:t xml:space="preserve"> at: </w:t>
      </w:r>
      <w:hyperlink r:id="rId11">
        <w:r w:rsidRPr="5257E1B0">
          <w:rPr>
            <w:rStyle w:val="Hyperlink"/>
            <w:rFonts w:ascii="Calibri" w:hAnsi="Calibri" w:eastAsia="Calibri" w:cs="Calibri"/>
            <w:color w:val="215E99" w:themeColor="text2" w:themeTint="BF"/>
            <w:sz w:val="28"/>
            <w:szCs w:val="28"/>
          </w:rPr>
          <w:t>https://pmc.ncbi.nlm.nih.gov/articles/PMC10405529/</w:t>
        </w:r>
      </w:hyperlink>
      <w:r w:rsidRPr="5257E1B0">
        <w:rPr>
          <w:rFonts w:ascii="Calibri" w:hAnsi="Calibri" w:eastAsia="Calibri" w:cs="Calibri"/>
          <w:color w:val="215E99" w:themeColor="text2" w:themeTint="BF"/>
          <w:sz w:val="28"/>
          <w:szCs w:val="28"/>
        </w:rPr>
        <w:t xml:space="preserve">  </w:t>
      </w:r>
      <w:r w:rsidRPr="5257E1B0">
        <w:rPr>
          <w:rFonts w:ascii="Calibri" w:hAnsi="Calibri" w:eastAsia="Calibri" w:cs="Calibri"/>
          <w:color w:val="000000" w:themeColor="text1"/>
          <w:sz w:val="28"/>
          <w:szCs w:val="28"/>
        </w:rPr>
        <w:t>(Accessed: 27</w:t>
      </w:r>
      <w:r w:rsidRPr="5257E1B0">
        <w:rPr>
          <w:rFonts w:ascii="Calibri" w:hAnsi="Calibri" w:eastAsia="Calibri" w:cs="Calibri"/>
          <w:color w:val="000000" w:themeColor="text1"/>
          <w:sz w:val="28"/>
          <w:szCs w:val="28"/>
          <w:vertAlign w:val="superscript"/>
        </w:rPr>
        <w:t>th</w:t>
      </w:r>
      <w:r w:rsidRPr="5257E1B0">
        <w:rPr>
          <w:rFonts w:ascii="Calibri" w:hAnsi="Calibri" w:eastAsia="Calibri" w:cs="Calibri"/>
          <w:color w:val="000000" w:themeColor="text1"/>
          <w:sz w:val="28"/>
          <w:szCs w:val="28"/>
        </w:rPr>
        <w:t xml:space="preserve"> March 2025).</w:t>
      </w:r>
    </w:p>
    <w:p w:rsidRPr="000E2E7E" w:rsidR="000E2E7E" w:rsidP="5257E1B0" w:rsidRDefault="57397D63" w14:paraId="2899884A" w14:textId="7DEA9178">
      <w:pPr>
        <w:spacing w:line="375" w:lineRule="auto"/>
      </w:pPr>
      <w:r w:rsidRPr="5257E1B0">
        <w:rPr>
          <w:rFonts w:ascii="Calibri" w:hAnsi="Calibri" w:eastAsia="Calibri" w:cs="Calibri"/>
          <w:color w:val="000000" w:themeColor="text1"/>
          <w:sz w:val="28"/>
          <w:szCs w:val="28"/>
        </w:rPr>
        <w:t xml:space="preserve">Sadler, D. R. (1989) </w:t>
      </w:r>
      <w:r w:rsidRPr="5257E1B0">
        <w:rPr>
          <w:rFonts w:ascii="Calibri" w:hAnsi="Calibri" w:eastAsia="Calibri" w:cs="Calibri"/>
          <w:i/>
          <w:iCs/>
          <w:color w:val="000000" w:themeColor="text1"/>
          <w:sz w:val="28"/>
          <w:szCs w:val="28"/>
        </w:rPr>
        <w:t>Formative assessment and the design of instructional systems</w:t>
      </w:r>
      <w:r w:rsidRPr="5257E1B0">
        <w:rPr>
          <w:rFonts w:ascii="Aptos" w:hAnsi="Aptos" w:eastAsia="Aptos" w:cs="Aptos"/>
          <w:i/>
          <w:iCs/>
          <w:color w:val="000000" w:themeColor="text1"/>
          <w:sz w:val="36"/>
          <w:szCs w:val="36"/>
        </w:rPr>
        <w:t xml:space="preserve">. </w:t>
      </w:r>
      <w:r w:rsidRPr="5257E1B0">
        <w:rPr>
          <w:rFonts w:ascii="Calibri" w:hAnsi="Calibri" w:eastAsia="Calibri" w:cs="Calibri"/>
          <w:color w:val="000000" w:themeColor="text1"/>
          <w:sz w:val="28"/>
          <w:szCs w:val="28"/>
        </w:rPr>
        <w:t>Instructional</w:t>
      </w:r>
      <w:r w:rsidRPr="5257E1B0">
        <w:rPr>
          <w:rFonts w:ascii="Calibri" w:hAnsi="Calibri" w:eastAsia="Calibri" w:cs="Calibri"/>
          <w:i/>
          <w:iCs/>
          <w:color w:val="000000" w:themeColor="text1"/>
          <w:sz w:val="28"/>
          <w:szCs w:val="28"/>
        </w:rPr>
        <w:t xml:space="preserve"> Science</w:t>
      </w:r>
      <w:r w:rsidRPr="5257E1B0">
        <w:rPr>
          <w:rFonts w:ascii="Calibri" w:hAnsi="Calibri" w:eastAsia="Calibri" w:cs="Calibri"/>
          <w:color w:val="000000" w:themeColor="text1"/>
          <w:sz w:val="28"/>
          <w:szCs w:val="28"/>
        </w:rPr>
        <w:t>. Netherlands: Kluwer Academic Publishers. pp. 119-144.</w:t>
      </w:r>
    </w:p>
    <w:p w:rsidRPr="000E2E7E" w:rsidR="000E2E7E" w:rsidP="5257E1B0" w:rsidRDefault="57397D63" w14:paraId="2CBF00A6" w14:textId="748E1319">
      <w:r w:rsidRPr="5257E1B0">
        <w:rPr>
          <w:rFonts w:ascii="Aptos" w:hAnsi="Aptos" w:eastAsia="Aptos" w:cs="Aptos"/>
          <w:color w:val="000000" w:themeColor="text1"/>
          <w:sz w:val="36"/>
          <w:szCs w:val="36"/>
        </w:rPr>
        <w:t xml:space="preserve"> </w:t>
      </w:r>
    </w:p>
    <w:p w:rsidRPr="000E2E7E" w:rsidR="000E2E7E" w:rsidP="5257E1B0" w:rsidRDefault="57397D63" w14:paraId="6CD5D255" w14:textId="6236F44E">
      <w:pPr>
        <w:spacing w:line="325" w:lineRule="auto"/>
      </w:pPr>
      <w:proofErr w:type="spellStart"/>
      <w:r w:rsidRPr="5257E1B0">
        <w:rPr>
          <w:rFonts w:ascii="Calibri" w:hAnsi="Calibri" w:eastAsia="Calibri" w:cs="Calibri"/>
          <w:color w:val="000000" w:themeColor="text1"/>
          <w:sz w:val="28"/>
          <w:szCs w:val="28"/>
        </w:rPr>
        <w:t>Sweller</w:t>
      </w:r>
      <w:proofErr w:type="spellEnd"/>
      <w:r w:rsidRPr="5257E1B0">
        <w:rPr>
          <w:rFonts w:ascii="Calibri" w:hAnsi="Calibri" w:eastAsia="Calibri" w:cs="Calibri"/>
          <w:color w:val="000000" w:themeColor="text1"/>
          <w:sz w:val="28"/>
          <w:szCs w:val="28"/>
        </w:rPr>
        <w:t xml:space="preserve">, J. (1988) </w:t>
      </w:r>
      <w:r w:rsidRPr="5257E1B0">
        <w:rPr>
          <w:rFonts w:ascii="Calibri" w:hAnsi="Calibri" w:eastAsia="Calibri" w:cs="Calibri"/>
          <w:i/>
          <w:iCs/>
          <w:color w:val="000000" w:themeColor="text1"/>
          <w:sz w:val="28"/>
          <w:szCs w:val="28"/>
        </w:rPr>
        <w:t xml:space="preserve">'Cognitive load during problem solving: Effects on learning'. </w:t>
      </w:r>
      <w:r w:rsidRPr="5257E1B0">
        <w:rPr>
          <w:rFonts w:ascii="Calibri" w:hAnsi="Calibri" w:eastAsia="Calibri" w:cs="Calibri"/>
          <w:color w:val="000000" w:themeColor="text1"/>
          <w:sz w:val="28"/>
          <w:szCs w:val="28"/>
        </w:rPr>
        <w:t>Cognitive Science</w:t>
      </w:r>
      <w:r w:rsidRPr="5257E1B0">
        <w:rPr>
          <w:rFonts w:ascii="Calibri" w:hAnsi="Calibri" w:eastAsia="Calibri" w:cs="Calibri"/>
          <w:i/>
          <w:iCs/>
          <w:color w:val="000000" w:themeColor="text1"/>
          <w:sz w:val="28"/>
          <w:szCs w:val="28"/>
        </w:rPr>
        <w:t>,</w:t>
      </w:r>
      <w:r w:rsidRPr="5257E1B0">
        <w:rPr>
          <w:rFonts w:ascii="Calibri" w:hAnsi="Calibri" w:eastAsia="Calibri" w:cs="Calibri"/>
          <w:color w:val="000000" w:themeColor="text1"/>
          <w:sz w:val="28"/>
          <w:szCs w:val="28"/>
        </w:rPr>
        <w:t xml:space="preserve"> 12(2), pp. 257-285.</w:t>
      </w:r>
    </w:p>
    <w:p w:rsidRPr="000E2E7E" w:rsidR="000E2E7E" w:rsidP="5257E1B0" w:rsidRDefault="57397D63" w14:paraId="057B0D42" w14:textId="5116EFBD">
      <w:pPr>
        <w:spacing w:line="325" w:lineRule="auto"/>
      </w:pPr>
      <w:r w:rsidRPr="5257E1B0">
        <w:rPr>
          <w:rFonts w:ascii="Aptos" w:hAnsi="Aptos" w:eastAsia="Aptos" w:cs="Aptos"/>
          <w:color w:val="000000" w:themeColor="text1"/>
          <w:sz w:val="28"/>
          <w:szCs w:val="28"/>
        </w:rPr>
        <w:t xml:space="preserve"> </w:t>
      </w:r>
    </w:p>
    <w:p w:rsidRPr="000E2E7E" w:rsidR="000E2E7E" w:rsidP="5257E1B0" w:rsidRDefault="57397D63" w14:paraId="61A00127" w14:textId="7814673B">
      <w:pPr>
        <w:spacing w:line="325" w:lineRule="auto"/>
      </w:pPr>
      <w:r w:rsidRPr="5257E1B0">
        <w:rPr>
          <w:rFonts w:ascii="Aptos" w:hAnsi="Aptos" w:eastAsia="Aptos" w:cs="Aptos"/>
          <w:color w:val="000000" w:themeColor="text1"/>
          <w:sz w:val="28"/>
          <w:szCs w:val="28"/>
        </w:rPr>
        <w:t xml:space="preserve">The National Council for Curriculum and Assessment (2015) </w:t>
      </w:r>
      <w:r w:rsidRPr="5257E1B0">
        <w:rPr>
          <w:rFonts w:ascii="Aptos" w:hAnsi="Aptos" w:eastAsia="Aptos" w:cs="Aptos"/>
          <w:i/>
          <w:iCs/>
          <w:color w:val="000000" w:themeColor="text1"/>
          <w:sz w:val="28"/>
          <w:szCs w:val="28"/>
        </w:rPr>
        <w:t>Learning intentions and success criteria.</w:t>
      </w:r>
      <w:r w:rsidRPr="5257E1B0">
        <w:rPr>
          <w:rFonts w:ascii="Aptos" w:hAnsi="Aptos" w:eastAsia="Aptos" w:cs="Aptos"/>
          <w:color w:val="000000" w:themeColor="text1"/>
          <w:sz w:val="28"/>
          <w:szCs w:val="28"/>
        </w:rPr>
        <w:t xml:space="preserve"> Available at: </w:t>
      </w:r>
      <w:hyperlink r:id="rId12">
        <w:r w:rsidRPr="5257E1B0">
          <w:rPr>
            <w:rStyle w:val="Hyperlink"/>
            <w:rFonts w:ascii="Aptos" w:hAnsi="Aptos" w:eastAsia="Aptos" w:cs="Aptos"/>
            <w:color w:val="215E99" w:themeColor="text2" w:themeTint="BF"/>
            <w:sz w:val="28"/>
            <w:szCs w:val="28"/>
          </w:rPr>
          <w:t>https://ncca.ie/media/1927/assessment-workshop-1_en.pdf</w:t>
        </w:r>
      </w:hyperlink>
      <w:r w:rsidRPr="5257E1B0">
        <w:rPr>
          <w:rFonts w:ascii="Aptos" w:hAnsi="Aptos" w:eastAsia="Aptos" w:cs="Aptos"/>
          <w:color w:val="000000" w:themeColor="text1"/>
          <w:sz w:val="28"/>
          <w:szCs w:val="28"/>
        </w:rPr>
        <w:t xml:space="preserve"> (Accessed: 25</w:t>
      </w:r>
      <w:r w:rsidRPr="5257E1B0">
        <w:rPr>
          <w:rFonts w:ascii="Aptos" w:hAnsi="Aptos" w:eastAsia="Aptos" w:cs="Aptos"/>
          <w:color w:val="000000" w:themeColor="text1"/>
          <w:sz w:val="28"/>
          <w:szCs w:val="28"/>
          <w:vertAlign w:val="superscript"/>
        </w:rPr>
        <w:t>th</w:t>
      </w:r>
      <w:r w:rsidRPr="5257E1B0">
        <w:rPr>
          <w:rFonts w:ascii="Aptos" w:hAnsi="Aptos" w:eastAsia="Aptos" w:cs="Aptos"/>
          <w:color w:val="000000" w:themeColor="text1"/>
          <w:sz w:val="28"/>
          <w:szCs w:val="28"/>
        </w:rPr>
        <w:t xml:space="preserve"> March 2025).</w:t>
      </w:r>
    </w:p>
    <w:p w:rsidRPr="000E2E7E" w:rsidR="000E2E7E" w:rsidP="5257E1B0" w:rsidRDefault="57397D63" w14:paraId="28ADE5EF" w14:textId="22655031">
      <w:pPr>
        <w:spacing w:line="325" w:lineRule="auto"/>
      </w:pPr>
      <w:r w:rsidRPr="5257E1B0">
        <w:rPr>
          <w:rFonts w:ascii="Aptos" w:hAnsi="Aptos" w:eastAsia="Aptos" w:cs="Aptos"/>
          <w:color w:val="000000" w:themeColor="text1"/>
          <w:sz w:val="28"/>
          <w:szCs w:val="28"/>
        </w:rPr>
        <w:t xml:space="preserve"> </w:t>
      </w:r>
    </w:p>
    <w:p w:rsidRPr="000E2E7E" w:rsidR="000E2E7E" w:rsidP="5257E1B0" w:rsidRDefault="57397D63" w14:paraId="0C9231BE" w14:textId="51A8C343">
      <w:pPr>
        <w:spacing w:line="325" w:lineRule="auto"/>
      </w:pPr>
      <w:r w:rsidRPr="5257E1B0">
        <w:rPr>
          <w:rFonts w:ascii="Aptos" w:hAnsi="Aptos" w:eastAsia="Aptos" w:cs="Aptos"/>
          <w:color w:val="000000" w:themeColor="text1"/>
          <w:sz w:val="28"/>
          <w:szCs w:val="28"/>
        </w:rPr>
        <w:t xml:space="preserve">Topping, K.J. (2009) </w:t>
      </w:r>
      <w:r w:rsidRPr="5257E1B0">
        <w:rPr>
          <w:rFonts w:ascii="Aptos" w:hAnsi="Aptos" w:eastAsia="Aptos" w:cs="Aptos"/>
          <w:i/>
          <w:iCs/>
          <w:color w:val="000000" w:themeColor="text1"/>
          <w:sz w:val="28"/>
          <w:szCs w:val="28"/>
        </w:rPr>
        <w:t xml:space="preserve">Peer Assessment, Theory into Practice, </w:t>
      </w:r>
      <w:r w:rsidRPr="5257E1B0">
        <w:rPr>
          <w:rFonts w:ascii="Aptos" w:hAnsi="Aptos" w:eastAsia="Aptos" w:cs="Aptos"/>
          <w:color w:val="000000" w:themeColor="text1"/>
          <w:sz w:val="28"/>
          <w:szCs w:val="28"/>
        </w:rPr>
        <w:t>48 (1), pp. 20-27.</w:t>
      </w:r>
    </w:p>
    <w:p w:rsidRPr="000E2E7E" w:rsidR="000E2E7E" w:rsidP="5257E1B0" w:rsidRDefault="57397D63" w14:paraId="1EE14B1F" w14:textId="0305ED26">
      <w:pPr>
        <w:spacing w:line="325" w:lineRule="auto"/>
      </w:pPr>
      <w:r w:rsidRPr="5257E1B0">
        <w:rPr>
          <w:rFonts w:ascii="Aptos" w:hAnsi="Aptos" w:eastAsia="Aptos" w:cs="Aptos"/>
          <w:color w:val="000000" w:themeColor="text1"/>
          <w:sz w:val="28"/>
          <w:szCs w:val="28"/>
        </w:rPr>
        <w:t xml:space="preserve"> </w:t>
      </w:r>
    </w:p>
    <w:p w:rsidRPr="000E2E7E" w:rsidR="000E2E7E" w:rsidP="5257E1B0" w:rsidRDefault="57397D63" w14:paraId="30E19C94" w14:textId="7102720D" w14:noSpellErr="1">
      <w:pPr>
        <w:spacing w:line="325" w:lineRule="auto"/>
      </w:pPr>
      <w:r w:rsidRPr="5E860BD4" w:rsidR="57397D63">
        <w:rPr>
          <w:rFonts w:ascii="Calibri" w:hAnsi="Calibri" w:eastAsia="Calibri" w:cs="Calibri"/>
          <w:b w:val="0"/>
          <w:bCs w:val="0"/>
          <w:color w:val="000000" w:themeColor="text1" w:themeTint="FF" w:themeShade="FF"/>
          <w:sz w:val="28"/>
          <w:szCs w:val="28"/>
        </w:rPr>
        <w:t>Topping, K. J. (1998)</w:t>
      </w:r>
      <w:r w:rsidRPr="5E860BD4" w:rsidR="57397D63">
        <w:rPr>
          <w:rFonts w:ascii="Calibri" w:hAnsi="Calibri" w:eastAsia="Calibri" w:cs="Calibri"/>
          <w:b w:val="1"/>
          <w:bCs w:val="1"/>
          <w:i w:val="1"/>
          <w:iCs w:val="1"/>
          <w:color w:val="000000" w:themeColor="text1" w:themeTint="FF" w:themeShade="FF"/>
          <w:sz w:val="28"/>
          <w:szCs w:val="28"/>
        </w:rPr>
        <w:t xml:space="preserve"> </w:t>
      </w:r>
      <w:r w:rsidRPr="5E860BD4" w:rsidR="57397D63">
        <w:rPr>
          <w:rFonts w:ascii="Calibri" w:hAnsi="Calibri" w:eastAsia="Calibri" w:cs="Calibri"/>
          <w:i w:val="1"/>
          <w:iCs w:val="1"/>
          <w:color w:val="000000" w:themeColor="text1" w:themeTint="FF" w:themeShade="FF"/>
          <w:sz w:val="28"/>
          <w:szCs w:val="28"/>
        </w:rPr>
        <w:t xml:space="preserve">Peer assessment between students in colleges and universities. American Educational Research Association. pp </w:t>
      </w:r>
      <w:r w:rsidRPr="5E860BD4" w:rsidR="57397D63">
        <w:rPr>
          <w:rFonts w:ascii="Calibri" w:hAnsi="Calibri" w:eastAsia="Calibri" w:cs="Calibri"/>
          <w:color w:val="000000" w:themeColor="text1" w:themeTint="FF" w:themeShade="FF"/>
          <w:sz w:val="28"/>
          <w:szCs w:val="28"/>
        </w:rPr>
        <w:t>249-276.</w:t>
      </w:r>
    </w:p>
    <w:p w:rsidRPr="000E2E7E" w:rsidR="000E2E7E" w:rsidP="5257E1B0" w:rsidRDefault="57397D63" w14:paraId="578C6714" w14:textId="63850B7A">
      <w:pPr>
        <w:spacing w:line="325" w:lineRule="auto"/>
      </w:pPr>
      <w:r w:rsidRPr="5257E1B0">
        <w:rPr>
          <w:rFonts w:ascii="Calibri" w:hAnsi="Calibri" w:eastAsia="Calibri" w:cs="Calibri"/>
          <w:color w:val="000000" w:themeColor="text1"/>
          <w:sz w:val="28"/>
          <w:szCs w:val="28"/>
        </w:rPr>
        <w:t xml:space="preserve"> </w:t>
      </w:r>
    </w:p>
    <w:p w:rsidRPr="000E2E7E" w:rsidR="000E2E7E" w:rsidP="5257E1B0" w:rsidRDefault="57397D63" w14:paraId="4DA0DAB6" w14:textId="623AA8EF">
      <w:pPr>
        <w:spacing w:line="325" w:lineRule="auto"/>
      </w:pPr>
      <w:r w:rsidRPr="5257E1B0">
        <w:rPr>
          <w:rFonts w:ascii="Calibri" w:hAnsi="Calibri" w:eastAsia="Calibri" w:cs="Calibri"/>
          <w:color w:val="000000" w:themeColor="text1"/>
          <w:sz w:val="28"/>
          <w:szCs w:val="28"/>
        </w:rPr>
        <w:lastRenderedPageBreak/>
        <w:t xml:space="preserve">UNICEF (2025) </w:t>
      </w:r>
      <w:r w:rsidRPr="5257E1B0">
        <w:rPr>
          <w:rFonts w:ascii="Calibri" w:hAnsi="Calibri" w:eastAsia="Calibri" w:cs="Calibri"/>
          <w:i/>
          <w:iCs/>
          <w:color w:val="000000" w:themeColor="text1"/>
          <w:sz w:val="28"/>
          <w:szCs w:val="28"/>
        </w:rPr>
        <w:t>The Convention of the Rights of the Child: The children’s version.</w:t>
      </w:r>
      <w:r w:rsidRPr="5257E1B0">
        <w:rPr>
          <w:rFonts w:ascii="Calibri" w:hAnsi="Calibri" w:eastAsia="Calibri" w:cs="Calibri"/>
          <w:color w:val="000000" w:themeColor="text1"/>
          <w:sz w:val="28"/>
          <w:szCs w:val="28"/>
        </w:rPr>
        <w:t xml:space="preserve"> Available at: </w:t>
      </w:r>
      <w:hyperlink r:id="rId13">
        <w:r w:rsidRPr="5257E1B0">
          <w:rPr>
            <w:rStyle w:val="Hyperlink"/>
            <w:rFonts w:ascii="Calibri" w:hAnsi="Calibri" w:eastAsia="Calibri" w:cs="Calibri"/>
            <w:color w:val="215F9A"/>
            <w:sz w:val="28"/>
            <w:szCs w:val="28"/>
          </w:rPr>
          <w:t>https://www.unicef.org/child-rights-convention/convention-text-childrens-version</w:t>
        </w:r>
      </w:hyperlink>
      <w:r w:rsidRPr="5257E1B0">
        <w:rPr>
          <w:rFonts w:ascii="Calibri" w:hAnsi="Calibri" w:eastAsia="Calibri" w:cs="Calibri"/>
          <w:color w:val="000000" w:themeColor="text1"/>
          <w:sz w:val="28"/>
          <w:szCs w:val="28"/>
        </w:rPr>
        <w:t>(Accessed: 1</w:t>
      </w:r>
      <w:r w:rsidRPr="5257E1B0">
        <w:rPr>
          <w:rFonts w:ascii="Calibri" w:hAnsi="Calibri" w:eastAsia="Calibri" w:cs="Calibri"/>
          <w:color w:val="000000" w:themeColor="text1"/>
          <w:sz w:val="28"/>
          <w:szCs w:val="28"/>
          <w:vertAlign w:val="superscript"/>
        </w:rPr>
        <w:t>st</w:t>
      </w:r>
      <w:r w:rsidRPr="5257E1B0">
        <w:rPr>
          <w:rFonts w:ascii="Calibri" w:hAnsi="Calibri" w:eastAsia="Calibri" w:cs="Calibri"/>
          <w:color w:val="000000" w:themeColor="text1"/>
          <w:sz w:val="28"/>
          <w:szCs w:val="28"/>
        </w:rPr>
        <w:t xml:space="preserve"> April 2025).</w:t>
      </w:r>
    </w:p>
    <w:p w:rsidRPr="000E2E7E" w:rsidR="000E2E7E" w:rsidP="5257E1B0" w:rsidRDefault="57397D63" w14:paraId="236398A8" w14:textId="7F603D2C">
      <w:pPr>
        <w:spacing w:line="325" w:lineRule="auto"/>
      </w:pPr>
      <w:r w:rsidRPr="5257E1B0">
        <w:rPr>
          <w:rFonts w:ascii="Arial" w:hAnsi="Arial" w:eastAsia="Arial" w:cs="Arial"/>
          <w:color w:val="000000" w:themeColor="text1"/>
          <w:sz w:val="28"/>
          <w:szCs w:val="28"/>
        </w:rPr>
        <w:t xml:space="preserve"> </w:t>
      </w:r>
    </w:p>
    <w:p w:rsidRPr="000E2E7E" w:rsidR="000E2E7E" w:rsidP="5257E1B0" w:rsidRDefault="57397D63" w14:paraId="36A9955E" w14:textId="25D376A0">
      <w:pPr>
        <w:spacing w:line="325" w:lineRule="auto"/>
      </w:pPr>
      <w:r w:rsidRPr="5257E1B0">
        <w:rPr>
          <w:rFonts w:ascii="Calibri" w:hAnsi="Calibri" w:eastAsia="Calibri" w:cs="Calibri"/>
          <w:color w:val="000000" w:themeColor="text1"/>
          <w:sz w:val="28"/>
          <w:szCs w:val="28"/>
        </w:rPr>
        <w:t xml:space="preserve">Welsh Government (2024) </w:t>
      </w:r>
      <w:r w:rsidRPr="5257E1B0">
        <w:rPr>
          <w:rFonts w:ascii="Calibri" w:hAnsi="Calibri" w:eastAsia="Calibri" w:cs="Calibri"/>
          <w:i/>
          <w:iCs/>
          <w:color w:val="000000" w:themeColor="text1"/>
          <w:sz w:val="28"/>
          <w:szCs w:val="28"/>
        </w:rPr>
        <w:t>Curriculum for Wales: continuing the journey.</w:t>
      </w:r>
      <w:r w:rsidRPr="5257E1B0">
        <w:rPr>
          <w:rFonts w:ascii="Calibri" w:hAnsi="Calibri" w:eastAsia="Calibri" w:cs="Calibri"/>
          <w:color w:val="000000" w:themeColor="text1"/>
          <w:sz w:val="28"/>
          <w:szCs w:val="28"/>
        </w:rPr>
        <w:t xml:space="preserve"> Available at: </w:t>
      </w:r>
      <w:hyperlink w:anchor=":~:text=For%20primary%20schools%20and%20settings,and%208%20from%20September%202023" r:id="rId14">
        <w:r w:rsidRPr="5257E1B0">
          <w:rPr>
            <w:rStyle w:val="Hyperlink"/>
            <w:rFonts w:ascii="Calibri" w:hAnsi="Calibri" w:eastAsia="Calibri" w:cs="Calibri"/>
            <w:color w:val="215E99" w:themeColor="text2" w:themeTint="BF"/>
            <w:sz w:val="28"/>
            <w:szCs w:val="28"/>
          </w:rPr>
          <w:t>https://hwb.gov.wales/curriculum-for-wales/curriculum-for-wales-continuing-the-journey#:~:text=For%20primary%20schools%20and%20settings,and%208%20from%20September%202023</w:t>
        </w:r>
      </w:hyperlink>
      <w:r w:rsidRPr="5257E1B0">
        <w:rPr>
          <w:rFonts w:ascii="Calibri" w:hAnsi="Calibri" w:eastAsia="Calibri" w:cs="Calibri"/>
          <w:color w:val="000000" w:themeColor="text1"/>
          <w:sz w:val="28"/>
          <w:szCs w:val="28"/>
        </w:rPr>
        <w:t>(Accessed: 27</w:t>
      </w:r>
      <w:r w:rsidRPr="5257E1B0">
        <w:rPr>
          <w:rFonts w:ascii="Calibri" w:hAnsi="Calibri" w:eastAsia="Calibri" w:cs="Calibri"/>
          <w:color w:val="000000" w:themeColor="text1"/>
          <w:sz w:val="28"/>
          <w:szCs w:val="28"/>
          <w:vertAlign w:val="superscript"/>
        </w:rPr>
        <w:t>th</w:t>
      </w:r>
      <w:r w:rsidRPr="5257E1B0">
        <w:rPr>
          <w:rFonts w:ascii="Calibri" w:hAnsi="Calibri" w:eastAsia="Calibri" w:cs="Calibri"/>
          <w:color w:val="000000" w:themeColor="text1"/>
          <w:sz w:val="28"/>
          <w:szCs w:val="28"/>
        </w:rPr>
        <w:t xml:space="preserve"> March 2025).</w:t>
      </w:r>
    </w:p>
    <w:p w:rsidRPr="000E2E7E" w:rsidR="000E2E7E" w:rsidP="5257E1B0" w:rsidRDefault="57397D63" w14:paraId="1A104B6F" w14:textId="5B7040ED">
      <w:pPr>
        <w:spacing w:line="325" w:lineRule="auto"/>
      </w:pPr>
      <w:r w:rsidRPr="5257E1B0">
        <w:rPr>
          <w:rFonts w:ascii="Calibri" w:hAnsi="Calibri" w:eastAsia="Calibri" w:cs="Calibri"/>
          <w:color w:val="000000" w:themeColor="text1"/>
          <w:sz w:val="28"/>
          <w:szCs w:val="28"/>
        </w:rPr>
        <w:t xml:space="preserve"> </w:t>
      </w:r>
    </w:p>
    <w:p w:rsidRPr="000E2E7E" w:rsidR="000E2E7E" w:rsidP="5257E1B0" w:rsidRDefault="57397D63" w14:paraId="2157D3DD" w14:textId="38283FB6">
      <w:pPr>
        <w:spacing w:line="325" w:lineRule="auto"/>
      </w:pPr>
      <w:r w:rsidRPr="5257E1B0">
        <w:rPr>
          <w:rFonts w:ascii="Calibri" w:hAnsi="Calibri" w:eastAsia="Calibri" w:cs="Calibri"/>
          <w:color w:val="000000" w:themeColor="text1"/>
          <w:sz w:val="28"/>
          <w:szCs w:val="28"/>
        </w:rPr>
        <w:t xml:space="preserve">Welsh Government (2015) </w:t>
      </w:r>
      <w:r w:rsidRPr="5257E1B0">
        <w:rPr>
          <w:rFonts w:ascii="Calibri" w:hAnsi="Calibri" w:eastAsia="Calibri" w:cs="Calibri"/>
          <w:i/>
          <w:iCs/>
          <w:color w:val="000000" w:themeColor="text1"/>
          <w:sz w:val="28"/>
          <w:szCs w:val="28"/>
        </w:rPr>
        <w:t>Effective use of data and research evidence</w:t>
      </w:r>
      <w:r w:rsidRPr="5257E1B0">
        <w:rPr>
          <w:rFonts w:ascii="Calibri" w:hAnsi="Calibri" w:eastAsia="Calibri" w:cs="Calibri"/>
          <w:color w:val="000000" w:themeColor="text1"/>
          <w:sz w:val="28"/>
          <w:szCs w:val="28"/>
        </w:rPr>
        <w:t xml:space="preserve">. Cardiff: Welsh Government. pp. 26-27. </w:t>
      </w:r>
    </w:p>
    <w:p w:rsidRPr="000E2E7E" w:rsidR="000E2E7E" w:rsidP="5257E1B0" w:rsidRDefault="57397D63" w14:paraId="4F467183" w14:textId="6FBD6529">
      <w:pPr>
        <w:spacing w:line="325" w:lineRule="auto"/>
      </w:pPr>
      <w:r w:rsidRPr="5257E1B0">
        <w:rPr>
          <w:rFonts w:ascii="Calibri" w:hAnsi="Calibri" w:eastAsia="Calibri" w:cs="Calibri"/>
          <w:color w:val="000000" w:themeColor="text1"/>
          <w:sz w:val="28"/>
          <w:szCs w:val="28"/>
        </w:rPr>
        <w:t xml:space="preserve"> </w:t>
      </w:r>
    </w:p>
    <w:p w:rsidRPr="000E2E7E" w:rsidR="000E2E7E" w:rsidP="5257E1B0" w:rsidRDefault="57397D63" w14:paraId="30834AE6" w14:textId="7E68DD85">
      <w:pPr>
        <w:spacing w:line="325" w:lineRule="auto"/>
      </w:pPr>
      <w:r w:rsidRPr="5257E1B0">
        <w:rPr>
          <w:rFonts w:ascii="Calibri" w:hAnsi="Calibri" w:eastAsia="Calibri" w:cs="Calibri"/>
          <w:color w:val="000000" w:themeColor="text1"/>
          <w:sz w:val="28"/>
          <w:szCs w:val="28"/>
        </w:rPr>
        <w:t xml:space="preserve">Welsh Government (2022) </w:t>
      </w:r>
      <w:r w:rsidRPr="5257E1B0">
        <w:rPr>
          <w:rFonts w:ascii="Calibri" w:hAnsi="Calibri" w:eastAsia="Calibri" w:cs="Calibri"/>
          <w:i/>
          <w:iCs/>
          <w:color w:val="000000" w:themeColor="text1"/>
          <w:sz w:val="28"/>
          <w:szCs w:val="28"/>
        </w:rPr>
        <w:t>Theory- Support for early career teachers.</w:t>
      </w:r>
      <w:r w:rsidRPr="5257E1B0">
        <w:rPr>
          <w:rFonts w:ascii="Calibri" w:hAnsi="Calibri" w:eastAsia="Calibri" w:cs="Calibri"/>
          <w:color w:val="000000" w:themeColor="text1"/>
          <w:sz w:val="28"/>
          <w:szCs w:val="28"/>
        </w:rPr>
        <w:t xml:space="preserve"> Available at: </w:t>
      </w:r>
      <w:hyperlink r:id="rId15">
        <w:r w:rsidRPr="5257E1B0">
          <w:rPr>
            <w:rStyle w:val="Hyperlink"/>
            <w:rFonts w:ascii="Calibri" w:hAnsi="Calibri" w:eastAsia="Calibri" w:cs="Calibri"/>
            <w:color w:val="215E99" w:themeColor="text2" w:themeTint="BF"/>
            <w:sz w:val="28"/>
            <w:szCs w:val="28"/>
          </w:rPr>
          <w:t>https://support-for-early-career-teachers.education.gov.uk/teach-first/year-1-how-can-you-use-assessment-and-feedback-to-greatest-effect/spring-week-5-ect-theory/</w:t>
        </w:r>
      </w:hyperlink>
      <w:r w:rsidRPr="5257E1B0">
        <w:rPr>
          <w:rFonts w:ascii="Calibri" w:hAnsi="Calibri" w:eastAsia="Calibri" w:cs="Calibri"/>
          <w:color w:val="215E99" w:themeColor="text2" w:themeTint="BF"/>
          <w:sz w:val="28"/>
          <w:szCs w:val="28"/>
        </w:rPr>
        <w:t xml:space="preserve"> </w:t>
      </w:r>
      <w:r w:rsidRPr="5257E1B0">
        <w:rPr>
          <w:rFonts w:ascii="Calibri" w:hAnsi="Calibri" w:eastAsia="Calibri" w:cs="Calibri"/>
          <w:color w:val="000000" w:themeColor="text1"/>
          <w:sz w:val="28"/>
          <w:szCs w:val="28"/>
        </w:rPr>
        <w:t>(Accessed: 18</w:t>
      </w:r>
      <w:r w:rsidRPr="5257E1B0">
        <w:rPr>
          <w:rFonts w:ascii="Calibri" w:hAnsi="Calibri" w:eastAsia="Calibri" w:cs="Calibri"/>
          <w:color w:val="000000" w:themeColor="text1"/>
          <w:sz w:val="28"/>
          <w:szCs w:val="28"/>
          <w:vertAlign w:val="superscript"/>
        </w:rPr>
        <w:t>th</w:t>
      </w:r>
      <w:r w:rsidRPr="5257E1B0">
        <w:rPr>
          <w:rFonts w:ascii="Calibri" w:hAnsi="Calibri" w:eastAsia="Calibri" w:cs="Calibri"/>
          <w:color w:val="000000" w:themeColor="text1"/>
          <w:sz w:val="28"/>
          <w:szCs w:val="28"/>
        </w:rPr>
        <w:t>March 2025).</w:t>
      </w:r>
    </w:p>
    <w:p w:rsidRPr="000E2E7E" w:rsidR="000E2E7E" w:rsidP="000E2E7E" w:rsidRDefault="000E2E7E" w14:paraId="66CC6D9E" w14:textId="6387C130">
      <w:pPr>
        <w:rPr>
          <w:sz w:val="36"/>
          <w:szCs w:val="36"/>
        </w:rPr>
      </w:pPr>
    </w:p>
    <w:sectPr w:rsidRPr="000E2E7E" w:rsidR="000E2E7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4fOpKSLdzQqLb" int2:id="tnmWnSrN">
      <int2:state int2:type="AugLoop_Text_Critique" int2:value="Rejected"/>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54E23"/>
    <w:rsid w:val="000E2E7E"/>
    <w:rsid w:val="00121BB2"/>
    <w:rsid w:val="001675AC"/>
    <w:rsid w:val="00191CFB"/>
    <w:rsid w:val="001E698E"/>
    <w:rsid w:val="002844A3"/>
    <w:rsid w:val="00371AC6"/>
    <w:rsid w:val="00372668"/>
    <w:rsid w:val="003A7750"/>
    <w:rsid w:val="00403714"/>
    <w:rsid w:val="004737D0"/>
    <w:rsid w:val="004A2501"/>
    <w:rsid w:val="00504994"/>
    <w:rsid w:val="00510D18"/>
    <w:rsid w:val="0053371A"/>
    <w:rsid w:val="00546C34"/>
    <w:rsid w:val="00582A0B"/>
    <w:rsid w:val="0058738A"/>
    <w:rsid w:val="00604703"/>
    <w:rsid w:val="008F0B48"/>
    <w:rsid w:val="00965B69"/>
    <w:rsid w:val="009B33DA"/>
    <w:rsid w:val="009D31A8"/>
    <w:rsid w:val="00AB5565"/>
    <w:rsid w:val="00C0493E"/>
    <w:rsid w:val="00DF09B3"/>
    <w:rsid w:val="00E5184C"/>
    <w:rsid w:val="00F66413"/>
    <w:rsid w:val="03025511"/>
    <w:rsid w:val="03A0F34A"/>
    <w:rsid w:val="065D48FE"/>
    <w:rsid w:val="069E41D1"/>
    <w:rsid w:val="08A8C4AC"/>
    <w:rsid w:val="08D18EB3"/>
    <w:rsid w:val="0AC0E018"/>
    <w:rsid w:val="0B69C5E3"/>
    <w:rsid w:val="0BCD8CB0"/>
    <w:rsid w:val="0C11AE27"/>
    <w:rsid w:val="0C36A33E"/>
    <w:rsid w:val="0E252A7B"/>
    <w:rsid w:val="0E2D67CB"/>
    <w:rsid w:val="0E472C7C"/>
    <w:rsid w:val="0EDDE1DE"/>
    <w:rsid w:val="0EE0273C"/>
    <w:rsid w:val="0EFBA31F"/>
    <w:rsid w:val="0FDC5A7C"/>
    <w:rsid w:val="119D771B"/>
    <w:rsid w:val="1AA0B4AC"/>
    <w:rsid w:val="1C74CC5E"/>
    <w:rsid w:val="1CF5F8F7"/>
    <w:rsid w:val="1E174392"/>
    <w:rsid w:val="1EB66E69"/>
    <w:rsid w:val="1F7857CB"/>
    <w:rsid w:val="2043B680"/>
    <w:rsid w:val="21B337C8"/>
    <w:rsid w:val="22BA31AD"/>
    <w:rsid w:val="235AE80A"/>
    <w:rsid w:val="237B504E"/>
    <w:rsid w:val="240879AA"/>
    <w:rsid w:val="2664E39D"/>
    <w:rsid w:val="26739B26"/>
    <w:rsid w:val="282AC2A4"/>
    <w:rsid w:val="28622125"/>
    <w:rsid w:val="2BA2AB7B"/>
    <w:rsid w:val="2BCFDBBA"/>
    <w:rsid w:val="2D4AF897"/>
    <w:rsid w:val="2EAC012F"/>
    <w:rsid w:val="30A2ADD2"/>
    <w:rsid w:val="340AE323"/>
    <w:rsid w:val="35696B63"/>
    <w:rsid w:val="35F7E759"/>
    <w:rsid w:val="37876B7B"/>
    <w:rsid w:val="39ECB0EF"/>
    <w:rsid w:val="3B710755"/>
    <w:rsid w:val="3E76EEE6"/>
    <w:rsid w:val="4035955F"/>
    <w:rsid w:val="418F3417"/>
    <w:rsid w:val="41BCFE3F"/>
    <w:rsid w:val="4418A2C1"/>
    <w:rsid w:val="44378F4F"/>
    <w:rsid w:val="469E2491"/>
    <w:rsid w:val="47092818"/>
    <w:rsid w:val="476A2FE9"/>
    <w:rsid w:val="479944D2"/>
    <w:rsid w:val="47B5E2DC"/>
    <w:rsid w:val="480678A9"/>
    <w:rsid w:val="48D2CD83"/>
    <w:rsid w:val="48E7C24E"/>
    <w:rsid w:val="4BF2662D"/>
    <w:rsid w:val="4E2BAF1B"/>
    <w:rsid w:val="4E8EC62A"/>
    <w:rsid w:val="4F48F3C6"/>
    <w:rsid w:val="4FA489F8"/>
    <w:rsid w:val="50FE0A59"/>
    <w:rsid w:val="5213D000"/>
    <w:rsid w:val="5257E1B0"/>
    <w:rsid w:val="53E244B9"/>
    <w:rsid w:val="54EE7DB4"/>
    <w:rsid w:val="5576AAD4"/>
    <w:rsid w:val="57397D63"/>
    <w:rsid w:val="57FD614C"/>
    <w:rsid w:val="5866AACA"/>
    <w:rsid w:val="5A3B82C2"/>
    <w:rsid w:val="5A6CBACD"/>
    <w:rsid w:val="5AB1E29F"/>
    <w:rsid w:val="5C16C15F"/>
    <w:rsid w:val="5D4FB552"/>
    <w:rsid w:val="5E860BD4"/>
    <w:rsid w:val="61B2BE18"/>
    <w:rsid w:val="63BA8660"/>
    <w:rsid w:val="65ED169A"/>
    <w:rsid w:val="6B558C09"/>
    <w:rsid w:val="713660CD"/>
    <w:rsid w:val="73D04689"/>
    <w:rsid w:val="74E6B5B7"/>
    <w:rsid w:val="775B680F"/>
    <w:rsid w:val="784F291D"/>
    <w:rsid w:val="78D9B81D"/>
    <w:rsid w:val="7B10319F"/>
    <w:rsid w:val="7B383640"/>
    <w:rsid w:val="7DC6ADAE"/>
    <w:rsid w:val="7DE0AD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664E39D"/>
  </w:style>
  <w:style w:type="paragraph" w:styleId="Heading1">
    <w:name w:val="heading 1"/>
    <w:basedOn w:val="Normal"/>
    <w:next w:val="Normal"/>
    <w:link w:val="Heading1Char"/>
    <w:uiPriority w:val="9"/>
    <w:qFormat/>
    <w:rsid w:val="2664E39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2664E39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2664E3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2664E3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2664E3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2664E3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2664E3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2664E39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2664E39D"/>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E2E7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E2E7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E2E7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E2E7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E2E7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E2E7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2664E39D"/>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0E2E7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2664E39D"/>
    <w:rPr>
      <w:rFonts w:eastAsiaTheme="majorEastAsia" w:cstheme="majorBidi"/>
      <w:color w:val="595959" w:themeColor="text1" w:themeTint="A6"/>
      <w:sz w:val="28"/>
      <w:szCs w:val="28"/>
    </w:rPr>
  </w:style>
  <w:style w:type="character" w:styleId="SubtitleChar" w:customStyle="1">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2664E39D"/>
    <w:pPr>
      <w:spacing w:before="160"/>
      <w:jc w:val="center"/>
    </w:pPr>
    <w:rPr>
      <w:i/>
      <w:iCs/>
      <w:color w:val="404040" w:themeColor="text1" w:themeTint="BF"/>
    </w:rPr>
  </w:style>
  <w:style w:type="character" w:styleId="QuoteChar" w:customStyle="1">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2664E39D"/>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2664E39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5257E1B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styn.gov.wales/system/files/2024-03/Parents%20and%20carers%20-%20Inspection%20Report%20-%20Blaengarw%20Primary%20School%202024.pdf" TargetMode="External" Id="rId8" /><Relationship Type="http://schemas.openxmlformats.org/officeDocument/2006/relationships/hyperlink" Target="https://www.unicef.org/child-rights-convention/convention-text-childrens-version" TargetMode="External" Id="rId13" /><Relationship Type="http://schemas.microsoft.com/office/2020/10/relationships/intelligence" Target="intelligence2.xml" Id="rId18" /><Relationship Type="http://schemas.openxmlformats.org/officeDocument/2006/relationships/webSettings" Target="webSettings.xml" Id="rId3" /><Relationship Type="http://schemas.openxmlformats.org/officeDocument/2006/relationships/hyperlink" Target="https://explore-education-statistics.service.gov.uk/find-statistics/school-pupils-and-their-characteristics" TargetMode="External" Id="rId7" /><Relationship Type="http://schemas.openxmlformats.org/officeDocument/2006/relationships/hyperlink" Target="https://ncca.ie/media/1927/assessment-workshop-1_en.pdf" TargetMode="External" Id="rId12" /><Relationship Type="http://schemas.openxmlformats.org/officeDocument/2006/relationships/theme" Target="theme/theme1.xml" Id="rId17"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styles" Target="styles.xml" Id="rId1" /><Relationship Type="http://schemas.openxmlformats.org/officeDocument/2006/relationships/hyperlink" Target="https://pmc.ncbi.nlm.nih.gov/articles/PMC10405529/" TargetMode="External" Id="rId11" /><Relationship Type="http://schemas.openxmlformats.org/officeDocument/2006/relationships/hyperlink" Target="https://doi.org/10.1080/0969595980050102" TargetMode="External" Id="rId5" /><Relationship Type="http://schemas.openxmlformats.org/officeDocument/2006/relationships/hyperlink" Target="https://support-for-early-career-teachers.education.gov.uk/teach-first/year-1-how-can-you-use-assessment-and-feedback-to-greatest-effect/spring-week-5-ect-theory/" TargetMode="External" Id="rId15" /><Relationship Type="http://schemas.openxmlformats.org/officeDocument/2006/relationships/hyperlink" Target="https://www.reap.ac.uk/reap/public/papers/DN_SHE_Final.pdf" TargetMode="External" Id="rId10" /><Relationship Type="http://schemas.openxmlformats.org/officeDocument/2006/relationships/image" Target="media/image1.png" Id="rId4" /><Relationship Type="http://schemas.openxmlformats.org/officeDocument/2006/relationships/hyperlink" Target="https://www.nfer.ac.uk/publications/how-to-run-qualitative-and-quantitative-research-from-definitions-through-to-analysis/" TargetMode="External" Id="rId9" /><Relationship Type="http://schemas.openxmlformats.org/officeDocument/2006/relationships/hyperlink" Target="https://hwb.gov.wales/curriculum-for-wales/curriculum-for-wales-continuing-the-journey" TargetMode="External" Id="rId14" /><Relationship Type="http://schemas.openxmlformats.org/officeDocument/2006/relationships/hyperlink" Target="https://doi.org/10.1080/02602930600679050" TargetMode="External" Id="R5e00bd6320f04d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Sioned Hughes</dc:creator>
  <keywords/>
  <dc:description/>
  <lastModifiedBy>Stella Griffiths (2305515)</lastModifiedBy>
  <revision>10</revision>
  <dcterms:created xsi:type="dcterms:W3CDTF">2025-04-03T13:24:00.0000000Z</dcterms:created>
  <dcterms:modified xsi:type="dcterms:W3CDTF">2025-04-03T14:03:45.9484294Z</dcterms:modified>
</coreProperties>
</file>