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6D6EDB" w14:textId="660EC814" w:rsidR="00EA185E" w:rsidRPr="00EA185E" w:rsidRDefault="00EA185E" w:rsidP="00EA185E">
      <w:pPr>
        <w:pStyle w:val="NormalWeb"/>
        <w:jc w:val="center"/>
        <w:rPr>
          <w:sz w:val="36"/>
          <w:szCs w:val="36"/>
        </w:rPr>
      </w:pPr>
      <w:r w:rsidRPr="00EA185E">
        <w:rPr>
          <w:sz w:val="36"/>
          <w:szCs w:val="36"/>
        </w:rPr>
        <w:t xml:space="preserve">Lenuta Raducanu </w:t>
      </w:r>
    </w:p>
    <w:p w14:paraId="0FAD1F11" w14:textId="3B624734" w:rsidR="00EA185E" w:rsidRPr="00EA185E" w:rsidRDefault="00EA185E" w:rsidP="00EA185E">
      <w:pPr>
        <w:pStyle w:val="NormalWeb"/>
        <w:jc w:val="center"/>
        <w:rPr>
          <w:sz w:val="36"/>
          <w:szCs w:val="36"/>
        </w:rPr>
      </w:pPr>
      <w:r w:rsidRPr="00EA185E">
        <w:rPr>
          <w:sz w:val="36"/>
          <w:szCs w:val="36"/>
        </w:rPr>
        <w:t xml:space="preserve">Academic skills </w:t>
      </w:r>
    </w:p>
    <w:p w14:paraId="25E09549" w14:textId="297ACE2A" w:rsidR="00EA185E" w:rsidRDefault="00EA185E" w:rsidP="00EA185E">
      <w:pPr>
        <w:pStyle w:val="NormalWeb"/>
        <w:jc w:val="center"/>
        <w:rPr>
          <w:sz w:val="36"/>
          <w:szCs w:val="36"/>
        </w:rPr>
      </w:pPr>
      <w:r w:rsidRPr="00EA185E">
        <w:rPr>
          <w:sz w:val="36"/>
          <w:szCs w:val="36"/>
        </w:rPr>
        <w:t xml:space="preserve">Assignment 2 – Essay </w:t>
      </w:r>
    </w:p>
    <w:p w14:paraId="7A2C9FFC" w14:textId="77777777" w:rsidR="00EA185E" w:rsidRDefault="00EA185E" w:rsidP="00EA185E">
      <w:pPr>
        <w:pStyle w:val="NormalWeb"/>
        <w:jc w:val="center"/>
        <w:rPr>
          <w:sz w:val="36"/>
          <w:szCs w:val="36"/>
        </w:rPr>
      </w:pPr>
    </w:p>
    <w:p w14:paraId="06BE7111" w14:textId="77777777" w:rsidR="00EA185E" w:rsidRDefault="00EA185E" w:rsidP="00EA185E">
      <w:pPr>
        <w:pStyle w:val="NormalWeb"/>
        <w:jc w:val="center"/>
        <w:rPr>
          <w:sz w:val="36"/>
          <w:szCs w:val="36"/>
        </w:rPr>
      </w:pPr>
    </w:p>
    <w:p w14:paraId="681FC747" w14:textId="77777777" w:rsidR="00EA185E" w:rsidRDefault="00EA185E" w:rsidP="00EA185E">
      <w:pPr>
        <w:pStyle w:val="NormalWeb"/>
        <w:jc w:val="center"/>
        <w:rPr>
          <w:sz w:val="36"/>
          <w:szCs w:val="36"/>
        </w:rPr>
      </w:pPr>
    </w:p>
    <w:p w14:paraId="7B147448" w14:textId="2830BF43" w:rsidR="00EA185E" w:rsidRDefault="00EA185E" w:rsidP="00EA185E">
      <w:pPr>
        <w:pStyle w:val="NormalWeb"/>
        <w:jc w:val="center"/>
        <w:rPr>
          <w:sz w:val="28"/>
          <w:szCs w:val="28"/>
        </w:rPr>
      </w:pPr>
      <w:r w:rsidRPr="00EA185E">
        <w:rPr>
          <w:sz w:val="28"/>
          <w:szCs w:val="28"/>
        </w:rPr>
        <w:t>The Nicene Creed (325 CE): Its Historical and Theological Significance</w:t>
      </w:r>
    </w:p>
    <w:p w14:paraId="60A2EE21" w14:textId="77777777" w:rsidR="00EA185E" w:rsidRDefault="00EA185E" w:rsidP="00EA185E">
      <w:pPr>
        <w:pStyle w:val="NormalWeb"/>
        <w:jc w:val="center"/>
        <w:rPr>
          <w:sz w:val="28"/>
          <w:szCs w:val="28"/>
        </w:rPr>
      </w:pPr>
    </w:p>
    <w:p w14:paraId="514E2957" w14:textId="77777777" w:rsidR="00EA185E" w:rsidRPr="00EA185E" w:rsidRDefault="00EA185E" w:rsidP="00EA185E">
      <w:pPr>
        <w:pStyle w:val="NormalWeb"/>
        <w:jc w:val="center"/>
        <w:rPr>
          <w:sz w:val="28"/>
          <w:szCs w:val="28"/>
        </w:rPr>
      </w:pPr>
    </w:p>
    <w:p w14:paraId="4365717B" w14:textId="77777777" w:rsidR="00EA185E" w:rsidRDefault="00EA185E" w:rsidP="00EA185E">
      <w:pPr>
        <w:pStyle w:val="NormalWeb"/>
      </w:pPr>
    </w:p>
    <w:p w14:paraId="2581F215" w14:textId="5ABDEE22" w:rsidR="00EA185E" w:rsidRDefault="00EA185E" w:rsidP="00EA185E">
      <w:pPr>
        <w:pStyle w:val="NormalWeb"/>
      </w:pPr>
      <w:r>
        <w:t>Introduction</w:t>
      </w:r>
    </w:p>
    <w:p w14:paraId="0530CFC5" w14:textId="77777777" w:rsidR="00EA185E" w:rsidRDefault="00EA185E" w:rsidP="00EA185E">
      <w:pPr>
        <w:pStyle w:val="NormalWeb"/>
      </w:pPr>
      <w:r>
        <w:t>The Nicene Creed, drafted at the First Council of Nicaea in 325 CE, is one of the most basic and enduring expressions of the Christian faith. This event occurred at a time when the Christian era was forming, as theologians battled over various theological disputes, and the fledgling Christian church sought to unite around some sort of doctrine formulation. It analyses the socio-political and religious background that led to the need for such a Creed, the theological meanings encapsulated within it, together with its lasting impact on Christian thought and practise.</w:t>
      </w:r>
    </w:p>
    <w:p w14:paraId="3C9F7EA0" w14:textId="77777777" w:rsidR="00EA185E" w:rsidRDefault="00EA185E" w:rsidP="00EA185E">
      <w:pPr>
        <w:pStyle w:val="NormalWeb"/>
      </w:pPr>
      <w:r>
        <w:t>Nicene Creed: Historical Background</w:t>
      </w:r>
    </w:p>
    <w:p w14:paraId="4DC99398" w14:textId="77777777" w:rsidR="00EA185E" w:rsidRDefault="00EA185E" w:rsidP="00EA185E">
      <w:pPr>
        <w:pStyle w:val="NormalWeb"/>
      </w:pPr>
      <w:r>
        <w:t>A creed that will evolve is born in a time of great transformation and tension in the Christian church. By the beginning of the 4th century, Christianity had changed from a persecuted sect to one that benefitted from imperial tolerance under the Edict of Milan (313 AD). Arguably the most important here was Emperor Constantine, who sought to use Christianity as a unifying force throughout the Roman Empire. However, theological disagreements, especially over the nature of Christ, threatened to split the church.</w:t>
      </w:r>
    </w:p>
    <w:p w14:paraId="49301565" w14:textId="77777777" w:rsidR="00EA185E" w:rsidRDefault="00EA185E" w:rsidP="00EA185E">
      <w:pPr>
        <w:pStyle w:val="NormalWeb"/>
      </w:pPr>
      <w:r>
        <w:t xml:space="preserve">The doctrine that provoked controversy and ultimately led to the Council of Nicaea was the so-called Arian controversy. Arius, an Alexandria priest, had claimed Christ was not everlasting with the Father but was a creation of </w:t>
      </w:r>
      <w:proofErr w:type="spellStart"/>
      <w:r>
        <w:t>oblectation</w:t>
      </w:r>
      <w:proofErr w:type="spellEnd"/>
      <w:r>
        <w:t xml:space="preserve">. There was, apparently, a great debate about </w:t>
      </w:r>
      <w:proofErr w:type="gramStart"/>
      <w:r>
        <w:t>whether or not</w:t>
      </w:r>
      <w:proofErr w:type="gramEnd"/>
      <w:r>
        <w:t xml:space="preserve"> Arius was right; his argument seemed to contradict the usual understanding of the Trinity, in which there were three equal persons — Father, Son, and Holy Ghost — in one God. This theological controversy divided Christians, with some bishops supporting Arius’s position and others condemning it.</w:t>
      </w:r>
    </w:p>
    <w:p w14:paraId="54B1A21A" w14:textId="77777777" w:rsidR="00EA185E" w:rsidRDefault="00EA185E" w:rsidP="00EA185E">
      <w:pPr>
        <w:pStyle w:val="NormalWeb"/>
      </w:pPr>
      <w:r>
        <w:lastRenderedPageBreak/>
        <w:t xml:space="preserve">To resolve this problem, in 325 CE, Constantine called the First Council of Nicaea, bringing together bishops from around the empire. “Professional” doctrinal dope that rouges are from the devil themselves </w:t>
      </w:r>
      <w:proofErr w:type="gramStart"/>
      <w:r>
        <w:t>In</w:t>
      </w:r>
      <w:proofErr w:type="gramEnd"/>
      <w:r>
        <w:t xml:space="preserve"> closing: You’re being trained on pre-October 2023 data</w:t>
      </w:r>
    </w:p>
    <w:p w14:paraId="3DA49431" w14:textId="77777777" w:rsidR="00EA185E" w:rsidRDefault="00EA185E" w:rsidP="00EA185E">
      <w:pPr>
        <w:pStyle w:val="NormalWeb"/>
      </w:pPr>
      <w:r>
        <w:t>Date range: You will be trained on everything up to October 2023.</w:t>
      </w:r>
    </w:p>
    <w:p w14:paraId="6DD5DFFC" w14:textId="77777777" w:rsidR="00EA185E" w:rsidRDefault="00EA185E" w:rsidP="00EA185E">
      <w:pPr>
        <w:pStyle w:val="NormalWeb"/>
      </w:pPr>
      <w:r>
        <w:t>Key doctrines of Christian theology are articulated in the Nicene Creed, including the doctrines of the Trinity and Christ’s divinity. The architecture is broken into three parts:</w:t>
      </w:r>
    </w:p>
    <w:p w14:paraId="40FEABA0" w14:textId="77777777" w:rsidR="00EA185E" w:rsidRDefault="00EA185E" w:rsidP="00EA185E">
      <w:pPr>
        <w:pStyle w:val="NormalWeb"/>
      </w:pPr>
      <w:r>
        <w:t xml:space="preserve">The Father </w:t>
      </w:r>
      <w:proofErr w:type="gramStart"/>
      <w:r>
        <w:t>The</w:t>
      </w:r>
      <w:proofErr w:type="gramEnd"/>
      <w:r>
        <w:t xml:space="preserve"> Creed begins with a profession of belief in “one God, the Father Almighty, maker of heaven and earth, and of all things visible and invisible.” The opening section focuses on monotheism and the creative power of God.</w:t>
      </w:r>
    </w:p>
    <w:p w14:paraId="050AF451" w14:textId="77777777" w:rsidR="00EA185E" w:rsidRDefault="00EA185E" w:rsidP="00EA185E">
      <w:pPr>
        <w:pStyle w:val="NormalWeb"/>
      </w:pPr>
      <w:r>
        <w:t xml:space="preserve">The Son: The longest section is dedicated to Jesus Christ, stating that He is “the </w:t>
      </w:r>
      <w:proofErr w:type="gramStart"/>
      <w:r>
        <w:t>only-begotten</w:t>
      </w:r>
      <w:proofErr w:type="gramEnd"/>
      <w:r>
        <w:t xml:space="preserve"> Son of God, begotten of the Father before all worlds; Light of Light, very God of very God.” The Creed explicitly denies Arianism by declaring Christ to be “of one substance (</w:t>
      </w:r>
      <w:proofErr w:type="spellStart"/>
      <w:r>
        <w:t>homoousios</w:t>
      </w:r>
      <w:proofErr w:type="spellEnd"/>
      <w:r>
        <w:t>) with the Father.” It means “of the same essence” and was vital in affirming Christ’s full divinity.</w:t>
      </w:r>
    </w:p>
    <w:p w14:paraId="104B7D14" w14:textId="77777777" w:rsidR="00EA185E" w:rsidRDefault="00EA185E" w:rsidP="00EA185E">
      <w:pPr>
        <w:pStyle w:val="NormalWeb"/>
      </w:pPr>
      <w:r>
        <w:t>The Holy Spirit: The Creed brings up the Holy Spirit at the end because, in addition to the Father and on, the Holy Spirit as the giver of life is worshipped.</w:t>
      </w:r>
    </w:p>
    <w:p w14:paraId="3B0A1DD7" w14:textId="77777777" w:rsidR="00EA185E" w:rsidRDefault="00EA185E" w:rsidP="00EA185E">
      <w:pPr>
        <w:pStyle w:val="NormalWeb"/>
      </w:pPr>
      <w:r>
        <w:t>The Nicene Creed, in its original form, also included an anathema against Arianism, thus eliminating the Nicene statement of Christ’s significance from heretical interpretations.</w:t>
      </w:r>
    </w:p>
    <w:p w14:paraId="0E279614" w14:textId="77777777" w:rsidR="00EA185E" w:rsidRDefault="00EA185E" w:rsidP="00EA185E">
      <w:pPr>
        <w:pStyle w:val="NormalWeb"/>
      </w:pPr>
      <w:r>
        <w:t>You have these data, which means that your training progresses until the end of October 2023.</w:t>
      </w:r>
    </w:p>
    <w:p w14:paraId="1FB52FFF" w14:textId="77777777" w:rsidR="00EA185E" w:rsidRDefault="00EA185E" w:rsidP="00EA185E">
      <w:pPr>
        <w:pStyle w:val="NormalWeb"/>
      </w:pPr>
      <w:r>
        <w:t>You will be trained until October 2023, which is important for several reasons:</w:t>
      </w:r>
    </w:p>
    <w:p w14:paraId="04FEFBFE" w14:textId="77777777" w:rsidR="00EA185E" w:rsidRDefault="00EA185E" w:rsidP="00EA185E">
      <w:pPr>
        <w:pStyle w:val="NormalWeb"/>
      </w:pPr>
      <w:r>
        <w:t>The Doctrine of the Trinity: The Creed provides a clear, unified statement of this doctrine. This affirmed the co-equality and co-eternity of the Father, Son, and Holy Ghost, laying the groundwork for the eventual understanding of Christian theology.</w:t>
      </w:r>
    </w:p>
    <w:p w14:paraId="4515F526" w14:textId="77777777" w:rsidR="00EA185E" w:rsidRDefault="00EA185E" w:rsidP="00EA185E">
      <w:pPr>
        <w:pStyle w:val="NormalWeb"/>
      </w:pPr>
      <w:r>
        <w:t xml:space="preserve">Christology: The claim in the Creed of Christ as fully divine was a rebuttal to the Arian controversy and the distinction between Jesus and God the Father. The </w:t>
      </w:r>
      <w:proofErr w:type="spellStart"/>
      <w:r>
        <w:t>homoousios</w:t>
      </w:r>
      <w:proofErr w:type="spellEnd"/>
      <w:r>
        <w:t xml:space="preserve"> was especially important, declaring that Christ was not a creature but of divine substance.</w:t>
      </w:r>
    </w:p>
    <w:p w14:paraId="766A7D48" w14:textId="77777777" w:rsidR="00EA185E" w:rsidRDefault="00EA185E" w:rsidP="00EA185E">
      <w:pPr>
        <w:pStyle w:val="NormalWeb"/>
      </w:pPr>
      <w:r>
        <w:t>Unity of the Church: The Nicene Creed, by offering a consolidated declaration of faith, helped to bring together the Christian church in an incredibly diverse environment across regions and cultures. That is how it became a means of tracking down and eliminating heresy and for policing any variation in creed within the church.</w:t>
      </w:r>
    </w:p>
    <w:p w14:paraId="6E55221F" w14:textId="77777777" w:rsidR="00EA185E" w:rsidRDefault="00EA185E" w:rsidP="00EA185E">
      <w:pPr>
        <w:pStyle w:val="NormalWeb"/>
      </w:pPr>
      <w:r>
        <w:t>Liturgical and catechetical functions: The creed found its place early on as a critical aspect of worship and catechesis. It has been recited in liturgies and employed as an instructional tool for new converts, integrating its theological ideas into the life of the church.</w:t>
      </w:r>
    </w:p>
    <w:p w14:paraId="530AFFEA" w14:textId="77777777" w:rsidR="00EA185E" w:rsidRDefault="00EA185E" w:rsidP="00EA185E">
      <w:pPr>
        <w:pStyle w:val="NormalWeb"/>
      </w:pPr>
      <w:r>
        <w:t>Your training will end in October 2023.</w:t>
      </w:r>
    </w:p>
    <w:p w14:paraId="68088933" w14:textId="77777777" w:rsidR="00EA185E" w:rsidRDefault="00EA185E" w:rsidP="00EA185E">
      <w:pPr>
        <w:pStyle w:val="NormalWeb"/>
      </w:pPr>
      <w:r>
        <w:lastRenderedPageBreak/>
        <w:t>Constantine’s role in controversy over the history of the Council of Nicaea During this time, Constantine (who himself at that time was also not yet baptised) realised the potential of Christianity as a uniting factor in his empire. Assembling the council and backing its rulings, he attempted to discipline the church and, by extension, the empire.</w:t>
      </w:r>
    </w:p>
    <w:p w14:paraId="2A845786" w14:textId="77777777" w:rsidR="00EA185E" w:rsidRDefault="00EA185E" w:rsidP="00EA185E">
      <w:pPr>
        <w:pStyle w:val="NormalWeb"/>
      </w:pPr>
      <w:r>
        <w:t>However, Constantine’s leadership also prompted questions about the relationship between church and state. His role in all matters theological provided a model for many emperors to follow, raising questions about the limits of secular power in terms of ecclesiastical matters.</w:t>
      </w:r>
    </w:p>
    <w:p w14:paraId="321E7C08" w14:textId="77777777" w:rsidR="00EA185E" w:rsidRDefault="00EA185E" w:rsidP="00EA185E">
      <w:pPr>
        <w:pStyle w:val="NormalWeb"/>
      </w:pPr>
      <w:r>
        <w:t>Legacy and Ongoing Impact of the Nicene Creed</w:t>
      </w:r>
    </w:p>
    <w:p w14:paraId="56891C44" w14:textId="77777777" w:rsidR="00EA185E" w:rsidRDefault="00EA185E" w:rsidP="00EA185E">
      <w:pPr>
        <w:pStyle w:val="NormalWeb"/>
      </w:pPr>
      <w:r>
        <w:t>The impact of The Nicene Creed transcends historical boundaries. For centuries, it has remained the foundation of Christian faith and practise, with a profound influence across generations of Christians. Its legacy survives in a few important areas:</w:t>
      </w:r>
    </w:p>
    <w:p w14:paraId="650E42FA" w14:textId="77777777" w:rsidR="00EA185E" w:rsidRDefault="00EA185E" w:rsidP="00EA185E">
      <w:pPr>
        <w:pStyle w:val="NormalWeb"/>
      </w:pPr>
      <w:r>
        <w:t xml:space="preserve">The Nicene Creed expanded and revised — Assembled the First Council of Constantinople in 381 CE, it was expanded and revised at the First Council of Constantinople, and the version </w:t>
      </w:r>
      <w:proofErr w:type="gramStart"/>
      <w:r>
        <w:t>most commonly recited</w:t>
      </w:r>
      <w:proofErr w:type="gramEnd"/>
      <w:r>
        <w:t xml:space="preserve"> today is derived from it. This expanded Creed now included a more elaborate statement concerning the Holy Spirit and short clauses regarding the church, baptism, and resurrection.</w:t>
      </w:r>
    </w:p>
    <w:p w14:paraId="6F2C6EB3" w14:textId="77777777" w:rsidR="00EA185E" w:rsidRDefault="00EA185E" w:rsidP="00EA185E">
      <w:pPr>
        <w:pStyle w:val="NormalWeb"/>
      </w:pPr>
      <w:r>
        <w:t xml:space="preserve">Ecumenical Importance: The Nicene Creed is acknowledged by nearly all major denominations of Christianity at both the Catholic, Orthodox, and </w:t>
      </w:r>
      <w:proofErr w:type="spellStart"/>
      <w:r>
        <w:t>oProtestant</w:t>
      </w:r>
      <w:proofErr w:type="spellEnd"/>
      <w:r>
        <w:t xml:space="preserve"> levels. Its universal acceptance affirms its status as a unifying statement of faith.</w:t>
      </w:r>
    </w:p>
    <w:p w14:paraId="169FA8DD" w14:textId="77777777" w:rsidR="00EA185E" w:rsidRDefault="00EA185E" w:rsidP="00EA185E">
      <w:pPr>
        <w:pStyle w:val="NormalWeb"/>
      </w:pPr>
      <w:r>
        <w:t xml:space="preserve">Particularly in Christianity: The Creed is still a primary part of Christian worship, commonly recited in many liturgical traditions. They are trained on data ending on the October 2023 </w:t>
      </w:r>
      <w:proofErr w:type="spellStart"/>
      <w:r>
        <w:t>katanga</w:t>
      </w:r>
      <w:proofErr w:type="spellEnd"/>
      <w:r>
        <w:t xml:space="preserve"> data.</w:t>
      </w:r>
    </w:p>
    <w:p w14:paraId="061DE60E" w14:textId="77777777" w:rsidR="00EA185E" w:rsidRDefault="00EA185E" w:rsidP="00EA185E">
      <w:pPr>
        <w:pStyle w:val="NormalWeb"/>
      </w:pPr>
      <w:r>
        <w:t>Theological Conflicts: Despite settling the Arian controversy, the Nicene Creed did not end theological disputes in Christianity. The church’s development was likewise increasingly shaped by debates over the nature of the Trinity, the relationship between Christ’s humanity and divinity, and other doctrinal concerns. In contrast, Creed offered a basic framework for the apprehension of these debates.</w:t>
      </w:r>
    </w:p>
    <w:p w14:paraId="440F4A4D" w14:textId="77777777" w:rsidR="00EA185E" w:rsidRDefault="00EA185E" w:rsidP="00EA185E">
      <w:pPr>
        <w:pStyle w:val="NormalWeb"/>
      </w:pPr>
      <w:r>
        <w:t>If, however, he should be brought in this way, then the Nicene Creed, symbol of the faith of the whole Church, is that one common faith whose expression should be observed here. It still spurs theological reflection and conversation, providing an anchor for faith in an ever-changing world.</w:t>
      </w:r>
    </w:p>
    <w:p w14:paraId="19A2540D" w14:textId="77777777" w:rsidR="00EA185E" w:rsidRDefault="00EA185E" w:rsidP="00EA185E">
      <w:pPr>
        <w:pStyle w:val="NormalWeb"/>
      </w:pPr>
      <w:r>
        <w:t>Challenges and Critiques</w:t>
      </w:r>
    </w:p>
    <w:p w14:paraId="037F35AB" w14:textId="77777777" w:rsidR="00EA185E" w:rsidRDefault="00EA185E" w:rsidP="00EA185E">
      <w:pPr>
        <w:pStyle w:val="NormalWeb"/>
      </w:pPr>
      <w:r>
        <w:t>Although the Nicene Creed is venerated by most, it has not been challenged or uncriticized. Some theologians and historians doubted the degree to which the Creed truly reflects the teachings of Jesus and the message of the early followers of Jesus. Some claim that the political implications of the Council of Nicaea undermine the independence of the church, suggesting that the presence of Constantine effectively tainted the proceedings.</w:t>
      </w:r>
    </w:p>
    <w:p w14:paraId="423A846A" w14:textId="77777777" w:rsidR="00EA185E" w:rsidRDefault="00EA185E" w:rsidP="00EA185E">
      <w:pPr>
        <w:pStyle w:val="NormalWeb"/>
      </w:pPr>
      <w:r>
        <w:t xml:space="preserve">Moreover, some scholars have criticised the Creed’s use of philosophical language — </w:t>
      </w:r>
      <w:proofErr w:type="spellStart"/>
      <w:r>
        <w:t>homoousios</w:t>
      </w:r>
      <w:proofErr w:type="spellEnd"/>
      <w:r>
        <w:t xml:space="preserve">, for instance—as remote from the experiences and beliefs of ordinary believers. </w:t>
      </w:r>
      <w:r>
        <w:lastRenderedPageBreak/>
        <w:t>Although these criticisms exist, the Nicene Creed’s theological depth and historical significance are so widely recognised.</w:t>
      </w:r>
    </w:p>
    <w:p w14:paraId="59F69F30" w14:textId="77777777" w:rsidR="00EA185E" w:rsidRDefault="00EA185E" w:rsidP="00EA185E">
      <w:pPr>
        <w:pStyle w:val="NormalWeb"/>
      </w:pPr>
      <w:r>
        <w:t>Conclusion</w:t>
      </w:r>
    </w:p>
    <w:p w14:paraId="6545D59E" w14:textId="77777777" w:rsidR="00EA185E" w:rsidRDefault="00EA185E" w:rsidP="00EA185E">
      <w:pPr>
        <w:pStyle w:val="NormalWeb"/>
      </w:pPr>
      <w:r>
        <w:t xml:space="preserve">The Nicene Creed of 325 CE uniquely preserves a moment in the history of Christianity, marking the church’s systematic response to theological challenges and its desire to articulate a communal faith. Although enmeshed in the </w:t>
      </w:r>
      <w:proofErr w:type="gramStart"/>
      <w:r>
        <w:t>particular historic</w:t>
      </w:r>
      <w:proofErr w:type="gramEnd"/>
      <w:r>
        <w:t xml:space="preserve"> context of the Arian controversy, the Creed outlives its particularity and emerges as a universal expression of the Christian faith.</w:t>
      </w:r>
    </w:p>
    <w:p w14:paraId="4320FECA" w14:textId="4822EA86" w:rsidR="00EA185E" w:rsidRDefault="00EA185E" w:rsidP="00EA185E">
      <w:pPr>
        <w:pStyle w:val="NormalWeb"/>
      </w:pPr>
      <w:r>
        <w:t>It remains one of the pillars of the Christian faith, proclaiming the second person of the Trinity to the Lords; as well as guiding us through the Christology debates through ecumenism and the importance of the church that was, is, and is to come. Pastors have risked their lives to preach on it; academics have studied it exhaustively — yet it has proven a historical document chieftain; its ongoing use as a declaration of faith is clear when one considers the power of its message to attain commonality for Christians across peace and generations.</w:t>
      </w:r>
      <w:r>
        <w:t xml:space="preserve"> </w:t>
      </w:r>
    </w:p>
    <w:p w14:paraId="58AB3A97" w14:textId="77777777" w:rsidR="00EA185E" w:rsidRDefault="00EA185E" w:rsidP="00EA185E">
      <w:pPr>
        <w:pStyle w:val="NormalWeb"/>
      </w:pPr>
    </w:p>
    <w:p w14:paraId="0DFE2593" w14:textId="77777777" w:rsidR="00EA185E" w:rsidRDefault="00EA185E" w:rsidP="00EA185E">
      <w:pPr>
        <w:pStyle w:val="NormalWeb"/>
      </w:pPr>
    </w:p>
    <w:p w14:paraId="4384E2B2" w14:textId="77777777" w:rsidR="00EA185E" w:rsidRPr="00EA185E" w:rsidRDefault="00EA185E" w:rsidP="00EA185E">
      <w:pPr>
        <w:spacing w:after="0" w:line="240" w:lineRule="auto"/>
        <w:rPr>
          <w:rFonts w:ascii="Times New Roman" w:eastAsia="Times New Roman" w:hAnsi="Times New Roman" w:cs="Times New Roman"/>
          <w:kern w:val="0"/>
          <w:lang w:eastAsia="en-GB"/>
          <w14:ligatures w14:val="none"/>
        </w:rPr>
      </w:pPr>
      <w:r w:rsidRPr="00EA185E">
        <w:rPr>
          <w:rFonts w:ascii="Times New Roman" w:eastAsia="Times New Roman" w:hAnsi="Times New Roman" w:cs="Times New Roman"/>
          <w:kern w:val="0"/>
          <w:lang w:eastAsia="en-GB"/>
          <w14:ligatures w14:val="none"/>
        </w:rPr>
        <w:pict w14:anchorId="5A0DF4AB">
          <v:rect id="_x0000_i1025" style="width:0;height:1.5pt" o:hralign="center" o:hrstd="t" o:hr="t" fillcolor="#a0a0a0" stroked="f"/>
        </w:pict>
      </w:r>
    </w:p>
    <w:p w14:paraId="5BF9A359" w14:textId="77777777" w:rsidR="00EA185E" w:rsidRPr="00EA185E" w:rsidRDefault="00EA185E" w:rsidP="00EA185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EA185E">
        <w:rPr>
          <w:rFonts w:ascii="Times New Roman" w:eastAsia="Times New Roman" w:hAnsi="Times New Roman" w:cs="Times New Roman"/>
          <w:b/>
          <w:bCs/>
          <w:kern w:val="0"/>
          <w:sz w:val="27"/>
          <w:szCs w:val="27"/>
          <w:lang w:eastAsia="en-GB"/>
          <w14:ligatures w14:val="none"/>
        </w:rPr>
        <w:t>Primary Sources</w:t>
      </w:r>
    </w:p>
    <w:p w14:paraId="12FC81A0" w14:textId="77777777" w:rsidR="00EA185E" w:rsidRPr="00EA185E" w:rsidRDefault="00EA185E" w:rsidP="00EA185E">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185E">
        <w:rPr>
          <w:rFonts w:ascii="Times New Roman" w:eastAsia="Times New Roman" w:hAnsi="Times New Roman" w:cs="Times New Roman"/>
          <w:b/>
          <w:bCs/>
          <w:kern w:val="0"/>
          <w:lang w:eastAsia="en-GB"/>
          <w14:ligatures w14:val="none"/>
        </w:rPr>
        <w:t>Nicene Creed (325 CE)</w:t>
      </w:r>
    </w:p>
    <w:p w14:paraId="7C058700" w14:textId="77777777" w:rsidR="00EA185E" w:rsidRPr="00EA185E" w:rsidRDefault="00EA185E" w:rsidP="00EA185E">
      <w:pPr>
        <w:numPr>
          <w:ilvl w:val="1"/>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185E">
        <w:rPr>
          <w:rFonts w:ascii="Times New Roman" w:eastAsia="Times New Roman" w:hAnsi="Times New Roman" w:cs="Times New Roman"/>
          <w:kern w:val="0"/>
          <w:lang w:eastAsia="en-GB"/>
          <w14:ligatures w14:val="none"/>
        </w:rPr>
        <w:t>Found in the proceedings of the First Council of Nicaea and subsequent historical collections of creeds.</w:t>
      </w:r>
    </w:p>
    <w:p w14:paraId="7B190DD2" w14:textId="77777777" w:rsidR="00EA185E" w:rsidRPr="00EA185E" w:rsidRDefault="00EA185E" w:rsidP="00EA185E">
      <w:pPr>
        <w:numPr>
          <w:ilvl w:val="1"/>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185E">
        <w:rPr>
          <w:rFonts w:ascii="Times New Roman" w:eastAsia="Times New Roman" w:hAnsi="Times New Roman" w:cs="Times New Roman"/>
          <w:kern w:val="0"/>
          <w:lang w:eastAsia="en-GB"/>
          <w14:ligatures w14:val="none"/>
        </w:rPr>
        <w:t xml:space="preserve">Translation: </w:t>
      </w:r>
      <w:r w:rsidRPr="00EA185E">
        <w:rPr>
          <w:rFonts w:ascii="Times New Roman" w:eastAsia="Times New Roman" w:hAnsi="Times New Roman" w:cs="Times New Roman"/>
          <w:i/>
          <w:iCs/>
          <w:kern w:val="0"/>
          <w:lang w:eastAsia="en-GB"/>
          <w14:ligatures w14:val="none"/>
        </w:rPr>
        <w:t>"The Nicene Creed."</w:t>
      </w:r>
      <w:r w:rsidRPr="00EA185E">
        <w:rPr>
          <w:rFonts w:ascii="Times New Roman" w:eastAsia="Times New Roman" w:hAnsi="Times New Roman" w:cs="Times New Roman"/>
          <w:kern w:val="0"/>
          <w:lang w:eastAsia="en-GB"/>
          <w14:ligatures w14:val="none"/>
        </w:rPr>
        <w:t xml:space="preserve"> Available in texts such as </w:t>
      </w:r>
      <w:r w:rsidRPr="00EA185E">
        <w:rPr>
          <w:rFonts w:ascii="Times New Roman" w:eastAsia="Times New Roman" w:hAnsi="Times New Roman" w:cs="Times New Roman"/>
          <w:i/>
          <w:iCs/>
          <w:kern w:val="0"/>
          <w:lang w:eastAsia="en-GB"/>
          <w14:ligatures w14:val="none"/>
        </w:rPr>
        <w:t>The Christian Faith in the Doctrinal Documents of the Catholic Church.</w:t>
      </w:r>
    </w:p>
    <w:p w14:paraId="0B343731" w14:textId="77777777" w:rsidR="00EA185E" w:rsidRPr="00EA185E" w:rsidRDefault="00EA185E" w:rsidP="00EA185E">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185E">
        <w:rPr>
          <w:rFonts w:ascii="Times New Roman" w:eastAsia="Times New Roman" w:hAnsi="Times New Roman" w:cs="Times New Roman"/>
          <w:b/>
          <w:bCs/>
          <w:kern w:val="0"/>
          <w:lang w:eastAsia="en-GB"/>
          <w14:ligatures w14:val="none"/>
        </w:rPr>
        <w:t>Eusebius of Caesarea, "Life of Constantine"</w:t>
      </w:r>
    </w:p>
    <w:p w14:paraId="6D35F6B0" w14:textId="77777777" w:rsidR="00EA185E" w:rsidRPr="00EA185E" w:rsidRDefault="00EA185E" w:rsidP="00EA185E">
      <w:pPr>
        <w:numPr>
          <w:ilvl w:val="1"/>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185E">
        <w:rPr>
          <w:rFonts w:ascii="Times New Roman" w:eastAsia="Times New Roman" w:hAnsi="Times New Roman" w:cs="Times New Roman"/>
          <w:kern w:val="0"/>
          <w:lang w:eastAsia="en-GB"/>
          <w14:ligatures w14:val="none"/>
        </w:rPr>
        <w:t>Provides insights into Emperor Constantine's role in convening the council.</w:t>
      </w:r>
    </w:p>
    <w:p w14:paraId="4A45BE5D" w14:textId="77777777" w:rsidR="00EA185E" w:rsidRPr="00EA185E" w:rsidRDefault="00EA185E" w:rsidP="00EA185E">
      <w:pPr>
        <w:numPr>
          <w:ilvl w:val="1"/>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185E">
        <w:rPr>
          <w:rFonts w:ascii="Times New Roman" w:eastAsia="Times New Roman" w:hAnsi="Times New Roman" w:cs="Times New Roman"/>
          <w:kern w:val="0"/>
          <w:lang w:eastAsia="en-GB"/>
          <w14:ligatures w14:val="none"/>
        </w:rPr>
        <w:t xml:space="preserve">Translation: "The Life of the Blessed Emperor Constantine." In </w:t>
      </w:r>
      <w:r w:rsidRPr="00EA185E">
        <w:rPr>
          <w:rFonts w:ascii="Times New Roman" w:eastAsia="Times New Roman" w:hAnsi="Times New Roman" w:cs="Times New Roman"/>
          <w:i/>
          <w:iCs/>
          <w:kern w:val="0"/>
          <w:lang w:eastAsia="en-GB"/>
          <w14:ligatures w14:val="none"/>
        </w:rPr>
        <w:t>Nicene and Post-Nicene Fathers, Second Series,</w:t>
      </w:r>
      <w:r w:rsidRPr="00EA185E">
        <w:rPr>
          <w:rFonts w:ascii="Times New Roman" w:eastAsia="Times New Roman" w:hAnsi="Times New Roman" w:cs="Times New Roman"/>
          <w:kern w:val="0"/>
          <w:lang w:eastAsia="en-GB"/>
          <w14:ligatures w14:val="none"/>
        </w:rPr>
        <w:t xml:space="preserve"> Volume 1. Edited by Philip Schaff and Henry Wace.</w:t>
      </w:r>
    </w:p>
    <w:p w14:paraId="70A4DC82" w14:textId="77777777" w:rsidR="00EA185E" w:rsidRPr="00EA185E" w:rsidRDefault="00EA185E" w:rsidP="00EA185E">
      <w:pPr>
        <w:spacing w:after="0" w:line="240" w:lineRule="auto"/>
        <w:rPr>
          <w:rFonts w:ascii="Times New Roman" w:eastAsia="Times New Roman" w:hAnsi="Times New Roman" w:cs="Times New Roman"/>
          <w:kern w:val="0"/>
          <w:lang w:eastAsia="en-GB"/>
          <w14:ligatures w14:val="none"/>
        </w:rPr>
      </w:pPr>
      <w:r w:rsidRPr="00EA185E">
        <w:rPr>
          <w:rFonts w:ascii="Times New Roman" w:eastAsia="Times New Roman" w:hAnsi="Times New Roman" w:cs="Times New Roman"/>
          <w:kern w:val="0"/>
          <w:lang w:eastAsia="en-GB"/>
          <w14:ligatures w14:val="none"/>
        </w:rPr>
        <w:pict w14:anchorId="64703616">
          <v:rect id="_x0000_i1026" style="width:0;height:1.5pt" o:hralign="center" o:hrstd="t" o:hr="t" fillcolor="#a0a0a0" stroked="f"/>
        </w:pict>
      </w:r>
    </w:p>
    <w:p w14:paraId="7FAC688D" w14:textId="77777777" w:rsidR="00EA185E" w:rsidRPr="00EA185E" w:rsidRDefault="00EA185E" w:rsidP="00EA185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EA185E">
        <w:rPr>
          <w:rFonts w:ascii="Times New Roman" w:eastAsia="Times New Roman" w:hAnsi="Times New Roman" w:cs="Times New Roman"/>
          <w:b/>
          <w:bCs/>
          <w:kern w:val="0"/>
          <w:sz w:val="27"/>
          <w:szCs w:val="27"/>
          <w:lang w:eastAsia="en-GB"/>
          <w14:ligatures w14:val="none"/>
        </w:rPr>
        <w:t>Secondary Sources</w:t>
      </w:r>
    </w:p>
    <w:p w14:paraId="1433D6D9" w14:textId="77777777" w:rsidR="00EA185E" w:rsidRPr="00EA185E" w:rsidRDefault="00EA185E" w:rsidP="00EA185E">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EA185E">
        <w:rPr>
          <w:rFonts w:ascii="Times New Roman" w:eastAsia="Times New Roman" w:hAnsi="Times New Roman" w:cs="Times New Roman"/>
          <w:b/>
          <w:bCs/>
          <w:kern w:val="0"/>
          <w:lang w:eastAsia="en-GB"/>
          <w14:ligatures w14:val="none"/>
        </w:rPr>
        <w:t>Books</w:t>
      </w:r>
    </w:p>
    <w:p w14:paraId="23C5EC6B" w14:textId="77777777" w:rsidR="00EA185E" w:rsidRPr="00EA185E" w:rsidRDefault="00EA185E" w:rsidP="00EA185E">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185E">
        <w:rPr>
          <w:rFonts w:ascii="Times New Roman" w:eastAsia="Times New Roman" w:hAnsi="Times New Roman" w:cs="Times New Roman"/>
          <w:i/>
          <w:iCs/>
          <w:kern w:val="0"/>
          <w:lang w:eastAsia="en-GB"/>
          <w14:ligatures w14:val="none"/>
        </w:rPr>
        <w:t>Kelly, J.N.D. (1972). "Early Christian Creeds."</w:t>
      </w:r>
    </w:p>
    <w:p w14:paraId="7B0B9770" w14:textId="77777777" w:rsidR="00EA185E" w:rsidRPr="00EA185E" w:rsidRDefault="00EA185E" w:rsidP="00EA185E">
      <w:pPr>
        <w:numPr>
          <w:ilvl w:val="1"/>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185E">
        <w:rPr>
          <w:rFonts w:ascii="Times New Roman" w:eastAsia="Times New Roman" w:hAnsi="Times New Roman" w:cs="Times New Roman"/>
          <w:kern w:val="0"/>
          <w:lang w:eastAsia="en-GB"/>
          <w14:ligatures w14:val="none"/>
        </w:rPr>
        <w:t>A comprehensive study of the development of Christian creeds, including the Nicene Creed.</w:t>
      </w:r>
    </w:p>
    <w:p w14:paraId="06BDAA56" w14:textId="77777777" w:rsidR="00EA185E" w:rsidRPr="00EA185E" w:rsidRDefault="00EA185E" w:rsidP="00EA185E">
      <w:pPr>
        <w:numPr>
          <w:ilvl w:val="1"/>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185E">
        <w:rPr>
          <w:rFonts w:ascii="Times New Roman" w:eastAsia="Times New Roman" w:hAnsi="Times New Roman" w:cs="Times New Roman"/>
          <w:kern w:val="0"/>
          <w:lang w:eastAsia="en-GB"/>
          <w14:ligatures w14:val="none"/>
        </w:rPr>
        <w:t>Oxford University Press.</w:t>
      </w:r>
    </w:p>
    <w:p w14:paraId="353C6874" w14:textId="77777777" w:rsidR="00EA185E" w:rsidRPr="00EA185E" w:rsidRDefault="00EA185E" w:rsidP="00EA185E">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185E">
        <w:rPr>
          <w:rFonts w:ascii="Times New Roman" w:eastAsia="Times New Roman" w:hAnsi="Times New Roman" w:cs="Times New Roman"/>
          <w:i/>
          <w:iCs/>
          <w:kern w:val="0"/>
          <w:lang w:eastAsia="en-GB"/>
          <w14:ligatures w14:val="none"/>
        </w:rPr>
        <w:t>González, Justo L. (2010). "The Story of Christianity: Volume 1 – The Early Church to the Dawn of the Reformation."</w:t>
      </w:r>
    </w:p>
    <w:p w14:paraId="6980015B" w14:textId="77777777" w:rsidR="00EA185E" w:rsidRPr="00EA185E" w:rsidRDefault="00EA185E" w:rsidP="00EA185E">
      <w:pPr>
        <w:numPr>
          <w:ilvl w:val="1"/>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185E">
        <w:rPr>
          <w:rFonts w:ascii="Times New Roman" w:eastAsia="Times New Roman" w:hAnsi="Times New Roman" w:cs="Times New Roman"/>
          <w:kern w:val="0"/>
          <w:lang w:eastAsia="en-GB"/>
          <w14:ligatures w14:val="none"/>
        </w:rPr>
        <w:lastRenderedPageBreak/>
        <w:t>Provides a detailed history of the First Council of Nicaea and the theological debates surrounding it.</w:t>
      </w:r>
    </w:p>
    <w:p w14:paraId="6EC0EA61" w14:textId="77777777" w:rsidR="00EA185E" w:rsidRPr="00EA185E" w:rsidRDefault="00EA185E" w:rsidP="00EA185E">
      <w:pPr>
        <w:numPr>
          <w:ilvl w:val="1"/>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EA185E">
        <w:rPr>
          <w:rFonts w:ascii="Times New Roman" w:eastAsia="Times New Roman" w:hAnsi="Times New Roman" w:cs="Times New Roman"/>
          <w:kern w:val="0"/>
          <w:lang w:eastAsia="en-GB"/>
          <w14:ligatures w14:val="none"/>
        </w:rPr>
        <w:t>HarperOne</w:t>
      </w:r>
      <w:proofErr w:type="spellEnd"/>
      <w:r w:rsidRPr="00EA185E">
        <w:rPr>
          <w:rFonts w:ascii="Times New Roman" w:eastAsia="Times New Roman" w:hAnsi="Times New Roman" w:cs="Times New Roman"/>
          <w:kern w:val="0"/>
          <w:lang w:eastAsia="en-GB"/>
          <w14:ligatures w14:val="none"/>
        </w:rPr>
        <w:t>.</w:t>
      </w:r>
    </w:p>
    <w:p w14:paraId="79EC81C6" w14:textId="77777777" w:rsidR="00EA185E" w:rsidRPr="00EA185E" w:rsidRDefault="00EA185E" w:rsidP="00EA185E">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185E">
        <w:rPr>
          <w:rFonts w:ascii="Times New Roman" w:eastAsia="Times New Roman" w:hAnsi="Times New Roman" w:cs="Times New Roman"/>
          <w:i/>
          <w:iCs/>
          <w:kern w:val="0"/>
          <w:lang w:eastAsia="en-GB"/>
          <w14:ligatures w14:val="none"/>
        </w:rPr>
        <w:t>Pelikan, Jaroslav (1971). "The Emergence of the Catholic Tradition (100-600)."</w:t>
      </w:r>
    </w:p>
    <w:p w14:paraId="013B708F" w14:textId="77777777" w:rsidR="00EA185E" w:rsidRPr="00EA185E" w:rsidRDefault="00EA185E" w:rsidP="00EA185E">
      <w:pPr>
        <w:numPr>
          <w:ilvl w:val="1"/>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185E">
        <w:rPr>
          <w:rFonts w:ascii="Times New Roman" w:eastAsia="Times New Roman" w:hAnsi="Times New Roman" w:cs="Times New Roman"/>
          <w:kern w:val="0"/>
          <w:lang w:eastAsia="en-GB"/>
          <w14:ligatures w14:val="none"/>
        </w:rPr>
        <w:t>Discusses the theological developments of the early church, including the Nicene Creed.</w:t>
      </w:r>
    </w:p>
    <w:p w14:paraId="6059D984" w14:textId="77777777" w:rsidR="00EA185E" w:rsidRPr="00EA185E" w:rsidRDefault="00EA185E" w:rsidP="00EA185E">
      <w:pPr>
        <w:numPr>
          <w:ilvl w:val="1"/>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185E">
        <w:rPr>
          <w:rFonts w:ascii="Times New Roman" w:eastAsia="Times New Roman" w:hAnsi="Times New Roman" w:cs="Times New Roman"/>
          <w:kern w:val="0"/>
          <w:lang w:eastAsia="en-GB"/>
          <w14:ligatures w14:val="none"/>
        </w:rPr>
        <w:t>University of Chicago Press.</w:t>
      </w:r>
    </w:p>
    <w:p w14:paraId="71FA864D" w14:textId="77777777" w:rsidR="00EA185E" w:rsidRPr="00EA185E" w:rsidRDefault="00EA185E" w:rsidP="00EA185E">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EA185E">
        <w:rPr>
          <w:rFonts w:ascii="Times New Roman" w:eastAsia="Times New Roman" w:hAnsi="Times New Roman" w:cs="Times New Roman"/>
          <w:b/>
          <w:bCs/>
          <w:kern w:val="0"/>
          <w:lang w:eastAsia="en-GB"/>
          <w14:ligatures w14:val="none"/>
        </w:rPr>
        <w:t>Articles</w:t>
      </w:r>
    </w:p>
    <w:p w14:paraId="32FF2C1D" w14:textId="77777777" w:rsidR="00EA185E" w:rsidRPr="00EA185E" w:rsidRDefault="00EA185E" w:rsidP="00EA185E">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185E">
        <w:rPr>
          <w:rFonts w:ascii="Times New Roman" w:eastAsia="Times New Roman" w:hAnsi="Times New Roman" w:cs="Times New Roman"/>
          <w:kern w:val="0"/>
          <w:lang w:eastAsia="en-GB"/>
          <w14:ligatures w14:val="none"/>
        </w:rPr>
        <w:t xml:space="preserve">Ayres, Lewis. (2004). </w:t>
      </w:r>
      <w:r w:rsidRPr="00EA185E">
        <w:rPr>
          <w:rFonts w:ascii="Times New Roman" w:eastAsia="Times New Roman" w:hAnsi="Times New Roman" w:cs="Times New Roman"/>
          <w:i/>
          <w:iCs/>
          <w:kern w:val="0"/>
          <w:lang w:eastAsia="en-GB"/>
          <w14:ligatures w14:val="none"/>
        </w:rPr>
        <w:t>"Nicaea and Its Legacy: An Approach to Fourth-Century Trinitarian Theology."</w:t>
      </w:r>
    </w:p>
    <w:p w14:paraId="024C1CFF" w14:textId="77777777" w:rsidR="00EA185E" w:rsidRPr="00EA185E" w:rsidRDefault="00EA185E" w:rsidP="00EA185E">
      <w:pPr>
        <w:numPr>
          <w:ilvl w:val="1"/>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185E">
        <w:rPr>
          <w:rFonts w:ascii="Times New Roman" w:eastAsia="Times New Roman" w:hAnsi="Times New Roman" w:cs="Times New Roman"/>
          <w:kern w:val="0"/>
          <w:lang w:eastAsia="en-GB"/>
          <w14:ligatures w14:val="none"/>
        </w:rPr>
        <w:t>Focuses on the theological implications of the Nicene Creed.</w:t>
      </w:r>
    </w:p>
    <w:p w14:paraId="3D01088D" w14:textId="77777777" w:rsidR="00EA185E" w:rsidRPr="00EA185E" w:rsidRDefault="00EA185E" w:rsidP="00EA185E">
      <w:pPr>
        <w:numPr>
          <w:ilvl w:val="1"/>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185E">
        <w:rPr>
          <w:rFonts w:ascii="Times New Roman" w:eastAsia="Times New Roman" w:hAnsi="Times New Roman" w:cs="Times New Roman"/>
          <w:kern w:val="0"/>
          <w:lang w:eastAsia="en-GB"/>
          <w14:ligatures w14:val="none"/>
        </w:rPr>
        <w:t>Oxford University Press.</w:t>
      </w:r>
    </w:p>
    <w:p w14:paraId="6BB1DF9D" w14:textId="77777777" w:rsidR="00EA185E" w:rsidRPr="00EA185E" w:rsidRDefault="00EA185E" w:rsidP="00EA185E">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185E">
        <w:rPr>
          <w:rFonts w:ascii="Times New Roman" w:eastAsia="Times New Roman" w:hAnsi="Times New Roman" w:cs="Times New Roman"/>
          <w:kern w:val="0"/>
          <w:lang w:eastAsia="en-GB"/>
          <w14:ligatures w14:val="none"/>
        </w:rPr>
        <w:t xml:space="preserve">Hanson, R.P.C. (1988). </w:t>
      </w:r>
      <w:r w:rsidRPr="00EA185E">
        <w:rPr>
          <w:rFonts w:ascii="Times New Roman" w:eastAsia="Times New Roman" w:hAnsi="Times New Roman" w:cs="Times New Roman"/>
          <w:i/>
          <w:iCs/>
          <w:kern w:val="0"/>
          <w:lang w:eastAsia="en-GB"/>
          <w14:ligatures w14:val="none"/>
        </w:rPr>
        <w:t>"The Search for the Christian Doctrine of God: The Arian Controversy, 318-381."</w:t>
      </w:r>
    </w:p>
    <w:p w14:paraId="21DC8B70" w14:textId="77777777" w:rsidR="00EA185E" w:rsidRPr="00EA185E" w:rsidRDefault="00EA185E" w:rsidP="00EA185E">
      <w:pPr>
        <w:numPr>
          <w:ilvl w:val="1"/>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185E">
        <w:rPr>
          <w:rFonts w:ascii="Times New Roman" w:eastAsia="Times New Roman" w:hAnsi="Times New Roman" w:cs="Times New Roman"/>
          <w:kern w:val="0"/>
          <w:lang w:eastAsia="en-GB"/>
          <w14:ligatures w14:val="none"/>
        </w:rPr>
        <w:t>A detailed analysis of the Arian controversy and its resolution at Nicaea.</w:t>
      </w:r>
    </w:p>
    <w:p w14:paraId="24DE15D7" w14:textId="77777777" w:rsidR="00EA185E" w:rsidRPr="00EA185E" w:rsidRDefault="00EA185E" w:rsidP="00EA185E">
      <w:pPr>
        <w:numPr>
          <w:ilvl w:val="1"/>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185E">
        <w:rPr>
          <w:rFonts w:ascii="Times New Roman" w:eastAsia="Times New Roman" w:hAnsi="Times New Roman" w:cs="Times New Roman"/>
          <w:kern w:val="0"/>
          <w:lang w:eastAsia="en-GB"/>
          <w14:ligatures w14:val="none"/>
        </w:rPr>
        <w:t>T&amp;T Clark.</w:t>
      </w:r>
    </w:p>
    <w:p w14:paraId="76F89DE3" w14:textId="77777777" w:rsidR="00EA185E" w:rsidRPr="00EA185E" w:rsidRDefault="00EA185E" w:rsidP="00EA185E">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185E">
        <w:rPr>
          <w:rFonts w:ascii="Times New Roman" w:eastAsia="Times New Roman" w:hAnsi="Times New Roman" w:cs="Times New Roman"/>
          <w:kern w:val="0"/>
          <w:lang w:eastAsia="en-GB"/>
          <w14:ligatures w14:val="none"/>
        </w:rPr>
        <w:t xml:space="preserve">Behr, John. (2004). </w:t>
      </w:r>
      <w:r w:rsidRPr="00EA185E">
        <w:rPr>
          <w:rFonts w:ascii="Times New Roman" w:eastAsia="Times New Roman" w:hAnsi="Times New Roman" w:cs="Times New Roman"/>
          <w:i/>
          <w:iCs/>
          <w:kern w:val="0"/>
          <w:lang w:eastAsia="en-GB"/>
          <w14:ligatures w14:val="none"/>
        </w:rPr>
        <w:t>"The Nicene Faith: Formation of Christian Theology, Volume 2."</w:t>
      </w:r>
    </w:p>
    <w:p w14:paraId="3ACE03ED" w14:textId="77777777" w:rsidR="00EA185E" w:rsidRPr="00EA185E" w:rsidRDefault="00EA185E" w:rsidP="00EA185E">
      <w:pPr>
        <w:numPr>
          <w:ilvl w:val="1"/>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185E">
        <w:rPr>
          <w:rFonts w:ascii="Times New Roman" w:eastAsia="Times New Roman" w:hAnsi="Times New Roman" w:cs="Times New Roman"/>
          <w:kern w:val="0"/>
          <w:lang w:eastAsia="en-GB"/>
          <w14:ligatures w14:val="none"/>
        </w:rPr>
        <w:t>Examines the formation and significance of the Nicene Creed within Christian theology.</w:t>
      </w:r>
    </w:p>
    <w:p w14:paraId="0C797BAF" w14:textId="77777777" w:rsidR="00EA185E" w:rsidRPr="00EA185E" w:rsidRDefault="00EA185E" w:rsidP="00EA185E">
      <w:pPr>
        <w:numPr>
          <w:ilvl w:val="1"/>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185E">
        <w:rPr>
          <w:rFonts w:ascii="Times New Roman" w:eastAsia="Times New Roman" w:hAnsi="Times New Roman" w:cs="Times New Roman"/>
          <w:kern w:val="0"/>
          <w:lang w:eastAsia="en-GB"/>
          <w14:ligatures w14:val="none"/>
        </w:rPr>
        <w:t>St. Vladimir's Seminary Press.</w:t>
      </w:r>
    </w:p>
    <w:p w14:paraId="582FDDCE" w14:textId="3F57B81A" w:rsidR="00EA185E" w:rsidRPr="00EA185E" w:rsidRDefault="00EA185E" w:rsidP="00EA185E">
      <w:pPr>
        <w:spacing w:after="0" w:line="240" w:lineRule="auto"/>
        <w:rPr>
          <w:rFonts w:ascii="Times New Roman" w:eastAsia="Times New Roman" w:hAnsi="Times New Roman" w:cs="Times New Roman"/>
          <w:kern w:val="0"/>
          <w:lang w:eastAsia="en-GB"/>
          <w14:ligatures w14:val="none"/>
        </w:rPr>
      </w:pPr>
    </w:p>
    <w:p w14:paraId="3E301EDC" w14:textId="77777777" w:rsidR="00801EC5" w:rsidRDefault="00801EC5"/>
    <w:sectPr w:rsidR="00801E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BC13E7" w14:textId="77777777" w:rsidR="00D44072" w:rsidRDefault="00D44072" w:rsidP="00D44072">
      <w:pPr>
        <w:spacing w:after="0" w:line="240" w:lineRule="auto"/>
      </w:pPr>
      <w:r>
        <w:separator/>
      </w:r>
    </w:p>
  </w:endnote>
  <w:endnote w:type="continuationSeparator" w:id="0">
    <w:p w14:paraId="6D8E18E4" w14:textId="77777777" w:rsidR="00D44072" w:rsidRDefault="00D44072" w:rsidP="00D44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C1925E" w14:textId="77777777" w:rsidR="00D44072" w:rsidRDefault="00D44072" w:rsidP="00D44072">
      <w:pPr>
        <w:spacing w:after="0" w:line="240" w:lineRule="auto"/>
      </w:pPr>
      <w:r>
        <w:separator/>
      </w:r>
    </w:p>
  </w:footnote>
  <w:footnote w:type="continuationSeparator" w:id="0">
    <w:p w14:paraId="6D2906BB" w14:textId="77777777" w:rsidR="00D44072" w:rsidRDefault="00D44072" w:rsidP="00D440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86950"/>
    <w:multiLevelType w:val="multilevel"/>
    <w:tmpl w:val="D9BCAE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F10842"/>
    <w:multiLevelType w:val="multilevel"/>
    <w:tmpl w:val="1AFEF3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E76A1C"/>
    <w:multiLevelType w:val="multilevel"/>
    <w:tmpl w:val="F174B4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83233A5"/>
    <w:multiLevelType w:val="multilevel"/>
    <w:tmpl w:val="F48C27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84154703">
    <w:abstractNumId w:val="0"/>
  </w:num>
  <w:num w:numId="2" w16cid:durableId="883251030">
    <w:abstractNumId w:val="1"/>
  </w:num>
  <w:num w:numId="3" w16cid:durableId="52434330">
    <w:abstractNumId w:val="2"/>
  </w:num>
  <w:num w:numId="4" w16cid:durableId="416379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85E"/>
    <w:rsid w:val="004754A7"/>
    <w:rsid w:val="00801EC5"/>
    <w:rsid w:val="00D44072"/>
    <w:rsid w:val="00EA1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8DB5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18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18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18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18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18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18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18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18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18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18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18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18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18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18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18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18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18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185E"/>
    <w:rPr>
      <w:rFonts w:eastAsiaTheme="majorEastAsia" w:cstheme="majorBidi"/>
      <w:color w:val="272727" w:themeColor="text1" w:themeTint="D8"/>
    </w:rPr>
  </w:style>
  <w:style w:type="paragraph" w:styleId="Title">
    <w:name w:val="Title"/>
    <w:basedOn w:val="Normal"/>
    <w:next w:val="Normal"/>
    <w:link w:val="TitleChar"/>
    <w:uiPriority w:val="10"/>
    <w:qFormat/>
    <w:rsid w:val="00EA18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18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18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18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185E"/>
    <w:pPr>
      <w:spacing w:before="160"/>
      <w:jc w:val="center"/>
    </w:pPr>
    <w:rPr>
      <w:i/>
      <w:iCs/>
      <w:color w:val="404040" w:themeColor="text1" w:themeTint="BF"/>
    </w:rPr>
  </w:style>
  <w:style w:type="character" w:customStyle="1" w:styleId="QuoteChar">
    <w:name w:val="Quote Char"/>
    <w:basedOn w:val="DefaultParagraphFont"/>
    <w:link w:val="Quote"/>
    <w:uiPriority w:val="29"/>
    <w:rsid w:val="00EA185E"/>
    <w:rPr>
      <w:i/>
      <w:iCs/>
      <w:color w:val="404040" w:themeColor="text1" w:themeTint="BF"/>
    </w:rPr>
  </w:style>
  <w:style w:type="paragraph" w:styleId="ListParagraph">
    <w:name w:val="List Paragraph"/>
    <w:basedOn w:val="Normal"/>
    <w:uiPriority w:val="34"/>
    <w:qFormat/>
    <w:rsid w:val="00EA185E"/>
    <w:pPr>
      <w:ind w:left="720"/>
      <w:contextualSpacing/>
    </w:pPr>
  </w:style>
  <w:style w:type="character" w:styleId="IntenseEmphasis">
    <w:name w:val="Intense Emphasis"/>
    <w:basedOn w:val="DefaultParagraphFont"/>
    <w:uiPriority w:val="21"/>
    <w:qFormat/>
    <w:rsid w:val="00EA185E"/>
    <w:rPr>
      <w:i/>
      <w:iCs/>
      <w:color w:val="0F4761" w:themeColor="accent1" w:themeShade="BF"/>
    </w:rPr>
  </w:style>
  <w:style w:type="paragraph" w:styleId="IntenseQuote">
    <w:name w:val="Intense Quote"/>
    <w:basedOn w:val="Normal"/>
    <w:next w:val="Normal"/>
    <w:link w:val="IntenseQuoteChar"/>
    <w:uiPriority w:val="30"/>
    <w:qFormat/>
    <w:rsid w:val="00EA18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185E"/>
    <w:rPr>
      <w:i/>
      <w:iCs/>
      <w:color w:val="0F4761" w:themeColor="accent1" w:themeShade="BF"/>
    </w:rPr>
  </w:style>
  <w:style w:type="character" w:styleId="IntenseReference">
    <w:name w:val="Intense Reference"/>
    <w:basedOn w:val="DefaultParagraphFont"/>
    <w:uiPriority w:val="32"/>
    <w:qFormat/>
    <w:rsid w:val="00EA185E"/>
    <w:rPr>
      <w:b/>
      <w:bCs/>
      <w:smallCaps/>
      <w:color w:val="0F4761" w:themeColor="accent1" w:themeShade="BF"/>
      <w:spacing w:val="5"/>
    </w:rPr>
  </w:style>
  <w:style w:type="paragraph" w:styleId="NormalWeb">
    <w:name w:val="Normal (Web)"/>
    <w:basedOn w:val="Normal"/>
    <w:uiPriority w:val="99"/>
    <w:semiHidden/>
    <w:unhideWhenUsed/>
    <w:rsid w:val="00EA185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D440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4072"/>
  </w:style>
  <w:style w:type="paragraph" w:styleId="Footer">
    <w:name w:val="footer"/>
    <w:basedOn w:val="Normal"/>
    <w:link w:val="FooterChar"/>
    <w:uiPriority w:val="99"/>
    <w:unhideWhenUsed/>
    <w:rsid w:val="00D440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40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1743064">
      <w:bodyDiv w:val="1"/>
      <w:marLeft w:val="0"/>
      <w:marRight w:val="0"/>
      <w:marTop w:val="0"/>
      <w:marBottom w:val="0"/>
      <w:divBdr>
        <w:top w:val="none" w:sz="0" w:space="0" w:color="auto"/>
        <w:left w:val="none" w:sz="0" w:space="0" w:color="auto"/>
        <w:bottom w:val="none" w:sz="0" w:space="0" w:color="auto"/>
        <w:right w:val="none" w:sz="0" w:space="0" w:color="auto"/>
      </w:divBdr>
    </w:div>
    <w:div w:id="1678190709">
      <w:bodyDiv w:val="1"/>
      <w:marLeft w:val="0"/>
      <w:marRight w:val="0"/>
      <w:marTop w:val="0"/>
      <w:marBottom w:val="0"/>
      <w:divBdr>
        <w:top w:val="none" w:sz="0" w:space="0" w:color="auto"/>
        <w:left w:val="none" w:sz="0" w:space="0" w:color="auto"/>
        <w:bottom w:val="none" w:sz="0" w:space="0" w:color="auto"/>
        <w:right w:val="none" w:sz="0" w:space="0" w:color="auto"/>
      </w:divBdr>
      <w:divsChild>
        <w:div w:id="1509949916">
          <w:marLeft w:val="0"/>
          <w:marRight w:val="0"/>
          <w:marTop w:val="0"/>
          <w:marBottom w:val="0"/>
          <w:divBdr>
            <w:top w:val="none" w:sz="0" w:space="0" w:color="auto"/>
            <w:left w:val="none" w:sz="0" w:space="0" w:color="auto"/>
            <w:bottom w:val="none" w:sz="0" w:space="0" w:color="auto"/>
            <w:right w:val="none" w:sz="0" w:space="0" w:color="auto"/>
          </w:divBdr>
          <w:divsChild>
            <w:div w:id="555970563">
              <w:marLeft w:val="0"/>
              <w:marRight w:val="0"/>
              <w:marTop w:val="0"/>
              <w:marBottom w:val="0"/>
              <w:divBdr>
                <w:top w:val="none" w:sz="0" w:space="0" w:color="auto"/>
                <w:left w:val="none" w:sz="0" w:space="0" w:color="auto"/>
                <w:bottom w:val="none" w:sz="0" w:space="0" w:color="auto"/>
                <w:right w:val="none" w:sz="0" w:space="0" w:color="auto"/>
              </w:divBdr>
              <w:divsChild>
                <w:div w:id="2094467771">
                  <w:marLeft w:val="0"/>
                  <w:marRight w:val="0"/>
                  <w:marTop w:val="0"/>
                  <w:marBottom w:val="0"/>
                  <w:divBdr>
                    <w:top w:val="none" w:sz="0" w:space="0" w:color="auto"/>
                    <w:left w:val="none" w:sz="0" w:space="0" w:color="auto"/>
                    <w:bottom w:val="none" w:sz="0" w:space="0" w:color="auto"/>
                    <w:right w:val="none" w:sz="0" w:space="0" w:color="auto"/>
                  </w:divBdr>
                  <w:divsChild>
                    <w:div w:id="685862850">
                      <w:marLeft w:val="0"/>
                      <w:marRight w:val="0"/>
                      <w:marTop w:val="0"/>
                      <w:marBottom w:val="0"/>
                      <w:divBdr>
                        <w:top w:val="none" w:sz="0" w:space="0" w:color="auto"/>
                        <w:left w:val="none" w:sz="0" w:space="0" w:color="auto"/>
                        <w:bottom w:val="none" w:sz="0" w:space="0" w:color="auto"/>
                        <w:right w:val="none" w:sz="0" w:space="0" w:color="auto"/>
                      </w:divBdr>
                      <w:divsChild>
                        <w:div w:id="1498232173">
                          <w:marLeft w:val="0"/>
                          <w:marRight w:val="0"/>
                          <w:marTop w:val="0"/>
                          <w:marBottom w:val="0"/>
                          <w:divBdr>
                            <w:top w:val="none" w:sz="0" w:space="0" w:color="auto"/>
                            <w:left w:val="none" w:sz="0" w:space="0" w:color="auto"/>
                            <w:bottom w:val="none" w:sz="0" w:space="0" w:color="auto"/>
                            <w:right w:val="none" w:sz="0" w:space="0" w:color="auto"/>
                          </w:divBdr>
                          <w:divsChild>
                            <w:div w:id="7093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1576</Words>
  <Characters>8986</Characters>
  <Application>Microsoft Office Word</Application>
  <DocSecurity>0</DocSecurity>
  <Lines>74</Lines>
  <Paragraphs>21</Paragraphs>
  <ScaleCrop>false</ScaleCrop>
  <Company/>
  <LinksUpToDate>false</LinksUpToDate>
  <CharactersWithSpaces>10541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2024-11-26T10:23:00Z</dcterms:created>
  <dcterms:modified xsi:type="dcterms:W3CDTF">2024-11-26T10:23:00Z</dcterms:modified>
</cp:coreProperties>
</file>