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25902236"/>
        <w:docPartObj>
          <w:docPartGallery w:val="Cover Pages"/>
          <w:docPartUnique/>
        </w:docPartObj>
      </w:sdtPr>
      <w:sdtEndPr>
        <w:rPr>
          <w:rFonts w:ascii="Arial" w:hAnsi="Arial" w:cs="Arial"/>
        </w:rPr>
      </w:sdtEndPr>
      <w:sdtContent>
        <w:p w14:paraId="484FA49A" w14:textId="00736E81" w:rsidR="00F2512B" w:rsidRDefault="00F2512B"/>
        <w:p w14:paraId="1D968144" w14:textId="3A4370FF" w:rsidR="000371D9" w:rsidRPr="006D2BED" w:rsidRDefault="00F2512B" w:rsidP="006D2BED">
          <w:pPr>
            <w:rPr>
              <w:rFonts w:ascii="Arial" w:eastAsiaTheme="majorEastAsia" w:hAnsi="Arial" w:cs="Arial"/>
              <w:color w:val="0F4761" w:themeColor="accent1" w:themeShade="BF"/>
              <w:sz w:val="40"/>
              <w:szCs w:val="40"/>
            </w:rPr>
          </w:pPr>
          <w:r>
            <w:rPr>
              <w:noProof/>
            </w:rPr>
            <mc:AlternateContent>
              <mc:Choice Requires="wps">
                <w:drawing>
                  <wp:anchor distT="0" distB="0" distL="182880" distR="182880" simplePos="0" relativeHeight="251660288" behindDoc="0" locked="0" layoutInCell="1" allowOverlap="1" wp14:anchorId="39D11B67" wp14:editId="7FE4813C">
                    <wp:simplePos x="0" y="0"/>
                    <wp:positionH relativeFrom="margin">
                      <wp:posOffset>88265</wp:posOffset>
                    </wp:positionH>
                    <wp:positionV relativeFrom="page">
                      <wp:posOffset>3730625</wp:posOffset>
                    </wp:positionV>
                    <wp:extent cx="5621655" cy="3594735"/>
                    <wp:effectExtent l="0" t="0" r="0" b="5715"/>
                    <wp:wrapSquare wrapText="bothSides"/>
                    <wp:docPr id="131" name="Text Box 131"/>
                    <wp:cNvGraphicFramePr/>
                    <a:graphic xmlns:a="http://schemas.openxmlformats.org/drawingml/2006/main">
                      <a:graphicData uri="http://schemas.microsoft.com/office/word/2010/wordprocessingShape">
                        <wps:wsp>
                          <wps:cNvSpPr txBox="1"/>
                          <wps:spPr>
                            <a:xfrm>
                              <a:off x="0" y="0"/>
                              <a:ext cx="5621655" cy="35947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9C6E3" w14:textId="4CF08F2B" w:rsidR="00F2512B" w:rsidRPr="00CF3C2E" w:rsidRDefault="00D039CE" w:rsidP="00AF2F2F">
                                <w:pPr>
                                  <w:pStyle w:val="NoSpacing"/>
                                  <w:spacing w:before="40" w:after="560" w:line="216" w:lineRule="auto"/>
                                  <w:jc w:val="center"/>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F3C2E">
                                      <w:rPr>
                                        <w:color w:val="156082" w:themeColor="accent1"/>
                                        <w:sz w:val="72"/>
                                        <w:szCs w:val="72"/>
                                      </w:rPr>
                                      <w:t>A STRATEGIC CHANGE PLAN</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AAFAF29" w14:textId="7388A5B7" w:rsidR="00F2512B" w:rsidRPr="00CF3C2E" w:rsidRDefault="00E65971" w:rsidP="00EB52D9">
                                    <w:pPr>
                                      <w:pStyle w:val="NoSpacing"/>
                                      <w:spacing w:before="40" w:after="40"/>
                                      <w:rPr>
                                        <w:caps/>
                                        <w:color w:val="501549" w:themeColor="accent5" w:themeShade="80"/>
                                        <w:sz w:val="28"/>
                                        <w:szCs w:val="28"/>
                                      </w:rPr>
                                    </w:pPr>
                                    <w:r w:rsidRPr="00CF3C2E">
                                      <w:rPr>
                                        <w:caps/>
                                        <w:color w:val="501549" w:themeColor="accent5" w:themeShade="80"/>
                                        <w:sz w:val="28"/>
                                        <w:szCs w:val="28"/>
                                      </w:rPr>
                                      <w:t>Module: Leading and Implementing Change (LCLM6003)</w:t>
                                    </w:r>
                                    <w:r w:rsidRPr="00CF3C2E">
                                      <w:rPr>
                                        <w:caps/>
                                        <w:color w:val="501549" w:themeColor="accent5" w:themeShade="80"/>
                                        <w:sz w:val="28"/>
                                        <w:szCs w:val="28"/>
                                      </w:rPr>
                                      <w:t xml:space="preserve"> </w:t>
                                    </w:r>
                                    <w:r w:rsidRPr="00CF3C2E">
                                      <w:rPr>
                                        <w:caps/>
                                        <w:color w:val="501549" w:themeColor="accent5" w:themeShade="80"/>
                                        <w:sz w:val="28"/>
                                        <w:szCs w:val="28"/>
                                      </w:rPr>
                                      <w:t xml:space="preserve">Assignment Title: Lecturer: Taonga Kaonga Sobere-Snithers </w:t>
                                    </w:r>
                                  </w:p>
                                </w:sdtContent>
                              </w:sdt>
                              <w:sdt>
                                <w:sdtPr>
                                  <w:rPr>
                                    <w:caps/>
                                    <w:color w:val="A02B93" w:themeColor="accent5"/>
                                    <w:sz w:val="40"/>
                                    <w:szCs w:val="40"/>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0DF7051" w14:textId="2082DA64" w:rsidR="00F2512B" w:rsidRPr="00E65971" w:rsidRDefault="00F2512B" w:rsidP="00CF3C2E">
                                    <w:pPr>
                                      <w:pStyle w:val="NoSpacing"/>
                                      <w:spacing w:before="80" w:after="40"/>
                                      <w:jc w:val="center"/>
                                      <w:rPr>
                                        <w:caps/>
                                        <w:color w:val="A02B93" w:themeColor="accent5"/>
                                        <w:sz w:val="40"/>
                                        <w:szCs w:val="40"/>
                                      </w:rPr>
                                    </w:pPr>
                                    <w:r w:rsidRPr="00E65971">
                                      <w:rPr>
                                        <w:caps/>
                                        <w:color w:val="A02B93" w:themeColor="accent5"/>
                                        <w:sz w:val="40"/>
                                        <w:szCs w:val="40"/>
                                      </w:rPr>
                                      <w:t>Ashfiq Hussain (2323532)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9D11B67" id="_x0000_t202" coordsize="21600,21600" o:spt="202" path="m,l,21600r21600,l21600,xe">
                    <v:stroke joinstyle="miter"/>
                    <v:path gradientshapeok="t" o:connecttype="rect"/>
                  </v:shapetype>
                  <v:shape id="Text Box 131" o:spid="_x0000_s1026" type="#_x0000_t202" style="position:absolute;margin-left:6.95pt;margin-top:293.75pt;width:442.65pt;height:283.0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" filled="f" stroked="f" strokeweight=".5pt">
                    <v:textbox inset="0,0,0,0">
                      <w:txbxContent>
                        <w:p w14:paraId="01D9C6E3" w14:textId="4CF08F2B" w:rsidR="00F2512B" w:rsidRPr="00CF3C2E" w:rsidRDefault="00D039CE" w:rsidP="00AF2F2F">
                          <w:pPr>
                            <w:pStyle w:val="NoSpacing"/>
                            <w:spacing w:before="40" w:after="560" w:line="216" w:lineRule="auto"/>
                            <w:jc w:val="center"/>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F3C2E">
                                <w:rPr>
                                  <w:color w:val="156082" w:themeColor="accent1"/>
                                  <w:sz w:val="72"/>
                                  <w:szCs w:val="72"/>
                                </w:rPr>
                                <w:t>A STRATEGIC CHANGE PLAN</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AAFAF29" w14:textId="7388A5B7" w:rsidR="00F2512B" w:rsidRPr="00CF3C2E" w:rsidRDefault="00E65971" w:rsidP="00EB52D9">
                              <w:pPr>
                                <w:pStyle w:val="NoSpacing"/>
                                <w:spacing w:before="40" w:after="40"/>
                                <w:rPr>
                                  <w:caps/>
                                  <w:color w:val="501549" w:themeColor="accent5" w:themeShade="80"/>
                                  <w:sz w:val="28"/>
                                  <w:szCs w:val="28"/>
                                </w:rPr>
                              </w:pPr>
                              <w:r w:rsidRPr="00CF3C2E">
                                <w:rPr>
                                  <w:caps/>
                                  <w:color w:val="501549" w:themeColor="accent5" w:themeShade="80"/>
                                  <w:sz w:val="28"/>
                                  <w:szCs w:val="28"/>
                                </w:rPr>
                                <w:t>Module: Leading and Implementing Change (LCLM6003)</w:t>
                              </w:r>
                              <w:r w:rsidRPr="00CF3C2E">
                                <w:rPr>
                                  <w:caps/>
                                  <w:color w:val="501549" w:themeColor="accent5" w:themeShade="80"/>
                                  <w:sz w:val="28"/>
                                  <w:szCs w:val="28"/>
                                </w:rPr>
                                <w:t xml:space="preserve"> </w:t>
                              </w:r>
                              <w:r w:rsidRPr="00CF3C2E">
                                <w:rPr>
                                  <w:caps/>
                                  <w:color w:val="501549" w:themeColor="accent5" w:themeShade="80"/>
                                  <w:sz w:val="28"/>
                                  <w:szCs w:val="28"/>
                                </w:rPr>
                                <w:t xml:space="preserve">Assignment Title: Lecturer: Taonga Kaonga Sobere-Snithers </w:t>
                              </w:r>
                            </w:p>
                          </w:sdtContent>
                        </w:sdt>
                        <w:sdt>
                          <w:sdtPr>
                            <w:rPr>
                              <w:caps/>
                              <w:color w:val="A02B93" w:themeColor="accent5"/>
                              <w:sz w:val="40"/>
                              <w:szCs w:val="40"/>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0DF7051" w14:textId="2082DA64" w:rsidR="00F2512B" w:rsidRPr="00E65971" w:rsidRDefault="00F2512B" w:rsidP="00CF3C2E">
                              <w:pPr>
                                <w:pStyle w:val="NoSpacing"/>
                                <w:spacing w:before="80" w:after="40"/>
                                <w:jc w:val="center"/>
                                <w:rPr>
                                  <w:caps/>
                                  <w:color w:val="A02B93" w:themeColor="accent5"/>
                                  <w:sz w:val="40"/>
                                  <w:szCs w:val="40"/>
                                </w:rPr>
                              </w:pPr>
                              <w:r w:rsidRPr="00E65971">
                                <w:rPr>
                                  <w:caps/>
                                  <w:color w:val="A02B93" w:themeColor="accent5"/>
                                  <w:sz w:val="40"/>
                                  <w:szCs w:val="40"/>
                                </w:rPr>
                                <w:t>Ashfiq Hussain (2323532)</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EB89709" wp14:editId="5A86F5A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3FFFC28B" w14:textId="5CF65DFF" w:rsidR="00F2512B" w:rsidRDefault="00F2512B">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EB8970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3FFFC28B" w14:textId="5CF65DFF" w:rsidR="00F2512B" w:rsidRDefault="00F2512B">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Pr>
              <w:rFonts w:ascii="Arial" w:hAnsi="Arial" w:cs="Arial"/>
            </w:rPr>
            <w:br w:type="page"/>
          </w:r>
        </w:p>
      </w:sdtContent>
    </w:sdt>
    <w:sdt>
      <w:sdtPr>
        <w:id w:val="-85896944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4ACE31C" w14:textId="36A155D7" w:rsidR="005B3585" w:rsidRDefault="005B3585">
          <w:pPr>
            <w:pStyle w:val="TOCHeading"/>
          </w:pPr>
          <w:r>
            <w:t>Table of Contents</w:t>
          </w:r>
        </w:p>
        <w:p w14:paraId="2EAD0389" w14:textId="3AC00E71" w:rsidR="003877AF" w:rsidRDefault="005B358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850193" w:history="1">
            <w:r w:rsidR="003877AF" w:rsidRPr="00C05F25">
              <w:rPr>
                <w:rStyle w:val="Hyperlink"/>
                <w:rFonts w:ascii="Arial" w:hAnsi="Arial" w:cs="Arial"/>
                <w:noProof/>
              </w:rPr>
              <w:t>Jaguar Land Rover (JLR)</w:t>
            </w:r>
            <w:r w:rsidR="003877AF">
              <w:rPr>
                <w:noProof/>
                <w:webHidden/>
              </w:rPr>
              <w:tab/>
            </w:r>
            <w:r w:rsidR="003877AF">
              <w:rPr>
                <w:noProof/>
                <w:webHidden/>
              </w:rPr>
              <w:fldChar w:fldCharType="begin"/>
            </w:r>
            <w:r w:rsidR="003877AF">
              <w:rPr>
                <w:noProof/>
                <w:webHidden/>
              </w:rPr>
              <w:instrText xml:space="preserve"> PAGEREF _Toc234850193 \h </w:instrText>
            </w:r>
            <w:r w:rsidR="003877AF">
              <w:rPr>
                <w:noProof/>
                <w:webHidden/>
              </w:rPr>
            </w:r>
            <w:r w:rsidR="003877AF">
              <w:rPr>
                <w:noProof/>
                <w:webHidden/>
              </w:rPr>
              <w:fldChar w:fldCharType="separate"/>
            </w:r>
            <w:r w:rsidR="003877AF">
              <w:rPr>
                <w:noProof/>
                <w:webHidden/>
              </w:rPr>
              <w:t>2</w:t>
            </w:r>
            <w:r w:rsidR="003877AF">
              <w:rPr>
                <w:noProof/>
                <w:webHidden/>
              </w:rPr>
              <w:fldChar w:fldCharType="end"/>
            </w:r>
          </w:hyperlink>
        </w:p>
        <w:p w14:paraId="3E6D63C7" w14:textId="3DE5C198" w:rsidR="003877AF" w:rsidRDefault="003877AF">
          <w:pPr>
            <w:pStyle w:val="TOC1"/>
            <w:tabs>
              <w:tab w:val="right" w:leader="dot" w:pos="9016"/>
            </w:tabs>
            <w:rPr>
              <w:rFonts w:eastAsiaTheme="minorEastAsia"/>
              <w:noProof/>
              <w:sz w:val="24"/>
              <w:szCs w:val="24"/>
              <w:lang w:eastAsia="en-GB"/>
            </w:rPr>
          </w:pPr>
          <w:hyperlink w:anchor="_Toc234850194" w:history="1">
            <w:r w:rsidRPr="00C05F25">
              <w:rPr>
                <w:rStyle w:val="Hyperlink"/>
                <w:noProof/>
              </w:rPr>
              <w:t>Executive Summary</w:t>
            </w:r>
            <w:r>
              <w:rPr>
                <w:noProof/>
                <w:webHidden/>
              </w:rPr>
              <w:tab/>
            </w:r>
            <w:r>
              <w:rPr>
                <w:noProof/>
                <w:webHidden/>
              </w:rPr>
              <w:fldChar w:fldCharType="begin"/>
            </w:r>
            <w:r>
              <w:rPr>
                <w:noProof/>
                <w:webHidden/>
              </w:rPr>
              <w:instrText xml:space="preserve"> PAGEREF _Toc234850194 \h </w:instrText>
            </w:r>
            <w:r>
              <w:rPr>
                <w:noProof/>
                <w:webHidden/>
              </w:rPr>
            </w:r>
            <w:r>
              <w:rPr>
                <w:noProof/>
                <w:webHidden/>
              </w:rPr>
              <w:fldChar w:fldCharType="separate"/>
            </w:r>
            <w:r>
              <w:rPr>
                <w:noProof/>
                <w:webHidden/>
              </w:rPr>
              <w:t>2</w:t>
            </w:r>
            <w:r>
              <w:rPr>
                <w:noProof/>
                <w:webHidden/>
              </w:rPr>
              <w:fldChar w:fldCharType="end"/>
            </w:r>
          </w:hyperlink>
        </w:p>
        <w:p w14:paraId="0599AE4D" w14:textId="7A26C757" w:rsidR="003877AF" w:rsidRDefault="003877AF">
          <w:pPr>
            <w:pStyle w:val="TOC1"/>
            <w:tabs>
              <w:tab w:val="right" w:leader="dot" w:pos="9016"/>
            </w:tabs>
            <w:rPr>
              <w:rFonts w:eastAsiaTheme="minorEastAsia"/>
              <w:noProof/>
              <w:sz w:val="24"/>
              <w:szCs w:val="24"/>
              <w:lang w:eastAsia="en-GB"/>
            </w:rPr>
          </w:pPr>
          <w:hyperlink w:anchor="_Toc234850195" w:history="1">
            <w:r w:rsidRPr="00C05F25">
              <w:rPr>
                <w:rStyle w:val="Hyperlink"/>
                <w:rFonts w:ascii="Arial" w:hAnsi="Arial" w:cs="Arial"/>
                <w:noProof/>
              </w:rPr>
              <w:t>Review and Evaluation of Change Management Models</w:t>
            </w:r>
            <w:r>
              <w:rPr>
                <w:noProof/>
                <w:webHidden/>
              </w:rPr>
              <w:tab/>
            </w:r>
            <w:r>
              <w:rPr>
                <w:noProof/>
                <w:webHidden/>
              </w:rPr>
              <w:fldChar w:fldCharType="begin"/>
            </w:r>
            <w:r>
              <w:rPr>
                <w:noProof/>
                <w:webHidden/>
              </w:rPr>
              <w:instrText xml:space="preserve"> PAGEREF _Toc234850195 \h </w:instrText>
            </w:r>
            <w:r>
              <w:rPr>
                <w:noProof/>
                <w:webHidden/>
              </w:rPr>
            </w:r>
            <w:r>
              <w:rPr>
                <w:noProof/>
                <w:webHidden/>
              </w:rPr>
              <w:fldChar w:fldCharType="separate"/>
            </w:r>
            <w:r>
              <w:rPr>
                <w:noProof/>
                <w:webHidden/>
              </w:rPr>
              <w:t>5</w:t>
            </w:r>
            <w:r>
              <w:rPr>
                <w:noProof/>
                <w:webHidden/>
              </w:rPr>
              <w:fldChar w:fldCharType="end"/>
            </w:r>
          </w:hyperlink>
        </w:p>
        <w:p w14:paraId="73C06DC0" w14:textId="52A7E2B4" w:rsidR="003877AF" w:rsidRDefault="003877AF">
          <w:pPr>
            <w:pStyle w:val="TOC2"/>
            <w:tabs>
              <w:tab w:val="right" w:leader="dot" w:pos="9016"/>
            </w:tabs>
            <w:rPr>
              <w:rFonts w:eastAsiaTheme="minorEastAsia"/>
              <w:noProof/>
              <w:sz w:val="24"/>
              <w:szCs w:val="24"/>
              <w:lang w:eastAsia="en-GB"/>
            </w:rPr>
          </w:pPr>
          <w:hyperlink w:anchor="_Toc234850196" w:history="1">
            <w:r w:rsidRPr="00C05F25">
              <w:rPr>
                <w:rStyle w:val="Hyperlink"/>
                <w:rFonts w:ascii="Arial" w:hAnsi="Arial" w:cs="Arial"/>
                <w:noProof/>
              </w:rPr>
              <w:t>Change Vision and Objectives</w:t>
            </w:r>
            <w:r>
              <w:rPr>
                <w:noProof/>
                <w:webHidden/>
              </w:rPr>
              <w:tab/>
            </w:r>
            <w:r>
              <w:rPr>
                <w:noProof/>
                <w:webHidden/>
              </w:rPr>
              <w:fldChar w:fldCharType="begin"/>
            </w:r>
            <w:r>
              <w:rPr>
                <w:noProof/>
                <w:webHidden/>
              </w:rPr>
              <w:instrText xml:space="preserve"> PAGEREF _Toc234850196 \h </w:instrText>
            </w:r>
            <w:r>
              <w:rPr>
                <w:noProof/>
                <w:webHidden/>
              </w:rPr>
            </w:r>
            <w:r>
              <w:rPr>
                <w:noProof/>
                <w:webHidden/>
              </w:rPr>
              <w:fldChar w:fldCharType="separate"/>
            </w:r>
            <w:r>
              <w:rPr>
                <w:noProof/>
                <w:webHidden/>
              </w:rPr>
              <w:t>8</w:t>
            </w:r>
            <w:r>
              <w:rPr>
                <w:noProof/>
                <w:webHidden/>
              </w:rPr>
              <w:fldChar w:fldCharType="end"/>
            </w:r>
          </w:hyperlink>
        </w:p>
        <w:p w14:paraId="383F5E47" w14:textId="5B13395E" w:rsidR="003877AF" w:rsidRDefault="003877AF">
          <w:pPr>
            <w:pStyle w:val="TOC2"/>
            <w:tabs>
              <w:tab w:val="right" w:leader="dot" w:pos="9016"/>
            </w:tabs>
            <w:rPr>
              <w:rFonts w:eastAsiaTheme="minorEastAsia"/>
              <w:noProof/>
              <w:sz w:val="24"/>
              <w:szCs w:val="24"/>
              <w:lang w:eastAsia="en-GB"/>
            </w:rPr>
          </w:pPr>
          <w:hyperlink w:anchor="_Toc234850197" w:history="1">
            <w:r w:rsidRPr="00C05F25">
              <w:rPr>
                <w:rStyle w:val="Hyperlink"/>
                <w:noProof/>
              </w:rPr>
              <w:t>Stakeholder Analysis and Power Mapping</w:t>
            </w:r>
            <w:r>
              <w:rPr>
                <w:noProof/>
                <w:webHidden/>
              </w:rPr>
              <w:tab/>
            </w:r>
            <w:r>
              <w:rPr>
                <w:noProof/>
                <w:webHidden/>
              </w:rPr>
              <w:fldChar w:fldCharType="begin"/>
            </w:r>
            <w:r>
              <w:rPr>
                <w:noProof/>
                <w:webHidden/>
              </w:rPr>
              <w:instrText xml:space="preserve"> PAGEREF _Toc234850197 \h </w:instrText>
            </w:r>
            <w:r>
              <w:rPr>
                <w:noProof/>
                <w:webHidden/>
              </w:rPr>
            </w:r>
            <w:r>
              <w:rPr>
                <w:noProof/>
                <w:webHidden/>
              </w:rPr>
              <w:fldChar w:fldCharType="separate"/>
            </w:r>
            <w:r>
              <w:rPr>
                <w:noProof/>
                <w:webHidden/>
              </w:rPr>
              <w:t>9</w:t>
            </w:r>
            <w:r>
              <w:rPr>
                <w:noProof/>
                <w:webHidden/>
              </w:rPr>
              <w:fldChar w:fldCharType="end"/>
            </w:r>
          </w:hyperlink>
        </w:p>
        <w:p w14:paraId="7210A9A0" w14:textId="2E7FA5A0" w:rsidR="003877AF" w:rsidRDefault="003877AF">
          <w:pPr>
            <w:pStyle w:val="TOC1"/>
            <w:tabs>
              <w:tab w:val="right" w:leader="dot" w:pos="9016"/>
            </w:tabs>
            <w:rPr>
              <w:rFonts w:eastAsiaTheme="minorEastAsia"/>
              <w:noProof/>
              <w:sz w:val="24"/>
              <w:szCs w:val="24"/>
              <w:lang w:eastAsia="en-GB"/>
            </w:rPr>
          </w:pPr>
          <w:hyperlink w:anchor="_Toc234850198" w:history="1">
            <w:r w:rsidRPr="00C05F25">
              <w:rPr>
                <w:rStyle w:val="Hyperlink"/>
                <w:noProof/>
              </w:rPr>
              <w:t>Implementation Framework and Phased Timeline</w:t>
            </w:r>
            <w:r>
              <w:rPr>
                <w:noProof/>
                <w:webHidden/>
              </w:rPr>
              <w:tab/>
            </w:r>
            <w:r>
              <w:rPr>
                <w:noProof/>
                <w:webHidden/>
              </w:rPr>
              <w:fldChar w:fldCharType="begin"/>
            </w:r>
            <w:r>
              <w:rPr>
                <w:noProof/>
                <w:webHidden/>
              </w:rPr>
              <w:instrText xml:space="preserve"> PAGEREF _Toc234850198 \h </w:instrText>
            </w:r>
            <w:r>
              <w:rPr>
                <w:noProof/>
                <w:webHidden/>
              </w:rPr>
            </w:r>
            <w:r>
              <w:rPr>
                <w:noProof/>
                <w:webHidden/>
              </w:rPr>
              <w:fldChar w:fldCharType="separate"/>
            </w:r>
            <w:r>
              <w:rPr>
                <w:noProof/>
                <w:webHidden/>
              </w:rPr>
              <w:t>9</w:t>
            </w:r>
            <w:r>
              <w:rPr>
                <w:noProof/>
                <w:webHidden/>
              </w:rPr>
              <w:fldChar w:fldCharType="end"/>
            </w:r>
          </w:hyperlink>
        </w:p>
        <w:p w14:paraId="0448452E" w14:textId="474D3C28" w:rsidR="003877AF" w:rsidRDefault="003877AF">
          <w:pPr>
            <w:pStyle w:val="TOC1"/>
            <w:tabs>
              <w:tab w:val="right" w:leader="dot" w:pos="9016"/>
            </w:tabs>
            <w:rPr>
              <w:rFonts w:eastAsiaTheme="minorEastAsia"/>
              <w:noProof/>
              <w:sz w:val="24"/>
              <w:szCs w:val="24"/>
              <w:lang w:eastAsia="en-GB"/>
            </w:rPr>
          </w:pPr>
          <w:hyperlink w:anchor="_Toc234850199" w:history="1">
            <w:r w:rsidRPr="00C05F25">
              <w:rPr>
                <w:rStyle w:val="Hyperlink"/>
                <w:rFonts w:ascii="Arial" w:hAnsi="Arial" w:cs="Arial"/>
                <w:noProof/>
              </w:rPr>
              <w:t>Financial Plan and ROI Justification</w:t>
            </w:r>
            <w:r>
              <w:rPr>
                <w:noProof/>
                <w:webHidden/>
              </w:rPr>
              <w:tab/>
            </w:r>
            <w:r>
              <w:rPr>
                <w:noProof/>
                <w:webHidden/>
              </w:rPr>
              <w:fldChar w:fldCharType="begin"/>
            </w:r>
            <w:r>
              <w:rPr>
                <w:noProof/>
                <w:webHidden/>
              </w:rPr>
              <w:instrText xml:space="preserve"> PAGEREF _Toc234850199 \h </w:instrText>
            </w:r>
            <w:r>
              <w:rPr>
                <w:noProof/>
                <w:webHidden/>
              </w:rPr>
            </w:r>
            <w:r>
              <w:rPr>
                <w:noProof/>
                <w:webHidden/>
              </w:rPr>
              <w:fldChar w:fldCharType="separate"/>
            </w:r>
            <w:r>
              <w:rPr>
                <w:noProof/>
                <w:webHidden/>
              </w:rPr>
              <w:t>10</w:t>
            </w:r>
            <w:r>
              <w:rPr>
                <w:noProof/>
                <w:webHidden/>
              </w:rPr>
              <w:fldChar w:fldCharType="end"/>
            </w:r>
          </w:hyperlink>
        </w:p>
        <w:p w14:paraId="6392B878" w14:textId="7F757EE4" w:rsidR="003877AF" w:rsidRDefault="003877AF">
          <w:pPr>
            <w:pStyle w:val="TOC2"/>
            <w:tabs>
              <w:tab w:val="right" w:leader="dot" w:pos="9016"/>
            </w:tabs>
            <w:rPr>
              <w:rFonts w:eastAsiaTheme="minorEastAsia"/>
              <w:noProof/>
              <w:sz w:val="24"/>
              <w:szCs w:val="24"/>
              <w:lang w:eastAsia="en-GB"/>
            </w:rPr>
          </w:pPr>
          <w:hyperlink w:anchor="_Toc234850200" w:history="1">
            <w:r w:rsidRPr="00C05F25">
              <w:rPr>
                <w:rStyle w:val="Hyperlink"/>
                <w:rFonts w:ascii="Arial" w:hAnsi="Arial" w:cs="Arial"/>
                <w:noProof/>
              </w:rPr>
              <w:t>Evaluation and KPIs</w:t>
            </w:r>
            <w:r>
              <w:rPr>
                <w:noProof/>
                <w:webHidden/>
              </w:rPr>
              <w:tab/>
            </w:r>
            <w:r>
              <w:rPr>
                <w:noProof/>
                <w:webHidden/>
              </w:rPr>
              <w:fldChar w:fldCharType="begin"/>
            </w:r>
            <w:r>
              <w:rPr>
                <w:noProof/>
                <w:webHidden/>
              </w:rPr>
              <w:instrText xml:space="preserve"> PAGEREF _Toc234850200 \h </w:instrText>
            </w:r>
            <w:r>
              <w:rPr>
                <w:noProof/>
                <w:webHidden/>
              </w:rPr>
            </w:r>
            <w:r>
              <w:rPr>
                <w:noProof/>
                <w:webHidden/>
              </w:rPr>
              <w:fldChar w:fldCharType="separate"/>
            </w:r>
            <w:r>
              <w:rPr>
                <w:noProof/>
                <w:webHidden/>
              </w:rPr>
              <w:t>11</w:t>
            </w:r>
            <w:r>
              <w:rPr>
                <w:noProof/>
                <w:webHidden/>
              </w:rPr>
              <w:fldChar w:fldCharType="end"/>
            </w:r>
          </w:hyperlink>
        </w:p>
        <w:p w14:paraId="0EBBCDBB" w14:textId="4DE71C84" w:rsidR="003877AF" w:rsidRDefault="003877AF">
          <w:pPr>
            <w:pStyle w:val="TOC1"/>
            <w:tabs>
              <w:tab w:val="right" w:leader="dot" w:pos="9016"/>
            </w:tabs>
            <w:rPr>
              <w:rFonts w:eastAsiaTheme="minorEastAsia"/>
              <w:noProof/>
              <w:sz w:val="24"/>
              <w:szCs w:val="24"/>
              <w:lang w:eastAsia="en-GB"/>
            </w:rPr>
          </w:pPr>
          <w:hyperlink w:anchor="_Toc234850201" w:history="1">
            <w:r w:rsidRPr="00C05F25">
              <w:rPr>
                <w:rStyle w:val="Hyperlink"/>
                <w:rFonts w:ascii="Arial" w:hAnsi="Arial" w:cs="Arial"/>
                <w:noProof/>
              </w:rPr>
              <w:t>Discussion and Critical Reflection</w:t>
            </w:r>
            <w:r>
              <w:rPr>
                <w:noProof/>
                <w:webHidden/>
              </w:rPr>
              <w:tab/>
            </w:r>
            <w:r>
              <w:rPr>
                <w:noProof/>
                <w:webHidden/>
              </w:rPr>
              <w:fldChar w:fldCharType="begin"/>
            </w:r>
            <w:r>
              <w:rPr>
                <w:noProof/>
                <w:webHidden/>
              </w:rPr>
              <w:instrText xml:space="preserve"> PAGEREF _Toc234850201 \h </w:instrText>
            </w:r>
            <w:r>
              <w:rPr>
                <w:noProof/>
                <w:webHidden/>
              </w:rPr>
            </w:r>
            <w:r>
              <w:rPr>
                <w:noProof/>
                <w:webHidden/>
              </w:rPr>
              <w:fldChar w:fldCharType="separate"/>
            </w:r>
            <w:r>
              <w:rPr>
                <w:noProof/>
                <w:webHidden/>
              </w:rPr>
              <w:t>11</w:t>
            </w:r>
            <w:r>
              <w:rPr>
                <w:noProof/>
                <w:webHidden/>
              </w:rPr>
              <w:fldChar w:fldCharType="end"/>
            </w:r>
          </w:hyperlink>
        </w:p>
        <w:p w14:paraId="55D03541" w14:textId="7D29499C" w:rsidR="003877AF" w:rsidRDefault="003877AF">
          <w:pPr>
            <w:pStyle w:val="TOC2"/>
            <w:tabs>
              <w:tab w:val="right" w:leader="dot" w:pos="9016"/>
            </w:tabs>
            <w:rPr>
              <w:rFonts w:eastAsiaTheme="minorEastAsia"/>
              <w:noProof/>
              <w:sz w:val="24"/>
              <w:szCs w:val="24"/>
              <w:lang w:eastAsia="en-GB"/>
            </w:rPr>
          </w:pPr>
          <w:hyperlink w:anchor="_Toc234850202" w:history="1">
            <w:r w:rsidRPr="00C05F25">
              <w:rPr>
                <w:rStyle w:val="Hyperlink"/>
                <w:rFonts w:ascii="Arial" w:hAnsi="Arial" w:cs="Arial"/>
                <w:noProof/>
              </w:rPr>
              <w:t>Ethical and Governance Considerations</w:t>
            </w:r>
            <w:r>
              <w:rPr>
                <w:noProof/>
                <w:webHidden/>
              </w:rPr>
              <w:tab/>
            </w:r>
            <w:r>
              <w:rPr>
                <w:noProof/>
                <w:webHidden/>
              </w:rPr>
              <w:fldChar w:fldCharType="begin"/>
            </w:r>
            <w:r>
              <w:rPr>
                <w:noProof/>
                <w:webHidden/>
              </w:rPr>
              <w:instrText xml:space="preserve"> PAGEREF _Toc234850202 \h </w:instrText>
            </w:r>
            <w:r>
              <w:rPr>
                <w:noProof/>
                <w:webHidden/>
              </w:rPr>
            </w:r>
            <w:r>
              <w:rPr>
                <w:noProof/>
                <w:webHidden/>
              </w:rPr>
              <w:fldChar w:fldCharType="separate"/>
            </w:r>
            <w:r>
              <w:rPr>
                <w:noProof/>
                <w:webHidden/>
              </w:rPr>
              <w:t>12</w:t>
            </w:r>
            <w:r>
              <w:rPr>
                <w:noProof/>
                <w:webHidden/>
              </w:rPr>
              <w:fldChar w:fldCharType="end"/>
            </w:r>
          </w:hyperlink>
        </w:p>
        <w:p w14:paraId="2F97F2E7" w14:textId="16FCDCA4" w:rsidR="003877AF" w:rsidRDefault="003877AF">
          <w:pPr>
            <w:pStyle w:val="TOC1"/>
            <w:tabs>
              <w:tab w:val="right" w:leader="dot" w:pos="9016"/>
            </w:tabs>
            <w:rPr>
              <w:rFonts w:eastAsiaTheme="minorEastAsia"/>
              <w:noProof/>
              <w:sz w:val="24"/>
              <w:szCs w:val="24"/>
              <w:lang w:eastAsia="en-GB"/>
            </w:rPr>
          </w:pPr>
          <w:hyperlink w:anchor="_Toc234850203" w:history="1">
            <w:r w:rsidRPr="00C05F25">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_Toc234850203 \h </w:instrText>
            </w:r>
            <w:r>
              <w:rPr>
                <w:noProof/>
                <w:webHidden/>
              </w:rPr>
            </w:r>
            <w:r>
              <w:rPr>
                <w:noProof/>
                <w:webHidden/>
              </w:rPr>
              <w:fldChar w:fldCharType="separate"/>
            </w:r>
            <w:r>
              <w:rPr>
                <w:noProof/>
                <w:webHidden/>
              </w:rPr>
              <w:t>14</w:t>
            </w:r>
            <w:r>
              <w:rPr>
                <w:noProof/>
                <w:webHidden/>
              </w:rPr>
              <w:fldChar w:fldCharType="end"/>
            </w:r>
          </w:hyperlink>
        </w:p>
        <w:p w14:paraId="37917D2B" w14:textId="734E5E28" w:rsidR="005B3585" w:rsidRDefault="005B3585">
          <w:r>
            <w:rPr>
              <w:b/>
              <w:bCs/>
              <w:noProof/>
            </w:rPr>
            <w:fldChar w:fldCharType="end"/>
          </w:r>
        </w:p>
      </w:sdtContent>
    </w:sdt>
    <w:p w14:paraId="135CCE20" w14:textId="77777777" w:rsidR="00B53FAA" w:rsidRDefault="00B53FAA" w:rsidP="00D03E77">
      <w:pPr>
        <w:pStyle w:val="Heading1"/>
        <w:jc w:val="center"/>
        <w:rPr>
          <w:rFonts w:ascii="Arial" w:hAnsi="Arial" w:cs="Arial"/>
        </w:rPr>
      </w:pPr>
    </w:p>
    <w:p w14:paraId="72C69D4A" w14:textId="77777777" w:rsidR="00B53FAA" w:rsidRDefault="00B53FAA" w:rsidP="00D03E77">
      <w:pPr>
        <w:pStyle w:val="Heading1"/>
        <w:jc w:val="center"/>
        <w:rPr>
          <w:rFonts w:ascii="Arial" w:hAnsi="Arial" w:cs="Arial"/>
        </w:rPr>
      </w:pPr>
    </w:p>
    <w:p w14:paraId="64F8AD12" w14:textId="77777777" w:rsidR="00B53FAA" w:rsidRDefault="00B53FAA" w:rsidP="00D03E77">
      <w:pPr>
        <w:pStyle w:val="Heading1"/>
        <w:jc w:val="center"/>
        <w:rPr>
          <w:rFonts w:ascii="Arial" w:hAnsi="Arial" w:cs="Arial"/>
        </w:rPr>
      </w:pPr>
    </w:p>
    <w:p w14:paraId="334DCBB6" w14:textId="77777777" w:rsidR="00B53FAA" w:rsidRDefault="00B53FAA" w:rsidP="00D03E77">
      <w:pPr>
        <w:pStyle w:val="Heading1"/>
        <w:jc w:val="center"/>
        <w:rPr>
          <w:rFonts w:ascii="Arial" w:hAnsi="Arial" w:cs="Arial"/>
        </w:rPr>
      </w:pPr>
    </w:p>
    <w:p w14:paraId="14F400FD" w14:textId="77777777" w:rsidR="00B53FAA" w:rsidRDefault="00B53FAA" w:rsidP="00D03E77">
      <w:pPr>
        <w:pStyle w:val="Heading1"/>
        <w:jc w:val="center"/>
        <w:rPr>
          <w:rFonts w:ascii="Arial" w:hAnsi="Arial" w:cs="Arial"/>
        </w:rPr>
      </w:pPr>
    </w:p>
    <w:p w14:paraId="16161F83" w14:textId="77777777" w:rsidR="00B53FAA" w:rsidRDefault="00B53FAA" w:rsidP="00D03E77">
      <w:pPr>
        <w:pStyle w:val="Heading1"/>
        <w:jc w:val="center"/>
        <w:rPr>
          <w:rFonts w:ascii="Arial" w:hAnsi="Arial" w:cs="Arial"/>
        </w:rPr>
      </w:pPr>
    </w:p>
    <w:p w14:paraId="11A77F17" w14:textId="77777777" w:rsidR="00B53FAA" w:rsidRDefault="00B53FAA" w:rsidP="00D03E77">
      <w:pPr>
        <w:pStyle w:val="Heading1"/>
        <w:jc w:val="center"/>
        <w:rPr>
          <w:rFonts w:ascii="Arial" w:hAnsi="Arial" w:cs="Arial"/>
        </w:rPr>
      </w:pPr>
    </w:p>
    <w:p w14:paraId="1C469F9F" w14:textId="77777777" w:rsidR="00B53FAA" w:rsidRDefault="00B53FAA" w:rsidP="00D03E77">
      <w:pPr>
        <w:pStyle w:val="Heading1"/>
        <w:jc w:val="center"/>
        <w:rPr>
          <w:rFonts w:ascii="Arial" w:hAnsi="Arial" w:cs="Arial"/>
        </w:rPr>
      </w:pPr>
    </w:p>
    <w:p w14:paraId="6DADE8B8" w14:textId="77777777" w:rsidR="00B53FAA" w:rsidRDefault="00B53FAA" w:rsidP="00D03E77">
      <w:pPr>
        <w:pStyle w:val="Heading1"/>
        <w:jc w:val="center"/>
        <w:rPr>
          <w:rFonts w:ascii="Arial" w:hAnsi="Arial" w:cs="Arial"/>
        </w:rPr>
      </w:pPr>
    </w:p>
    <w:p w14:paraId="70028C2C" w14:textId="77777777" w:rsidR="004C5231" w:rsidRDefault="004C5231" w:rsidP="00A4123D">
      <w:pPr>
        <w:rPr>
          <w:rFonts w:ascii="Arial" w:hAnsi="Arial" w:cs="Arial"/>
        </w:rPr>
      </w:pPr>
    </w:p>
    <w:p w14:paraId="1E49C7C7" w14:textId="77777777" w:rsidR="004C5231" w:rsidRDefault="004C5231" w:rsidP="00A4123D">
      <w:pPr>
        <w:rPr>
          <w:rFonts w:ascii="Arial" w:hAnsi="Arial" w:cs="Arial"/>
        </w:rPr>
      </w:pPr>
    </w:p>
    <w:p w14:paraId="03947756" w14:textId="77777777" w:rsidR="004C5231" w:rsidRDefault="004C5231" w:rsidP="00A4123D">
      <w:pPr>
        <w:rPr>
          <w:rFonts w:ascii="Arial" w:hAnsi="Arial" w:cs="Arial"/>
        </w:rPr>
      </w:pPr>
    </w:p>
    <w:p w14:paraId="72D9C063" w14:textId="77777777" w:rsidR="004C5231" w:rsidRDefault="004C5231" w:rsidP="00A4123D">
      <w:pPr>
        <w:rPr>
          <w:rFonts w:ascii="Arial" w:hAnsi="Arial" w:cs="Arial"/>
        </w:rPr>
      </w:pPr>
    </w:p>
    <w:p w14:paraId="41E5ECD2" w14:textId="77777777" w:rsidR="004C5231" w:rsidRDefault="004C5231" w:rsidP="00A4123D">
      <w:pPr>
        <w:rPr>
          <w:rFonts w:ascii="Arial" w:hAnsi="Arial" w:cs="Arial"/>
        </w:rPr>
      </w:pPr>
    </w:p>
    <w:p w14:paraId="7195132C" w14:textId="77777777" w:rsidR="000B3BA0" w:rsidRPr="00E071BB" w:rsidRDefault="00A4123D" w:rsidP="000B3BA0">
      <w:pPr>
        <w:jc w:val="center"/>
        <w:rPr>
          <w:rStyle w:val="Heading1Char"/>
          <w:rFonts w:ascii="Arial" w:hAnsi="Arial" w:cs="Arial"/>
        </w:rPr>
      </w:pPr>
      <w:r w:rsidRPr="00E071BB">
        <w:rPr>
          <w:rFonts w:ascii="Arial" w:hAnsi="Arial" w:cs="Arial"/>
        </w:rPr>
        <w:t>​</w:t>
      </w:r>
      <w:r w:rsidR="004C5231" w:rsidRPr="00E071BB">
        <w:rPr>
          <w:rFonts w:ascii="Arial" w:hAnsi="Arial" w:cs="Arial"/>
        </w:rPr>
        <w:t xml:space="preserve"> </w:t>
      </w:r>
      <w:r w:rsidR="004C5231" w:rsidRPr="00E071BB">
        <w:rPr>
          <w:rStyle w:val="Heading1Char"/>
          <w:rFonts w:ascii="Arial" w:hAnsi="Arial" w:cs="Arial"/>
        </w:rPr>
        <w:t xml:space="preserve">Strategic Change Management Report: </w:t>
      </w:r>
    </w:p>
    <w:p w14:paraId="1778EE3D" w14:textId="2C7A7988" w:rsidR="004C5231" w:rsidRPr="00E071BB" w:rsidRDefault="004C5231" w:rsidP="000B3BA0">
      <w:pPr>
        <w:jc w:val="center"/>
        <w:rPr>
          <w:rFonts w:ascii="Arial" w:hAnsi="Arial" w:cs="Arial"/>
        </w:rPr>
      </w:pPr>
      <w:bookmarkStart w:id="0" w:name="_Toc234850193"/>
      <w:r w:rsidRPr="00E071BB">
        <w:rPr>
          <w:rStyle w:val="Heading1Char"/>
          <w:rFonts w:ascii="Arial" w:hAnsi="Arial" w:cs="Arial"/>
        </w:rPr>
        <w:t>Jaguar Land Rover (JLR)</w:t>
      </w:r>
      <w:bookmarkEnd w:id="0"/>
    </w:p>
    <w:p w14:paraId="15585821" w14:textId="77777777" w:rsidR="004C5231" w:rsidRPr="00E071BB" w:rsidRDefault="004C5231" w:rsidP="004C5231">
      <w:pPr>
        <w:rPr>
          <w:rFonts w:ascii="Arial" w:hAnsi="Arial" w:cs="Arial"/>
        </w:rPr>
      </w:pPr>
    </w:p>
    <w:p w14:paraId="319EBAA7" w14:textId="7D8B0F6E" w:rsidR="00966E0C" w:rsidRPr="00E071BB" w:rsidRDefault="004C5231" w:rsidP="00D34B24">
      <w:pPr>
        <w:pStyle w:val="Heading1"/>
      </w:pPr>
      <w:bookmarkStart w:id="1" w:name="_Toc234850194"/>
      <w:r w:rsidRPr="00E071BB">
        <w:t>Executive Summary</w:t>
      </w:r>
      <w:bookmarkEnd w:id="1"/>
    </w:p>
    <w:p w14:paraId="7423B80C" w14:textId="421EC600" w:rsidR="00A4123D" w:rsidRPr="00E071BB" w:rsidRDefault="00A4123D" w:rsidP="00A4123D">
      <w:pPr>
        <w:rPr>
          <w:rFonts w:ascii="Arial" w:hAnsi="Arial" w:cs="Arial"/>
        </w:rPr>
      </w:pPr>
      <w:r w:rsidRPr="00E071BB">
        <w:rPr>
          <w:rFonts w:ascii="Arial" w:hAnsi="Arial" w:cs="Arial"/>
        </w:rPr>
        <w:t>This report presents a strategically integrated change management plan for Jaguar Land Rover (JLR) as it navigates structural transformation within an increasingly electrified, software-defined global automotive industry. Under its Reimagine strategy, JLR faces converging pressures including regulatory enforcement through the UK Zero Emission Vehicle (ZEV) mandate, intensifying competition from digitally native manufacturers and shifting consumer expectations toward sustainable luxury.</w:t>
      </w:r>
    </w:p>
    <w:p w14:paraId="7674D3AA" w14:textId="47F6A13E" w:rsidR="00A4123D" w:rsidRPr="00E071BB" w:rsidRDefault="00A4123D" w:rsidP="00A4123D">
      <w:pPr>
        <w:rPr>
          <w:rFonts w:ascii="Arial" w:hAnsi="Arial" w:cs="Arial"/>
        </w:rPr>
      </w:pPr>
      <w:r w:rsidRPr="00E071BB">
        <w:rPr>
          <w:rFonts w:ascii="Arial" w:hAnsi="Arial" w:cs="Arial"/>
        </w:rPr>
        <w:t>​This report critically evaluates established change management frameworks</w:t>
      </w:r>
      <w:r w:rsidR="001C40F4" w:rsidRPr="00E071BB">
        <w:rPr>
          <w:rFonts w:ascii="Arial" w:hAnsi="Arial" w:cs="Arial"/>
        </w:rPr>
        <w:t xml:space="preserve"> </w:t>
      </w:r>
      <w:r w:rsidRPr="00E071BB">
        <w:rPr>
          <w:rFonts w:ascii="Arial" w:hAnsi="Arial" w:cs="Arial"/>
        </w:rPr>
        <w:t>namely Lewin’s Three-Step Model, Kotter’s Eight-Step Framework and the ADKAR model</w:t>
      </w:r>
      <w:r w:rsidR="001C40F4" w:rsidRPr="00E071BB">
        <w:rPr>
          <w:rFonts w:ascii="Arial" w:hAnsi="Arial" w:cs="Arial"/>
        </w:rPr>
        <w:t xml:space="preserve"> </w:t>
      </w:r>
      <w:r w:rsidRPr="00E071BB">
        <w:rPr>
          <w:rFonts w:ascii="Arial" w:hAnsi="Arial" w:cs="Arial"/>
        </w:rPr>
        <w:t>highlighting their theoretical strengths while identifying limitations within dynamic, technology-driven environments. In response, a hybrid change model is proposed, combining macro-level strategic alignment with micro-level behavioural adoption to enable effective organisational transformation.</w:t>
      </w:r>
    </w:p>
    <w:p w14:paraId="59695428" w14:textId="15D27FAF" w:rsidR="00A4123D" w:rsidRPr="00E071BB" w:rsidRDefault="00A4123D" w:rsidP="00A4123D">
      <w:pPr>
        <w:rPr>
          <w:rFonts w:ascii="Arial" w:hAnsi="Arial" w:cs="Arial"/>
        </w:rPr>
      </w:pPr>
      <w:r w:rsidRPr="00E071BB">
        <w:rPr>
          <w:rFonts w:ascii="Arial" w:hAnsi="Arial" w:cs="Arial"/>
        </w:rPr>
        <w:t>​Furthermore, the report examines the ideological tension between shareholder primacy (Friedman, 1970) and stakeholder integration (Freeman, 1984), positioning stakeholder alignment as a critical prerequisite for long-term organisational legitimacy and operational continuity. This is contextualised within JLR’s evolving cultural and leadership landscape, where legacy engineering identities must be reconciled with emerging digital capabilities.</w:t>
      </w:r>
    </w:p>
    <w:p w14:paraId="6EA02885" w14:textId="5B94AD0D" w:rsidR="00A4123D" w:rsidRPr="00E071BB" w:rsidRDefault="00A4123D" w:rsidP="00A4123D">
      <w:pPr>
        <w:rPr>
          <w:rFonts w:ascii="Arial" w:hAnsi="Arial" w:cs="Arial"/>
        </w:rPr>
      </w:pPr>
      <w:r w:rsidRPr="00E071BB">
        <w:rPr>
          <w:rFonts w:ascii="Arial" w:hAnsi="Arial" w:cs="Arial"/>
        </w:rPr>
        <w:t>​The proposed implementation plan</w:t>
      </w:r>
      <w:r w:rsidR="00930BBB" w:rsidRPr="00E071BB">
        <w:rPr>
          <w:rFonts w:ascii="Arial" w:hAnsi="Arial" w:cs="Arial"/>
        </w:rPr>
        <w:t xml:space="preserve"> called </w:t>
      </w:r>
      <w:r w:rsidRPr="00E071BB">
        <w:rPr>
          <w:rFonts w:ascii="Arial" w:hAnsi="Arial" w:cs="Arial"/>
        </w:rPr>
        <w:t>Project Electra-AI (2026–2029)</w:t>
      </w:r>
      <w:r w:rsidR="00E85939" w:rsidRPr="00E071BB">
        <w:rPr>
          <w:rFonts w:ascii="Arial" w:hAnsi="Arial" w:cs="Arial"/>
        </w:rPr>
        <w:t xml:space="preserve"> </w:t>
      </w:r>
      <w:r w:rsidRPr="00E071BB">
        <w:rPr>
          <w:rFonts w:ascii="Arial" w:hAnsi="Arial" w:cs="Arial"/>
        </w:rPr>
        <w:t>outlines a phased transformation strategy supported by clearly defined KPIs, targeted workforce reskilling and a £320 million capital allocation. Financial modelling indicates a projected positive return on investment within 3.2 years, primarily driven by AI-enabled operational efficiencies and regulatory compliance cost avoidance.</w:t>
      </w:r>
    </w:p>
    <w:p w14:paraId="113F6ECE" w14:textId="77777777" w:rsidR="00A4123D" w:rsidRPr="00E071BB" w:rsidRDefault="00A4123D" w:rsidP="00A4123D">
      <w:pPr>
        <w:rPr>
          <w:rFonts w:ascii="Arial" w:hAnsi="Arial" w:cs="Arial"/>
        </w:rPr>
      </w:pPr>
    </w:p>
    <w:p w14:paraId="498A8B4F" w14:textId="77777777" w:rsidR="00A4123D" w:rsidRPr="00D34B24" w:rsidRDefault="00A4123D" w:rsidP="00A4123D">
      <w:pPr>
        <w:rPr>
          <w:rStyle w:val="Heading1Char"/>
        </w:rPr>
      </w:pPr>
      <w:r w:rsidRPr="00E071BB">
        <w:rPr>
          <w:rFonts w:ascii="Arial" w:hAnsi="Arial" w:cs="Arial"/>
        </w:rPr>
        <w:t>​</w:t>
      </w:r>
      <w:r w:rsidRPr="00D34B24">
        <w:rPr>
          <w:rStyle w:val="Heading1Char"/>
        </w:rPr>
        <w:t>Introduction to the Organisation</w:t>
      </w:r>
    </w:p>
    <w:p w14:paraId="724A6367" w14:textId="123CCB0A" w:rsidR="00552951" w:rsidRPr="00E071BB" w:rsidRDefault="00A4123D" w:rsidP="00552951">
      <w:pPr>
        <w:rPr>
          <w:rFonts w:ascii="Arial" w:hAnsi="Arial" w:cs="Arial"/>
        </w:rPr>
      </w:pPr>
      <w:r w:rsidRPr="00E071BB">
        <w:rPr>
          <w:rFonts w:ascii="Arial" w:hAnsi="Arial" w:cs="Arial"/>
        </w:rPr>
        <w:t>​</w:t>
      </w:r>
      <w:r w:rsidR="00552951" w:rsidRPr="00E071BB">
        <w:rPr>
          <w:rFonts w:ascii="Arial" w:hAnsi="Arial" w:cs="Arial"/>
        </w:rPr>
        <w:t>Jaguar Land Rover (JLR) Automotive PLC is the UK's largest automotive manufacturer, operating as a wholly owned subsidiary of Tata Motors since 2008. Headquarters based in Coventry, West Midlands, JLR is an iconic British multinational company renowned for designing, manufacturing and selling high-end luxury saloons, sports cars and premium four-wheel-drive utility vehicles. The company’s operational footprint is deeply anchored within the United Kingdom, featuring major engineering and manufacturing facilities at Solihull, Castle Bromwich, Halewood and its Electric Propulsion Manufacturing Centre in Wolverhampton (JLR, 2023).</w:t>
      </w:r>
    </w:p>
    <w:p w14:paraId="2AD45E88" w14:textId="77777777" w:rsidR="00552951" w:rsidRPr="00E071BB" w:rsidRDefault="00552951" w:rsidP="00552951">
      <w:pPr>
        <w:rPr>
          <w:rFonts w:ascii="Arial" w:hAnsi="Arial" w:cs="Arial"/>
        </w:rPr>
      </w:pPr>
      <w:r w:rsidRPr="00E071BB">
        <w:rPr>
          <w:rFonts w:ascii="Arial" w:hAnsi="Arial" w:cs="Arial"/>
        </w:rPr>
        <w:lastRenderedPageBreak/>
        <w:t>Historically managed as two distinct entities, the company has recently transitioned structurally into a "House of Brands" architecture, categorising its portfolio into four distinct, highly targeted pillars: Range Rover, Defender, Discovery and Jaguar (JLR, 2023). Guided by its flagship corporate strategy, "Reimagine" JLR’s stated organisational vision is to be the proud creators of the most desirable, modern luxury brands, for the most discerning of clients (JLR, 2023). This vision is underpinned by a strict, formalized mission to achieve net-zero carbon emissions across its entire supply chain, products and global operations by 2035 (GOV.UK (2024).</w:t>
      </w:r>
    </w:p>
    <w:p w14:paraId="47C0C0A5" w14:textId="303B417A" w:rsidR="00A4123D" w:rsidRPr="00E071BB" w:rsidRDefault="00552951" w:rsidP="00552951">
      <w:pPr>
        <w:rPr>
          <w:rFonts w:ascii="Arial" w:hAnsi="Arial" w:cs="Arial"/>
        </w:rPr>
      </w:pPr>
      <w:r w:rsidRPr="00E071BB">
        <w:rPr>
          <w:rFonts w:ascii="Arial" w:hAnsi="Arial" w:cs="Arial"/>
        </w:rPr>
        <w:t>JLR presents an ideal case study for strategic change analysis due to its unique positioning at the intersection of heritage engineering and modern digital disruption (Sheridan, 2025). The organisation has recently faced profound macroeconomic pressures, including post-Brexit trade friction, supply chain vulnerabilities highlighted by the global semiconductor shortage, and intense legislative pressure from the UK Government’s zero-emission vehicle (ZEV) mandates. Furthermore, the accelerating paradigm of automation, Connected, Autonomous, Shared and Electric (CASE) technologies and generative Artificial Intelligence (AI) has forced JLR to aggressively pivot away from its traditional internal combustion engine (ICE) legacy (Gao et al., 2025). Consequently, studying JLR provides a highly transparent, academically rigorous framework to evaluate how a legacy premium manufacturer can strategically navigate volatile market shifts, cultural transformations and digital disruption while attempting to safeguard its competitive advantage (Sheridan, 2025).</w:t>
      </w:r>
    </w:p>
    <w:p w14:paraId="48AB5C2C" w14:textId="77777777" w:rsidR="00A4123D" w:rsidRPr="00E071BB" w:rsidRDefault="00A4123D" w:rsidP="00A4123D">
      <w:pPr>
        <w:rPr>
          <w:rFonts w:ascii="Arial" w:hAnsi="Arial" w:cs="Arial"/>
        </w:rPr>
      </w:pPr>
    </w:p>
    <w:p w14:paraId="70FBE2D7" w14:textId="77777777" w:rsidR="00A4123D" w:rsidRPr="00E071BB" w:rsidRDefault="00A4123D" w:rsidP="00A4123D">
      <w:pPr>
        <w:rPr>
          <w:rFonts w:ascii="Arial" w:hAnsi="Arial" w:cs="Arial"/>
        </w:rPr>
      </w:pPr>
      <w:r w:rsidRPr="00E071BB">
        <w:rPr>
          <w:rFonts w:ascii="Arial" w:hAnsi="Arial" w:cs="Arial"/>
        </w:rPr>
        <w:t>​</w:t>
      </w:r>
      <w:r w:rsidRPr="00D34B24">
        <w:rPr>
          <w:rStyle w:val="Heading1Char"/>
        </w:rPr>
        <w:t>Environmental and Organisational Analysis</w:t>
      </w:r>
    </w:p>
    <w:p w14:paraId="0A3A50AA" w14:textId="77777777" w:rsidR="00A4123D" w:rsidRPr="00E071BB" w:rsidRDefault="00A4123D" w:rsidP="00A4123D">
      <w:pPr>
        <w:rPr>
          <w:rStyle w:val="Heading3Char"/>
          <w:rFonts w:ascii="Arial" w:hAnsi="Arial" w:cs="Arial"/>
        </w:rPr>
      </w:pPr>
      <w:r w:rsidRPr="00E071BB">
        <w:rPr>
          <w:rFonts w:ascii="Arial" w:hAnsi="Arial" w:cs="Arial"/>
        </w:rPr>
        <w:t>​</w:t>
      </w:r>
      <w:r w:rsidRPr="00D34B24">
        <w:rPr>
          <w:rStyle w:val="Heading2Char"/>
        </w:rPr>
        <w:t>Macro-Environmental Analysis (PESTLE Framework)</w:t>
      </w:r>
    </w:p>
    <w:p w14:paraId="664A462D" w14:textId="67C2CE4E" w:rsidR="00A4123D" w:rsidRPr="00E071BB" w:rsidRDefault="00A4123D" w:rsidP="00A4123D">
      <w:pPr>
        <w:rPr>
          <w:rFonts w:ascii="Arial" w:hAnsi="Arial" w:cs="Arial"/>
        </w:rPr>
      </w:pPr>
      <w:r w:rsidRPr="00E071BB">
        <w:rPr>
          <w:rFonts w:ascii="Arial" w:hAnsi="Arial" w:cs="Arial"/>
        </w:rPr>
        <w:t>​The political and legal landscapes exert intense regulatory control over JLR via post-Brexit Rules of Origin requirements under the EU-UK Trade and Cooperation Agreement. To qualify for tariff-free access to Europe, a strict minimum percentage of electric vehicle battery value must originate within the UK or EU. Additionally, the UK Zero Emission Vehicle (ZEV) mandate legally dictates an escalating sales quota of zero-tailpipe-emission vehicles, carrying non-compliance penalties of £15,000 per vehicle</w:t>
      </w:r>
      <w:r w:rsidR="007C2501" w:rsidRPr="00E071BB">
        <w:rPr>
          <w:rFonts w:ascii="Arial" w:hAnsi="Arial" w:cs="Arial"/>
        </w:rPr>
        <w:t xml:space="preserve"> (</w:t>
      </w:r>
      <w:r w:rsidR="007C2501" w:rsidRPr="00E071BB">
        <w:rPr>
          <w:rFonts w:ascii="Arial" w:hAnsi="Arial" w:cs="Arial"/>
        </w:rPr>
        <w:t>Rodger, 2025)</w:t>
      </w:r>
      <w:r w:rsidRPr="00E071BB">
        <w:rPr>
          <w:rFonts w:ascii="Arial" w:hAnsi="Arial" w:cs="Arial"/>
        </w:rPr>
        <w:t>.</w:t>
      </w:r>
    </w:p>
    <w:p w14:paraId="034EAAAA" w14:textId="22103C28" w:rsidR="00816DCF" w:rsidRPr="00E071BB" w:rsidRDefault="00A4123D" w:rsidP="00A4123D">
      <w:pPr>
        <w:rPr>
          <w:rFonts w:ascii="Arial" w:hAnsi="Arial" w:cs="Arial"/>
        </w:rPr>
      </w:pPr>
      <w:r w:rsidRPr="00E071BB">
        <w:rPr>
          <w:rFonts w:ascii="Arial" w:hAnsi="Arial" w:cs="Arial"/>
        </w:rPr>
        <w:t>​Economically, JLR faces high capital-retooling costs exacerbated by elevated central bank interest rates, alongside volatile spot-market pricing for battery-grade raw materials like lithium, nickel, and cobalt</w:t>
      </w:r>
      <w:r w:rsidR="00BC731A" w:rsidRPr="00E071BB">
        <w:rPr>
          <w:rFonts w:ascii="Arial" w:hAnsi="Arial" w:cs="Arial"/>
        </w:rPr>
        <w:t xml:space="preserve"> (</w:t>
      </w:r>
      <w:r w:rsidR="007E0EA2" w:rsidRPr="00E071BB">
        <w:rPr>
          <w:rFonts w:ascii="Arial" w:hAnsi="Arial" w:cs="Arial"/>
        </w:rPr>
        <w:t>Jolly</w:t>
      </w:r>
      <w:r w:rsidR="00BC731A" w:rsidRPr="00E071BB">
        <w:rPr>
          <w:rFonts w:ascii="Arial" w:hAnsi="Arial" w:cs="Arial"/>
        </w:rPr>
        <w:t>, 2026)</w:t>
      </w:r>
      <w:r w:rsidR="00453BF3" w:rsidRPr="00E071BB">
        <w:rPr>
          <w:rFonts w:ascii="Arial" w:hAnsi="Arial" w:cs="Arial"/>
        </w:rPr>
        <w:t>.</w:t>
      </w:r>
      <w:r w:rsidRPr="00E071BB">
        <w:rPr>
          <w:rFonts w:ascii="Arial" w:hAnsi="Arial" w:cs="Arial"/>
        </w:rPr>
        <w:t xml:space="preserve"> Socio-culturally, premium demographics evaluate luxury through environmental transparency, demanding circular vehicle components and zero-carbon manufacturing.</w:t>
      </w:r>
    </w:p>
    <w:p w14:paraId="7A0E0177" w14:textId="0AD271CE" w:rsidR="00A4123D" w:rsidRPr="00E071BB" w:rsidRDefault="00A4123D" w:rsidP="00A4123D">
      <w:pPr>
        <w:rPr>
          <w:rFonts w:ascii="Arial" w:hAnsi="Arial" w:cs="Arial"/>
        </w:rPr>
      </w:pPr>
      <w:r w:rsidRPr="00E071BB">
        <w:rPr>
          <w:rFonts w:ascii="Arial" w:hAnsi="Arial" w:cs="Arial"/>
        </w:rPr>
        <w:t>Technologically, the industry has shifted from traditional internal combustion engine refinement to Software-Defined Vehicles (SDVs), necessitating a centrali</w:t>
      </w:r>
      <w:r w:rsidR="003F2254" w:rsidRPr="00E071BB">
        <w:rPr>
          <w:rFonts w:ascii="Arial" w:hAnsi="Arial" w:cs="Arial"/>
        </w:rPr>
        <w:t>s</w:t>
      </w:r>
      <w:r w:rsidRPr="00E071BB">
        <w:rPr>
          <w:rFonts w:ascii="Arial" w:hAnsi="Arial" w:cs="Arial"/>
        </w:rPr>
        <w:t>ed electronic architecture for over-the-air updates and cloud diagnostics</w:t>
      </w:r>
      <w:r w:rsidR="00C070F1" w:rsidRPr="00E071BB">
        <w:rPr>
          <w:rFonts w:ascii="Arial" w:hAnsi="Arial" w:cs="Arial"/>
        </w:rPr>
        <w:t xml:space="preserve"> (</w:t>
      </w:r>
      <w:r w:rsidR="00C070F1" w:rsidRPr="00E071BB">
        <w:rPr>
          <w:rFonts w:ascii="Arial" w:hAnsi="Arial" w:cs="Arial"/>
        </w:rPr>
        <w:t>Kwag, and Kang., 2025</w:t>
      </w:r>
      <w:r w:rsidR="00C070F1" w:rsidRPr="00E071BB">
        <w:rPr>
          <w:rFonts w:ascii="Arial" w:hAnsi="Arial" w:cs="Arial"/>
        </w:rPr>
        <w:t>)</w:t>
      </w:r>
      <w:r w:rsidRPr="00E071BB">
        <w:rPr>
          <w:rFonts w:ascii="Arial" w:hAnsi="Arial" w:cs="Arial"/>
        </w:rPr>
        <w:t>. Environmentally, JLR must eliminate carbon outputs across its entire value chain to mitigate absolute existential risk and meet its 2039 net-zero corporate target</w:t>
      </w:r>
      <w:r w:rsidR="00FE0EE3" w:rsidRPr="00E071BB">
        <w:rPr>
          <w:rFonts w:ascii="Arial" w:hAnsi="Arial" w:cs="Arial"/>
        </w:rPr>
        <w:t xml:space="preserve"> </w:t>
      </w:r>
      <w:r w:rsidR="00FE0EE3" w:rsidRPr="00E071BB">
        <w:rPr>
          <w:rFonts w:ascii="Arial" w:hAnsi="Arial" w:cs="Arial"/>
        </w:rPr>
        <w:t>(JLR</w:t>
      </w:r>
      <w:r w:rsidR="00FE0EE3" w:rsidRPr="00E071BB">
        <w:rPr>
          <w:rFonts w:ascii="Arial" w:hAnsi="Arial" w:cs="Arial"/>
        </w:rPr>
        <w:t>,</w:t>
      </w:r>
      <w:r w:rsidR="00FE0EE3" w:rsidRPr="00E071BB">
        <w:rPr>
          <w:rFonts w:ascii="Arial" w:hAnsi="Arial" w:cs="Arial"/>
        </w:rPr>
        <w:t xml:space="preserve"> 2025).</w:t>
      </w:r>
    </w:p>
    <w:p w14:paraId="6F63D8AC" w14:textId="77777777" w:rsidR="009152FC" w:rsidRPr="00E071BB" w:rsidRDefault="009152FC" w:rsidP="00A4123D">
      <w:pPr>
        <w:rPr>
          <w:rFonts w:ascii="Arial" w:hAnsi="Arial" w:cs="Arial"/>
        </w:rPr>
      </w:pPr>
    </w:p>
    <w:p w14:paraId="065B32BD" w14:textId="77777777" w:rsidR="00A4123D" w:rsidRPr="00E071BB" w:rsidRDefault="00A4123D" w:rsidP="00A4123D">
      <w:pPr>
        <w:rPr>
          <w:rFonts w:ascii="Arial" w:hAnsi="Arial" w:cs="Arial"/>
        </w:rPr>
      </w:pPr>
      <w:r w:rsidRPr="00E071BB">
        <w:rPr>
          <w:rFonts w:ascii="Arial" w:hAnsi="Arial" w:cs="Arial"/>
        </w:rPr>
        <w:t>​</w:t>
      </w:r>
      <w:r w:rsidRPr="00D34B24">
        <w:rPr>
          <w:rStyle w:val="Heading2Char"/>
        </w:rPr>
        <w:t>Micro-Environmental Analysis (Porter's Five Forces)</w:t>
      </w:r>
    </w:p>
    <w:p w14:paraId="2C98A076" w14:textId="6BCFFE05" w:rsidR="00A4123D" w:rsidRPr="00E071BB" w:rsidRDefault="00A4123D" w:rsidP="00A4123D">
      <w:pPr>
        <w:rPr>
          <w:rFonts w:ascii="Arial" w:hAnsi="Arial" w:cs="Arial"/>
        </w:rPr>
      </w:pPr>
      <w:r w:rsidRPr="00E071BB">
        <w:rPr>
          <w:rFonts w:ascii="Arial" w:hAnsi="Arial" w:cs="Arial"/>
        </w:rPr>
        <w:t xml:space="preserve">​The threat of new entrants has expanded rapidly. The transition to electric propulsion dismantled traditional mechanical barriers to entry, allowing capital-rich technology </w:t>
      </w:r>
      <w:r w:rsidRPr="00E071BB">
        <w:rPr>
          <w:rFonts w:ascii="Arial" w:hAnsi="Arial" w:cs="Arial"/>
        </w:rPr>
        <w:lastRenderedPageBreak/>
        <w:t>conglomerates and vertically integrated Chinese OEMs (such as BYD, Nio, and Geely) with superior battery scale to enter the luxury market</w:t>
      </w:r>
      <w:r w:rsidR="006D1FD7" w:rsidRPr="00E071BB">
        <w:rPr>
          <w:rFonts w:ascii="Arial" w:hAnsi="Arial" w:cs="Arial"/>
        </w:rPr>
        <w:t xml:space="preserve"> </w:t>
      </w:r>
      <w:r w:rsidR="00936B20" w:rsidRPr="00E071BB">
        <w:rPr>
          <w:rFonts w:ascii="Arial" w:hAnsi="Arial" w:cs="Arial"/>
        </w:rPr>
        <w:t>(</w:t>
      </w:r>
      <w:r w:rsidR="006D1FD7" w:rsidRPr="00E071BB">
        <w:rPr>
          <w:rFonts w:ascii="Arial" w:hAnsi="Arial" w:cs="Arial"/>
        </w:rPr>
        <w:t xml:space="preserve">Hertzke, </w:t>
      </w:r>
      <w:r w:rsidR="006A7DE6" w:rsidRPr="00E071BB">
        <w:rPr>
          <w:rFonts w:ascii="Arial" w:hAnsi="Arial" w:cs="Arial"/>
        </w:rPr>
        <w:t>et al</w:t>
      </w:r>
      <w:r w:rsidR="006D1FD7" w:rsidRPr="00E071BB">
        <w:rPr>
          <w:rFonts w:ascii="Arial" w:hAnsi="Arial" w:cs="Arial"/>
        </w:rPr>
        <w:t>., 2025)</w:t>
      </w:r>
      <w:r w:rsidR="00936B20" w:rsidRPr="00E071BB">
        <w:rPr>
          <w:rFonts w:ascii="Arial" w:hAnsi="Arial" w:cs="Arial"/>
        </w:rPr>
        <w:t>.</w:t>
      </w:r>
    </w:p>
    <w:p w14:paraId="0D4891BE" w14:textId="4E4CE227" w:rsidR="00A4123D" w:rsidRPr="00E071BB" w:rsidRDefault="00A4123D" w:rsidP="00A4123D">
      <w:pPr>
        <w:rPr>
          <w:rFonts w:ascii="Arial" w:hAnsi="Arial" w:cs="Arial"/>
        </w:rPr>
      </w:pPr>
      <w:r w:rsidRPr="00E071BB">
        <w:rPr>
          <w:rFonts w:ascii="Arial" w:hAnsi="Arial" w:cs="Arial"/>
        </w:rPr>
        <w:t>​The threat of substitution remains low in the premium luxury space, where vehicle ownership serves as an intense socio-economic marker, though urban vehicle bans alter metropolitan purchasing</w:t>
      </w:r>
      <w:r w:rsidR="00FD24DA" w:rsidRPr="00E071BB">
        <w:rPr>
          <w:rFonts w:ascii="Arial" w:hAnsi="Arial" w:cs="Arial"/>
        </w:rPr>
        <w:t xml:space="preserve"> (</w:t>
      </w:r>
      <w:r w:rsidR="00FD24DA" w:rsidRPr="00E071BB">
        <w:rPr>
          <w:rFonts w:ascii="Arial" w:hAnsi="Arial" w:cs="Arial"/>
        </w:rPr>
        <w:t>Su, and Gao.,</w:t>
      </w:r>
      <w:r w:rsidR="00FD24DA" w:rsidRPr="00E071BB">
        <w:rPr>
          <w:rFonts w:ascii="Arial" w:hAnsi="Arial" w:cs="Arial"/>
        </w:rPr>
        <w:t xml:space="preserve"> </w:t>
      </w:r>
      <w:r w:rsidR="00FD24DA" w:rsidRPr="00E071BB">
        <w:rPr>
          <w:rFonts w:ascii="Arial" w:hAnsi="Arial" w:cs="Arial"/>
        </w:rPr>
        <w:t>2026</w:t>
      </w:r>
      <w:r w:rsidR="00FD24DA" w:rsidRPr="00E071BB">
        <w:rPr>
          <w:rFonts w:ascii="Arial" w:hAnsi="Arial" w:cs="Arial"/>
        </w:rPr>
        <w:t>)</w:t>
      </w:r>
      <w:r w:rsidRPr="00E071BB">
        <w:rPr>
          <w:rFonts w:ascii="Arial" w:hAnsi="Arial" w:cs="Arial"/>
        </w:rPr>
        <w:t>. Buyer power is exceptionally high premium consumers utili</w:t>
      </w:r>
      <w:r w:rsidR="00936B20" w:rsidRPr="00E071BB">
        <w:rPr>
          <w:rFonts w:ascii="Arial" w:hAnsi="Arial" w:cs="Arial"/>
        </w:rPr>
        <w:t>s</w:t>
      </w:r>
      <w:r w:rsidRPr="00E071BB">
        <w:rPr>
          <w:rFonts w:ascii="Arial" w:hAnsi="Arial" w:cs="Arial"/>
        </w:rPr>
        <w:t>e extensive digital sales channels and independent performance benchmarking, allowing them to switch brands with minimal friction if an OEM falls behind in cabin infotainment or driving range</w:t>
      </w:r>
      <w:r w:rsidR="00C463C1" w:rsidRPr="00E071BB">
        <w:rPr>
          <w:rFonts w:ascii="Arial" w:hAnsi="Arial" w:cs="Arial"/>
        </w:rPr>
        <w:t xml:space="preserve"> </w:t>
      </w:r>
      <w:r w:rsidR="00C463C1" w:rsidRPr="00E071BB">
        <w:rPr>
          <w:rFonts w:ascii="Arial" w:hAnsi="Arial" w:cs="Arial"/>
        </w:rPr>
        <w:t>(Hertzke, et al., 2025)</w:t>
      </w:r>
      <w:r w:rsidRPr="00E071BB">
        <w:rPr>
          <w:rFonts w:ascii="Arial" w:hAnsi="Arial" w:cs="Arial"/>
        </w:rPr>
        <w:t>.</w:t>
      </w:r>
    </w:p>
    <w:p w14:paraId="46B7C8C2" w14:textId="04BB2402" w:rsidR="00A4123D" w:rsidRPr="00E071BB" w:rsidRDefault="00A4123D" w:rsidP="00A4123D">
      <w:pPr>
        <w:rPr>
          <w:rFonts w:ascii="Arial" w:hAnsi="Arial" w:cs="Arial"/>
        </w:rPr>
      </w:pPr>
      <w:r w:rsidRPr="00E071BB">
        <w:rPr>
          <w:rFonts w:ascii="Arial" w:hAnsi="Arial" w:cs="Arial"/>
        </w:rPr>
        <w:t>​Supplier power presents a severe concentration risk, as global semiconductor and high-energy battery cell manufacturing is dominated by a few massive suppliers like TSMC and CATL, limiting JLR's purchasing leverage relative to high-volume OEMs</w:t>
      </w:r>
      <w:r w:rsidR="00827B5B" w:rsidRPr="00E071BB">
        <w:rPr>
          <w:rFonts w:ascii="Arial" w:hAnsi="Arial" w:cs="Arial"/>
        </w:rPr>
        <w:t xml:space="preserve"> (</w:t>
      </w:r>
      <w:r w:rsidR="00827B5B" w:rsidRPr="00E071BB">
        <w:rPr>
          <w:rFonts w:ascii="Arial" w:hAnsi="Arial" w:cs="Arial"/>
        </w:rPr>
        <w:t xml:space="preserve">Xiong, </w:t>
      </w:r>
      <w:r w:rsidR="0022721D" w:rsidRPr="00E071BB">
        <w:rPr>
          <w:rFonts w:ascii="Arial" w:hAnsi="Arial" w:cs="Arial"/>
        </w:rPr>
        <w:t>et al</w:t>
      </w:r>
      <w:r w:rsidR="00827B5B" w:rsidRPr="00E071BB">
        <w:rPr>
          <w:rFonts w:ascii="Arial" w:hAnsi="Arial" w:cs="Arial"/>
        </w:rPr>
        <w:t>., 2025</w:t>
      </w:r>
      <w:r w:rsidR="0022721D" w:rsidRPr="00E071BB">
        <w:rPr>
          <w:rFonts w:ascii="Arial" w:hAnsi="Arial" w:cs="Arial"/>
        </w:rPr>
        <w:t>)</w:t>
      </w:r>
      <w:r w:rsidRPr="00E071BB">
        <w:rPr>
          <w:rFonts w:ascii="Arial" w:hAnsi="Arial" w:cs="Arial"/>
        </w:rPr>
        <w:t>. Competitive rivalry is fierce, with legacy German and luxury competitors investing billions into proprietary software platforms, compressing gross margins globally.</w:t>
      </w:r>
    </w:p>
    <w:p w14:paraId="092B098E" w14:textId="77777777" w:rsidR="009152FC" w:rsidRPr="00E071BB" w:rsidRDefault="009152FC" w:rsidP="00A4123D">
      <w:pPr>
        <w:rPr>
          <w:rFonts w:ascii="Arial" w:hAnsi="Arial" w:cs="Arial"/>
        </w:rPr>
      </w:pPr>
    </w:p>
    <w:p w14:paraId="139D87E1" w14:textId="77777777" w:rsidR="00A4123D" w:rsidRPr="00E071BB" w:rsidRDefault="00A4123D" w:rsidP="00A4123D">
      <w:pPr>
        <w:rPr>
          <w:rFonts w:ascii="Arial" w:hAnsi="Arial" w:cs="Arial"/>
        </w:rPr>
      </w:pPr>
      <w:r w:rsidRPr="00E071BB">
        <w:rPr>
          <w:rFonts w:ascii="Arial" w:hAnsi="Arial" w:cs="Arial"/>
        </w:rPr>
        <w:t>​</w:t>
      </w:r>
      <w:r w:rsidRPr="00D34B24">
        <w:rPr>
          <w:rStyle w:val="Heading2Char"/>
        </w:rPr>
        <w:t>Internal Organisational Analysis (Resource-Based View &amp; VRIO)</w:t>
      </w:r>
    </w:p>
    <w:p w14:paraId="4ED4239F" w14:textId="4A37B667" w:rsidR="00A4123D" w:rsidRPr="00E071BB" w:rsidRDefault="00A4123D" w:rsidP="00A4123D">
      <w:pPr>
        <w:rPr>
          <w:rFonts w:ascii="Arial" w:hAnsi="Arial" w:cs="Arial"/>
        </w:rPr>
      </w:pPr>
      <w:r w:rsidRPr="00E071BB">
        <w:rPr>
          <w:rFonts w:ascii="Arial" w:hAnsi="Arial" w:cs="Arial"/>
        </w:rPr>
        <w:t>​JLR possesses valuable and rare resources, anchored by the immense brand equity of its "Range Rover" and "Defender" nameplates, which command substantial premium pricing. Its speciali</w:t>
      </w:r>
      <w:r w:rsidR="004827C8" w:rsidRPr="00E071BB">
        <w:rPr>
          <w:rFonts w:ascii="Arial" w:hAnsi="Arial" w:cs="Arial"/>
        </w:rPr>
        <w:t>s</w:t>
      </w:r>
      <w:r w:rsidRPr="00E071BB">
        <w:rPr>
          <w:rFonts w:ascii="Arial" w:hAnsi="Arial" w:cs="Arial"/>
        </w:rPr>
        <w:t xml:space="preserve">ed </w:t>
      </w:r>
      <w:r w:rsidR="00816DCF" w:rsidRPr="00E071BB">
        <w:rPr>
          <w:rFonts w:ascii="Arial" w:hAnsi="Arial" w:cs="Arial"/>
        </w:rPr>
        <w:t>aluminium</w:t>
      </w:r>
      <w:r w:rsidRPr="00E071BB">
        <w:rPr>
          <w:rFonts w:ascii="Arial" w:hAnsi="Arial" w:cs="Arial"/>
        </w:rPr>
        <w:t>-stamping capabilities and modular longitudinal architectures (MLA) provide operational flexibility by allowing multiple powertrain configurations on a single physical production line</w:t>
      </w:r>
      <w:r w:rsidR="00CA1AE7" w:rsidRPr="00E071BB">
        <w:rPr>
          <w:rFonts w:ascii="Arial" w:hAnsi="Arial" w:cs="Arial"/>
        </w:rPr>
        <w:t xml:space="preserve"> </w:t>
      </w:r>
      <w:r w:rsidR="00F67851" w:rsidRPr="00E071BB">
        <w:rPr>
          <w:rFonts w:ascii="Arial" w:hAnsi="Arial" w:cs="Arial"/>
        </w:rPr>
        <w:t>(</w:t>
      </w:r>
      <w:r w:rsidR="00CA1AE7" w:rsidRPr="00E071BB">
        <w:rPr>
          <w:rFonts w:ascii="Arial" w:hAnsi="Arial" w:cs="Arial"/>
        </w:rPr>
        <w:t>JLR</w:t>
      </w:r>
      <w:r w:rsidR="00CA1AE7" w:rsidRPr="00E071BB">
        <w:rPr>
          <w:rFonts w:ascii="Arial" w:hAnsi="Arial" w:cs="Arial"/>
        </w:rPr>
        <w:t>,</w:t>
      </w:r>
      <w:r w:rsidR="00F67851" w:rsidRPr="00E071BB">
        <w:rPr>
          <w:rFonts w:ascii="Arial" w:hAnsi="Arial" w:cs="Arial"/>
        </w:rPr>
        <w:t xml:space="preserve"> </w:t>
      </w:r>
      <w:r w:rsidR="00CA1AE7" w:rsidRPr="00E071BB">
        <w:rPr>
          <w:rFonts w:ascii="Arial" w:hAnsi="Arial" w:cs="Arial"/>
        </w:rPr>
        <w:t>2026</w:t>
      </w:r>
      <w:r w:rsidR="00F67851" w:rsidRPr="00E071BB">
        <w:rPr>
          <w:rFonts w:ascii="Arial" w:hAnsi="Arial" w:cs="Arial"/>
        </w:rPr>
        <w:t>).</w:t>
      </w:r>
    </w:p>
    <w:p w14:paraId="08FB5494" w14:textId="182EEA8B" w:rsidR="00A4123D" w:rsidRPr="00E071BB" w:rsidRDefault="00A4123D" w:rsidP="00A4123D">
      <w:pPr>
        <w:rPr>
          <w:rFonts w:ascii="Arial" w:hAnsi="Arial" w:cs="Arial"/>
        </w:rPr>
      </w:pPr>
      <w:r w:rsidRPr="00E071BB">
        <w:rPr>
          <w:rFonts w:ascii="Arial" w:hAnsi="Arial" w:cs="Arial"/>
        </w:rPr>
        <w:t>​These historical design identities and off-road engineering legacies are imperfectly imitable due to decades of path dependency and distinct British positioning. However, JLR’s resource configuration faces a critical vulnerability in its organi</w:t>
      </w:r>
      <w:r w:rsidR="00D51D4E" w:rsidRPr="00E071BB">
        <w:rPr>
          <w:rFonts w:ascii="Arial" w:hAnsi="Arial" w:cs="Arial"/>
        </w:rPr>
        <w:t>s</w:t>
      </w:r>
      <w:r w:rsidRPr="00E071BB">
        <w:rPr>
          <w:rFonts w:ascii="Arial" w:hAnsi="Arial" w:cs="Arial"/>
        </w:rPr>
        <w:t>ation. Decades of relying on external tier-one suppliers created a highly fragmented legacy software infrastructure</w:t>
      </w:r>
      <w:r w:rsidR="003E4785" w:rsidRPr="00E071BB">
        <w:rPr>
          <w:rFonts w:ascii="Arial" w:hAnsi="Arial" w:cs="Arial"/>
        </w:rPr>
        <w:t xml:space="preserve"> </w:t>
      </w:r>
      <w:r w:rsidR="007D66BC" w:rsidRPr="00E071BB">
        <w:rPr>
          <w:rFonts w:ascii="Arial" w:hAnsi="Arial" w:cs="Arial"/>
        </w:rPr>
        <w:t>(</w:t>
      </w:r>
      <w:r w:rsidR="003E4785" w:rsidRPr="00E071BB">
        <w:rPr>
          <w:rFonts w:ascii="Arial" w:hAnsi="Arial" w:cs="Arial"/>
        </w:rPr>
        <w:t>Covarrubias, and Pérez., 2019</w:t>
      </w:r>
      <w:r w:rsidR="007D66BC" w:rsidRPr="00E071BB">
        <w:rPr>
          <w:rFonts w:ascii="Arial" w:hAnsi="Arial" w:cs="Arial"/>
        </w:rPr>
        <w:t>)</w:t>
      </w:r>
      <w:r w:rsidRPr="00E071BB">
        <w:rPr>
          <w:rFonts w:ascii="Arial" w:hAnsi="Arial" w:cs="Arial"/>
        </w:rPr>
        <w:t>.</w:t>
      </w:r>
    </w:p>
    <w:p w14:paraId="6958BA83" w14:textId="55F5A737" w:rsidR="00A4123D" w:rsidRPr="00E071BB" w:rsidRDefault="00A4123D" w:rsidP="00A4123D">
      <w:pPr>
        <w:rPr>
          <w:rFonts w:ascii="Arial" w:hAnsi="Arial" w:cs="Arial"/>
        </w:rPr>
      </w:pPr>
      <w:r w:rsidRPr="00E071BB">
        <w:rPr>
          <w:rFonts w:ascii="Arial" w:hAnsi="Arial" w:cs="Arial"/>
        </w:rPr>
        <w:t>​This core rigidity means JLR's internal organi</w:t>
      </w:r>
      <w:r w:rsidR="007D66BC" w:rsidRPr="00E071BB">
        <w:rPr>
          <w:rFonts w:ascii="Arial" w:hAnsi="Arial" w:cs="Arial"/>
        </w:rPr>
        <w:t>s</w:t>
      </w:r>
      <w:r w:rsidRPr="00E071BB">
        <w:rPr>
          <w:rFonts w:ascii="Arial" w:hAnsi="Arial" w:cs="Arial"/>
        </w:rPr>
        <w:t>ation is not yet natively structured to execute seamless over-the-air updates or deploy centrali</w:t>
      </w:r>
      <w:r w:rsidR="007D66BC" w:rsidRPr="00E071BB">
        <w:rPr>
          <w:rFonts w:ascii="Arial" w:hAnsi="Arial" w:cs="Arial"/>
        </w:rPr>
        <w:t>s</w:t>
      </w:r>
      <w:r w:rsidRPr="00E071BB">
        <w:rPr>
          <w:rFonts w:ascii="Arial" w:hAnsi="Arial" w:cs="Arial"/>
        </w:rPr>
        <w:t>ed generative AI diagnostics without a capital-intensive digital overhaul. Consequently, while its mechanical assets offer a temporary competitive advantage, its digital assets currently function as a competitive disadvantage against digitally native rivals</w:t>
      </w:r>
      <w:r w:rsidR="00D91F4D" w:rsidRPr="00E071BB">
        <w:rPr>
          <w:rFonts w:ascii="Arial" w:hAnsi="Arial" w:cs="Arial"/>
        </w:rPr>
        <w:t xml:space="preserve"> </w:t>
      </w:r>
      <w:r w:rsidR="002B5A9B" w:rsidRPr="00E071BB">
        <w:rPr>
          <w:rFonts w:ascii="Arial" w:hAnsi="Arial" w:cs="Arial"/>
        </w:rPr>
        <w:t>(</w:t>
      </w:r>
      <w:r w:rsidR="00D91F4D" w:rsidRPr="00E071BB">
        <w:rPr>
          <w:rFonts w:ascii="Arial" w:hAnsi="Arial" w:cs="Arial"/>
        </w:rPr>
        <w:t>Escobar</w:t>
      </w:r>
      <w:r w:rsidR="002B5A9B" w:rsidRPr="00E071BB">
        <w:rPr>
          <w:rFonts w:ascii="Arial" w:hAnsi="Arial" w:cs="Arial"/>
        </w:rPr>
        <w:t xml:space="preserve">, </w:t>
      </w:r>
      <w:r w:rsidR="00D91F4D" w:rsidRPr="00E071BB">
        <w:rPr>
          <w:rFonts w:ascii="Arial" w:hAnsi="Arial" w:cs="Arial"/>
        </w:rPr>
        <w:t>el</w:t>
      </w:r>
      <w:r w:rsidR="002B5A9B" w:rsidRPr="00E071BB">
        <w:rPr>
          <w:rFonts w:ascii="Arial" w:hAnsi="Arial" w:cs="Arial"/>
        </w:rPr>
        <w:t xml:space="preserve"> al., 2025)</w:t>
      </w:r>
    </w:p>
    <w:p w14:paraId="2F6C2AC1" w14:textId="77777777" w:rsidR="009152FC" w:rsidRPr="00E071BB" w:rsidRDefault="009152FC" w:rsidP="00A4123D">
      <w:pPr>
        <w:rPr>
          <w:rFonts w:ascii="Arial" w:hAnsi="Arial" w:cs="Arial"/>
        </w:rPr>
      </w:pPr>
    </w:p>
    <w:p w14:paraId="0BF835D2" w14:textId="77777777" w:rsidR="00A4123D" w:rsidRPr="00E071BB" w:rsidRDefault="00A4123D" w:rsidP="00A4123D">
      <w:pPr>
        <w:rPr>
          <w:rFonts w:ascii="Arial" w:hAnsi="Arial" w:cs="Arial"/>
        </w:rPr>
      </w:pPr>
      <w:r w:rsidRPr="00E071BB">
        <w:rPr>
          <w:rFonts w:ascii="Arial" w:hAnsi="Arial" w:cs="Arial"/>
        </w:rPr>
        <w:t>​</w:t>
      </w:r>
      <w:r w:rsidRPr="00D34B24">
        <w:rPr>
          <w:rStyle w:val="Heading2Char"/>
        </w:rPr>
        <w:t>Triggers for Change: Ideological and Political Clashes</w:t>
      </w:r>
    </w:p>
    <w:p w14:paraId="36D4414F" w14:textId="54A4A7E4" w:rsidR="00A4123D" w:rsidRPr="00E071BB" w:rsidRDefault="00A4123D" w:rsidP="00A4123D">
      <w:pPr>
        <w:rPr>
          <w:rFonts w:ascii="Arial" w:hAnsi="Arial" w:cs="Arial"/>
        </w:rPr>
      </w:pPr>
      <w:r w:rsidRPr="00E071BB">
        <w:rPr>
          <w:rFonts w:ascii="Arial" w:hAnsi="Arial" w:cs="Arial"/>
        </w:rPr>
        <w:t xml:space="preserve">​The catalysts driving Project Electra-AI combine industrial machine learning advancements with a retail shift toward a </w:t>
      </w:r>
      <w:r w:rsidR="00591074" w:rsidRPr="00E071BB">
        <w:rPr>
          <w:rFonts w:ascii="Arial" w:hAnsi="Arial" w:cs="Arial"/>
        </w:rPr>
        <w:t>direct-to-consumer</w:t>
      </w:r>
      <w:r w:rsidRPr="00E071BB">
        <w:rPr>
          <w:rFonts w:ascii="Arial" w:hAnsi="Arial" w:cs="Arial"/>
        </w:rPr>
        <w:t xml:space="preserve"> digital agency model. To navigate this transformation, JLR must manage the deep ideological conflict between Milton Friedman’s shareholder primacy and Edward Freeman’s stakeholder theory</w:t>
      </w:r>
      <w:r w:rsidR="001D76D8" w:rsidRPr="00E071BB">
        <w:rPr>
          <w:rFonts w:ascii="Arial" w:hAnsi="Arial" w:cs="Arial"/>
        </w:rPr>
        <w:t xml:space="preserve"> </w:t>
      </w:r>
      <w:r w:rsidR="00AA3C50" w:rsidRPr="00E071BB">
        <w:rPr>
          <w:rFonts w:ascii="Arial" w:hAnsi="Arial" w:cs="Arial"/>
        </w:rPr>
        <w:t>(</w:t>
      </w:r>
      <w:r w:rsidR="001D76D8" w:rsidRPr="00E071BB">
        <w:rPr>
          <w:rFonts w:ascii="Arial" w:hAnsi="Arial" w:cs="Arial"/>
        </w:rPr>
        <w:t>Hühn, 2023</w:t>
      </w:r>
      <w:r w:rsidR="00AA3C50" w:rsidRPr="00E071BB">
        <w:rPr>
          <w:rFonts w:ascii="Arial" w:hAnsi="Arial" w:cs="Arial"/>
        </w:rPr>
        <w:t>)</w:t>
      </w:r>
      <w:r w:rsidRPr="00E071BB">
        <w:rPr>
          <w:rFonts w:ascii="Arial" w:hAnsi="Arial" w:cs="Arial"/>
        </w:rPr>
        <w:t>. Under a strict Friedmanite framework, JLR would prioriti</w:t>
      </w:r>
      <w:r w:rsidR="002A4629" w:rsidRPr="00E071BB">
        <w:rPr>
          <w:rFonts w:ascii="Arial" w:hAnsi="Arial" w:cs="Arial"/>
        </w:rPr>
        <w:t>s</w:t>
      </w:r>
      <w:r w:rsidRPr="00E071BB">
        <w:rPr>
          <w:rFonts w:ascii="Arial" w:hAnsi="Arial" w:cs="Arial"/>
        </w:rPr>
        <w:t>e short-term financial returns for its parent company, Tata Motors, by delaying expensive EV investments and extending profitable combustion vehicle lines</w:t>
      </w:r>
      <w:r w:rsidR="004C72D7" w:rsidRPr="00E071BB">
        <w:rPr>
          <w:rFonts w:ascii="Arial" w:hAnsi="Arial" w:cs="Arial"/>
        </w:rPr>
        <w:t xml:space="preserve"> (</w:t>
      </w:r>
      <w:r w:rsidR="004C72D7" w:rsidRPr="00E071BB">
        <w:rPr>
          <w:rFonts w:ascii="Arial" w:hAnsi="Arial" w:cs="Arial"/>
        </w:rPr>
        <w:t xml:space="preserve">Song, </w:t>
      </w:r>
      <w:r w:rsidR="004C72D7" w:rsidRPr="00E071BB">
        <w:rPr>
          <w:rFonts w:ascii="Arial" w:hAnsi="Arial" w:cs="Arial"/>
        </w:rPr>
        <w:t>et al</w:t>
      </w:r>
      <w:r w:rsidR="004C72D7" w:rsidRPr="00E071BB">
        <w:rPr>
          <w:rFonts w:ascii="Arial" w:hAnsi="Arial" w:cs="Arial"/>
        </w:rPr>
        <w:t>., 2025</w:t>
      </w:r>
      <w:r w:rsidR="004C72D7" w:rsidRPr="00E071BB">
        <w:rPr>
          <w:rFonts w:ascii="Arial" w:hAnsi="Arial" w:cs="Arial"/>
        </w:rPr>
        <w:t>)</w:t>
      </w:r>
      <w:r w:rsidR="004C72D7" w:rsidRPr="00E071BB">
        <w:rPr>
          <w:rFonts w:ascii="Arial" w:hAnsi="Arial" w:cs="Arial"/>
        </w:rPr>
        <w:t xml:space="preserve">. </w:t>
      </w:r>
    </w:p>
    <w:p w14:paraId="5CA3FB64" w14:textId="71FD22B7" w:rsidR="00A4123D" w:rsidRPr="00E071BB" w:rsidRDefault="00A4123D" w:rsidP="00A4123D">
      <w:pPr>
        <w:rPr>
          <w:rFonts w:ascii="Arial" w:hAnsi="Arial" w:cs="Arial"/>
        </w:rPr>
      </w:pPr>
      <w:r w:rsidRPr="00E071BB">
        <w:rPr>
          <w:rFonts w:ascii="Arial" w:hAnsi="Arial" w:cs="Arial"/>
        </w:rPr>
        <w:t>​However, applying Freeman’s stakeholder framework reveals that an exclusive focus on short-term shareholder returns carries catastrophic operational risks</w:t>
      </w:r>
      <w:r w:rsidR="00B616F7" w:rsidRPr="00E071BB">
        <w:rPr>
          <w:rFonts w:ascii="Arial" w:hAnsi="Arial" w:cs="Arial"/>
        </w:rPr>
        <w:t xml:space="preserve"> </w:t>
      </w:r>
      <w:r w:rsidR="000B601F" w:rsidRPr="00E071BB">
        <w:rPr>
          <w:rFonts w:ascii="Arial" w:hAnsi="Arial" w:cs="Arial"/>
        </w:rPr>
        <w:t>(</w:t>
      </w:r>
      <w:r w:rsidR="000B601F" w:rsidRPr="00E071BB">
        <w:rPr>
          <w:rFonts w:ascii="Arial" w:hAnsi="Arial" w:cs="Arial"/>
        </w:rPr>
        <w:t>Freeman,2010</w:t>
      </w:r>
      <w:r w:rsidR="000B601F" w:rsidRPr="00E071BB">
        <w:rPr>
          <w:rFonts w:ascii="Arial" w:hAnsi="Arial" w:cs="Arial"/>
        </w:rPr>
        <w:t>)</w:t>
      </w:r>
      <w:r w:rsidRPr="00E071BB">
        <w:rPr>
          <w:rFonts w:ascii="Arial" w:hAnsi="Arial" w:cs="Arial"/>
        </w:rPr>
        <w:t xml:space="preserve">. Neglecting regulatory bodies enforcing the ZEV mandate, trade unions demanding long-term employment protection, and supply chain partners moving toward zero-carbon logistics </w:t>
      </w:r>
      <w:r w:rsidRPr="00E071BB">
        <w:rPr>
          <w:rFonts w:ascii="Arial" w:hAnsi="Arial" w:cs="Arial"/>
        </w:rPr>
        <w:lastRenderedPageBreak/>
        <w:t>would quickly destroy JLR's operational legitimacy. The strategic mandate requires using shareholder capital to build balanced value across the entire stakeholder ecosystem to ensure long-term survival</w:t>
      </w:r>
      <w:r w:rsidR="00134772" w:rsidRPr="00E071BB">
        <w:rPr>
          <w:rFonts w:ascii="Arial" w:hAnsi="Arial" w:cs="Arial"/>
        </w:rPr>
        <w:t xml:space="preserve"> (</w:t>
      </w:r>
      <w:r w:rsidR="004C6A76" w:rsidRPr="00E071BB">
        <w:rPr>
          <w:rFonts w:ascii="Arial" w:hAnsi="Arial" w:cs="Arial"/>
        </w:rPr>
        <w:t>Unite the Union</w:t>
      </w:r>
      <w:r w:rsidR="00134772" w:rsidRPr="00E071BB">
        <w:rPr>
          <w:rFonts w:ascii="Arial" w:hAnsi="Arial" w:cs="Arial"/>
        </w:rPr>
        <w:t xml:space="preserve">, </w:t>
      </w:r>
      <w:r w:rsidR="004C6A76" w:rsidRPr="00E071BB">
        <w:rPr>
          <w:rFonts w:ascii="Arial" w:hAnsi="Arial" w:cs="Arial"/>
        </w:rPr>
        <w:t>2026</w:t>
      </w:r>
      <w:r w:rsidR="00134772" w:rsidRPr="00E071BB">
        <w:rPr>
          <w:rFonts w:ascii="Arial" w:hAnsi="Arial" w:cs="Arial"/>
        </w:rPr>
        <w:t>)</w:t>
      </w:r>
      <w:r w:rsidRPr="00E071BB">
        <w:rPr>
          <w:rFonts w:ascii="Arial" w:hAnsi="Arial" w:cs="Arial"/>
        </w:rPr>
        <w:t>.</w:t>
      </w:r>
    </w:p>
    <w:p w14:paraId="28CC4B3E" w14:textId="03163211" w:rsidR="00A4123D" w:rsidRPr="00E071BB" w:rsidRDefault="00A4123D" w:rsidP="00A4123D">
      <w:pPr>
        <w:rPr>
          <w:rFonts w:ascii="Arial" w:hAnsi="Arial" w:cs="Arial"/>
        </w:rPr>
      </w:pPr>
      <w:r w:rsidRPr="00E071BB">
        <w:rPr>
          <w:rFonts w:ascii="Arial" w:hAnsi="Arial" w:cs="Arial"/>
        </w:rPr>
        <w:t>​This ideological tension translates directly into intense internal power struggles. Legacy internal combustion engine engineering divisions, which have historically generated the bulk of JLR's profits, function as powerful internal political coalitions</w:t>
      </w:r>
      <w:r w:rsidR="00FC6918" w:rsidRPr="00E071BB">
        <w:rPr>
          <w:rFonts w:ascii="Arial" w:hAnsi="Arial" w:cs="Arial"/>
        </w:rPr>
        <w:t xml:space="preserve"> (</w:t>
      </w:r>
      <w:r w:rsidR="00FC6918" w:rsidRPr="00E071BB">
        <w:rPr>
          <w:rFonts w:ascii="Arial" w:hAnsi="Arial" w:cs="Arial"/>
        </w:rPr>
        <w:t xml:space="preserve">Harel, </w:t>
      </w:r>
      <w:r w:rsidR="00FC6918" w:rsidRPr="00E071BB">
        <w:rPr>
          <w:rFonts w:ascii="Arial" w:hAnsi="Arial" w:cs="Arial"/>
        </w:rPr>
        <w:t>et al</w:t>
      </w:r>
      <w:r w:rsidR="00FC6918" w:rsidRPr="00E071BB">
        <w:rPr>
          <w:rFonts w:ascii="Arial" w:hAnsi="Arial" w:cs="Arial"/>
        </w:rPr>
        <w:t>., 2020</w:t>
      </w:r>
      <w:r w:rsidR="00FC6918" w:rsidRPr="00E071BB">
        <w:rPr>
          <w:rFonts w:ascii="Arial" w:hAnsi="Arial" w:cs="Arial"/>
        </w:rPr>
        <w:t>)</w:t>
      </w:r>
      <w:r w:rsidRPr="00E071BB">
        <w:rPr>
          <w:rFonts w:ascii="Arial" w:hAnsi="Arial" w:cs="Arial"/>
        </w:rPr>
        <w:t>. These traditional engineering groups often resist the aggressive reallocation of multi-billion-pound R&amp;D budgets toward speculative electric platforms and automated software divisions</w:t>
      </w:r>
      <w:r w:rsidR="00F87FCB" w:rsidRPr="00E071BB">
        <w:rPr>
          <w:rFonts w:ascii="Arial" w:hAnsi="Arial" w:cs="Arial"/>
        </w:rPr>
        <w:t xml:space="preserve"> </w:t>
      </w:r>
      <w:r w:rsidR="001667EB" w:rsidRPr="00E071BB">
        <w:rPr>
          <w:rFonts w:ascii="Arial" w:hAnsi="Arial" w:cs="Arial"/>
        </w:rPr>
        <w:t>(</w:t>
      </w:r>
      <w:r w:rsidR="00F87FCB" w:rsidRPr="00E071BB">
        <w:rPr>
          <w:rFonts w:ascii="Arial" w:hAnsi="Arial" w:cs="Arial"/>
        </w:rPr>
        <w:t>Jolly, 2026a</w:t>
      </w:r>
      <w:r w:rsidR="001667EB" w:rsidRPr="00E071BB">
        <w:rPr>
          <w:rFonts w:ascii="Arial" w:hAnsi="Arial" w:cs="Arial"/>
        </w:rPr>
        <w:t>)</w:t>
      </w:r>
      <w:r w:rsidRPr="00E071BB">
        <w:rPr>
          <w:rFonts w:ascii="Arial" w:hAnsi="Arial" w:cs="Arial"/>
        </w:rPr>
        <w:t>. This creates deep political friction between legacy manufacturing departments and newly formed digital software units. If senior management fails to mediate these internal resource wars, legacy departments can quietly stall execution, leading to mid-term inertia that leaves the firm highly vulnerable to agile competitors</w:t>
      </w:r>
      <w:r w:rsidR="00DE691F" w:rsidRPr="00E071BB">
        <w:rPr>
          <w:rFonts w:ascii="Arial" w:hAnsi="Arial" w:cs="Arial"/>
        </w:rPr>
        <w:t xml:space="preserve"> </w:t>
      </w:r>
      <w:r w:rsidR="0025451E" w:rsidRPr="00E071BB">
        <w:rPr>
          <w:rFonts w:ascii="Arial" w:hAnsi="Arial" w:cs="Arial"/>
        </w:rPr>
        <w:t>(</w:t>
      </w:r>
      <w:r w:rsidR="00954109" w:rsidRPr="00E071BB">
        <w:rPr>
          <w:rFonts w:ascii="Arial" w:hAnsi="Arial" w:cs="Arial"/>
        </w:rPr>
        <w:t>The Workplace Mediator</w:t>
      </w:r>
      <w:r w:rsidR="00954109" w:rsidRPr="00E071BB">
        <w:rPr>
          <w:rFonts w:ascii="Arial" w:hAnsi="Arial" w:cs="Arial"/>
        </w:rPr>
        <w:t xml:space="preserve"> </w:t>
      </w:r>
      <w:r w:rsidR="00DE691F" w:rsidRPr="00E071BB">
        <w:rPr>
          <w:rFonts w:ascii="Arial" w:hAnsi="Arial" w:cs="Arial"/>
        </w:rPr>
        <w:t>2025</w:t>
      </w:r>
      <w:r w:rsidR="0025451E" w:rsidRPr="00E071BB">
        <w:rPr>
          <w:rFonts w:ascii="Arial" w:hAnsi="Arial" w:cs="Arial"/>
        </w:rPr>
        <w:t>)</w:t>
      </w:r>
      <w:r w:rsidR="00DE691F" w:rsidRPr="00E071BB">
        <w:rPr>
          <w:rFonts w:ascii="Arial" w:hAnsi="Arial" w:cs="Arial"/>
        </w:rPr>
        <w:t>.</w:t>
      </w:r>
    </w:p>
    <w:p w14:paraId="2076536F" w14:textId="77777777" w:rsidR="00346085" w:rsidRPr="00E071BB" w:rsidRDefault="00346085" w:rsidP="00A4123D">
      <w:pPr>
        <w:rPr>
          <w:rFonts w:ascii="Arial" w:hAnsi="Arial" w:cs="Arial"/>
        </w:rPr>
      </w:pPr>
    </w:p>
    <w:p w14:paraId="406F4EFB" w14:textId="058B6E00" w:rsidR="00A4123D" w:rsidRPr="00E071BB" w:rsidRDefault="00A4123D" w:rsidP="00D34B24">
      <w:pPr>
        <w:pStyle w:val="Heading1"/>
      </w:pPr>
      <w:bookmarkStart w:id="2" w:name="_Toc234850195"/>
      <w:r w:rsidRPr="00E071BB">
        <w:rPr>
          <w:rStyle w:val="Heading2Char"/>
          <w:rFonts w:ascii="Arial" w:hAnsi="Arial" w:cs="Arial"/>
        </w:rPr>
        <w:t>Review and Evaluation of Change Management Models</w:t>
      </w:r>
      <w:bookmarkEnd w:id="2"/>
    </w:p>
    <w:p w14:paraId="0935DBA3" w14:textId="77777777" w:rsidR="00A4123D" w:rsidRPr="00D34B24" w:rsidRDefault="00A4123D" w:rsidP="00A4123D">
      <w:pPr>
        <w:rPr>
          <w:rStyle w:val="Heading2Char"/>
        </w:rPr>
      </w:pPr>
      <w:r w:rsidRPr="00E071BB">
        <w:rPr>
          <w:rFonts w:ascii="Arial" w:hAnsi="Arial" w:cs="Arial"/>
        </w:rPr>
        <w:t>​</w:t>
      </w:r>
      <w:r w:rsidRPr="00D34B24">
        <w:rPr>
          <w:rStyle w:val="Heading2Char"/>
        </w:rPr>
        <w:t>Critical Evaluation of Change Models</w:t>
      </w:r>
    </w:p>
    <w:p w14:paraId="095D220D" w14:textId="0B1012C3" w:rsidR="00510A94" w:rsidRPr="00E071BB" w:rsidRDefault="00510A94" w:rsidP="00510A94">
      <w:pPr>
        <w:rPr>
          <w:rFonts w:ascii="Arial" w:hAnsi="Arial" w:cs="Arial"/>
        </w:rPr>
      </w:pPr>
      <w:r w:rsidRPr="00E071BB">
        <w:rPr>
          <w:rFonts w:ascii="Arial" w:hAnsi="Arial" w:cs="Arial"/>
        </w:rPr>
        <w:t>​Kurt Lewin’s (1951) Three-Step Model (Unfreeze, Change, Refreeze) provides clear macro-level guidance for destabili</w:t>
      </w:r>
      <w:r w:rsidR="003A70A7" w:rsidRPr="00E071BB">
        <w:rPr>
          <w:rFonts w:ascii="Arial" w:hAnsi="Arial" w:cs="Arial"/>
        </w:rPr>
        <w:t>s</w:t>
      </w:r>
      <w:r w:rsidRPr="00E071BB">
        <w:rPr>
          <w:rFonts w:ascii="Arial" w:hAnsi="Arial" w:cs="Arial"/>
        </w:rPr>
        <w:t>ing rigid structures. Applied to JLR, unfreezing requires dismantling the historical mechanical engineering mindset. The change phase introduces modular electric vehicle (EV) architectures and automated machine learning diagnostics across assembly floors</w:t>
      </w:r>
      <w:r w:rsidR="009305A0" w:rsidRPr="00E071BB">
        <w:rPr>
          <w:rFonts w:ascii="Arial" w:hAnsi="Arial" w:cs="Arial"/>
        </w:rPr>
        <w:t xml:space="preserve"> </w:t>
      </w:r>
      <w:r w:rsidR="00F64E90" w:rsidRPr="00E071BB">
        <w:rPr>
          <w:rFonts w:ascii="Arial" w:hAnsi="Arial" w:cs="Arial"/>
        </w:rPr>
        <w:t>(</w:t>
      </w:r>
      <w:r w:rsidR="00F81961" w:rsidRPr="00E071BB">
        <w:rPr>
          <w:rFonts w:ascii="Arial" w:hAnsi="Arial" w:cs="Arial"/>
        </w:rPr>
        <w:t>Gurumurthy</w:t>
      </w:r>
      <w:r w:rsidR="00F64E90" w:rsidRPr="00E071BB">
        <w:rPr>
          <w:rFonts w:ascii="Arial" w:hAnsi="Arial" w:cs="Arial"/>
        </w:rPr>
        <w:t>,</w:t>
      </w:r>
      <w:r w:rsidR="00F81961" w:rsidRPr="00E071BB">
        <w:rPr>
          <w:rFonts w:ascii="Arial" w:hAnsi="Arial" w:cs="Arial"/>
        </w:rPr>
        <w:t xml:space="preserve"> 2024</w:t>
      </w:r>
      <w:r w:rsidR="009305A0" w:rsidRPr="00E071BB">
        <w:rPr>
          <w:rFonts w:ascii="Arial" w:hAnsi="Arial" w:cs="Arial"/>
        </w:rPr>
        <w:t>)</w:t>
      </w:r>
      <w:r w:rsidRPr="00E071BB">
        <w:rPr>
          <w:rFonts w:ascii="Arial" w:hAnsi="Arial" w:cs="Arial"/>
        </w:rPr>
        <w:t xml:space="preserve"> while refreezing embeds these digital workflows into standard operating procedures. However, modern theorists critici</w:t>
      </w:r>
      <w:r w:rsidR="003A70A7" w:rsidRPr="00E071BB">
        <w:rPr>
          <w:rFonts w:ascii="Arial" w:hAnsi="Arial" w:cs="Arial"/>
        </w:rPr>
        <w:t>s</w:t>
      </w:r>
      <w:r w:rsidRPr="00E071BB">
        <w:rPr>
          <w:rFonts w:ascii="Arial" w:hAnsi="Arial" w:cs="Arial"/>
        </w:rPr>
        <w:t>e the model's static assumptions (Burnes, 2020). The automotive sector operates under continuous technological disruption; refreezing software protocols creates new rigidities. Software-Defined Vehicles (SDVs) require continuous, iterative over-the-air updates, making a fixed refrozen end-state an operational mismatch</w:t>
      </w:r>
      <w:r w:rsidR="00144EDE" w:rsidRPr="00E071BB">
        <w:rPr>
          <w:rFonts w:ascii="Arial" w:hAnsi="Arial" w:cs="Arial"/>
        </w:rPr>
        <w:t xml:space="preserve"> </w:t>
      </w:r>
      <w:r w:rsidR="00B852D1" w:rsidRPr="00E071BB">
        <w:rPr>
          <w:rFonts w:ascii="Arial" w:hAnsi="Arial" w:cs="Arial"/>
        </w:rPr>
        <w:t>(</w:t>
      </w:r>
      <w:r w:rsidR="00144EDE" w:rsidRPr="00E071BB">
        <w:rPr>
          <w:rFonts w:ascii="Arial" w:hAnsi="Arial" w:cs="Arial"/>
        </w:rPr>
        <w:t>Juergen</w:t>
      </w:r>
      <w:r w:rsidR="00144EDE" w:rsidRPr="00E071BB">
        <w:rPr>
          <w:rFonts w:ascii="Arial" w:hAnsi="Arial" w:cs="Arial"/>
        </w:rPr>
        <w:t>, et al.,</w:t>
      </w:r>
      <w:r w:rsidR="00144EDE" w:rsidRPr="00E071BB">
        <w:rPr>
          <w:rFonts w:ascii="Arial" w:hAnsi="Arial" w:cs="Arial"/>
        </w:rPr>
        <w:t xml:space="preserve"> 2025).</w:t>
      </w:r>
    </w:p>
    <w:p w14:paraId="1541C1D7" w14:textId="113DBDD6" w:rsidR="00510A94" w:rsidRPr="00E071BB" w:rsidRDefault="00510A94" w:rsidP="00510A94">
      <w:pPr>
        <w:rPr>
          <w:rFonts w:ascii="Arial" w:hAnsi="Arial" w:cs="Arial"/>
        </w:rPr>
      </w:pPr>
      <w:r w:rsidRPr="00E071BB">
        <w:rPr>
          <w:rFonts w:ascii="Arial" w:hAnsi="Arial" w:cs="Arial"/>
        </w:rPr>
        <w:t>​John Kotter’s (1996) Eight-Step Framework provides a prescriptive, leadership-driven sequence to execute enterprise-wide transformation. For JLR, it offers a roadmap to establish urgency around UK ZEV mandate penalties (£15,000/vehicle), align executives with Tata Motors' objectives and showcase early automation wins at the Wolverhampton EPMC. Nonetheless, the model carries a top-down, authoritarian bias. In JLR’s highly unioni</w:t>
      </w:r>
      <w:r w:rsidR="00277173" w:rsidRPr="00E071BB">
        <w:rPr>
          <w:rFonts w:ascii="Arial" w:hAnsi="Arial" w:cs="Arial"/>
        </w:rPr>
        <w:t>s</w:t>
      </w:r>
      <w:r w:rsidRPr="00E071BB">
        <w:rPr>
          <w:rFonts w:ascii="Arial" w:hAnsi="Arial" w:cs="Arial"/>
        </w:rPr>
        <w:t>ed manufacturing environment, top-down mandates trigger deep shop-floor resistance if teams are excluded from early design choices. Furthermore, Kotter's strict linearity conflicts with the probabilistic nature of AI deployment, where iterative failure is necessary for optimi</w:t>
      </w:r>
      <w:r w:rsidR="003A70A7" w:rsidRPr="00E071BB">
        <w:rPr>
          <w:rFonts w:ascii="Arial" w:hAnsi="Arial" w:cs="Arial"/>
        </w:rPr>
        <w:t>s</w:t>
      </w:r>
      <w:r w:rsidRPr="00E071BB">
        <w:rPr>
          <w:rFonts w:ascii="Arial" w:hAnsi="Arial" w:cs="Arial"/>
        </w:rPr>
        <w:t>ation. Rushing early alignment steps risks mid-term inertia, where superficial momentum fades because the underlying operational culture remains unchanged.</w:t>
      </w:r>
    </w:p>
    <w:p w14:paraId="6439E258" w14:textId="3B119636" w:rsidR="00510A94" w:rsidRPr="00E071BB" w:rsidRDefault="00510A94" w:rsidP="00510A94">
      <w:pPr>
        <w:rPr>
          <w:rFonts w:ascii="Arial" w:hAnsi="Arial" w:cs="Arial"/>
        </w:rPr>
      </w:pPr>
      <w:r w:rsidRPr="00E071BB">
        <w:rPr>
          <w:rFonts w:ascii="Arial" w:hAnsi="Arial" w:cs="Arial"/>
        </w:rPr>
        <w:t xml:space="preserve">​Prosci’s ADKAR Model (Hiatt, 2006) shifts the focus from macro steps to the individual employee's psychological transition: Awareness, Desire, Knowledge, Ability and Reinforcement. For JLR, ADKAR systematically maps individual worker adaptations through predictable phases of anxiety regarding automation displacement or skill obsolescence, allowing targeted retraining from mechanical assembly to software configuration. Its primary limitation is its highly granular, micro-level scope. ADKAR remains blind to </w:t>
      </w:r>
      <w:r w:rsidR="003A70A7" w:rsidRPr="00E071BB">
        <w:rPr>
          <w:rFonts w:ascii="Arial" w:hAnsi="Arial" w:cs="Arial"/>
        </w:rPr>
        <w:t>macro-organisational</w:t>
      </w:r>
      <w:r w:rsidRPr="00E071BB">
        <w:rPr>
          <w:rFonts w:ascii="Arial" w:hAnsi="Arial" w:cs="Arial"/>
        </w:rPr>
        <w:t xml:space="preserve"> mechanics</w:t>
      </w:r>
      <w:r w:rsidR="006A7ACC" w:rsidRPr="00E071BB">
        <w:rPr>
          <w:rFonts w:ascii="Arial" w:hAnsi="Arial" w:cs="Arial"/>
        </w:rPr>
        <w:t>,</w:t>
      </w:r>
      <w:r w:rsidRPr="00E071BB">
        <w:rPr>
          <w:rFonts w:ascii="Arial" w:hAnsi="Arial" w:cs="Arial"/>
        </w:rPr>
        <w:t xml:space="preserve"> it offers no conceptual tools to restructure global tier-one supply logistics, reallocate multi-million-pound capital budgets, navigate post-Brexit regulatory tariffs, or resolve deeply entrenched political power struggles between executive coalitions.</w:t>
      </w:r>
    </w:p>
    <w:p w14:paraId="34CA995E" w14:textId="77777777" w:rsidR="00D87EF0" w:rsidRDefault="00D87EF0" w:rsidP="00510A94">
      <w:pPr>
        <w:rPr>
          <w:rFonts w:ascii="Arial" w:hAnsi="Arial" w:cs="Arial"/>
        </w:rPr>
      </w:pPr>
    </w:p>
    <w:p w14:paraId="453F7307" w14:textId="77777777" w:rsidR="00D34B24" w:rsidRPr="00E071BB" w:rsidRDefault="00D34B24" w:rsidP="00510A94">
      <w:pPr>
        <w:rPr>
          <w:rFonts w:ascii="Arial" w:hAnsi="Arial" w:cs="Arial"/>
        </w:rPr>
      </w:pPr>
    </w:p>
    <w:p w14:paraId="1BAD4621" w14:textId="0622DEE5" w:rsidR="00510A94" w:rsidRPr="00D34B24" w:rsidRDefault="00510A94" w:rsidP="00510A94">
      <w:pPr>
        <w:rPr>
          <w:rStyle w:val="Heading2Char"/>
        </w:rPr>
      </w:pPr>
      <w:r w:rsidRPr="00E071BB">
        <w:rPr>
          <w:rFonts w:ascii="Arial" w:hAnsi="Arial" w:cs="Arial"/>
        </w:rPr>
        <w:t>​</w:t>
      </w:r>
      <w:r w:rsidRPr="00D34B24">
        <w:rPr>
          <w:rStyle w:val="Heading2Char"/>
        </w:rPr>
        <w:t>Conceptual Approaches to Managing Change</w:t>
      </w:r>
    </w:p>
    <w:p w14:paraId="616812A3" w14:textId="77777777" w:rsidR="00510A94" w:rsidRPr="00E071BB" w:rsidRDefault="00510A94" w:rsidP="00510A94">
      <w:pPr>
        <w:rPr>
          <w:rFonts w:ascii="Arial" w:hAnsi="Arial" w:cs="Arial"/>
        </w:rPr>
      </w:pPr>
      <w:r w:rsidRPr="00E071BB">
        <w:rPr>
          <w:rFonts w:ascii="Arial" w:hAnsi="Arial" w:cs="Arial"/>
        </w:rPr>
        <w:t>​To navigate JLR's structural transition, management must evaluate change through distinct theoretical lenses:</w:t>
      </w:r>
    </w:p>
    <w:p w14:paraId="709FEF52" w14:textId="77777777" w:rsidR="00510A94" w:rsidRPr="00E071BB" w:rsidRDefault="00510A94" w:rsidP="00510A94">
      <w:pPr>
        <w:rPr>
          <w:rFonts w:ascii="Arial" w:hAnsi="Arial" w:cs="Arial"/>
        </w:rPr>
      </w:pPr>
    </w:p>
    <w:p w14:paraId="42AD2383" w14:textId="1D6C62E3" w:rsidR="00510A94" w:rsidRPr="00E071BB" w:rsidRDefault="00510A94" w:rsidP="003A70A7">
      <w:pPr>
        <w:pStyle w:val="ListParagraph"/>
        <w:numPr>
          <w:ilvl w:val="0"/>
          <w:numId w:val="10"/>
        </w:numPr>
        <w:rPr>
          <w:rFonts w:ascii="Arial" w:hAnsi="Arial" w:cs="Arial"/>
        </w:rPr>
      </w:pPr>
      <w:r w:rsidRPr="00E071BB">
        <w:rPr>
          <w:rFonts w:ascii="Arial" w:hAnsi="Arial" w:cs="Arial"/>
        </w:rPr>
        <w:t>​The Life-Cycle Approach: Views organi</w:t>
      </w:r>
      <w:r w:rsidR="00B027B8" w:rsidRPr="00E071BB">
        <w:rPr>
          <w:rFonts w:ascii="Arial" w:hAnsi="Arial" w:cs="Arial"/>
        </w:rPr>
        <w:t>s</w:t>
      </w:r>
      <w:r w:rsidRPr="00E071BB">
        <w:rPr>
          <w:rFonts w:ascii="Arial" w:hAnsi="Arial" w:cs="Arial"/>
        </w:rPr>
        <w:t>ational change as a planned, linear, and predictable evolutionary trajectory. While this aligns with JLR’s multi-year vehicle tooling timelines, it lacks the internal flexibility required to adapt to sudden market shocks or rapid advancements in generative AI</w:t>
      </w:r>
      <w:r w:rsidR="003727F2" w:rsidRPr="00E071BB">
        <w:rPr>
          <w:rFonts w:ascii="Arial" w:hAnsi="Arial" w:cs="Arial"/>
        </w:rPr>
        <w:t xml:space="preserve"> (</w:t>
      </w:r>
      <w:r w:rsidR="00944221" w:rsidRPr="00E071BB">
        <w:rPr>
          <w:rFonts w:ascii="Arial" w:hAnsi="Arial" w:cs="Arial"/>
        </w:rPr>
        <w:t xml:space="preserve">Mosca, </w:t>
      </w:r>
      <w:r w:rsidR="003727F2" w:rsidRPr="00E071BB">
        <w:rPr>
          <w:rFonts w:ascii="Arial" w:hAnsi="Arial" w:cs="Arial"/>
        </w:rPr>
        <w:t>et al</w:t>
      </w:r>
      <w:r w:rsidR="00944221" w:rsidRPr="00E071BB">
        <w:rPr>
          <w:rFonts w:ascii="Arial" w:hAnsi="Arial" w:cs="Arial"/>
        </w:rPr>
        <w:t>.,</w:t>
      </w:r>
      <w:r w:rsidR="003727F2" w:rsidRPr="00E071BB">
        <w:rPr>
          <w:rFonts w:ascii="Arial" w:hAnsi="Arial" w:cs="Arial"/>
        </w:rPr>
        <w:t xml:space="preserve"> 2021)</w:t>
      </w:r>
    </w:p>
    <w:p w14:paraId="073822D9" w14:textId="7140C014" w:rsidR="00510A94" w:rsidRPr="00E071BB" w:rsidRDefault="00510A94" w:rsidP="003A70A7">
      <w:pPr>
        <w:pStyle w:val="ListParagraph"/>
        <w:numPr>
          <w:ilvl w:val="0"/>
          <w:numId w:val="10"/>
        </w:numPr>
        <w:rPr>
          <w:rFonts w:ascii="Arial" w:hAnsi="Arial" w:cs="Arial"/>
        </w:rPr>
      </w:pPr>
      <w:r w:rsidRPr="00E071BB">
        <w:rPr>
          <w:rFonts w:ascii="Arial" w:hAnsi="Arial" w:cs="Arial"/>
        </w:rPr>
        <w:t>​The Emergent Approach: Populari</w:t>
      </w:r>
      <w:r w:rsidR="00944221" w:rsidRPr="00E071BB">
        <w:rPr>
          <w:rFonts w:ascii="Arial" w:hAnsi="Arial" w:cs="Arial"/>
        </w:rPr>
        <w:t>s</w:t>
      </w:r>
      <w:r w:rsidRPr="00E071BB">
        <w:rPr>
          <w:rFonts w:ascii="Arial" w:hAnsi="Arial" w:cs="Arial"/>
        </w:rPr>
        <w:t>ed by Mintzberg (1994), this perspective argues that strategy unfolds organically through continuous marketplace learning, experimentation, and real-time adjustments. JLR's leadership must blend rigid infrastructure planning with an adaptable, emergent mindset to pivot quickly as new consumer technology trends surface.</w:t>
      </w:r>
    </w:p>
    <w:p w14:paraId="0F9D9289" w14:textId="740F6146" w:rsidR="00510A94" w:rsidRPr="00E071BB" w:rsidRDefault="00510A94" w:rsidP="003A70A7">
      <w:pPr>
        <w:pStyle w:val="ListParagraph"/>
        <w:numPr>
          <w:ilvl w:val="0"/>
          <w:numId w:val="10"/>
        </w:numPr>
        <w:rPr>
          <w:rFonts w:ascii="Arial" w:hAnsi="Arial" w:cs="Arial"/>
        </w:rPr>
      </w:pPr>
      <w:r w:rsidRPr="00E071BB">
        <w:rPr>
          <w:rFonts w:ascii="Arial" w:hAnsi="Arial" w:cs="Arial"/>
        </w:rPr>
        <w:t>​The Participative Approach: Emphasi</w:t>
      </w:r>
      <w:r w:rsidR="004B2D1D" w:rsidRPr="00E071BB">
        <w:rPr>
          <w:rFonts w:ascii="Arial" w:hAnsi="Arial" w:cs="Arial"/>
        </w:rPr>
        <w:t>s</w:t>
      </w:r>
      <w:r w:rsidRPr="00E071BB">
        <w:rPr>
          <w:rFonts w:ascii="Arial" w:hAnsi="Arial" w:cs="Arial"/>
        </w:rPr>
        <w:t>es democratic engagement and employee involvement in workflow co-design. By actively involving shop-floor operators and engineering unions (Unite) early in automation design, JLR can significantly reduce workplace anxiety, lower resistance, and build a highly motivated workforce</w:t>
      </w:r>
      <w:r w:rsidR="008A79B2" w:rsidRPr="00E071BB">
        <w:rPr>
          <w:rFonts w:ascii="Arial" w:hAnsi="Arial" w:cs="Arial"/>
        </w:rPr>
        <w:t xml:space="preserve"> </w:t>
      </w:r>
      <w:r w:rsidR="00814950" w:rsidRPr="00E071BB">
        <w:rPr>
          <w:rFonts w:ascii="Arial" w:hAnsi="Arial" w:cs="Arial"/>
        </w:rPr>
        <w:t>(</w:t>
      </w:r>
      <w:r w:rsidR="008A79B2" w:rsidRPr="00E071BB">
        <w:rPr>
          <w:rFonts w:ascii="Arial" w:hAnsi="Arial" w:cs="Arial"/>
        </w:rPr>
        <w:t>Sahay,</w:t>
      </w:r>
      <w:r w:rsidR="00814950" w:rsidRPr="00E071BB">
        <w:rPr>
          <w:rFonts w:ascii="Arial" w:hAnsi="Arial" w:cs="Arial"/>
        </w:rPr>
        <w:t xml:space="preserve"> </w:t>
      </w:r>
      <w:r w:rsidR="008A79B2" w:rsidRPr="00E071BB">
        <w:rPr>
          <w:rFonts w:ascii="Arial" w:hAnsi="Arial" w:cs="Arial"/>
        </w:rPr>
        <w:t>and Goldthwaite., 2024</w:t>
      </w:r>
      <w:r w:rsidR="00814950" w:rsidRPr="00E071BB">
        <w:rPr>
          <w:rFonts w:ascii="Arial" w:hAnsi="Arial" w:cs="Arial"/>
        </w:rPr>
        <w:t>)</w:t>
      </w:r>
      <w:r w:rsidR="008A79B2" w:rsidRPr="00E071BB">
        <w:rPr>
          <w:rFonts w:ascii="Arial" w:hAnsi="Arial" w:cs="Arial"/>
        </w:rPr>
        <w:t>.</w:t>
      </w:r>
    </w:p>
    <w:p w14:paraId="2B0B51FC" w14:textId="286BD768" w:rsidR="00510A94" w:rsidRPr="00E071BB" w:rsidRDefault="00510A94" w:rsidP="003A70A7">
      <w:pPr>
        <w:pStyle w:val="ListParagraph"/>
        <w:numPr>
          <w:ilvl w:val="0"/>
          <w:numId w:val="10"/>
        </w:numPr>
        <w:rPr>
          <w:rFonts w:ascii="Arial" w:hAnsi="Arial" w:cs="Arial"/>
        </w:rPr>
      </w:pPr>
      <w:r w:rsidRPr="00E071BB">
        <w:rPr>
          <w:rFonts w:ascii="Arial" w:hAnsi="Arial" w:cs="Arial"/>
        </w:rPr>
        <w:t>​The Political Approach: Views the organi</w:t>
      </w:r>
      <w:r w:rsidR="00814950" w:rsidRPr="00E071BB">
        <w:rPr>
          <w:rFonts w:ascii="Arial" w:hAnsi="Arial" w:cs="Arial"/>
        </w:rPr>
        <w:t>s</w:t>
      </w:r>
      <w:r w:rsidRPr="00E071BB">
        <w:rPr>
          <w:rFonts w:ascii="Arial" w:hAnsi="Arial" w:cs="Arial"/>
        </w:rPr>
        <w:t>ation as an arena of competing coalitions and self-interested groups. At JLR, managing the structural divide between legacy mechanical engineering divisions and rapidly growing digital software units requires careful negotiation, transparent resource allocation, and balanced incentives to prevent established internal factions from stalling digital transformation initiatives</w:t>
      </w:r>
      <w:r w:rsidR="001C5F98" w:rsidRPr="00E071BB">
        <w:rPr>
          <w:rFonts w:ascii="Arial" w:hAnsi="Arial" w:cs="Arial"/>
        </w:rPr>
        <w:t xml:space="preserve"> (</w:t>
      </w:r>
      <w:r w:rsidR="001C5F98" w:rsidRPr="00E071BB">
        <w:rPr>
          <w:rFonts w:ascii="Arial" w:hAnsi="Arial" w:cs="Arial"/>
        </w:rPr>
        <w:t xml:space="preserve">Müller, </w:t>
      </w:r>
      <w:r w:rsidR="001C5F98" w:rsidRPr="00E071BB">
        <w:rPr>
          <w:rFonts w:ascii="Arial" w:hAnsi="Arial" w:cs="Arial"/>
        </w:rPr>
        <w:t>et al</w:t>
      </w:r>
      <w:r w:rsidR="001C5F98" w:rsidRPr="00E071BB">
        <w:rPr>
          <w:rFonts w:ascii="Arial" w:hAnsi="Arial" w:cs="Arial"/>
        </w:rPr>
        <w:t>., 2024</w:t>
      </w:r>
      <w:r w:rsidR="001C5F98" w:rsidRPr="00E071BB">
        <w:rPr>
          <w:rFonts w:ascii="Arial" w:hAnsi="Arial" w:cs="Arial"/>
        </w:rPr>
        <w:t>)</w:t>
      </w:r>
      <w:r w:rsidR="001C5F98" w:rsidRPr="00E071BB">
        <w:rPr>
          <w:rFonts w:ascii="Arial" w:hAnsi="Arial" w:cs="Arial"/>
        </w:rPr>
        <w:t>.</w:t>
      </w:r>
    </w:p>
    <w:p w14:paraId="1ED062DB" w14:textId="77777777" w:rsidR="00D87EF0" w:rsidRPr="00E071BB" w:rsidRDefault="00D87EF0" w:rsidP="00D87EF0">
      <w:pPr>
        <w:pStyle w:val="ListParagraph"/>
        <w:rPr>
          <w:rFonts w:ascii="Arial" w:hAnsi="Arial" w:cs="Arial"/>
        </w:rPr>
      </w:pPr>
    </w:p>
    <w:p w14:paraId="6C54FD92" w14:textId="6520EB55" w:rsidR="00510A94" w:rsidRPr="00E071BB" w:rsidRDefault="00510A94" w:rsidP="00510A94">
      <w:pPr>
        <w:rPr>
          <w:rFonts w:ascii="Arial" w:hAnsi="Arial" w:cs="Arial"/>
        </w:rPr>
      </w:pPr>
      <w:r w:rsidRPr="00E071BB">
        <w:rPr>
          <w:rFonts w:ascii="Arial" w:hAnsi="Arial" w:cs="Arial"/>
        </w:rPr>
        <w:t>​</w:t>
      </w:r>
      <w:r w:rsidRPr="00D34B24">
        <w:rPr>
          <w:rStyle w:val="Heading2Char"/>
        </w:rPr>
        <w:t>Synthesis: The Proposed JLR Hybrid Change Model</w:t>
      </w:r>
    </w:p>
    <w:p w14:paraId="33191060" w14:textId="78DA6B9D" w:rsidR="00510A94" w:rsidRPr="00E071BB" w:rsidRDefault="00510A94" w:rsidP="00510A94">
      <w:pPr>
        <w:rPr>
          <w:rFonts w:ascii="Arial" w:hAnsi="Arial" w:cs="Arial"/>
        </w:rPr>
      </w:pPr>
      <w:r w:rsidRPr="00E071BB">
        <w:rPr>
          <w:rFonts w:ascii="Arial" w:hAnsi="Arial" w:cs="Arial"/>
        </w:rPr>
        <w:t>​Recogni</w:t>
      </w:r>
      <w:r w:rsidR="00990B85" w:rsidRPr="00E071BB">
        <w:rPr>
          <w:rFonts w:ascii="Arial" w:hAnsi="Arial" w:cs="Arial"/>
        </w:rPr>
        <w:t>s</w:t>
      </w:r>
      <w:r w:rsidRPr="00E071BB">
        <w:rPr>
          <w:rFonts w:ascii="Arial" w:hAnsi="Arial" w:cs="Arial"/>
        </w:rPr>
        <w:t>ing that no standalone framework can sufficiently manage JLR's digital transformation, this plan proposes a Hybrid Strategic Change Model. This framework synthesi</w:t>
      </w:r>
      <w:r w:rsidR="003A70A7" w:rsidRPr="00E071BB">
        <w:rPr>
          <w:rFonts w:ascii="Arial" w:hAnsi="Arial" w:cs="Arial"/>
        </w:rPr>
        <w:t>s</w:t>
      </w:r>
      <w:r w:rsidRPr="00E071BB">
        <w:rPr>
          <w:rFonts w:ascii="Arial" w:hAnsi="Arial" w:cs="Arial"/>
        </w:rPr>
        <w:t>es the macro-level momentum and leadership strengths of Kotter (1996) with the individual adoption mechanics of ADKAR (Hiatt, 2006), while remaining grounded in Pettigrew’s (1985) contextually aware political approach.</w:t>
      </w:r>
    </w:p>
    <w:p w14:paraId="676A8552" w14:textId="52719EE7" w:rsidR="00DE3244" w:rsidRPr="00E071BB" w:rsidRDefault="00510A94" w:rsidP="00A4123D">
      <w:pPr>
        <w:rPr>
          <w:rFonts w:ascii="Arial" w:hAnsi="Arial" w:cs="Arial"/>
        </w:rPr>
      </w:pPr>
      <w:r w:rsidRPr="00E071BB">
        <w:rPr>
          <w:rFonts w:ascii="Arial" w:hAnsi="Arial" w:cs="Arial"/>
        </w:rPr>
        <w:t>​Corporate strategies formulated at the executive level are translated directly into targeted training and transparent communication plans for the workforce. This hybrid approach ensures that the strategic drivers of the Reimagine plan are executed systematically, safely avoiding the pitfalls of mid-term inertia</w:t>
      </w:r>
      <w:r w:rsidR="0051701E" w:rsidRPr="00E071BB">
        <w:rPr>
          <w:rFonts w:ascii="Arial" w:hAnsi="Arial" w:cs="Arial"/>
        </w:rPr>
        <w:t xml:space="preserve"> (</w:t>
      </w:r>
      <w:r w:rsidR="0051701E" w:rsidRPr="00E071BB">
        <w:rPr>
          <w:rFonts w:ascii="Arial" w:hAnsi="Arial" w:cs="Arial"/>
        </w:rPr>
        <w:t>Wyatt,</w:t>
      </w:r>
      <w:r w:rsidR="0051701E" w:rsidRPr="00E071BB">
        <w:rPr>
          <w:rFonts w:ascii="Arial" w:hAnsi="Arial" w:cs="Arial"/>
        </w:rPr>
        <w:t xml:space="preserve"> </w:t>
      </w:r>
      <w:r w:rsidR="0051701E" w:rsidRPr="00E071BB">
        <w:rPr>
          <w:rFonts w:ascii="Arial" w:hAnsi="Arial" w:cs="Arial"/>
        </w:rPr>
        <w:t>2026</w:t>
      </w:r>
      <w:r w:rsidR="0051701E" w:rsidRPr="00E071BB">
        <w:rPr>
          <w:rFonts w:ascii="Arial" w:hAnsi="Arial" w:cs="Arial"/>
        </w:rPr>
        <w:t>),</w:t>
      </w:r>
      <w:r w:rsidR="0051701E" w:rsidRPr="00E071BB">
        <w:rPr>
          <w:rFonts w:ascii="Arial" w:hAnsi="Arial" w:cs="Arial"/>
        </w:rPr>
        <w:t xml:space="preserve"> </w:t>
      </w:r>
      <w:r w:rsidRPr="00E071BB">
        <w:rPr>
          <w:rFonts w:ascii="Arial" w:hAnsi="Arial" w:cs="Arial"/>
        </w:rPr>
        <w:t xml:space="preserve">while actively supporting employees through the psychological transitions of the digital era. By linking macro strategic intent with individual </w:t>
      </w:r>
      <w:r w:rsidRPr="00E071BB">
        <w:rPr>
          <w:rFonts w:ascii="Arial" w:hAnsi="Arial" w:cs="Arial"/>
        </w:rPr>
        <w:t>behavioural</w:t>
      </w:r>
      <w:r w:rsidRPr="00E071BB">
        <w:rPr>
          <w:rFonts w:ascii="Arial" w:hAnsi="Arial" w:cs="Arial"/>
        </w:rPr>
        <w:t xml:space="preserve"> micro-milestones, JLR creates an adaptive change ecosystem</w:t>
      </w:r>
      <w:r w:rsidRPr="00E071BB">
        <w:rPr>
          <w:rFonts w:ascii="Arial" w:hAnsi="Arial" w:cs="Arial"/>
        </w:rPr>
        <w:t>.</w:t>
      </w:r>
    </w:p>
    <w:p w14:paraId="4E28E94D" w14:textId="77777777" w:rsidR="00A4123D" w:rsidRPr="00E071BB" w:rsidRDefault="00A4123D" w:rsidP="00A4123D">
      <w:pPr>
        <w:rPr>
          <w:rStyle w:val="Heading2Char"/>
          <w:rFonts w:ascii="Arial" w:hAnsi="Arial" w:cs="Arial"/>
        </w:rPr>
      </w:pPr>
      <w:r w:rsidRPr="00E071BB">
        <w:rPr>
          <w:rFonts w:ascii="Arial" w:hAnsi="Arial" w:cs="Arial"/>
        </w:rPr>
        <w:t>​</w:t>
      </w:r>
      <w:r w:rsidRPr="00D34B24">
        <w:rPr>
          <w:rStyle w:val="Heading1Char"/>
        </w:rPr>
        <w:t>Leadership and Organisational Culture in Change</w:t>
      </w:r>
    </w:p>
    <w:p w14:paraId="128B200B" w14:textId="77777777" w:rsidR="00A4123D" w:rsidRPr="00D34B24" w:rsidRDefault="00A4123D" w:rsidP="00A4123D">
      <w:pPr>
        <w:rPr>
          <w:rStyle w:val="Heading2Char"/>
        </w:rPr>
      </w:pPr>
      <w:r w:rsidRPr="00E071BB">
        <w:rPr>
          <w:rFonts w:ascii="Arial" w:hAnsi="Arial" w:cs="Arial"/>
        </w:rPr>
        <w:t>​</w:t>
      </w:r>
      <w:r w:rsidRPr="00D34B24">
        <w:rPr>
          <w:rStyle w:val="Heading2Char"/>
        </w:rPr>
        <w:t>Evaluation of Leadership Styles and Skill Models</w:t>
      </w:r>
    </w:p>
    <w:p w14:paraId="7E58FD24" w14:textId="1D938081" w:rsidR="00A4123D" w:rsidRPr="00E071BB" w:rsidRDefault="00A4123D" w:rsidP="00A4123D">
      <w:pPr>
        <w:rPr>
          <w:rFonts w:ascii="Arial" w:hAnsi="Arial" w:cs="Arial"/>
        </w:rPr>
      </w:pPr>
      <w:r w:rsidRPr="00E071BB">
        <w:rPr>
          <w:rFonts w:ascii="Arial" w:hAnsi="Arial" w:cs="Arial"/>
        </w:rPr>
        <w:t xml:space="preserve">​Navigating the complex technical and cultural transitions of Project Electra-AI requires a deliberate, multi-layered leadership framework. The overarching shift from a legacy </w:t>
      </w:r>
      <w:r w:rsidRPr="00E071BB">
        <w:rPr>
          <w:rFonts w:ascii="Arial" w:hAnsi="Arial" w:cs="Arial"/>
        </w:rPr>
        <w:lastRenderedPageBreak/>
        <w:t>mechanical engineering focus to an agile, software-defined ecosystem requires a predominantly Transformational Leadership approach</w:t>
      </w:r>
      <w:r w:rsidR="002967BD" w:rsidRPr="00E071BB">
        <w:rPr>
          <w:rFonts w:ascii="Arial" w:hAnsi="Arial" w:cs="Arial"/>
        </w:rPr>
        <w:t xml:space="preserve"> </w:t>
      </w:r>
      <w:r w:rsidR="00E85B54" w:rsidRPr="00E071BB">
        <w:rPr>
          <w:rFonts w:ascii="Arial" w:hAnsi="Arial" w:cs="Arial"/>
        </w:rPr>
        <w:t>(</w:t>
      </w:r>
      <w:r w:rsidR="002967BD" w:rsidRPr="00E071BB">
        <w:rPr>
          <w:rFonts w:ascii="Arial" w:hAnsi="Arial" w:cs="Arial"/>
        </w:rPr>
        <w:t>Perides, and Vasconcellos., 2025</w:t>
      </w:r>
      <w:r w:rsidR="00E85B54" w:rsidRPr="00E071BB">
        <w:rPr>
          <w:rFonts w:ascii="Arial" w:hAnsi="Arial" w:cs="Arial"/>
        </w:rPr>
        <w:t>).</w:t>
      </w:r>
      <w:r w:rsidRPr="00E071BB">
        <w:rPr>
          <w:rFonts w:ascii="Arial" w:hAnsi="Arial" w:cs="Arial"/>
        </w:rPr>
        <w:t xml:space="preserve"> Transformational leaders excel at articulating an inspiring future vision, challenging legacy assumptions, and providing individual consideration to workers navigating career changes. This style has been vital in re-orienting workforce pride away from traditional internal combustion engine craftsmanship and toward electric propulsion and cloud diagnostics</w:t>
      </w:r>
      <w:r w:rsidR="00237D58" w:rsidRPr="00E071BB">
        <w:rPr>
          <w:rFonts w:ascii="Arial" w:hAnsi="Arial" w:cs="Arial"/>
        </w:rPr>
        <w:t xml:space="preserve"> </w:t>
      </w:r>
      <w:r w:rsidR="00483B61" w:rsidRPr="00E071BB">
        <w:rPr>
          <w:rFonts w:ascii="Arial" w:hAnsi="Arial" w:cs="Arial"/>
        </w:rPr>
        <w:t>(</w:t>
      </w:r>
      <w:r w:rsidR="00237D58" w:rsidRPr="00E071BB">
        <w:rPr>
          <w:rFonts w:ascii="Arial" w:hAnsi="Arial" w:cs="Arial"/>
        </w:rPr>
        <w:t>Gupta</w:t>
      </w:r>
      <w:r w:rsidR="00483B61" w:rsidRPr="00E071BB">
        <w:rPr>
          <w:rFonts w:ascii="Arial" w:hAnsi="Arial" w:cs="Arial"/>
        </w:rPr>
        <w:t>, 2025)</w:t>
      </w:r>
      <w:r w:rsidRPr="00E071BB">
        <w:rPr>
          <w:rFonts w:ascii="Arial" w:hAnsi="Arial" w:cs="Arial"/>
        </w:rPr>
        <w:t>.</w:t>
      </w:r>
    </w:p>
    <w:p w14:paraId="3D29DCC5" w14:textId="5FDFD0E2" w:rsidR="00A4123D" w:rsidRPr="00E071BB" w:rsidRDefault="00A4123D" w:rsidP="00A4123D">
      <w:pPr>
        <w:rPr>
          <w:rFonts w:ascii="Arial" w:hAnsi="Arial" w:cs="Arial"/>
        </w:rPr>
      </w:pPr>
      <w:r w:rsidRPr="00E071BB">
        <w:rPr>
          <w:rFonts w:ascii="Arial" w:hAnsi="Arial" w:cs="Arial"/>
        </w:rPr>
        <w:t>However, relying solely on transformational vision can lead to an execution gap on the factory floor. JLR’s management must also deploy Situational Leadership, which dictates that leaders adapt their management style based on the readiness and competence of their followers</w:t>
      </w:r>
      <w:r w:rsidR="00622217" w:rsidRPr="00E071BB">
        <w:rPr>
          <w:rFonts w:ascii="Arial" w:hAnsi="Arial" w:cs="Arial"/>
        </w:rPr>
        <w:t xml:space="preserve"> (</w:t>
      </w:r>
      <w:r w:rsidR="00622217" w:rsidRPr="00E071BB">
        <w:rPr>
          <w:rFonts w:ascii="Arial" w:hAnsi="Arial" w:cs="Arial"/>
        </w:rPr>
        <w:t>McHugh,</w:t>
      </w:r>
      <w:r w:rsidR="00622217" w:rsidRPr="00E071BB">
        <w:rPr>
          <w:rFonts w:ascii="Arial" w:hAnsi="Arial" w:cs="Arial"/>
        </w:rPr>
        <w:t xml:space="preserve"> </w:t>
      </w:r>
      <w:r w:rsidR="00622217" w:rsidRPr="00E071BB">
        <w:rPr>
          <w:rFonts w:ascii="Arial" w:hAnsi="Arial" w:cs="Arial"/>
        </w:rPr>
        <w:t>2024</w:t>
      </w:r>
      <w:r w:rsidR="00622217" w:rsidRPr="00E071BB">
        <w:rPr>
          <w:rFonts w:ascii="Arial" w:hAnsi="Arial" w:cs="Arial"/>
        </w:rPr>
        <w:t>)</w:t>
      </w:r>
      <w:r w:rsidR="00622217" w:rsidRPr="00E071BB">
        <w:rPr>
          <w:rFonts w:ascii="Arial" w:hAnsi="Arial" w:cs="Arial"/>
        </w:rPr>
        <w:t>.</w:t>
      </w:r>
      <w:r w:rsidRPr="00E071BB">
        <w:rPr>
          <w:rFonts w:ascii="Arial" w:hAnsi="Arial" w:cs="Arial"/>
        </w:rPr>
        <w:t xml:space="preserve"> For instance, when high-voltage automated lines or complex generative AI diagnostics are first introduced at Solihull or Halewood, line workers may experience high anxiety and possess low technical competence. In this situation, a highly directive, supportive situational style is required to guarantee operational precision and safety. Concurrently, Transactional Leadership remains necessary to manage strict regulatory metrics, such as enforcing ZEV mandate production quotas, though relying on it exclusively risks stifling the innovation needed to compete with agile rivals.</w:t>
      </w:r>
    </w:p>
    <w:p w14:paraId="550CE4A4" w14:textId="7AE5FC83" w:rsidR="00A4123D" w:rsidRPr="00E071BB" w:rsidRDefault="00A4123D" w:rsidP="00A4123D">
      <w:pPr>
        <w:rPr>
          <w:rFonts w:ascii="Arial" w:hAnsi="Arial" w:cs="Arial"/>
        </w:rPr>
      </w:pPr>
      <w:r w:rsidRPr="00E071BB">
        <w:rPr>
          <w:rFonts w:ascii="Arial" w:hAnsi="Arial" w:cs="Arial"/>
        </w:rPr>
        <w:t>​To understand how leadership responsibilities are distributed across JLR’s corporate hierarchy, we can look at Robert Katz’s (1955) classic model, which divides leadership skills into three core areas: Conceptual, Human and Technical Skills. At JLR's executive board level, conceptual and human skills are vital to maintain long-term alignment with parent company Tata Motors and navigate complex geopolitical supply constraints. At the plant operations level, the requirement shifts heavily toward technical and human skills, ensuring that advanced automation systems are integrated smoothly without disrupting active assembly timelines.</w:t>
      </w:r>
    </w:p>
    <w:p w14:paraId="6AAC53FF" w14:textId="77777777" w:rsidR="00A4123D" w:rsidRPr="00E071BB" w:rsidRDefault="00A4123D" w:rsidP="00A4123D">
      <w:pPr>
        <w:rPr>
          <w:rFonts w:ascii="Arial" w:hAnsi="Arial" w:cs="Arial"/>
        </w:rPr>
      </w:pPr>
      <w:r w:rsidRPr="00E071BB">
        <w:rPr>
          <w:rFonts w:ascii="Arial" w:hAnsi="Arial" w:cs="Arial"/>
        </w:rPr>
        <w:t>​This perspective is expanded by the Mumford Skills Model, a capability-based framework which argues that effective leadership depends on developed capabilities, including complex problem-solving skills, social judgment skills, and deep domain knowledge. For JLR’s senior strategic managers, social judgment skills are particularly critical. Leaders must understand the differing perspectives of unionised line workers, electrical engineers, and software developers to resolve internal political friction and maintain organizational alignment.</w:t>
      </w:r>
    </w:p>
    <w:p w14:paraId="701F5778" w14:textId="77777777" w:rsidR="00A4123D" w:rsidRPr="00E071BB" w:rsidRDefault="00A4123D" w:rsidP="00A4123D">
      <w:pPr>
        <w:rPr>
          <w:rFonts w:ascii="Arial" w:hAnsi="Arial" w:cs="Arial"/>
        </w:rPr>
      </w:pPr>
    </w:p>
    <w:p w14:paraId="7D6B7DC4" w14:textId="77777777" w:rsidR="00A4123D" w:rsidRPr="00D34B24" w:rsidRDefault="00A4123D" w:rsidP="00A4123D">
      <w:pPr>
        <w:rPr>
          <w:rStyle w:val="Heading2Char"/>
        </w:rPr>
      </w:pPr>
      <w:r w:rsidRPr="00E071BB">
        <w:rPr>
          <w:rFonts w:ascii="Arial" w:hAnsi="Arial" w:cs="Arial"/>
        </w:rPr>
        <w:t>​</w:t>
      </w:r>
      <w:r w:rsidRPr="00D34B24">
        <w:rPr>
          <w:rStyle w:val="Heading2Char"/>
        </w:rPr>
        <w:t>Critical Impact of Organisational Culture on Change</w:t>
      </w:r>
    </w:p>
    <w:p w14:paraId="5BFB4782" w14:textId="45C78610" w:rsidR="00A4123D" w:rsidRPr="00E071BB" w:rsidRDefault="00A4123D" w:rsidP="00A4123D">
      <w:pPr>
        <w:rPr>
          <w:rFonts w:ascii="Arial" w:hAnsi="Arial" w:cs="Arial"/>
        </w:rPr>
      </w:pPr>
      <w:r w:rsidRPr="00E071BB">
        <w:rPr>
          <w:rFonts w:ascii="Arial" w:hAnsi="Arial" w:cs="Arial"/>
        </w:rPr>
        <w:t>​Organisational culture can either act as a powerful strategic accelerator or a significant structural barrier to change. Edgar Schein’s (2010) framework divides culture into three distinct levels: Artifacts, Espoused Values, and Underlying Assumptions. At JLR, the visible Artifacts are highly premium: state-of-the-art facilities like the Electric Propulsion Manufacturing Centre in Wolverhampton, modern brand styling, and sleek marketing materials. These align with the company's publicly stated Espoused Values, such as the Reimagine pillars of "Modern Luxury" and "Sustainability"</w:t>
      </w:r>
      <w:r w:rsidR="00802850" w:rsidRPr="00E071BB">
        <w:rPr>
          <w:rFonts w:ascii="Arial" w:hAnsi="Arial" w:cs="Arial"/>
        </w:rPr>
        <w:t xml:space="preserve"> </w:t>
      </w:r>
      <w:r w:rsidR="00802850" w:rsidRPr="00E071BB">
        <w:rPr>
          <w:rFonts w:ascii="Arial" w:hAnsi="Arial" w:cs="Arial"/>
        </w:rPr>
        <w:t>(JLR, 2023)</w:t>
      </w:r>
      <w:r w:rsidRPr="00E071BB">
        <w:rPr>
          <w:rFonts w:ascii="Arial" w:hAnsi="Arial" w:cs="Arial"/>
        </w:rPr>
        <w:t>.</w:t>
      </w:r>
    </w:p>
    <w:p w14:paraId="7A103C17" w14:textId="5EA8E072" w:rsidR="00A4123D" w:rsidRPr="00E071BB" w:rsidRDefault="00A4123D" w:rsidP="00A4123D">
      <w:pPr>
        <w:rPr>
          <w:rFonts w:ascii="Arial" w:hAnsi="Arial" w:cs="Arial"/>
        </w:rPr>
      </w:pPr>
      <w:r w:rsidRPr="00E071BB">
        <w:rPr>
          <w:rFonts w:ascii="Arial" w:hAnsi="Arial" w:cs="Arial"/>
        </w:rPr>
        <w:t xml:space="preserve">​However, a significant cultural friction arises when these values clash with deep Underlying Assumptions. For decades, JLR's internal culture was built on the pride of mechanical craftsmanship, large engine performance, and traditional manufacturing rhythms. Real-world behavioural resistance to over-the-air software updates and automated assembly line scripting reflects this deeper identity attachment to traditional mechanical engineering </w:t>
      </w:r>
      <w:r w:rsidRPr="00E071BB">
        <w:rPr>
          <w:rFonts w:ascii="Arial" w:hAnsi="Arial" w:cs="Arial"/>
        </w:rPr>
        <w:lastRenderedPageBreak/>
        <w:t>practices</w:t>
      </w:r>
      <w:r w:rsidR="00EF209E" w:rsidRPr="00E071BB">
        <w:rPr>
          <w:rFonts w:ascii="Arial" w:hAnsi="Arial" w:cs="Arial"/>
        </w:rPr>
        <w:t xml:space="preserve"> (</w:t>
      </w:r>
      <w:r w:rsidR="00EF209E" w:rsidRPr="00E071BB">
        <w:rPr>
          <w:rFonts w:ascii="Arial" w:hAnsi="Arial" w:cs="Arial"/>
        </w:rPr>
        <w:t>Valtonen, and Holopaine</w:t>
      </w:r>
      <w:r w:rsidR="00EF209E" w:rsidRPr="00E071BB">
        <w:rPr>
          <w:rFonts w:ascii="Arial" w:hAnsi="Arial" w:cs="Arial"/>
        </w:rPr>
        <w:t>n</w:t>
      </w:r>
      <w:r w:rsidR="00EF209E" w:rsidRPr="00E071BB">
        <w:rPr>
          <w:rFonts w:ascii="Arial" w:hAnsi="Arial" w:cs="Arial"/>
        </w:rPr>
        <w:t>., 2025</w:t>
      </w:r>
      <w:r w:rsidR="00EF209E" w:rsidRPr="00E071BB">
        <w:rPr>
          <w:rFonts w:ascii="Arial" w:hAnsi="Arial" w:cs="Arial"/>
        </w:rPr>
        <w:t>)</w:t>
      </w:r>
      <w:r w:rsidR="00EF209E" w:rsidRPr="00E071BB">
        <w:rPr>
          <w:rFonts w:ascii="Arial" w:hAnsi="Arial" w:cs="Arial"/>
        </w:rPr>
        <w:t>.</w:t>
      </w:r>
      <w:r w:rsidRPr="00E071BB">
        <w:rPr>
          <w:rFonts w:ascii="Arial" w:hAnsi="Arial" w:cs="Arial"/>
        </w:rPr>
        <w:t xml:space="preserve"> Engineers often view software corrections as a compromise to raw physical quality, slowing operational adoption.</w:t>
      </w:r>
    </w:p>
    <w:p w14:paraId="77CAE900" w14:textId="35EC8343" w:rsidR="00A4123D" w:rsidRPr="00E071BB" w:rsidRDefault="00A4123D" w:rsidP="00A4123D">
      <w:pPr>
        <w:rPr>
          <w:rFonts w:ascii="Arial" w:hAnsi="Arial" w:cs="Arial"/>
        </w:rPr>
      </w:pPr>
      <w:r w:rsidRPr="00E071BB">
        <w:rPr>
          <w:rFonts w:ascii="Arial" w:hAnsi="Arial" w:cs="Arial"/>
        </w:rPr>
        <w:t>​National culture also plays a notable role in JLR's operational dynamics. Applying Hofstede’s (2011) dimensions, the UK workforce operates in an environment characteri</w:t>
      </w:r>
      <w:r w:rsidR="00EF209E" w:rsidRPr="00E071BB">
        <w:rPr>
          <w:rFonts w:ascii="Arial" w:hAnsi="Arial" w:cs="Arial"/>
        </w:rPr>
        <w:t>s</w:t>
      </w:r>
      <w:r w:rsidRPr="00E071BB">
        <w:rPr>
          <w:rFonts w:ascii="Arial" w:hAnsi="Arial" w:cs="Arial"/>
        </w:rPr>
        <w:t>ed by low power distance and high individualism. Employees generally expect transparent communication, consultation and a participatory approach to management</w:t>
      </w:r>
      <w:r w:rsidR="00996074" w:rsidRPr="00E071BB">
        <w:rPr>
          <w:rFonts w:ascii="Arial" w:hAnsi="Arial" w:cs="Arial"/>
        </w:rPr>
        <w:t xml:space="preserve"> </w:t>
      </w:r>
      <w:r w:rsidR="007501A3" w:rsidRPr="00E071BB">
        <w:rPr>
          <w:rFonts w:ascii="Arial" w:hAnsi="Arial" w:cs="Arial"/>
        </w:rPr>
        <w:t>(</w:t>
      </w:r>
      <w:r w:rsidR="00996074" w:rsidRPr="00E071BB">
        <w:rPr>
          <w:rFonts w:ascii="Arial" w:hAnsi="Arial" w:cs="Arial"/>
        </w:rPr>
        <w:t>Adamovic, 2023</w:t>
      </w:r>
      <w:r w:rsidR="007501A3" w:rsidRPr="00E071BB">
        <w:rPr>
          <w:rFonts w:ascii="Arial" w:hAnsi="Arial" w:cs="Arial"/>
        </w:rPr>
        <w:t>)</w:t>
      </w:r>
      <w:r w:rsidR="00996074" w:rsidRPr="00E071BB">
        <w:rPr>
          <w:rFonts w:ascii="Arial" w:hAnsi="Arial" w:cs="Arial"/>
        </w:rPr>
        <w:t>.</w:t>
      </w:r>
      <w:r w:rsidRPr="00E071BB">
        <w:rPr>
          <w:rFonts w:ascii="Arial" w:hAnsi="Arial" w:cs="Arial"/>
        </w:rPr>
        <w:t xml:space="preserve"> Furthermore, JLR must manage intercultural dynamics between its UK operations and its parent company, Tata Motors, based in India</w:t>
      </w:r>
      <w:r w:rsidR="009E2616" w:rsidRPr="00E071BB">
        <w:rPr>
          <w:rFonts w:ascii="Arial" w:hAnsi="Arial" w:cs="Arial"/>
        </w:rPr>
        <w:t xml:space="preserve">, </w:t>
      </w:r>
      <w:r w:rsidRPr="00E071BB">
        <w:rPr>
          <w:rFonts w:ascii="Arial" w:hAnsi="Arial" w:cs="Arial"/>
        </w:rPr>
        <w:t>a culture that historically exhibits higher power distance and a more collectivistic, long-term orientation. Navigating these cultural differences requires senior executives to balance the parent company's long-term financial expectations with the local UK workforce's need for autonomy and direct engagement</w:t>
      </w:r>
      <w:r w:rsidR="003A5890" w:rsidRPr="00E071BB">
        <w:rPr>
          <w:rFonts w:ascii="Arial" w:hAnsi="Arial" w:cs="Arial"/>
        </w:rPr>
        <w:t xml:space="preserve"> </w:t>
      </w:r>
      <w:r w:rsidR="00673B67" w:rsidRPr="00E071BB">
        <w:rPr>
          <w:rFonts w:ascii="Arial" w:hAnsi="Arial" w:cs="Arial"/>
        </w:rPr>
        <w:t>(</w:t>
      </w:r>
      <w:r w:rsidR="003A5890" w:rsidRPr="00E071BB">
        <w:rPr>
          <w:rFonts w:ascii="Arial" w:hAnsi="Arial" w:cs="Arial"/>
        </w:rPr>
        <w:t>Ojakorotu, 2024</w:t>
      </w:r>
      <w:r w:rsidR="00673B67" w:rsidRPr="00E071BB">
        <w:rPr>
          <w:rFonts w:ascii="Arial" w:hAnsi="Arial" w:cs="Arial"/>
        </w:rPr>
        <w:t>)</w:t>
      </w:r>
      <w:r w:rsidR="003A5890" w:rsidRPr="00E071BB">
        <w:rPr>
          <w:rFonts w:ascii="Arial" w:hAnsi="Arial" w:cs="Arial"/>
        </w:rPr>
        <w:t xml:space="preserve">. </w:t>
      </w:r>
    </w:p>
    <w:p w14:paraId="105A2B42" w14:textId="2ADF3E4F" w:rsidR="00A4123D" w:rsidRPr="00E071BB" w:rsidRDefault="00A4123D" w:rsidP="00A4123D">
      <w:pPr>
        <w:rPr>
          <w:rFonts w:ascii="Arial" w:hAnsi="Arial" w:cs="Arial"/>
        </w:rPr>
      </w:pPr>
      <w:r w:rsidRPr="00E071BB">
        <w:rPr>
          <w:rFonts w:ascii="Arial" w:hAnsi="Arial" w:cs="Arial"/>
        </w:rPr>
        <w:t>​Charles Handy (1993) categori</w:t>
      </w:r>
      <w:r w:rsidR="00673B67" w:rsidRPr="00E071BB">
        <w:rPr>
          <w:rFonts w:ascii="Arial" w:hAnsi="Arial" w:cs="Arial"/>
        </w:rPr>
        <w:t>s</w:t>
      </w:r>
      <w:r w:rsidRPr="00E071BB">
        <w:rPr>
          <w:rFonts w:ascii="Arial" w:hAnsi="Arial" w:cs="Arial"/>
        </w:rPr>
        <w:t>es corporate cultures into four distinct typologies: Power, Role, Task, and Person cultures. Historically, JLR has operated primarily as a Role Culture, relying on structured hierarchies, clear job descriptions, and formalised functions. This structure ensures stability and safety when manufacturing complex mechanical vehicles. However, a rigid role culture struggles to respond quickly to modern digital disruption. To successfully integrate AI and advanced software architectures</w:t>
      </w:r>
      <w:r w:rsidR="008F0395" w:rsidRPr="00E071BB">
        <w:rPr>
          <w:rFonts w:ascii="Arial" w:hAnsi="Arial" w:cs="Arial"/>
        </w:rPr>
        <w:t xml:space="preserve"> </w:t>
      </w:r>
      <w:r w:rsidR="003522C0" w:rsidRPr="00E071BB">
        <w:rPr>
          <w:rFonts w:ascii="Arial" w:hAnsi="Arial" w:cs="Arial"/>
        </w:rPr>
        <w:t>(</w:t>
      </w:r>
      <w:r w:rsidR="008F0395" w:rsidRPr="00E071BB">
        <w:rPr>
          <w:rFonts w:ascii="Arial" w:hAnsi="Arial" w:cs="Arial"/>
        </w:rPr>
        <w:t>Gorton</w:t>
      </w:r>
      <w:r w:rsidR="003522C0" w:rsidRPr="00E071BB">
        <w:rPr>
          <w:rFonts w:ascii="Arial" w:hAnsi="Arial" w:cs="Arial"/>
        </w:rPr>
        <w:t>, 2023)</w:t>
      </w:r>
      <w:r w:rsidRPr="00E071BB">
        <w:rPr>
          <w:rFonts w:ascii="Arial" w:hAnsi="Arial" w:cs="Arial"/>
        </w:rPr>
        <w:t>, JLR must deliberately shift toward a Task Culture. This approach uses dynamic, cross-functional project teams where power is distributed based on expertise rather than hierarchical position. Adopting a task culture allows software engineers, battery technicians, and traditional designers to collaborate fluidly, enabling the business to adapt more dynamically to an unpredictable market.</w:t>
      </w:r>
    </w:p>
    <w:p w14:paraId="6443CE54" w14:textId="77777777" w:rsidR="00D87EF0" w:rsidRPr="00E071BB" w:rsidRDefault="00D87EF0" w:rsidP="00A4123D">
      <w:pPr>
        <w:rPr>
          <w:rFonts w:ascii="Arial" w:hAnsi="Arial" w:cs="Arial"/>
        </w:rPr>
      </w:pPr>
    </w:p>
    <w:p w14:paraId="6E3A425D" w14:textId="77777777" w:rsidR="00A4123D" w:rsidRPr="00D34B24" w:rsidRDefault="00A4123D" w:rsidP="00A4123D">
      <w:pPr>
        <w:rPr>
          <w:rStyle w:val="Heading2Char"/>
        </w:rPr>
      </w:pPr>
      <w:r w:rsidRPr="00E071BB">
        <w:rPr>
          <w:rFonts w:ascii="Arial" w:hAnsi="Arial" w:cs="Arial"/>
        </w:rPr>
        <w:t>​</w:t>
      </w:r>
      <w:r w:rsidRPr="00D34B24">
        <w:rPr>
          <w:rStyle w:val="Heading2Char"/>
        </w:rPr>
        <w:t>Proposed Strategic Change Management Plan</w:t>
      </w:r>
    </w:p>
    <w:p w14:paraId="301B3F90" w14:textId="77777777" w:rsidR="006D711D" w:rsidRPr="00E071BB" w:rsidRDefault="00A4123D" w:rsidP="00A4123D">
      <w:pPr>
        <w:rPr>
          <w:rFonts w:ascii="Arial" w:hAnsi="Arial" w:cs="Arial"/>
        </w:rPr>
      </w:pPr>
      <w:r w:rsidRPr="00E071BB">
        <w:rPr>
          <w:rFonts w:ascii="Arial" w:hAnsi="Arial" w:cs="Arial"/>
        </w:rPr>
        <w:t xml:space="preserve">​To operationalise JLR’s Reimagine framework and address structural shifts driven by automation, electrification, and AI disruption, this section delivers a data-driven, comprehensive strategic implementation blueprint. This plan focuses on a multi-stage initiative titled Project Electra-AI (2026–2029). The primary purpose of this strategic initiative is twofold: </w:t>
      </w:r>
    </w:p>
    <w:p w14:paraId="7BCE5B8F" w14:textId="77777777" w:rsidR="0027781F" w:rsidRPr="00E071BB" w:rsidRDefault="00A4123D" w:rsidP="0027781F">
      <w:pPr>
        <w:pStyle w:val="ListParagraph"/>
        <w:numPr>
          <w:ilvl w:val="0"/>
          <w:numId w:val="11"/>
        </w:numPr>
        <w:rPr>
          <w:rFonts w:ascii="Arial" w:hAnsi="Arial" w:cs="Arial"/>
        </w:rPr>
      </w:pPr>
      <w:r w:rsidRPr="00E071BB">
        <w:rPr>
          <w:rFonts w:ascii="Arial" w:hAnsi="Arial" w:cs="Arial"/>
        </w:rPr>
        <w:t>first, to successfully execute the complete battery-electric vehicle (BEV) and software-defined vehicle (SDV) transition for the core Range Rover and Jaguar architectures</w:t>
      </w:r>
      <w:r w:rsidR="0027781F" w:rsidRPr="00E071BB">
        <w:rPr>
          <w:rFonts w:ascii="Arial" w:hAnsi="Arial" w:cs="Arial"/>
        </w:rPr>
        <w:t>.</w:t>
      </w:r>
      <w:r w:rsidRPr="00E071BB">
        <w:rPr>
          <w:rFonts w:ascii="Arial" w:hAnsi="Arial" w:cs="Arial"/>
        </w:rPr>
        <w:t xml:space="preserve"> </w:t>
      </w:r>
    </w:p>
    <w:p w14:paraId="3E04B6A5" w14:textId="6DA20608" w:rsidR="00A4123D" w:rsidRPr="00E071BB" w:rsidRDefault="00A4123D" w:rsidP="0027781F">
      <w:pPr>
        <w:pStyle w:val="ListParagraph"/>
        <w:numPr>
          <w:ilvl w:val="0"/>
          <w:numId w:val="11"/>
        </w:numPr>
        <w:rPr>
          <w:rFonts w:ascii="Arial" w:hAnsi="Arial" w:cs="Arial"/>
        </w:rPr>
      </w:pPr>
      <w:r w:rsidRPr="00E071BB">
        <w:rPr>
          <w:rFonts w:ascii="Arial" w:hAnsi="Arial" w:cs="Arial"/>
        </w:rPr>
        <w:t>second, to systematically integrate generative AI and machine learning infrastructure across JLR’s UK manufacturing facilities to drive long-term structural resilience.</w:t>
      </w:r>
    </w:p>
    <w:p w14:paraId="3613EE2B" w14:textId="77777777" w:rsidR="00D87EF0" w:rsidRPr="00E071BB" w:rsidRDefault="00A4123D" w:rsidP="00A4123D">
      <w:pPr>
        <w:rPr>
          <w:rFonts w:ascii="Arial" w:hAnsi="Arial" w:cs="Arial"/>
        </w:rPr>
      </w:pPr>
      <w:r w:rsidRPr="00E071BB">
        <w:rPr>
          <w:rFonts w:ascii="Arial" w:hAnsi="Arial" w:cs="Arial"/>
        </w:rPr>
        <w:t>​</w:t>
      </w:r>
    </w:p>
    <w:p w14:paraId="55DF9BFA" w14:textId="184F5245" w:rsidR="00A4123D" w:rsidRPr="00E071BB" w:rsidRDefault="00A4123D" w:rsidP="00D34B24">
      <w:pPr>
        <w:pStyle w:val="Heading2"/>
      </w:pPr>
      <w:bookmarkStart w:id="3" w:name="_Toc234850196"/>
      <w:r w:rsidRPr="00E071BB">
        <w:rPr>
          <w:rStyle w:val="Heading3Char"/>
          <w:rFonts w:ascii="Arial" w:hAnsi="Arial" w:cs="Arial"/>
        </w:rPr>
        <w:t>Change Vision and Objectives</w:t>
      </w:r>
      <w:bookmarkEnd w:id="3"/>
    </w:p>
    <w:p w14:paraId="1AE56CBA" w14:textId="4A46E0AA" w:rsidR="00A4123D" w:rsidRPr="00E071BB" w:rsidRDefault="00A4123D" w:rsidP="00A4123D">
      <w:pPr>
        <w:rPr>
          <w:rFonts w:ascii="Arial" w:hAnsi="Arial" w:cs="Arial"/>
        </w:rPr>
      </w:pPr>
      <w:r w:rsidRPr="00E071BB">
        <w:rPr>
          <w:rFonts w:ascii="Arial" w:hAnsi="Arial" w:cs="Arial"/>
        </w:rPr>
        <w:t>​The overarching change vision for Project Electra-AI is: To fuse JLR's heritage of luxury craftsmanship with advanced software-defined vehicle architectures and AI-driven manufacturing excellence, securing our market position in a net-zero future</w:t>
      </w:r>
      <w:r w:rsidR="00B878FA" w:rsidRPr="00E071BB">
        <w:rPr>
          <w:rFonts w:ascii="Arial" w:hAnsi="Arial" w:cs="Arial"/>
        </w:rPr>
        <w:t xml:space="preserve"> </w:t>
      </w:r>
      <w:r w:rsidR="00F249BD" w:rsidRPr="00E071BB">
        <w:rPr>
          <w:rFonts w:ascii="Arial" w:hAnsi="Arial" w:cs="Arial"/>
        </w:rPr>
        <w:t>(</w:t>
      </w:r>
      <w:r w:rsidR="00B878FA" w:rsidRPr="00E071BB">
        <w:rPr>
          <w:rFonts w:ascii="Arial" w:hAnsi="Arial" w:cs="Arial"/>
        </w:rPr>
        <w:t>JLR,</w:t>
      </w:r>
      <w:r w:rsidR="00F249BD" w:rsidRPr="00E071BB">
        <w:rPr>
          <w:rFonts w:ascii="Arial" w:hAnsi="Arial" w:cs="Arial"/>
        </w:rPr>
        <w:t xml:space="preserve"> 2023)</w:t>
      </w:r>
      <w:r w:rsidRPr="00E071BB">
        <w:rPr>
          <w:rFonts w:ascii="Arial" w:hAnsi="Arial" w:cs="Arial"/>
        </w:rPr>
        <w:t>.</w:t>
      </w:r>
    </w:p>
    <w:p w14:paraId="10ACDA59" w14:textId="13B71B9D" w:rsidR="00A4123D" w:rsidRPr="00E071BB" w:rsidRDefault="00A4123D" w:rsidP="00A4123D">
      <w:pPr>
        <w:rPr>
          <w:rFonts w:ascii="Arial" w:hAnsi="Arial" w:cs="Arial"/>
        </w:rPr>
      </w:pPr>
      <w:r w:rsidRPr="00E071BB">
        <w:rPr>
          <w:rFonts w:ascii="Arial" w:hAnsi="Arial" w:cs="Arial"/>
        </w:rPr>
        <w:t>​To ensure accountability and prevent mid-term inertia, the broad strategic goals are broken down into precise, measurable SMART Objectives:</w:t>
      </w:r>
    </w:p>
    <w:p w14:paraId="52413151" w14:textId="06BBF01F" w:rsidR="00A4123D" w:rsidRPr="00E071BB" w:rsidRDefault="00A4123D" w:rsidP="0084615D">
      <w:pPr>
        <w:pStyle w:val="ListParagraph"/>
        <w:numPr>
          <w:ilvl w:val="0"/>
          <w:numId w:val="2"/>
        </w:numPr>
        <w:rPr>
          <w:rFonts w:ascii="Arial" w:hAnsi="Arial" w:cs="Arial"/>
        </w:rPr>
      </w:pPr>
      <w:r w:rsidRPr="00E071BB">
        <w:rPr>
          <w:rFonts w:ascii="Arial" w:hAnsi="Arial" w:cs="Arial"/>
        </w:rPr>
        <w:lastRenderedPageBreak/>
        <w:t>​Manufacturing Automation: Deploy integrated generative AI predictive maintenance systems across the Solihull and Halewood assembly line operations within 18 months, achieving a</w:t>
      </w:r>
      <w:r w:rsidR="00F55454" w:rsidRPr="00E071BB">
        <w:rPr>
          <w:rFonts w:ascii="Arial" w:hAnsi="Arial" w:cs="Arial"/>
        </w:rPr>
        <w:t xml:space="preserve"> </w:t>
      </w:r>
      <w:r w:rsidRPr="00E071BB">
        <w:rPr>
          <w:rFonts w:ascii="Arial" w:hAnsi="Arial" w:cs="Arial"/>
        </w:rPr>
        <w:t xml:space="preserve">15% reduction in unplanned factory downtime by </w:t>
      </w:r>
      <w:r w:rsidR="002213B6" w:rsidRPr="00E071BB">
        <w:rPr>
          <w:rFonts w:ascii="Arial" w:hAnsi="Arial" w:cs="Arial"/>
        </w:rPr>
        <w:t xml:space="preserve">Q4 </w:t>
      </w:r>
      <w:r w:rsidRPr="00E071BB">
        <w:rPr>
          <w:rFonts w:ascii="Arial" w:hAnsi="Arial" w:cs="Arial"/>
        </w:rPr>
        <w:t>2027.</w:t>
      </w:r>
    </w:p>
    <w:p w14:paraId="2A0DD7FA" w14:textId="77777777" w:rsidR="00A4123D" w:rsidRPr="00E071BB" w:rsidRDefault="00A4123D" w:rsidP="0084615D">
      <w:pPr>
        <w:pStyle w:val="ListParagraph"/>
        <w:numPr>
          <w:ilvl w:val="0"/>
          <w:numId w:val="2"/>
        </w:numPr>
        <w:rPr>
          <w:rFonts w:ascii="Arial" w:hAnsi="Arial" w:cs="Arial"/>
        </w:rPr>
      </w:pPr>
      <w:r w:rsidRPr="00E071BB">
        <w:rPr>
          <w:rFonts w:ascii="Arial" w:hAnsi="Arial" w:cs="Arial"/>
        </w:rPr>
        <w:t>​Workforce Transition: Reskill 85% of existing powertrain and mechanical assembly engineers at the Electric Propulsion Manufacturing Centre (EPMC) in Wolverhampton into certified electric drivetrain and software configuration technicians by December 2028.</w:t>
      </w:r>
    </w:p>
    <w:p w14:paraId="47E5A754" w14:textId="603CB51E" w:rsidR="00A5625B" w:rsidRPr="00E52915" w:rsidRDefault="00A4123D" w:rsidP="00A4123D">
      <w:pPr>
        <w:pStyle w:val="ListParagraph"/>
        <w:numPr>
          <w:ilvl w:val="0"/>
          <w:numId w:val="2"/>
        </w:numPr>
        <w:rPr>
          <w:rFonts w:ascii="Arial" w:hAnsi="Arial" w:cs="Arial"/>
        </w:rPr>
      </w:pPr>
      <w:r w:rsidRPr="00E071BB">
        <w:rPr>
          <w:rFonts w:ascii="Arial" w:hAnsi="Arial" w:cs="Arial"/>
        </w:rPr>
        <w:t>​Product &amp; Compliance: Launch the first fully software-defined, zero-emission Jaguar luxury platform by Q3 2027, ensuring 100% compliance with the UK Government's rising ZEV mandate quotas and completely avoiding regulatory financial penalties.</w:t>
      </w:r>
    </w:p>
    <w:p w14:paraId="61DFD8FF" w14:textId="77777777" w:rsidR="00E52915" w:rsidRDefault="00E52915" w:rsidP="00A4123D">
      <w:pPr>
        <w:rPr>
          <w:rStyle w:val="Heading2Char"/>
        </w:rPr>
      </w:pPr>
      <w:bookmarkStart w:id="4" w:name="_Toc234850197"/>
    </w:p>
    <w:p w14:paraId="1A0E4242" w14:textId="01EFA6D5" w:rsidR="00A4123D" w:rsidRPr="00E071BB" w:rsidRDefault="00A4123D" w:rsidP="00A4123D">
      <w:pPr>
        <w:rPr>
          <w:rFonts w:ascii="Arial" w:hAnsi="Arial" w:cs="Arial"/>
        </w:rPr>
      </w:pPr>
      <w:r w:rsidRPr="00D34B24">
        <w:rPr>
          <w:rStyle w:val="Heading2Char"/>
        </w:rPr>
        <w:t>Stakeholder Analysis and Power Mapping</w:t>
      </w:r>
      <w:bookmarkEnd w:id="4"/>
    </w:p>
    <w:p w14:paraId="0971C0BE" w14:textId="75C80FC1" w:rsidR="00A4123D" w:rsidRPr="00E071BB" w:rsidRDefault="00A4123D" w:rsidP="00A4123D">
      <w:pPr>
        <w:rPr>
          <w:rFonts w:ascii="Arial" w:hAnsi="Arial" w:cs="Arial"/>
        </w:rPr>
      </w:pPr>
      <w:r w:rsidRPr="00E071BB">
        <w:rPr>
          <w:rFonts w:ascii="Arial" w:hAnsi="Arial" w:cs="Arial"/>
        </w:rPr>
        <w:t>​Applying Freeman's (1984) stakeholder framework allows JLR to map corporate interests and manage localized political friction before it impacts implementation timelines.</w:t>
      </w:r>
    </w:p>
    <w:p w14:paraId="6BFBF9D6" w14:textId="77777777" w:rsidR="00A4123D" w:rsidRPr="00E071BB" w:rsidRDefault="00A4123D" w:rsidP="005E424E">
      <w:pPr>
        <w:pStyle w:val="ListParagraph"/>
        <w:numPr>
          <w:ilvl w:val="0"/>
          <w:numId w:val="3"/>
        </w:numPr>
        <w:rPr>
          <w:rFonts w:ascii="Arial" w:hAnsi="Arial" w:cs="Arial"/>
        </w:rPr>
      </w:pPr>
      <w:r w:rsidRPr="00E071BB">
        <w:rPr>
          <w:rFonts w:ascii="Arial" w:hAnsi="Arial" w:cs="Arial"/>
        </w:rPr>
        <w:t>​High Power / High Interest (Manage Closely): Tata Motors (Shareholders) demand long-term ROIC but present high conflict potential due to extreme sensitivity to upfront capital expenditure. UK Regulatory Bodies enforce strict ZEV mandate quotas with zero tolerance for policy non-compliance.</w:t>
      </w:r>
    </w:p>
    <w:p w14:paraId="3CAC6527" w14:textId="77777777" w:rsidR="00A4123D" w:rsidRPr="00E071BB" w:rsidRDefault="00A4123D" w:rsidP="005E424E">
      <w:pPr>
        <w:pStyle w:val="ListParagraph"/>
        <w:numPr>
          <w:ilvl w:val="0"/>
          <w:numId w:val="3"/>
        </w:numPr>
        <w:rPr>
          <w:rFonts w:ascii="Arial" w:hAnsi="Arial" w:cs="Arial"/>
        </w:rPr>
      </w:pPr>
      <w:r w:rsidRPr="00E071BB">
        <w:rPr>
          <w:rFonts w:ascii="Arial" w:hAnsi="Arial" w:cs="Arial"/>
        </w:rPr>
        <w:t>​High Power / Low Interest (Keep Satisfied): Primary Tier-1 Suppliers possess substantial operational power over component logistics but maintain lower direct interest in JLR's internal structural reorganisations.</w:t>
      </w:r>
    </w:p>
    <w:p w14:paraId="54C6AA62" w14:textId="0E99718B" w:rsidR="00A5625B" w:rsidRPr="00E52915" w:rsidRDefault="00A4123D" w:rsidP="00A4123D">
      <w:pPr>
        <w:pStyle w:val="ListParagraph"/>
        <w:numPr>
          <w:ilvl w:val="0"/>
          <w:numId w:val="3"/>
        </w:numPr>
        <w:rPr>
          <w:rFonts w:ascii="Arial" w:hAnsi="Arial" w:cs="Arial"/>
        </w:rPr>
      </w:pPr>
      <w:r w:rsidRPr="00E071BB">
        <w:rPr>
          <w:rFonts w:ascii="Arial" w:hAnsi="Arial" w:cs="Arial"/>
        </w:rPr>
        <w:t>​High Resistance / High Interest (Involve and Retrain): Legacy ICE Engineering Divisions present significant internal political resistance due to structural budget reallocations and fears of technological displacement. Trade Unions (Unite) demand strict job security and formal "No Compulsory Redundancies" pacts.</w:t>
      </w:r>
    </w:p>
    <w:p w14:paraId="05D2C581" w14:textId="77777777" w:rsidR="00E52915" w:rsidRDefault="00E52915" w:rsidP="00A4123D">
      <w:pPr>
        <w:rPr>
          <w:rStyle w:val="Heading1Char"/>
        </w:rPr>
      </w:pPr>
      <w:bookmarkStart w:id="5" w:name="_Toc234850198"/>
    </w:p>
    <w:p w14:paraId="7B6C9E30" w14:textId="28BD6B86" w:rsidR="00A4123D" w:rsidRPr="00E071BB" w:rsidRDefault="00A4123D" w:rsidP="00A4123D">
      <w:pPr>
        <w:rPr>
          <w:rFonts w:ascii="Arial" w:hAnsi="Arial" w:cs="Arial"/>
        </w:rPr>
      </w:pPr>
      <w:r w:rsidRPr="00B15DC4">
        <w:rPr>
          <w:rStyle w:val="Heading1Char"/>
        </w:rPr>
        <w:t>Implementation Framework and Phased Timeline</w:t>
      </w:r>
      <w:bookmarkEnd w:id="5"/>
    </w:p>
    <w:p w14:paraId="6D5E6CEC" w14:textId="56C45225" w:rsidR="00A4123D" w:rsidRPr="00E071BB" w:rsidRDefault="00A4123D" w:rsidP="00A4123D">
      <w:pPr>
        <w:rPr>
          <w:rFonts w:ascii="Arial" w:hAnsi="Arial" w:cs="Arial"/>
        </w:rPr>
      </w:pPr>
      <w:r w:rsidRPr="00E071BB">
        <w:rPr>
          <w:rFonts w:ascii="Arial" w:hAnsi="Arial" w:cs="Arial"/>
        </w:rPr>
        <w:t>​</w:t>
      </w:r>
      <w:r w:rsidRPr="00B15DC4">
        <w:rPr>
          <w:rStyle w:val="Heading2Char"/>
        </w:rPr>
        <w:t>Phase 1: Pilot &amp; Unfreeze (2026)</w:t>
      </w:r>
    </w:p>
    <w:p w14:paraId="5A859C1C" w14:textId="77777777" w:rsidR="00A4123D" w:rsidRPr="00E071BB" w:rsidRDefault="00A4123D" w:rsidP="00DA1BB9">
      <w:pPr>
        <w:pStyle w:val="ListParagraph"/>
        <w:numPr>
          <w:ilvl w:val="0"/>
          <w:numId w:val="4"/>
        </w:numPr>
        <w:rPr>
          <w:rFonts w:ascii="Arial" w:hAnsi="Arial" w:cs="Arial"/>
        </w:rPr>
      </w:pPr>
      <w:r w:rsidRPr="00E071BB">
        <w:rPr>
          <w:rFonts w:ascii="Arial" w:hAnsi="Arial" w:cs="Arial"/>
        </w:rPr>
        <w:t>​Step 1: Define Change Objectives &amp; Formulate Blueprint: Mechanical and software engineers work together to design a technical blueprint that unifies JLR's new modular longitudinal architecture with advanced software-defined vehicle networks.</w:t>
      </w:r>
    </w:p>
    <w:p w14:paraId="52C2BA1C" w14:textId="77777777" w:rsidR="00A4123D" w:rsidRPr="00E071BB" w:rsidRDefault="00A4123D" w:rsidP="00DA1BB9">
      <w:pPr>
        <w:pStyle w:val="ListParagraph"/>
        <w:numPr>
          <w:ilvl w:val="0"/>
          <w:numId w:val="4"/>
        </w:numPr>
        <w:rPr>
          <w:rFonts w:ascii="Arial" w:hAnsi="Arial" w:cs="Arial"/>
        </w:rPr>
      </w:pPr>
      <w:r w:rsidRPr="00E071BB">
        <w:rPr>
          <w:rFonts w:ascii="Arial" w:hAnsi="Arial" w:cs="Arial"/>
        </w:rPr>
        <w:t>​Step 2: Build the Change Team &amp; Align Stakeholders: A cross-functional Guiding Coalition is formed, led by the Senior Strategic Manager and including plant directors, software lead engineers, and union representatives.</w:t>
      </w:r>
    </w:p>
    <w:p w14:paraId="136A9925" w14:textId="77777777" w:rsidR="00A4123D" w:rsidRPr="00E071BB" w:rsidRDefault="00A4123D" w:rsidP="00DA1BB9">
      <w:pPr>
        <w:pStyle w:val="ListParagraph"/>
        <w:numPr>
          <w:ilvl w:val="0"/>
          <w:numId w:val="4"/>
        </w:numPr>
        <w:rPr>
          <w:rFonts w:ascii="Arial" w:hAnsi="Arial" w:cs="Arial"/>
        </w:rPr>
      </w:pPr>
      <w:r w:rsidRPr="00E071BB">
        <w:rPr>
          <w:rFonts w:ascii="Arial" w:hAnsi="Arial" w:cs="Arial"/>
        </w:rPr>
        <w:t>​Step 3: Align Stakeholders Around a Cohesive Vision: Town halls and strategic summits ensure all key stakeholders share a clear understanding of the environmental and commercial reasons behind the transition.</w:t>
      </w:r>
    </w:p>
    <w:p w14:paraId="0528DC15" w14:textId="45D1EEC3" w:rsidR="00B15DC4" w:rsidRDefault="00A4123D" w:rsidP="00B15DC4">
      <w:pPr>
        <w:pStyle w:val="ListParagraph"/>
        <w:numPr>
          <w:ilvl w:val="0"/>
          <w:numId w:val="4"/>
        </w:numPr>
        <w:rPr>
          <w:rFonts w:ascii="Arial" w:hAnsi="Arial" w:cs="Arial"/>
        </w:rPr>
      </w:pPr>
      <w:r w:rsidRPr="00E071BB">
        <w:rPr>
          <w:rFonts w:ascii="Arial" w:hAnsi="Arial" w:cs="Arial"/>
        </w:rPr>
        <w:t>​Step 4: Launch an Early Adopters Program: An early adopter program is launched at the Electric Propulsion Manufacturing Centre in Wolverhampton. Forward-thinking assembly line operators and software technicians champion the new AI-driven diagnostic tools, providing peer-to-peer reassurance and breaking down initial workplace anxiety.</w:t>
      </w:r>
    </w:p>
    <w:p w14:paraId="0CCD4C7B" w14:textId="6394A181" w:rsidR="00A4123D" w:rsidRPr="00E071BB" w:rsidRDefault="00A4123D" w:rsidP="00A4123D">
      <w:pPr>
        <w:rPr>
          <w:rFonts w:ascii="Arial" w:hAnsi="Arial" w:cs="Arial"/>
        </w:rPr>
      </w:pPr>
      <w:r w:rsidRPr="00B15DC4">
        <w:rPr>
          <w:rStyle w:val="Heading2Char"/>
        </w:rPr>
        <w:lastRenderedPageBreak/>
        <w:t>Phase 2: Scale &amp; Transition (2027)</w:t>
      </w:r>
    </w:p>
    <w:p w14:paraId="3AFBD52A" w14:textId="77777777" w:rsidR="00A4123D" w:rsidRPr="00E071BB" w:rsidRDefault="00A4123D" w:rsidP="00DA1BB9">
      <w:pPr>
        <w:pStyle w:val="ListParagraph"/>
        <w:numPr>
          <w:ilvl w:val="0"/>
          <w:numId w:val="5"/>
        </w:numPr>
        <w:rPr>
          <w:rFonts w:ascii="Arial" w:hAnsi="Arial" w:cs="Arial"/>
        </w:rPr>
      </w:pPr>
      <w:r w:rsidRPr="00E071BB">
        <w:rPr>
          <w:rFonts w:ascii="Arial" w:hAnsi="Arial" w:cs="Arial"/>
        </w:rPr>
        <w:t>​Step 5: Craft a Blueprint for Success: Retool Solihull and Halewood assembly lines. Detail milestones, testing environments, training windows, and production retooling phases to ensure rigorous alignment of physical and digital assets.</w:t>
      </w:r>
    </w:p>
    <w:p w14:paraId="6A2D74DC" w14:textId="77777777" w:rsidR="00A4123D" w:rsidRPr="00E071BB" w:rsidRDefault="00A4123D" w:rsidP="00DA1BB9">
      <w:pPr>
        <w:pStyle w:val="ListParagraph"/>
        <w:numPr>
          <w:ilvl w:val="0"/>
          <w:numId w:val="5"/>
        </w:numPr>
        <w:rPr>
          <w:rFonts w:ascii="Arial" w:hAnsi="Arial" w:cs="Arial"/>
        </w:rPr>
      </w:pPr>
      <w:r w:rsidRPr="00E071BB">
        <w:rPr>
          <w:rFonts w:ascii="Arial" w:hAnsi="Arial" w:cs="Arial"/>
        </w:rPr>
        <w:t>​Step 6: Devise Communication Strategies and Begin Training: Align regional learning cohorts with software specialists to actively close knowledge gaps while running multi-tiered corporate communications.</w:t>
      </w:r>
    </w:p>
    <w:p w14:paraId="45F728A6" w14:textId="3FB099E3" w:rsidR="00A4123D" w:rsidRPr="00E071BB" w:rsidRDefault="00A4123D" w:rsidP="00A4123D">
      <w:pPr>
        <w:rPr>
          <w:rFonts w:ascii="Arial" w:hAnsi="Arial" w:cs="Arial"/>
        </w:rPr>
      </w:pPr>
      <w:r w:rsidRPr="00E071BB">
        <w:rPr>
          <w:rFonts w:ascii="Arial" w:hAnsi="Arial" w:cs="Arial"/>
        </w:rPr>
        <w:t>​</w:t>
      </w:r>
      <w:r w:rsidRPr="00A5625B">
        <w:rPr>
          <w:rStyle w:val="Heading2Char"/>
        </w:rPr>
        <w:t>Phase 3: Integration &amp; Refreeze (2028–2029)</w:t>
      </w:r>
    </w:p>
    <w:p w14:paraId="35DF5387" w14:textId="77777777" w:rsidR="00A4123D" w:rsidRPr="00E071BB" w:rsidRDefault="00A4123D" w:rsidP="006B5A1B">
      <w:pPr>
        <w:pStyle w:val="ListParagraph"/>
        <w:numPr>
          <w:ilvl w:val="0"/>
          <w:numId w:val="6"/>
        </w:numPr>
        <w:rPr>
          <w:rFonts w:ascii="Arial" w:hAnsi="Arial" w:cs="Arial"/>
        </w:rPr>
      </w:pPr>
      <w:r w:rsidRPr="00E071BB">
        <w:rPr>
          <w:rFonts w:ascii="Arial" w:hAnsi="Arial" w:cs="Arial"/>
        </w:rPr>
        <w:t>​Step 7: Navigate the Change Process: Monitor performance metrics to identify operational bottlenecks or mid-term inertia, remaining adaptable as obstacles arise.</w:t>
      </w:r>
    </w:p>
    <w:p w14:paraId="5394391C" w14:textId="69BBA2EF" w:rsidR="00A4123D" w:rsidRPr="00E071BB" w:rsidRDefault="00A4123D" w:rsidP="006B5A1B">
      <w:pPr>
        <w:pStyle w:val="ListParagraph"/>
        <w:numPr>
          <w:ilvl w:val="0"/>
          <w:numId w:val="6"/>
        </w:numPr>
        <w:rPr>
          <w:rFonts w:ascii="Arial" w:hAnsi="Arial" w:cs="Arial"/>
        </w:rPr>
      </w:pPr>
      <w:r w:rsidRPr="00E071BB">
        <w:rPr>
          <w:rFonts w:ascii="Arial" w:hAnsi="Arial" w:cs="Arial"/>
        </w:rPr>
        <w:t xml:space="preserve">​Step 8: Reinforcement &amp; Cultural Anchoring: Celebrate major development milestones and offer formal incentives for reskilling completion, embedding new </w:t>
      </w:r>
      <w:r w:rsidR="008C7C25" w:rsidRPr="00E071BB">
        <w:rPr>
          <w:rFonts w:ascii="Arial" w:hAnsi="Arial" w:cs="Arial"/>
        </w:rPr>
        <w:t>behaviours</w:t>
      </w:r>
      <w:r w:rsidRPr="00E071BB">
        <w:rPr>
          <w:rFonts w:ascii="Arial" w:hAnsi="Arial" w:cs="Arial"/>
        </w:rPr>
        <w:t xml:space="preserve"> into permanent routines.</w:t>
      </w:r>
    </w:p>
    <w:p w14:paraId="6DE602A0" w14:textId="77777777" w:rsidR="006B5A1B" w:rsidRPr="00E071BB" w:rsidRDefault="006B5A1B" w:rsidP="006B5A1B">
      <w:pPr>
        <w:ind w:left="360"/>
        <w:rPr>
          <w:rFonts w:ascii="Arial" w:hAnsi="Arial" w:cs="Arial"/>
        </w:rPr>
      </w:pPr>
    </w:p>
    <w:p w14:paraId="785FC38E" w14:textId="77777777" w:rsidR="00A4123D" w:rsidRPr="00E071BB" w:rsidRDefault="00A4123D" w:rsidP="00A4123D">
      <w:pPr>
        <w:rPr>
          <w:rFonts w:ascii="Arial" w:hAnsi="Arial" w:cs="Arial"/>
        </w:rPr>
      </w:pPr>
      <w:r w:rsidRPr="00E071BB">
        <w:rPr>
          <w:rFonts w:ascii="Arial" w:hAnsi="Arial" w:cs="Arial"/>
        </w:rPr>
        <w:t>​</w:t>
      </w:r>
      <w:r w:rsidRPr="00A5625B">
        <w:rPr>
          <w:rStyle w:val="Heading1Char"/>
        </w:rPr>
        <w:t>Communication Plan</w:t>
      </w:r>
    </w:p>
    <w:p w14:paraId="40195F83" w14:textId="77973338" w:rsidR="00A4123D" w:rsidRPr="00E071BB" w:rsidRDefault="00A4123D" w:rsidP="00A4123D">
      <w:pPr>
        <w:rPr>
          <w:rFonts w:ascii="Arial" w:hAnsi="Arial" w:cs="Arial"/>
        </w:rPr>
      </w:pPr>
      <w:r w:rsidRPr="00E071BB">
        <w:rPr>
          <w:rFonts w:ascii="Arial" w:hAnsi="Arial" w:cs="Arial"/>
        </w:rPr>
        <w:t>​To manage emotional transitions and navigate the phases of Comfort, Control, Fear, and Resistance, a transparent, multi-tiered communication strategy is required.</w:t>
      </w:r>
    </w:p>
    <w:p w14:paraId="2871FF8E" w14:textId="77777777" w:rsidR="00A4123D" w:rsidRPr="00E071BB" w:rsidRDefault="00A4123D" w:rsidP="00196C9E">
      <w:pPr>
        <w:pStyle w:val="ListParagraph"/>
        <w:numPr>
          <w:ilvl w:val="0"/>
          <w:numId w:val="7"/>
        </w:numPr>
        <w:rPr>
          <w:rFonts w:ascii="Arial" w:hAnsi="Arial" w:cs="Arial"/>
        </w:rPr>
      </w:pPr>
      <w:r w:rsidRPr="00E071BB">
        <w:rPr>
          <w:rFonts w:ascii="Arial" w:hAnsi="Arial" w:cs="Arial"/>
        </w:rPr>
        <w:t>​Executive Leadership (Tata Board): Communicated through closed executive briefings, focusing on risk mitigation, capital expenditure efficiency, and meeting ZEV compliance timelines.</w:t>
      </w:r>
    </w:p>
    <w:p w14:paraId="3865B1B2" w14:textId="77777777" w:rsidR="00A4123D" w:rsidRPr="00E071BB" w:rsidRDefault="00A4123D" w:rsidP="00196C9E">
      <w:pPr>
        <w:pStyle w:val="ListParagraph"/>
        <w:numPr>
          <w:ilvl w:val="0"/>
          <w:numId w:val="7"/>
        </w:numPr>
        <w:rPr>
          <w:rFonts w:ascii="Arial" w:hAnsi="Arial" w:cs="Arial"/>
        </w:rPr>
      </w:pPr>
      <w:r w:rsidRPr="00E071BB">
        <w:rPr>
          <w:rFonts w:ascii="Arial" w:hAnsi="Arial" w:cs="Arial"/>
        </w:rPr>
        <w:t>​Plant Managers &amp; Workforce: Engaged through open town hall meetings, interactive digital dashboards, and regular union workshops. The messaging addresses job security concerns directly, transparently outlining the long-term reskilling roadmap. This builds the foundational Awareness and Desire required by the ADKAR model.</w:t>
      </w:r>
    </w:p>
    <w:p w14:paraId="305EBB9A" w14:textId="77777777" w:rsidR="00A4123D" w:rsidRPr="00E071BB" w:rsidRDefault="00A4123D" w:rsidP="00196C9E">
      <w:pPr>
        <w:pStyle w:val="ListParagraph"/>
        <w:numPr>
          <w:ilvl w:val="0"/>
          <w:numId w:val="7"/>
        </w:numPr>
        <w:rPr>
          <w:rFonts w:ascii="Arial" w:hAnsi="Arial" w:cs="Arial"/>
        </w:rPr>
      </w:pPr>
      <w:r w:rsidRPr="00E071BB">
        <w:rPr>
          <w:rFonts w:ascii="Arial" w:hAnsi="Arial" w:cs="Arial"/>
        </w:rPr>
        <w:t>​External Ecosystem (Dealers &amp; Suppliers): Reassured through dedicated supplier summits and premium PR releases, emphasizing the shared opportunities available within a premium, high-margin modern luxury ecosystem.</w:t>
      </w:r>
    </w:p>
    <w:p w14:paraId="0C17839F" w14:textId="77777777" w:rsidR="00D87EF0" w:rsidRPr="00E071BB" w:rsidRDefault="00A4123D" w:rsidP="00A4123D">
      <w:pPr>
        <w:rPr>
          <w:rFonts w:ascii="Arial" w:hAnsi="Arial" w:cs="Arial"/>
        </w:rPr>
      </w:pPr>
      <w:r w:rsidRPr="00E071BB">
        <w:rPr>
          <w:rFonts w:ascii="Arial" w:hAnsi="Arial" w:cs="Arial"/>
        </w:rPr>
        <w:t>​</w:t>
      </w:r>
    </w:p>
    <w:p w14:paraId="3D4FD6CA" w14:textId="35A4BDF0" w:rsidR="00A4123D" w:rsidRPr="00E071BB" w:rsidRDefault="00A4123D" w:rsidP="00A5625B">
      <w:pPr>
        <w:pStyle w:val="Heading1"/>
      </w:pPr>
      <w:bookmarkStart w:id="6" w:name="_Toc234850199"/>
      <w:r w:rsidRPr="00E071BB">
        <w:rPr>
          <w:rStyle w:val="Heading2Char"/>
          <w:rFonts w:ascii="Arial" w:hAnsi="Arial" w:cs="Arial"/>
        </w:rPr>
        <w:t>Financial Plan and ROI Justification</w:t>
      </w:r>
      <w:bookmarkEnd w:id="6"/>
    </w:p>
    <w:p w14:paraId="207F3470" w14:textId="15C1F1DF" w:rsidR="00A4123D" w:rsidRPr="00E071BB" w:rsidRDefault="00A4123D" w:rsidP="00A4123D">
      <w:pPr>
        <w:rPr>
          <w:rFonts w:ascii="Arial" w:hAnsi="Arial" w:cs="Arial"/>
        </w:rPr>
      </w:pPr>
      <w:r w:rsidRPr="00E071BB">
        <w:rPr>
          <w:rFonts w:ascii="Arial" w:hAnsi="Arial" w:cs="Arial"/>
        </w:rPr>
        <w:t>​A total capital expenditure of £320 million is allocated to Project Electra-AI over a three-year timeline, sourced from JLR’s comprehensive £18 billion Reimagine technology investment pool. The budget is split as follows: £140 million (43.75%) for Industrial AI &amp; Factory Retooling at Solihull and Halewood; £110 million (34.38%) for Software Integration &amp; Core Architecture Development; £50 million (15.63%) for Workforce Reskilling &amp; Training Programs; and £20 million (6.25%) allocated as a Contingency Reserve for supply chain risks</w:t>
      </w:r>
      <w:r w:rsidR="00DA56AF" w:rsidRPr="00E071BB">
        <w:rPr>
          <w:rFonts w:ascii="Arial" w:hAnsi="Arial" w:cs="Arial"/>
        </w:rPr>
        <w:t xml:space="preserve"> </w:t>
      </w:r>
      <w:r w:rsidR="009E1667" w:rsidRPr="00E071BB">
        <w:rPr>
          <w:rFonts w:ascii="Arial" w:hAnsi="Arial" w:cs="Arial"/>
        </w:rPr>
        <w:t>(</w:t>
      </w:r>
      <w:r w:rsidR="009E1667" w:rsidRPr="00E071BB">
        <w:rPr>
          <w:rFonts w:ascii="Arial" w:hAnsi="Arial" w:cs="Arial"/>
        </w:rPr>
        <w:t>Mohile</w:t>
      </w:r>
      <w:r w:rsidR="009E1667" w:rsidRPr="00E071BB">
        <w:rPr>
          <w:rFonts w:ascii="Arial" w:hAnsi="Arial" w:cs="Arial"/>
        </w:rPr>
        <w:t>,</w:t>
      </w:r>
      <w:r w:rsidR="009E1667" w:rsidRPr="00E071BB">
        <w:rPr>
          <w:rFonts w:ascii="Arial" w:hAnsi="Arial" w:cs="Arial"/>
        </w:rPr>
        <w:t xml:space="preserve"> 2024).</w:t>
      </w:r>
    </w:p>
    <w:p w14:paraId="4B0B834E" w14:textId="377D4A07" w:rsidR="00A4123D" w:rsidRPr="00E071BB" w:rsidRDefault="00A4123D" w:rsidP="00A4123D">
      <w:pPr>
        <w:rPr>
          <w:rFonts w:ascii="Arial" w:hAnsi="Arial" w:cs="Arial"/>
        </w:rPr>
      </w:pPr>
      <w:r w:rsidRPr="00E071BB">
        <w:rPr>
          <w:rFonts w:ascii="Arial" w:hAnsi="Arial" w:cs="Arial"/>
        </w:rPr>
        <w:t>​The £140 million automation and AI predictive maintenance allocation is projected to achieve a 15% reduction in unplanned line stops by late 2027. Given that premium manufacturing downtime costs approximately £</w:t>
      </w:r>
      <w:r w:rsidR="00E15E66" w:rsidRPr="00E071BB">
        <w:rPr>
          <w:rFonts w:ascii="Arial" w:hAnsi="Arial" w:cs="Arial"/>
        </w:rPr>
        <w:t>20</w:t>
      </w:r>
      <w:r w:rsidRPr="00E071BB">
        <w:rPr>
          <w:rFonts w:ascii="Arial" w:hAnsi="Arial" w:cs="Arial"/>
        </w:rPr>
        <w:t>,000 per hour</w:t>
      </w:r>
      <w:r w:rsidR="00462720" w:rsidRPr="00E071BB">
        <w:rPr>
          <w:rFonts w:ascii="Arial" w:hAnsi="Arial" w:cs="Arial"/>
        </w:rPr>
        <w:t xml:space="preserve"> </w:t>
      </w:r>
      <w:r w:rsidR="009F4D3B" w:rsidRPr="00E071BB">
        <w:rPr>
          <w:rFonts w:ascii="Arial" w:hAnsi="Arial" w:cs="Arial"/>
        </w:rPr>
        <w:t>(</w:t>
      </w:r>
      <w:r w:rsidR="009F4D3B" w:rsidRPr="00E071BB">
        <w:rPr>
          <w:rFonts w:ascii="Arial" w:hAnsi="Arial" w:cs="Arial"/>
        </w:rPr>
        <w:t>MLG</w:t>
      </w:r>
      <w:r w:rsidR="009F4D3B" w:rsidRPr="00E071BB">
        <w:rPr>
          <w:rFonts w:ascii="Arial" w:hAnsi="Arial" w:cs="Arial"/>
        </w:rPr>
        <w:t>,</w:t>
      </w:r>
      <w:r w:rsidR="00CF1740" w:rsidRPr="00E071BB">
        <w:rPr>
          <w:rFonts w:ascii="Arial" w:hAnsi="Arial" w:cs="Arial"/>
        </w:rPr>
        <w:t xml:space="preserve"> </w:t>
      </w:r>
      <w:r w:rsidR="009F4D3B" w:rsidRPr="00E071BB">
        <w:rPr>
          <w:rFonts w:ascii="Arial" w:hAnsi="Arial" w:cs="Arial"/>
        </w:rPr>
        <w:t>2026)</w:t>
      </w:r>
      <w:r w:rsidRPr="00E071BB">
        <w:rPr>
          <w:rFonts w:ascii="Arial" w:hAnsi="Arial" w:cs="Arial"/>
        </w:rPr>
        <w:t>, preventing these operational failures</w:t>
      </w:r>
      <w:r w:rsidR="002C000B" w:rsidRPr="00E071BB">
        <w:rPr>
          <w:rFonts w:ascii="Arial" w:hAnsi="Arial" w:cs="Arial"/>
        </w:rPr>
        <w:t xml:space="preserve"> </w:t>
      </w:r>
      <w:r w:rsidRPr="00E071BB">
        <w:rPr>
          <w:rFonts w:ascii="Arial" w:hAnsi="Arial" w:cs="Arial"/>
        </w:rPr>
        <w:t>combined with completely avoiding the ZEV mandate's severe non-compliance fines</w:t>
      </w:r>
      <w:r w:rsidR="002C000B" w:rsidRPr="00E071BB">
        <w:rPr>
          <w:rFonts w:ascii="Arial" w:hAnsi="Arial" w:cs="Arial"/>
        </w:rPr>
        <w:t xml:space="preserve"> </w:t>
      </w:r>
      <w:r w:rsidRPr="00E071BB">
        <w:rPr>
          <w:rFonts w:ascii="Arial" w:hAnsi="Arial" w:cs="Arial"/>
        </w:rPr>
        <w:t xml:space="preserve">generates a projected positive return on investment within 3.2 years. However, this ROI </w:t>
      </w:r>
      <w:r w:rsidRPr="00E071BB">
        <w:rPr>
          <w:rFonts w:ascii="Arial" w:hAnsi="Arial" w:cs="Arial"/>
        </w:rPr>
        <w:lastRenderedPageBreak/>
        <w:t>projection assumes stable global production volumes and does not fully account for potential demand shocks or delays in consumer EV adoption.</w:t>
      </w:r>
    </w:p>
    <w:p w14:paraId="13B92047" w14:textId="77777777" w:rsidR="00A4123D" w:rsidRPr="00E071BB" w:rsidRDefault="00A4123D" w:rsidP="00A4123D">
      <w:pPr>
        <w:rPr>
          <w:rFonts w:ascii="Arial" w:hAnsi="Arial" w:cs="Arial"/>
        </w:rPr>
      </w:pPr>
    </w:p>
    <w:p w14:paraId="40180E92" w14:textId="77777777" w:rsidR="00A4123D" w:rsidRPr="00E071BB" w:rsidRDefault="00A4123D" w:rsidP="00A4123D">
      <w:pPr>
        <w:rPr>
          <w:rFonts w:ascii="Arial" w:hAnsi="Arial" w:cs="Arial"/>
        </w:rPr>
      </w:pPr>
      <w:r w:rsidRPr="00E071BB">
        <w:rPr>
          <w:rFonts w:ascii="Arial" w:hAnsi="Arial" w:cs="Arial"/>
        </w:rPr>
        <w:t>​</w:t>
      </w:r>
      <w:r w:rsidRPr="00A5625B">
        <w:rPr>
          <w:rStyle w:val="Heading1Char"/>
        </w:rPr>
        <w:t>Risk Assessment and Mitigation</w:t>
      </w:r>
    </w:p>
    <w:p w14:paraId="75F3DB84" w14:textId="1432E300" w:rsidR="00A4123D" w:rsidRPr="00E071BB" w:rsidRDefault="00A4123D" w:rsidP="00692F02">
      <w:pPr>
        <w:pStyle w:val="ListParagraph"/>
        <w:numPr>
          <w:ilvl w:val="0"/>
          <w:numId w:val="8"/>
        </w:numPr>
        <w:rPr>
          <w:rFonts w:ascii="Arial" w:hAnsi="Arial" w:cs="Arial"/>
        </w:rPr>
      </w:pPr>
      <w:r w:rsidRPr="00E071BB">
        <w:rPr>
          <w:rFonts w:ascii="Arial" w:hAnsi="Arial" w:cs="Arial"/>
        </w:rPr>
        <w:t>​Risk 1: Mid-Term Inertia and Workforce Resistance. Likelihood is High, and Impact is Severe. Mitigation requires tying factory managers' bonuses directly to locali</w:t>
      </w:r>
      <w:r w:rsidR="00CF1740" w:rsidRPr="00E071BB">
        <w:rPr>
          <w:rFonts w:ascii="Arial" w:hAnsi="Arial" w:cs="Arial"/>
        </w:rPr>
        <w:t>s</w:t>
      </w:r>
      <w:r w:rsidRPr="00E071BB">
        <w:rPr>
          <w:rFonts w:ascii="Arial" w:hAnsi="Arial" w:cs="Arial"/>
        </w:rPr>
        <w:t>ed training completion rates and executing anonymous monthly pulse surveys to address cultural friction early</w:t>
      </w:r>
      <w:r w:rsidR="004B126F" w:rsidRPr="00E071BB">
        <w:rPr>
          <w:rFonts w:ascii="Arial" w:hAnsi="Arial" w:cs="Arial"/>
        </w:rPr>
        <w:t xml:space="preserve"> </w:t>
      </w:r>
      <w:r w:rsidR="00722770" w:rsidRPr="00E071BB">
        <w:rPr>
          <w:rFonts w:ascii="Arial" w:hAnsi="Arial" w:cs="Arial"/>
        </w:rPr>
        <w:t>(</w:t>
      </w:r>
      <w:r w:rsidR="00722770" w:rsidRPr="00E071BB">
        <w:rPr>
          <w:rFonts w:ascii="Arial" w:hAnsi="Arial" w:cs="Arial"/>
        </w:rPr>
        <w:t>Dong, 2023</w:t>
      </w:r>
      <w:r w:rsidR="00722770" w:rsidRPr="00E071BB">
        <w:rPr>
          <w:rFonts w:ascii="Arial" w:hAnsi="Arial" w:cs="Arial"/>
        </w:rPr>
        <w:t>)</w:t>
      </w:r>
      <w:r w:rsidRPr="00E071BB">
        <w:rPr>
          <w:rFonts w:ascii="Arial" w:hAnsi="Arial" w:cs="Arial"/>
        </w:rPr>
        <w:t>.</w:t>
      </w:r>
    </w:p>
    <w:p w14:paraId="2739470C" w14:textId="18AED11D" w:rsidR="00A4123D" w:rsidRPr="00E071BB" w:rsidRDefault="00A4123D" w:rsidP="00692F02">
      <w:pPr>
        <w:pStyle w:val="ListParagraph"/>
        <w:numPr>
          <w:ilvl w:val="0"/>
          <w:numId w:val="8"/>
        </w:numPr>
        <w:rPr>
          <w:rFonts w:ascii="Arial" w:hAnsi="Arial" w:cs="Arial"/>
        </w:rPr>
      </w:pPr>
      <w:r w:rsidRPr="00E071BB">
        <w:rPr>
          <w:rFonts w:ascii="Arial" w:hAnsi="Arial" w:cs="Arial"/>
        </w:rPr>
        <w:t>​Risk 2: Software Deficiencies and Integration Delays. Likelihood is Medium, and Impact is Critical. Mitigation involves adopting an agile, task-focused software model, maintaining temporary mechanical redundancies during early rollouts to safeguard production continuity</w:t>
      </w:r>
      <w:r w:rsidR="00F43390" w:rsidRPr="00E071BB">
        <w:rPr>
          <w:rFonts w:ascii="Arial" w:hAnsi="Arial" w:cs="Arial"/>
        </w:rPr>
        <w:t xml:space="preserve"> (Forbes</w:t>
      </w:r>
      <w:r w:rsidR="0081651F" w:rsidRPr="00E071BB">
        <w:rPr>
          <w:rFonts w:ascii="Arial" w:hAnsi="Arial" w:cs="Arial"/>
        </w:rPr>
        <w:t>, 2024)</w:t>
      </w:r>
      <w:r w:rsidRPr="00E071BB">
        <w:rPr>
          <w:rFonts w:ascii="Arial" w:hAnsi="Arial" w:cs="Arial"/>
        </w:rPr>
        <w:t>.</w:t>
      </w:r>
    </w:p>
    <w:p w14:paraId="5B676702" w14:textId="7F2C5CD6" w:rsidR="00A4123D" w:rsidRPr="00E071BB" w:rsidRDefault="00A4123D" w:rsidP="00692F02">
      <w:pPr>
        <w:pStyle w:val="ListParagraph"/>
        <w:numPr>
          <w:ilvl w:val="0"/>
          <w:numId w:val="8"/>
        </w:numPr>
        <w:rPr>
          <w:rFonts w:ascii="Arial" w:hAnsi="Arial" w:cs="Arial"/>
        </w:rPr>
      </w:pPr>
      <w:r w:rsidRPr="00E071BB">
        <w:rPr>
          <w:rFonts w:ascii="Arial" w:hAnsi="Arial" w:cs="Arial"/>
        </w:rPr>
        <w:t>​Risk 3: Global EV Demand Slowdown and Revenue Drops. Likelihood is High, and Impact is Severe. Mitigation forces JLR to leverage its flexible modular architecture to dynamically alter production ratios between hybrid and pure electric variants based on real-time market demand</w:t>
      </w:r>
      <w:r w:rsidR="00F249D7" w:rsidRPr="00E071BB">
        <w:rPr>
          <w:rFonts w:ascii="Arial" w:hAnsi="Arial" w:cs="Arial"/>
        </w:rPr>
        <w:t xml:space="preserve"> (Par</w:t>
      </w:r>
      <w:r w:rsidR="00685600" w:rsidRPr="00E071BB">
        <w:rPr>
          <w:rFonts w:ascii="Arial" w:hAnsi="Arial" w:cs="Arial"/>
        </w:rPr>
        <w:t>o</w:t>
      </w:r>
      <w:r w:rsidR="00F249D7" w:rsidRPr="00E071BB">
        <w:rPr>
          <w:rFonts w:ascii="Arial" w:hAnsi="Arial" w:cs="Arial"/>
        </w:rPr>
        <w:t>d</w:t>
      </w:r>
      <w:r w:rsidR="002309F9" w:rsidRPr="00E071BB">
        <w:rPr>
          <w:rFonts w:ascii="Arial" w:hAnsi="Arial" w:cs="Arial"/>
        </w:rPr>
        <w:t>i, 2026)</w:t>
      </w:r>
      <w:r w:rsidRPr="00E071BB">
        <w:rPr>
          <w:rFonts w:ascii="Arial" w:hAnsi="Arial" w:cs="Arial"/>
        </w:rPr>
        <w:t>.</w:t>
      </w:r>
    </w:p>
    <w:p w14:paraId="28E794CA" w14:textId="4E915E33" w:rsidR="00A4123D" w:rsidRPr="00E071BB" w:rsidRDefault="00A4123D" w:rsidP="00692F02">
      <w:pPr>
        <w:pStyle w:val="ListParagraph"/>
        <w:numPr>
          <w:ilvl w:val="0"/>
          <w:numId w:val="8"/>
        </w:numPr>
        <w:rPr>
          <w:rFonts w:ascii="Arial" w:hAnsi="Arial" w:cs="Arial"/>
        </w:rPr>
      </w:pPr>
      <w:r w:rsidRPr="00E071BB">
        <w:rPr>
          <w:rFonts w:ascii="Arial" w:hAnsi="Arial" w:cs="Arial"/>
        </w:rPr>
        <w:t>​Risk 4: Cybersecurity Vulnerabilities and AI System Breaches. Likelihood is Medium, and Impact is Critical. Mitigation mandates deploying strict zero-trust network architectures across automated facility grids, backed by end-to-end encryption for all vehicle over-the-air updates</w:t>
      </w:r>
      <w:r w:rsidR="00990B07" w:rsidRPr="00E071BB">
        <w:rPr>
          <w:rFonts w:ascii="Arial" w:hAnsi="Arial" w:cs="Arial"/>
        </w:rPr>
        <w:t xml:space="preserve"> (</w:t>
      </w:r>
      <w:r w:rsidR="0064570D" w:rsidRPr="00E071BB">
        <w:rPr>
          <w:rFonts w:ascii="Arial" w:hAnsi="Arial" w:cs="Arial"/>
        </w:rPr>
        <w:t>GOV.UK</w:t>
      </w:r>
      <w:r w:rsidR="0064570D" w:rsidRPr="00E071BB">
        <w:rPr>
          <w:rFonts w:ascii="Arial" w:hAnsi="Arial" w:cs="Arial"/>
        </w:rPr>
        <w:t xml:space="preserve">, </w:t>
      </w:r>
      <w:r w:rsidR="0064570D" w:rsidRPr="00E071BB">
        <w:rPr>
          <w:rFonts w:ascii="Arial" w:hAnsi="Arial" w:cs="Arial"/>
        </w:rPr>
        <w:t>2024).</w:t>
      </w:r>
    </w:p>
    <w:p w14:paraId="7AC8795F" w14:textId="77777777" w:rsidR="00D87EF0" w:rsidRPr="00E071BB" w:rsidRDefault="00A4123D" w:rsidP="00A4123D">
      <w:pPr>
        <w:rPr>
          <w:rFonts w:ascii="Arial" w:hAnsi="Arial" w:cs="Arial"/>
        </w:rPr>
      </w:pPr>
      <w:r w:rsidRPr="00E071BB">
        <w:rPr>
          <w:rFonts w:ascii="Arial" w:hAnsi="Arial" w:cs="Arial"/>
        </w:rPr>
        <w:t>​</w:t>
      </w:r>
    </w:p>
    <w:p w14:paraId="5743D3C9" w14:textId="7D211FA8" w:rsidR="00A4123D" w:rsidRPr="00E071BB" w:rsidRDefault="00A4123D" w:rsidP="00A4123D">
      <w:pPr>
        <w:rPr>
          <w:rFonts w:ascii="Arial" w:hAnsi="Arial" w:cs="Arial"/>
        </w:rPr>
      </w:pPr>
      <w:bookmarkStart w:id="7" w:name="_Toc234850200"/>
      <w:r w:rsidRPr="00E071BB">
        <w:rPr>
          <w:rStyle w:val="Heading2Char"/>
          <w:rFonts w:ascii="Arial" w:hAnsi="Arial" w:cs="Arial"/>
        </w:rPr>
        <w:t>Evaluation and KPIs</w:t>
      </w:r>
      <w:bookmarkEnd w:id="7"/>
    </w:p>
    <w:p w14:paraId="60C0D426" w14:textId="1BED3873" w:rsidR="00A4123D" w:rsidRPr="00E071BB" w:rsidRDefault="00A4123D" w:rsidP="00A4123D">
      <w:pPr>
        <w:rPr>
          <w:rFonts w:ascii="Arial" w:hAnsi="Arial" w:cs="Arial"/>
        </w:rPr>
      </w:pPr>
      <w:r w:rsidRPr="00E071BB">
        <w:rPr>
          <w:rFonts w:ascii="Arial" w:hAnsi="Arial" w:cs="Arial"/>
        </w:rPr>
        <w:t>​To maintain a continuous improvement focus and confirm the change initiative remains on track, success is evaluated against clear performance metrics and Key Performance Indicators (KPIs):</w:t>
      </w:r>
    </w:p>
    <w:p w14:paraId="6097A9F1" w14:textId="77777777" w:rsidR="00A4123D" w:rsidRPr="00E071BB" w:rsidRDefault="00A4123D" w:rsidP="00692F02">
      <w:pPr>
        <w:pStyle w:val="ListParagraph"/>
        <w:numPr>
          <w:ilvl w:val="0"/>
          <w:numId w:val="9"/>
        </w:numPr>
        <w:rPr>
          <w:rFonts w:ascii="Arial" w:hAnsi="Arial" w:cs="Arial"/>
        </w:rPr>
      </w:pPr>
      <w:r w:rsidRPr="00E071BB">
        <w:rPr>
          <w:rFonts w:ascii="Arial" w:hAnsi="Arial" w:cs="Arial"/>
        </w:rPr>
        <w:t>​Operational KPIs: Track the percentage of weekly assembly line processes automated via AI; monitor the average time required to deploy over-the-air software updates to finished vehicles; audit factory floor downtime.</w:t>
      </w:r>
    </w:p>
    <w:p w14:paraId="355F7139" w14:textId="77777777" w:rsidR="00A4123D" w:rsidRPr="00E071BB" w:rsidRDefault="00A4123D" w:rsidP="00692F02">
      <w:pPr>
        <w:pStyle w:val="ListParagraph"/>
        <w:numPr>
          <w:ilvl w:val="0"/>
          <w:numId w:val="9"/>
        </w:numPr>
        <w:rPr>
          <w:rFonts w:ascii="Arial" w:hAnsi="Arial" w:cs="Arial"/>
        </w:rPr>
      </w:pPr>
      <w:r w:rsidRPr="00E071BB">
        <w:rPr>
          <w:rFonts w:ascii="Arial" w:hAnsi="Arial" w:cs="Arial"/>
        </w:rPr>
        <w:t>​Human Capital KPIs: Measure the monthly completion percentage of the workforce reskilling program against target timelines; track employee retention rates within newly formed digital divisions; monitor internal engagement scores.</w:t>
      </w:r>
    </w:p>
    <w:p w14:paraId="2987560D" w14:textId="77777777" w:rsidR="00A4123D" w:rsidRPr="00E071BB" w:rsidRDefault="00A4123D" w:rsidP="00692F02">
      <w:pPr>
        <w:pStyle w:val="ListParagraph"/>
        <w:numPr>
          <w:ilvl w:val="0"/>
          <w:numId w:val="9"/>
        </w:numPr>
        <w:rPr>
          <w:rFonts w:ascii="Arial" w:hAnsi="Arial" w:cs="Arial"/>
        </w:rPr>
      </w:pPr>
      <w:r w:rsidRPr="00E071BB">
        <w:rPr>
          <w:rFonts w:ascii="Arial" w:hAnsi="Arial" w:cs="Arial"/>
        </w:rPr>
        <w:t>​Strategic &amp; Financial KPIs: Measure the percentage of zero-emission vehicles within total production volumes to verify compliance with the UK ZEV mandate; audit manufacturing cost reductions achieved through AI predictive maintenance pipelines.</w:t>
      </w:r>
    </w:p>
    <w:p w14:paraId="2E664E97" w14:textId="77777777" w:rsidR="00D87EF0" w:rsidRPr="00E071BB" w:rsidRDefault="00A4123D" w:rsidP="00A4123D">
      <w:pPr>
        <w:rPr>
          <w:rFonts w:ascii="Arial" w:hAnsi="Arial" w:cs="Arial"/>
        </w:rPr>
      </w:pPr>
      <w:r w:rsidRPr="00E071BB">
        <w:rPr>
          <w:rFonts w:ascii="Arial" w:hAnsi="Arial" w:cs="Arial"/>
        </w:rPr>
        <w:t>​</w:t>
      </w:r>
    </w:p>
    <w:p w14:paraId="47FCE8FE" w14:textId="77E52FC3" w:rsidR="00A4123D" w:rsidRPr="00E071BB" w:rsidRDefault="00A4123D" w:rsidP="003877AF">
      <w:pPr>
        <w:pStyle w:val="Heading1"/>
      </w:pPr>
      <w:bookmarkStart w:id="8" w:name="_Toc234850201"/>
      <w:r w:rsidRPr="00E071BB">
        <w:rPr>
          <w:rStyle w:val="Heading2Char"/>
          <w:rFonts w:ascii="Arial" w:hAnsi="Arial" w:cs="Arial"/>
        </w:rPr>
        <w:t>Discussion and Critical Reflection</w:t>
      </w:r>
      <w:bookmarkEnd w:id="8"/>
    </w:p>
    <w:p w14:paraId="4C8341EC" w14:textId="77777777" w:rsidR="00A4123D" w:rsidRPr="00E071BB" w:rsidRDefault="00A4123D" w:rsidP="00A4123D">
      <w:pPr>
        <w:rPr>
          <w:rFonts w:ascii="Arial" w:hAnsi="Arial" w:cs="Arial"/>
        </w:rPr>
      </w:pPr>
      <w:r w:rsidRPr="00E071BB">
        <w:rPr>
          <w:rFonts w:ascii="Arial" w:hAnsi="Arial" w:cs="Arial"/>
        </w:rPr>
        <w:t>​</w:t>
      </w:r>
      <w:r w:rsidRPr="003877AF">
        <w:rPr>
          <w:rStyle w:val="Heading2Char"/>
        </w:rPr>
        <w:t>Evaluation of Plan Strengths and Limitations</w:t>
      </w:r>
    </w:p>
    <w:p w14:paraId="1D829593" w14:textId="72DD93B5" w:rsidR="00A4123D" w:rsidRPr="00E071BB" w:rsidRDefault="00A4123D" w:rsidP="00A4123D">
      <w:pPr>
        <w:rPr>
          <w:rFonts w:ascii="Arial" w:hAnsi="Arial" w:cs="Arial"/>
        </w:rPr>
      </w:pPr>
      <w:r w:rsidRPr="00E071BB">
        <w:rPr>
          <w:rFonts w:ascii="Arial" w:hAnsi="Arial" w:cs="Arial"/>
        </w:rPr>
        <w:t xml:space="preserve">​A core strength of Project Electra-AI is its balanced dual integration of macro leadership frameworks and micro behavioural adoption, successfully preventing top-down executive isolation. Furthermore, anchoring the plan around JLR's updated emphasis on propulsion </w:t>
      </w:r>
      <w:r w:rsidRPr="00E071BB">
        <w:rPr>
          <w:rFonts w:ascii="Arial" w:hAnsi="Arial" w:cs="Arial"/>
        </w:rPr>
        <w:lastRenderedPageBreak/>
        <w:t>flexibility ensures the company remains resilient against sudden market shifts</w:t>
      </w:r>
      <w:r w:rsidR="00E46874" w:rsidRPr="00E071BB">
        <w:rPr>
          <w:rFonts w:ascii="Arial" w:hAnsi="Arial" w:cs="Arial"/>
        </w:rPr>
        <w:t xml:space="preserve"> </w:t>
      </w:r>
      <w:r w:rsidR="00992B77" w:rsidRPr="00E071BB">
        <w:rPr>
          <w:rFonts w:ascii="Arial" w:hAnsi="Arial" w:cs="Arial"/>
        </w:rPr>
        <w:t>(</w:t>
      </w:r>
      <w:r w:rsidR="00E46874" w:rsidRPr="00E071BB">
        <w:rPr>
          <w:rFonts w:ascii="Arial" w:hAnsi="Arial" w:cs="Arial"/>
        </w:rPr>
        <w:t>Kamarova,</w:t>
      </w:r>
      <w:r w:rsidR="00E46874" w:rsidRPr="00E071BB">
        <w:rPr>
          <w:rFonts w:ascii="Arial" w:hAnsi="Arial" w:cs="Arial"/>
        </w:rPr>
        <w:t xml:space="preserve"> et al 2025</w:t>
      </w:r>
      <w:r w:rsidR="00992B77" w:rsidRPr="00E071BB">
        <w:rPr>
          <w:rFonts w:ascii="Arial" w:hAnsi="Arial" w:cs="Arial"/>
        </w:rPr>
        <w:t>)</w:t>
      </w:r>
      <w:r w:rsidRPr="00E071BB">
        <w:rPr>
          <w:rFonts w:ascii="Arial" w:hAnsi="Arial" w:cs="Arial"/>
        </w:rPr>
        <w:t>.</w:t>
      </w:r>
    </w:p>
    <w:p w14:paraId="614B663B" w14:textId="56DCBEE1" w:rsidR="00A4123D" w:rsidRPr="00E071BB" w:rsidRDefault="00A4123D" w:rsidP="00A4123D">
      <w:pPr>
        <w:rPr>
          <w:rFonts w:ascii="Arial" w:hAnsi="Arial" w:cs="Arial"/>
        </w:rPr>
      </w:pPr>
      <w:r w:rsidRPr="00E071BB">
        <w:rPr>
          <w:rFonts w:ascii="Arial" w:hAnsi="Arial" w:cs="Arial"/>
        </w:rPr>
        <w:t xml:space="preserve">​However, a notable limitation is the high capital intensity of the transition. The financial </w:t>
      </w:r>
      <w:r w:rsidR="00B37850" w:rsidRPr="00E071BB">
        <w:rPr>
          <w:rFonts w:ascii="Arial" w:hAnsi="Arial" w:cs="Arial"/>
        </w:rPr>
        <w:t>modelling</w:t>
      </w:r>
      <w:r w:rsidRPr="00E071BB">
        <w:rPr>
          <w:rFonts w:ascii="Arial" w:hAnsi="Arial" w:cs="Arial"/>
        </w:rPr>
        <w:t xml:space="preserve"> assumes that legacy ICE and hybrid lines will continuously generate stable, high-margin revenues to subsidi</w:t>
      </w:r>
      <w:r w:rsidR="003D212E" w:rsidRPr="00E071BB">
        <w:rPr>
          <w:rFonts w:ascii="Arial" w:hAnsi="Arial" w:cs="Arial"/>
        </w:rPr>
        <w:t>s</w:t>
      </w:r>
      <w:r w:rsidRPr="00E071BB">
        <w:rPr>
          <w:rFonts w:ascii="Arial" w:hAnsi="Arial" w:cs="Arial"/>
        </w:rPr>
        <w:t>e the £320 million technology spend. Additionally, transitioning from a structured Role Culture to a fluid Task Culture risks triggering internal status anxiety among senior mechanical engineers, potentially resulting in passive non-compliance</w:t>
      </w:r>
      <w:r w:rsidR="0024037B" w:rsidRPr="00E071BB">
        <w:rPr>
          <w:rFonts w:ascii="Arial" w:hAnsi="Arial" w:cs="Arial"/>
        </w:rPr>
        <w:t xml:space="preserve"> (</w:t>
      </w:r>
      <w:r w:rsidR="0024037B" w:rsidRPr="00E071BB">
        <w:rPr>
          <w:rFonts w:ascii="Arial" w:hAnsi="Arial" w:cs="Arial"/>
        </w:rPr>
        <w:t>Nguyen</w:t>
      </w:r>
      <w:r w:rsidR="0024037B" w:rsidRPr="00E071BB">
        <w:rPr>
          <w:rFonts w:ascii="Arial" w:hAnsi="Arial" w:cs="Arial"/>
        </w:rPr>
        <w:t>, et al 2025)</w:t>
      </w:r>
      <w:r w:rsidRPr="00E071BB">
        <w:rPr>
          <w:rFonts w:ascii="Arial" w:hAnsi="Arial" w:cs="Arial"/>
        </w:rPr>
        <w:t>.</w:t>
      </w:r>
    </w:p>
    <w:p w14:paraId="62DC50A9" w14:textId="77777777" w:rsidR="00D87EF0" w:rsidRPr="00E071BB" w:rsidRDefault="00A4123D" w:rsidP="00A4123D">
      <w:pPr>
        <w:rPr>
          <w:rFonts w:ascii="Arial" w:hAnsi="Arial" w:cs="Arial"/>
        </w:rPr>
      </w:pPr>
      <w:r w:rsidRPr="00E071BB">
        <w:rPr>
          <w:rFonts w:ascii="Arial" w:hAnsi="Arial" w:cs="Arial"/>
        </w:rPr>
        <w:t>​</w:t>
      </w:r>
    </w:p>
    <w:p w14:paraId="249DCB1D" w14:textId="25E1CF59" w:rsidR="00A4123D" w:rsidRPr="00E071BB" w:rsidRDefault="00A4123D" w:rsidP="003877AF">
      <w:pPr>
        <w:pStyle w:val="Heading2"/>
      </w:pPr>
      <w:bookmarkStart w:id="9" w:name="_Toc234850202"/>
      <w:r w:rsidRPr="00E071BB">
        <w:rPr>
          <w:rStyle w:val="Heading3Char"/>
          <w:rFonts w:ascii="Arial" w:hAnsi="Arial" w:cs="Arial"/>
        </w:rPr>
        <w:t>Ethical and Governance Considerations</w:t>
      </w:r>
      <w:bookmarkEnd w:id="9"/>
    </w:p>
    <w:p w14:paraId="2E95C390" w14:textId="70E584B7" w:rsidR="00A4123D" w:rsidRPr="00E071BB" w:rsidRDefault="00A4123D" w:rsidP="00A4123D">
      <w:pPr>
        <w:rPr>
          <w:rFonts w:ascii="Arial" w:hAnsi="Arial" w:cs="Arial"/>
        </w:rPr>
      </w:pPr>
      <w:r w:rsidRPr="00E071BB">
        <w:rPr>
          <w:rFonts w:ascii="Arial" w:hAnsi="Arial" w:cs="Arial"/>
        </w:rPr>
        <w:t xml:space="preserve">​From an ethical perspective, rapid automation risks widening the green skills gap and driving technological displacement. Guided by Freeman’s (1984) stakeholder framework, JLR </w:t>
      </w:r>
      <w:r w:rsidR="00797E64" w:rsidRPr="00E071BB">
        <w:rPr>
          <w:rFonts w:ascii="Arial" w:hAnsi="Arial" w:cs="Arial"/>
        </w:rPr>
        <w:t>fulfils</w:t>
      </w:r>
      <w:r w:rsidRPr="00E071BB">
        <w:rPr>
          <w:rFonts w:ascii="Arial" w:hAnsi="Arial" w:cs="Arial"/>
        </w:rPr>
        <w:t xml:space="preserve"> its ethical obligations through its formal "No Compulsory Redundancies" pact and a dedicated reskilling </w:t>
      </w:r>
      <w:r w:rsidR="00BE38A8" w:rsidRPr="00E071BB">
        <w:rPr>
          <w:rFonts w:ascii="Arial" w:hAnsi="Arial" w:cs="Arial"/>
        </w:rPr>
        <w:t>program</w:t>
      </w:r>
      <w:r w:rsidRPr="00E071BB">
        <w:rPr>
          <w:rFonts w:ascii="Arial" w:hAnsi="Arial" w:cs="Arial"/>
        </w:rPr>
        <w:t>, actively protecting livelihoods by turning vulnerable assembly roles into modern technical competencies</w:t>
      </w:r>
      <w:r w:rsidR="00BE38A8" w:rsidRPr="00E071BB">
        <w:rPr>
          <w:rFonts w:ascii="Arial" w:hAnsi="Arial" w:cs="Arial"/>
        </w:rPr>
        <w:t xml:space="preserve"> (Unison, 2025)</w:t>
      </w:r>
      <w:r w:rsidRPr="00E071BB">
        <w:rPr>
          <w:rFonts w:ascii="Arial" w:hAnsi="Arial" w:cs="Arial"/>
        </w:rPr>
        <w:t>.</w:t>
      </w:r>
    </w:p>
    <w:p w14:paraId="427C2801" w14:textId="1F6381A5" w:rsidR="00A4123D" w:rsidRPr="00E071BB" w:rsidRDefault="00A4123D" w:rsidP="00A4123D">
      <w:pPr>
        <w:rPr>
          <w:rFonts w:ascii="Arial" w:hAnsi="Arial" w:cs="Arial"/>
        </w:rPr>
      </w:pPr>
      <w:r w:rsidRPr="00E071BB">
        <w:rPr>
          <w:rFonts w:ascii="Arial" w:hAnsi="Arial" w:cs="Arial"/>
        </w:rPr>
        <w:t>​Regarding data governance, integrating AI networks into vehicle cabins requires strict compliance with global data privacy laws and rigorous cybersecurity controls to safeguard user metrics. Furthermore, JLR’s global sourcing must be governed by an enforceable Supplier Code of Conduct, ensuring raw battery materials are extracted without causing environmental degradation or human rights abuses</w:t>
      </w:r>
      <w:r w:rsidR="00140AAC" w:rsidRPr="00E071BB">
        <w:rPr>
          <w:rFonts w:ascii="Arial" w:hAnsi="Arial" w:cs="Arial"/>
        </w:rPr>
        <w:t xml:space="preserve"> </w:t>
      </w:r>
      <w:r w:rsidR="00214B5E" w:rsidRPr="00E071BB">
        <w:rPr>
          <w:rFonts w:ascii="Arial" w:hAnsi="Arial" w:cs="Arial"/>
        </w:rPr>
        <w:t>(</w:t>
      </w:r>
      <w:r w:rsidR="00140AAC" w:rsidRPr="00E071BB">
        <w:rPr>
          <w:rFonts w:ascii="Arial" w:hAnsi="Arial" w:cs="Arial"/>
        </w:rPr>
        <w:t>Batool</w:t>
      </w:r>
      <w:r w:rsidR="00214B5E" w:rsidRPr="00E071BB">
        <w:rPr>
          <w:rFonts w:ascii="Arial" w:hAnsi="Arial" w:cs="Arial"/>
        </w:rPr>
        <w:t>, et al., 2025)</w:t>
      </w:r>
      <w:r w:rsidRPr="00E071BB">
        <w:rPr>
          <w:rFonts w:ascii="Arial" w:hAnsi="Arial" w:cs="Arial"/>
        </w:rPr>
        <w:t>.</w:t>
      </w:r>
    </w:p>
    <w:p w14:paraId="30178D26" w14:textId="77777777" w:rsidR="00A4123D" w:rsidRPr="00E071BB" w:rsidRDefault="00A4123D" w:rsidP="00A4123D">
      <w:pPr>
        <w:rPr>
          <w:rFonts w:ascii="Arial" w:hAnsi="Arial" w:cs="Arial"/>
        </w:rPr>
      </w:pPr>
    </w:p>
    <w:p w14:paraId="128EBC08" w14:textId="77777777" w:rsidR="00A4123D" w:rsidRPr="00E071BB" w:rsidRDefault="00A4123D" w:rsidP="00A4123D">
      <w:pPr>
        <w:rPr>
          <w:rFonts w:ascii="Arial" w:hAnsi="Arial" w:cs="Arial"/>
        </w:rPr>
      </w:pPr>
      <w:r w:rsidRPr="00E071BB">
        <w:rPr>
          <w:rFonts w:ascii="Arial" w:hAnsi="Arial" w:cs="Arial"/>
        </w:rPr>
        <w:t>​</w:t>
      </w:r>
      <w:r w:rsidRPr="003877AF">
        <w:rPr>
          <w:rStyle w:val="Heading2Char"/>
        </w:rPr>
        <w:t>Sustainability and Circular Economy Principles</w:t>
      </w:r>
    </w:p>
    <w:p w14:paraId="35943200" w14:textId="76A3F4AF" w:rsidR="00A4123D" w:rsidRPr="00E071BB" w:rsidRDefault="00A4123D" w:rsidP="00A4123D">
      <w:pPr>
        <w:rPr>
          <w:rFonts w:ascii="Arial" w:hAnsi="Arial" w:cs="Arial"/>
        </w:rPr>
      </w:pPr>
      <w:r w:rsidRPr="00E071BB">
        <w:rPr>
          <w:rFonts w:ascii="Arial" w:hAnsi="Arial" w:cs="Arial"/>
        </w:rPr>
        <w:t>​Long-term strategic survival depends on embedding sustainability across the entire value chain, directly supporting JLR’s commitment to achieve net-zero carbon operations by 2039. Project Electra-AI operationali</w:t>
      </w:r>
      <w:r w:rsidR="001514DB" w:rsidRPr="00E071BB">
        <w:rPr>
          <w:rFonts w:ascii="Arial" w:hAnsi="Arial" w:cs="Arial"/>
        </w:rPr>
        <w:t>s</w:t>
      </w:r>
      <w:r w:rsidRPr="00E071BB">
        <w:rPr>
          <w:rFonts w:ascii="Arial" w:hAnsi="Arial" w:cs="Arial"/>
        </w:rPr>
        <w:t>es circular economy principles by incorporating sustainably sourced materials, premium recycled interior textiles, and closed-loop aluminium recycling directly into vehicle designs. By leveraging generative AI to conduct real-time supply chain auditing, JLR can accurately map and mitigate its Scope 3 emissions, ensuring its modern luxury brand promise is delivered through an ethically validated business model.</w:t>
      </w:r>
    </w:p>
    <w:p w14:paraId="4189D0E4" w14:textId="77777777" w:rsidR="005B0848" w:rsidRPr="00E071BB" w:rsidRDefault="005B0848" w:rsidP="00A4123D">
      <w:pPr>
        <w:rPr>
          <w:rFonts w:ascii="Arial" w:hAnsi="Arial" w:cs="Arial"/>
        </w:rPr>
      </w:pPr>
    </w:p>
    <w:p w14:paraId="114EF382" w14:textId="77777777" w:rsidR="00A4123D" w:rsidRPr="00E071BB" w:rsidRDefault="00A4123D" w:rsidP="00A4123D">
      <w:pPr>
        <w:rPr>
          <w:rFonts w:ascii="Arial" w:hAnsi="Arial" w:cs="Arial"/>
        </w:rPr>
      </w:pPr>
      <w:r w:rsidRPr="00E071BB">
        <w:rPr>
          <w:rFonts w:ascii="Arial" w:hAnsi="Arial" w:cs="Arial"/>
        </w:rPr>
        <w:t>​</w:t>
      </w:r>
      <w:r w:rsidRPr="003877AF">
        <w:rPr>
          <w:rStyle w:val="Heading2Char"/>
        </w:rPr>
        <w:t>Conclusion</w:t>
      </w:r>
    </w:p>
    <w:p w14:paraId="6B271F84" w14:textId="77A97831" w:rsidR="00A4123D" w:rsidRPr="00E071BB" w:rsidRDefault="00A4123D" w:rsidP="00A4123D">
      <w:pPr>
        <w:rPr>
          <w:rFonts w:ascii="Arial" w:hAnsi="Arial" w:cs="Arial"/>
        </w:rPr>
      </w:pPr>
      <w:r w:rsidRPr="00E071BB">
        <w:rPr>
          <w:rFonts w:ascii="Arial" w:hAnsi="Arial" w:cs="Arial"/>
        </w:rPr>
        <w:t>​This strategic report has presented an evidence-based change management plan designed to navigate Jaguar Land Rover through a transformative period of automation, digitalisation, and electrification. External environmental analysis underscores the intense regulatory pressures facing the business, while internal diagnostics indicate that JLR must rapidly modernize its legacy software architectures to defend its market position.</w:t>
      </w:r>
    </w:p>
    <w:p w14:paraId="75CA8BEE" w14:textId="11401FED" w:rsidR="00A4123D" w:rsidRPr="00E071BB" w:rsidRDefault="00A4123D" w:rsidP="00A4123D">
      <w:pPr>
        <w:rPr>
          <w:rFonts w:ascii="Arial" w:hAnsi="Arial" w:cs="Arial"/>
        </w:rPr>
      </w:pPr>
      <w:r w:rsidRPr="00E071BB">
        <w:rPr>
          <w:rFonts w:ascii="Arial" w:hAnsi="Arial" w:cs="Arial"/>
        </w:rPr>
        <w:t>​By evaluating established theories, this report developed a Hybrid Strategic Change Model that links Kotter's macro-level leadership momentum with the micro-level individual adoption milestones of ADKAR, while remaining attentive to Pettigrew's political dynamics. This architecture structures Project Electra-AI (2026–2029), outlining a clear implementation roadmap supported by precise financial metrics, proactive stakeholder mapping, and robust risk mitigations.</w:t>
      </w:r>
    </w:p>
    <w:p w14:paraId="76672D2F" w14:textId="77777777" w:rsidR="00A4123D" w:rsidRPr="00E071BB" w:rsidRDefault="00A4123D" w:rsidP="00A4123D">
      <w:pPr>
        <w:rPr>
          <w:rFonts w:ascii="Arial" w:hAnsi="Arial" w:cs="Arial"/>
        </w:rPr>
      </w:pPr>
      <w:r w:rsidRPr="00E071BB">
        <w:rPr>
          <w:rFonts w:ascii="Arial" w:hAnsi="Arial" w:cs="Arial"/>
        </w:rPr>
        <w:lastRenderedPageBreak/>
        <w:t>​Strategic success will ultimately depend on execution discipline rather than strategic intent. By successfully balancing capital expenditure with workforce reskilling and ethical supply chain governance, JLR can protect its operational legitimacy. Executing this change plan allows the company to transition its iconic British heritage into a highly resilient, adaptive, and sustainable modern luxury ecosystem.</w:t>
      </w:r>
    </w:p>
    <w:p w14:paraId="0E7C21D3" w14:textId="77777777" w:rsidR="005B0848" w:rsidRPr="00E071BB" w:rsidRDefault="005B0848" w:rsidP="00A4123D">
      <w:pPr>
        <w:rPr>
          <w:rFonts w:ascii="Arial" w:hAnsi="Arial" w:cs="Arial"/>
        </w:rPr>
      </w:pPr>
    </w:p>
    <w:p w14:paraId="462F84E8" w14:textId="77777777" w:rsidR="002B4A43" w:rsidRPr="00E071BB" w:rsidRDefault="002B4A43" w:rsidP="00A4123D">
      <w:pPr>
        <w:rPr>
          <w:rFonts w:ascii="Arial" w:hAnsi="Arial" w:cs="Arial"/>
        </w:rPr>
      </w:pPr>
    </w:p>
    <w:p w14:paraId="06326A53" w14:textId="77777777" w:rsidR="001514DB" w:rsidRPr="00E071BB" w:rsidRDefault="001514DB" w:rsidP="00A4123D">
      <w:pPr>
        <w:rPr>
          <w:rFonts w:ascii="Arial" w:hAnsi="Arial" w:cs="Arial"/>
        </w:rPr>
      </w:pPr>
    </w:p>
    <w:p w14:paraId="5C74EA75" w14:textId="77777777" w:rsidR="001514DB" w:rsidRPr="00E071BB" w:rsidRDefault="001514DB" w:rsidP="00A4123D">
      <w:pPr>
        <w:rPr>
          <w:rFonts w:ascii="Arial" w:hAnsi="Arial" w:cs="Arial"/>
        </w:rPr>
      </w:pPr>
    </w:p>
    <w:p w14:paraId="78F21678" w14:textId="77777777" w:rsidR="001514DB" w:rsidRPr="00E071BB" w:rsidRDefault="001514DB" w:rsidP="00A4123D">
      <w:pPr>
        <w:rPr>
          <w:rFonts w:ascii="Arial" w:hAnsi="Arial" w:cs="Arial"/>
        </w:rPr>
      </w:pPr>
    </w:p>
    <w:p w14:paraId="29927256" w14:textId="77777777" w:rsidR="001514DB" w:rsidRPr="00E071BB" w:rsidRDefault="001514DB" w:rsidP="00A4123D">
      <w:pPr>
        <w:rPr>
          <w:rFonts w:ascii="Arial" w:hAnsi="Arial" w:cs="Arial"/>
        </w:rPr>
      </w:pPr>
    </w:p>
    <w:p w14:paraId="14E52A95" w14:textId="77777777" w:rsidR="001514DB" w:rsidRPr="00E071BB" w:rsidRDefault="001514DB" w:rsidP="00A4123D">
      <w:pPr>
        <w:rPr>
          <w:rFonts w:ascii="Arial" w:hAnsi="Arial" w:cs="Arial"/>
        </w:rPr>
      </w:pPr>
    </w:p>
    <w:p w14:paraId="4FAFCDC3" w14:textId="77777777" w:rsidR="001514DB" w:rsidRDefault="001514DB" w:rsidP="00A4123D">
      <w:pPr>
        <w:rPr>
          <w:rFonts w:ascii="Arial" w:hAnsi="Arial" w:cs="Arial"/>
        </w:rPr>
      </w:pPr>
    </w:p>
    <w:p w14:paraId="0B1D17B7" w14:textId="77777777" w:rsidR="003877AF" w:rsidRDefault="003877AF" w:rsidP="00A4123D">
      <w:pPr>
        <w:rPr>
          <w:rFonts w:ascii="Arial" w:hAnsi="Arial" w:cs="Arial"/>
        </w:rPr>
      </w:pPr>
    </w:p>
    <w:p w14:paraId="4AB7F499" w14:textId="77777777" w:rsidR="003877AF" w:rsidRDefault="003877AF" w:rsidP="00A4123D">
      <w:pPr>
        <w:rPr>
          <w:rFonts w:ascii="Arial" w:hAnsi="Arial" w:cs="Arial"/>
        </w:rPr>
      </w:pPr>
    </w:p>
    <w:p w14:paraId="49EFF226" w14:textId="77777777" w:rsidR="003877AF" w:rsidRDefault="003877AF" w:rsidP="00A4123D">
      <w:pPr>
        <w:rPr>
          <w:rFonts w:ascii="Arial" w:hAnsi="Arial" w:cs="Arial"/>
        </w:rPr>
      </w:pPr>
    </w:p>
    <w:p w14:paraId="7DE1D8A6" w14:textId="77777777" w:rsidR="003877AF" w:rsidRDefault="003877AF" w:rsidP="00A4123D">
      <w:pPr>
        <w:rPr>
          <w:rFonts w:ascii="Arial" w:hAnsi="Arial" w:cs="Arial"/>
        </w:rPr>
      </w:pPr>
    </w:p>
    <w:p w14:paraId="3F729D7C" w14:textId="77777777" w:rsidR="003877AF" w:rsidRDefault="003877AF" w:rsidP="00A4123D">
      <w:pPr>
        <w:rPr>
          <w:rFonts w:ascii="Arial" w:hAnsi="Arial" w:cs="Arial"/>
        </w:rPr>
      </w:pPr>
    </w:p>
    <w:p w14:paraId="23B0CBC7" w14:textId="77777777" w:rsidR="003877AF" w:rsidRDefault="003877AF" w:rsidP="00A4123D">
      <w:pPr>
        <w:rPr>
          <w:rFonts w:ascii="Arial" w:hAnsi="Arial" w:cs="Arial"/>
        </w:rPr>
      </w:pPr>
    </w:p>
    <w:p w14:paraId="196B2227" w14:textId="77777777" w:rsidR="003877AF" w:rsidRDefault="003877AF" w:rsidP="00A4123D">
      <w:pPr>
        <w:rPr>
          <w:rFonts w:ascii="Arial" w:hAnsi="Arial" w:cs="Arial"/>
        </w:rPr>
      </w:pPr>
    </w:p>
    <w:p w14:paraId="2CE17B5F" w14:textId="77777777" w:rsidR="003877AF" w:rsidRDefault="003877AF" w:rsidP="00A4123D">
      <w:pPr>
        <w:rPr>
          <w:rFonts w:ascii="Arial" w:hAnsi="Arial" w:cs="Arial"/>
        </w:rPr>
      </w:pPr>
    </w:p>
    <w:p w14:paraId="0C1A4DFB" w14:textId="77777777" w:rsidR="003877AF" w:rsidRDefault="003877AF" w:rsidP="00A4123D">
      <w:pPr>
        <w:rPr>
          <w:rFonts w:ascii="Arial" w:hAnsi="Arial" w:cs="Arial"/>
        </w:rPr>
      </w:pPr>
    </w:p>
    <w:p w14:paraId="447CF8FB" w14:textId="77777777" w:rsidR="003877AF" w:rsidRDefault="003877AF" w:rsidP="00A4123D">
      <w:pPr>
        <w:rPr>
          <w:rFonts w:ascii="Arial" w:hAnsi="Arial" w:cs="Arial"/>
        </w:rPr>
      </w:pPr>
    </w:p>
    <w:p w14:paraId="101037A2" w14:textId="77777777" w:rsidR="003877AF" w:rsidRDefault="003877AF" w:rsidP="00A4123D">
      <w:pPr>
        <w:rPr>
          <w:rFonts w:ascii="Arial" w:hAnsi="Arial" w:cs="Arial"/>
        </w:rPr>
      </w:pPr>
    </w:p>
    <w:p w14:paraId="652C61AC" w14:textId="77777777" w:rsidR="003877AF" w:rsidRDefault="003877AF" w:rsidP="00A4123D">
      <w:pPr>
        <w:rPr>
          <w:rFonts w:ascii="Arial" w:hAnsi="Arial" w:cs="Arial"/>
        </w:rPr>
      </w:pPr>
    </w:p>
    <w:p w14:paraId="5782603D" w14:textId="77777777" w:rsidR="003877AF" w:rsidRDefault="003877AF" w:rsidP="00A4123D">
      <w:pPr>
        <w:rPr>
          <w:rFonts w:ascii="Arial" w:hAnsi="Arial" w:cs="Arial"/>
        </w:rPr>
      </w:pPr>
    </w:p>
    <w:p w14:paraId="71806648" w14:textId="77777777" w:rsidR="003877AF" w:rsidRDefault="003877AF" w:rsidP="00A4123D">
      <w:pPr>
        <w:rPr>
          <w:rFonts w:ascii="Arial" w:hAnsi="Arial" w:cs="Arial"/>
        </w:rPr>
      </w:pPr>
    </w:p>
    <w:p w14:paraId="79FFF35D" w14:textId="77777777" w:rsidR="003877AF" w:rsidRDefault="003877AF" w:rsidP="00A4123D">
      <w:pPr>
        <w:rPr>
          <w:rFonts w:ascii="Arial" w:hAnsi="Arial" w:cs="Arial"/>
        </w:rPr>
      </w:pPr>
    </w:p>
    <w:p w14:paraId="4539FD40" w14:textId="77777777" w:rsidR="003877AF" w:rsidRDefault="003877AF" w:rsidP="00A4123D">
      <w:pPr>
        <w:rPr>
          <w:rFonts w:ascii="Arial" w:hAnsi="Arial" w:cs="Arial"/>
        </w:rPr>
      </w:pPr>
    </w:p>
    <w:p w14:paraId="58B626F0" w14:textId="77777777" w:rsidR="003877AF" w:rsidRDefault="003877AF" w:rsidP="00A4123D">
      <w:pPr>
        <w:rPr>
          <w:rFonts w:ascii="Arial" w:hAnsi="Arial" w:cs="Arial"/>
        </w:rPr>
      </w:pPr>
    </w:p>
    <w:p w14:paraId="18CE2376" w14:textId="77777777" w:rsidR="003877AF" w:rsidRDefault="003877AF" w:rsidP="00A4123D">
      <w:pPr>
        <w:rPr>
          <w:rFonts w:ascii="Arial" w:hAnsi="Arial" w:cs="Arial"/>
        </w:rPr>
      </w:pPr>
    </w:p>
    <w:p w14:paraId="3EE8C52B" w14:textId="77777777" w:rsidR="003877AF" w:rsidRDefault="003877AF" w:rsidP="00A4123D">
      <w:pPr>
        <w:rPr>
          <w:rFonts w:ascii="Arial" w:hAnsi="Arial" w:cs="Arial"/>
        </w:rPr>
      </w:pPr>
    </w:p>
    <w:p w14:paraId="42B2488B" w14:textId="77777777" w:rsidR="003877AF" w:rsidRDefault="003877AF" w:rsidP="00A4123D">
      <w:pPr>
        <w:rPr>
          <w:rFonts w:ascii="Arial" w:hAnsi="Arial" w:cs="Arial"/>
        </w:rPr>
      </w:pPr>
    </w:p>
    <w:p w14:paraId="4C551838" w14:textId="77777777" w:rsidR="003877AF" w:rsidRPr="00E071BB" w:rsidRDefault="003877AF" w:rsidP="00A4123D">
      <w:pPr>
        <w:rPr>
          <w:rFonts w:ascii="Arial" w:hAnsi="Arial" w:cs="Arial"/>
        </w:rPr>
      </w:pPr>
    </w:p>
    <w:p w14:paraId="1D5FF608" w14:textId="4C1B1633" w:rsidR="00A4123D" w:rsidRPr="00E071BB" w:rsidRDefault="00A4123D" w:rsidP="003877AF">
      <w:pPr>
        <w:pStyle w:val="Heading1"/>
      </w:pPr>
      <w:bookmarkStart w:id="10" w:name="_Toc234850203"/>
      <w:r w:rsidRPr="00E071BB">
        <w:rPr>
          <w:rStyle w:val="Heading2Char"/>
          <w:rFonts w:ascii="Arial" w:hAnsi="Arial" w:cs="Arial"/>
        </w:rPr>
        <w:lastRenderedPageBreak/>
        <w:t>Reference List</w:t>
      </w:r>
      <w:bookmarkEnd w:id="10"/>
    </w:p>
    <w:p w14:paraId="553B6E4B" w14:textId="77777777" w:rsidR="004C62A3" w:rsidRPr="00E071BB" w:rsidRDefault="004C62A3" w:rsidP="00A4123D">
      <w:pPr>
        <w:rPr>
          <w:rFonts w:ascii="Arial" w:hAnsi="Arial" w:cs="Arial"/>
        </w:rPr>
      </w:pPr>
      <w:r w:rsidRPr="00E071BB">
        <w:rPr>
          <w:rFonts w:ascii="Arial" w:hAnsi="Arial" w:cs="Arial"/>
        </w:rPr>
        <w:t>​Barney, J. (1991) 'Firm resources and sustained competitive advantage', Journal of Management, 17(1), pp. 99–120.</w:t>
      </w:r>
    </w:p>
    <w:p w14:paraId="64030EF5" w14:textId="77777777" w:rsidR="004C62A3" w:rsidRPr="00E071BB" w:rsidRDefault="004C62A3" w:rsidP="00A4123D">
      <w:pPr>
        <w:rPr>
          <w:rFonts w:ascii="Arial" w:hAnsi="Arial" w:cs="Arial"/>
        </w:rPr>
      </w:pPr>
      <w:r w:rsidRPr="00E071BB">
        <w:rPr>
          <w:rFonts w:ascii="Arial" w:hAnsi="Arial" w:cs="Arial"/>
        </w:rPr>
        <w:t>​Bass, B.M. and Avolio, B.J. (1994) Improving Organizational Effectiveness Through Transformational Leadership. Thousand Oaks, CA: Sage Publications.</w:t>
      </w:r>
    </w:p>
    <w:p w14:paraId="6461B36E" w14:textId="77777777" w:rsidR="004C62A3" w:rsidRPr="00E071BB" w:rsidRDefault="004C62A3" w:rsidP="00A4123D">
      <w:pPr>
        <w:rPr>
          <w:rFonts w:ascii="Arial" w:hAnsi="Arial" w:cs="Arial"/>
        </w:rPr>
      </w:pPr>
      <w:r w:rsidRPr="00E071BB">
        <w:rPr>
          <w:rFonts w:ascii="Arial" w:hAnsi="Arial" w:cs="Arial"/>
        </w:rPr>
        <w:t>​Burnes, B., 2004. Managing change: A strategic approach to organisational dynamics. Pearson Education.</w:t>
      </w:r>
    </w:p>
    <w:p w14:paraId="132D686B" w14:textId="77777777" w:rsidR="004C62A3" w:rsidRPr="00E071BB" w:rsidRDefault="004C62A3" w:rsidP="00A4123D">
      <w:pPr>
        <w:rPr>
          <w:rFonts w:ascii="Arial" w:hAnsi="Arial" w:cs="Arial"/>
        </w:rPr>
      </w:pPr>
      <w:r w:rsidRPr="00E071BB">
        <w:rPr>
          <w:rFonts w:ascii="Arial" w:hAnsi="Arial" w:cs="Arial"/>
        </w:rPr>
        <w:t>​BusinessGreen. (2026) How JLR is building a workforce to electrify its brands by 2030. Available at: https://www.businessgreen.com/feature/4529313/jlr-building-workforce-electrify-brands-2030 (Accessed: 29 June 2026).</w:t>
      </w:r>
    </w:p>
    <w:p w14:paraId="500B8219" w14:textId="77777777" w:rsidR="004C62A3" w:rsidRPr="00E071BB" w:rsidRDefault="004C62A3" w:rsidP="00A4123D">
      <w:pPr>
        <w:rPr>
          <w:rFonts w:ascii="Arial" w:hAnsi="Arial" w:cs="Arial"/>
        </w:rPr>
      </w:pPr>
      <w:r w:rsidRPr="00E071BB">
        <w:rPr>
          <w:rFonts w:ascii="Arial" w:hAnsi="Arial" w:cs="Arial"/>
        </w:rPr>
        <w:t>​Doran, G.T. (1981) 'There's a S.M.A.R.T. way to write management's goals and objectives', Management Review, 70(11), pp. 35–36.</w:t>
      </w:r>
    </w:p>
    <w:p w14:paraId="648ADFE2" w14:textId="77777777" w:rsidR="004C62A3" w:rsidRPr="00E071BB" w:rsidRDefault="004C62A3" w:rsidP="00A4123D">
      <w:pPr>
        <w:rPr>
          <w:rFonts w:ascii="Arial" w:hAnsi="Arial" w:cs="Arial"/>
        </w:rPr>
      </w:pPr>
      <w:r w:rsidRPr="00E071BB">
        <w:rPr>
          <w:rFonts w:ascii="Arial" w:hAnsi="Arial" w:cs="Arial"/>
        </w:rPr>
        <w:t>​Freeman, R.E. (1984) Strategic Management: A Stakeholder Approach. Boston: Pitman.</w:t>
      </w:r>
    </w:p>
    <w:p w14:paraId="3EBBC309" w14:textId="77777777" w:rsidR="004C62A3" w:rsidRPr="00E071BB" w:rsidRDefault="004C62A3" w:rsidP="00A4123D">
      <w:pPr>
        <w:rPr>
          <w:rFonts w:ascii="Arial" w:hAnsi="Arial" w:cs="Arial"/>
        </w:rPr>
      </w:pPr>
      <w:r w:rsidRPr="00E071BB">
        <w:rPr>
          <w:rFonts w:ascii="Arial" w:hAnsi="Arial" w:cs="Arial"/>
        </w:rPr>
        <w:t>​Friedman, M. (1970) 'The social responsibility of business is to increase its profits', The New York Times Magazine, 13 September, pp. 32–33.</w:t>
      </w:r>
    </w:p>
    <w:p w14:paraId="4435F341" w14:textId="77777777" w:rsidR="004C62A3" w:rsidRPr="00E071BB" w:rsidRDefault="004C62A3" w:rsidP="00A4123D">
      <w:pPr>
        <w:rPr>
          <w:rFonts w:ascii="Arial" w:hAnsi="Arial" w:cs="Arial"/>
        </w:rPr>
      </w:pPr>
      <w:r w:rsidRPr="00E071BB">
        <w:rPr>
          <w:rFonts w:ascii="Arial" w:hAnsi="Arial" w:cs="Arial"/>
        </w:rPr>
        <w:t>​Gao, Y., Zhang, T. and Wallace, S. (2025) 'The CASE paradigm shift: Evaluating digital agility and AI adoption in legacy automotive ecosystems', International Journal of Production Economics, 271, p. 109122.</w:t>
      </w:r>
    </w:p>
    <w:p w14:paraId="64C1ED49" w14:textId="77777777" w:rsidR="004C62A3" w:rsidRPr="00E071BB" w:rsidRDefault="004C62A3" w:rsidP="00A4123D">
      <w:pPr>
        <w:rPr>
          <w:rFonts w:ascii="Arial" w:hAnsi="Arial" w:cs="Arial"/>
        </w:rPr>
      </w:pPr>
      <w:r w:rsidRPr="00E071BB">
        <w:rPr>
          <w:rFonts w:ascii="Arial" w:hAnsi="Arial" w:cs="Arial"/>
        </w:rPr>
        <w:t>​GOV.UK. (2024) The Zero Emission Vehicle (ZEV) mandate: Transitioning the UK automotive sector to 2035. Available at: https://www.gov.uk/government/publications/zev-mandate-guidance (Accessed: 29 June 2026).</w:t>
      </w:r>
    </w:p>
    <w:p w14:paraId="7EB90034" w14:textId="77777777" w:rsidR="004C62A3" w:rsidRPr="00E071BB" w:rsidRDefault="004C62A3" w:rsidP="00A4123D">
      <w:pPr>
        <w:rPr>
          <w:rFonts w:ascii="Arial" w:hAnsi="Arial" w:cs="Arial"/>
        </w:rPr>
      </w:pPr>
      <w:r w:rsidRPr="00E071BB">
        <w:rPr>
          <w:rFonts w:ascii="Arial" w:hAnsi="Arial" w:cs="Arial"/>
        </w:rPr>
        <w:t>​Handy, C. (1993) Understanding Organizations. 4th edn. London: Penguin Books.</w:t>
      </w:r>
    </w:p>
    <w:p w14:paraId="1A49C04E" w14:textId="77777777" w:rsidR="004C62A3" w:rsidRPr="00E071BB" w:rsidRDefault="004C62A3" w:rsidP="00A4123D">
      <w:pPr>
        <w:rPr>
          <w:rFonts w:ascii="Arial" w:hAnsi="Arial" w:cs="Arial"/>
        </w:rPr>
      </w:pPr>
      <w:r w:rsidRPr="00E071BB">
        <w:rPr>
          <w:rFonts w:ascii="Arial" w:hAnsi="Arial" w:cs="Arial"/>
        </w:rPr>
        <w:t xml:space="preserve">​Hersey, P. and Blanchard, K.H. (1982) Management of Organizational </w:t>
      </w:r>
      <w:r w:rsidRPr="00E071BB">
        <w:rPr>
          <w:rFonts w:ascii="Arial" w:hAnsi="Arial" w:cs="Arial"/>
        </w:rPr>
        <w:t>Behaviour</w:t>
      </w:r>
      <w:r w:rsidRPr="00E071BB">
        <w:rPr>
          <w:rFonts w:ascii="Arial" w:hAnsi="Arial" w:cs="Arial"/>
        </w:rPr>
        <w:t>: Utilizing Human Resources. 4th edn. Englewood Cliffs, NJ: Prentice-Hall.</w:t>
      </w:r>
    </w:p>
    <w:p w14:paraId="1A633C17" w14:textId="77777777" w:rsidR="004C62A3" w:rsidRPr="00E071BB" w:rsidRDefault="004C62A3" w:rsidP="00A4123D">
      <w:pPr>
        <w:rPr>
          <w:rFonts w:ascii="Arial" w:hAnsi="Arial" w:cs="Arial"/>
        </w:rPr>
      </w:pPr>
      <w:r w:rsidRPr="00E071BB">
        <w:rPr>
          <w:rFonts w:ascii="Arial" w:hAnsi="Arial" w:cs="Arial"/>
        </w:rPr>
        <w:t xml:space="preserve">​Hiatt, J.M. (2006) ADKAR: A Model for Change in Business, Government and our Communities. Loveland, CO: Prosci Learning </w:t>
      </w:r>
      <w:r w:rsidRPr="00E071BB">
        <w:rPr>
          <w:rFonts w:ascii="Arial" w:hAnsi="Arial" w:cs="Arial"/>
        </w:rPr>
        <w:t>Centre</w:t>
      </w:r>
      <w:r w:rsidRPr="00E071BB">
        <w:rPr>
          <w:rFonts w:ascii="Arial" w:hAnsi="Arial" w:cs="Arial"/>
        </w:rPr>
        <w:t>.</w:t>
      </w:r>
    </w:p>
    <w:p w14:paraId="6C050A55" w14:textId="77777777" w:rsidR="004C62A3" w:rsidRPr="00E071BB" w:rsidRDefault="004C62A3" w:rsidP="00A4123D">
      <w:pPr>
        <w:rPr>
          <w:rFonts w:ascii="Arial" w:hAnsi="Arial" w:cs="Arial"/>
        </w:rPr>
      </w:pPr>
      <w:r w:rsidRPr="00E071BB">
        <w:rPr>
          <w:rFonts w:ascii="Arial" w:hAnsi="Arial" w:cs="Arial"/>
        </w:rPr>
        <w:t>​Hofstede, G. (2011) 'Dimensionalizing cultures: The Hofstede model in context', Online Readings in Psychology and Culture, 2(1), pp. 1–26.</w:t>
      </w:r>
    </w:p>
    <w:p w14:paraId="186A3FC4" w14:textId="77777777" w:rsidR="004C62A3" w:rsidRPr="00E071BB" w:rsidRDefault="004C62A3" w:rsidP="00A4123D">
      <w:pPr>
        <w:rPr>
          <w:rFonts w:ascii="Arial" w:hAnsi="Arial" w:cs="Arial"/>
        </w:rPr>
      </w:pPr>
      <w:r w:rsidRPr="00E071BB">
        <w:rPr>
          <w:rFonts w:ascii="Arial" w:hAnsi="Arial" w:cs="Arial"/>
        </w:rPr>
        <w:t>​JLR. (2023) Annual Report 2023: Reimagining Modern Luxury. Coventry: Jaguar Land Rover Automotive PLC.</w:t>
      </w:r>
    </w:p>
    <w:p w14:paraId="3F1CF06F" w14:textId="77777777" w:rsidR="004C62A3" w:rsidRPr="00E071BB" w:rsidRDefault="004C62A3" w:rsidP="00A4123D">
      <w:pPr>
        <w:rPr>
          <w:rFonts w:ascii="Arial" w:hAnsi="Arial" w:cs="Arial"/>
        </w:rPr>
      </w:pPr>
      <w:r w:rsidRPr="00E071BB">
        <w:rPr>
          <w:rFonts w:ascii="Arial" w:hAnsi="Arial" w:cs="Arial"/>
        </w:rPr>
        <w:t>​JLR. (2025) Annual Report 2025 | JLR Corporate Website. Available at: https://www.jlr.com/annual-report-2025 (Accessed: 29 June 2026).</w:t>
      </w:r>
    </w:p>
    <w:p w14:paraId="5440AEEF" w14:textId="77777777" w:rsidR="004C62A3" w:rsidRPr="00E071BB" w:rsidRDefault="004C62A3" w:rsidP="00A4123D">
      <w:pPr>
        <w:rPr>
          <w:rFonts w:ascii="Arial" w:hAnsi="Arial" w:cs="Arial"/>
        </w:rPr>
      </w:pPr>
      <w:r w:rsidRPr="00E071BB">
        <w:rPr>
          <w:rFonts w:ascii="Arial" w:hAnsi="Arial" w:cs="Arial"/>
        </w:rPr>
        <w:t>​JLR. (2026) JLR sets out path to double digit revenue growth through greater propulsion flexibility and increased focus on North America. Gaydon: JLR Media.</w:t>
      </w:r>
    </w:p>
    <w:p w14:paraId="5083F425" w14:textId="77777777" w:rsidR="004C62A3" w:rsidRPr="00E071BB" w:rsidRDefault="004C62A3" w:rsidP="00A4123D">
      <w:pPr>
        <w:rPr>
          <w:rFonts w:ascii="Arial" w:hAnsi="Arial" w:cs="Arial"/>
        </w:rPr>
      </w:pPr>
      <w:r w:rsidRPr="00E071BB">
        <w:rPr>
          <w:rFonts w:ascii="Arial" w:hAnsi="Arial" w:cs="Arial"/>
        </w:rPr>
        <w:t>​Katz, R.L. (1955) 'Skills of an effective administrator', Harvard Business Review, 33(1), pp. 33–42.</w:t>
      </w:r>
    </w:p>
    <w:p w14:paraId="713A09CD" w14:textId="77777777" w:rsidR="004C62A3" w:rsidRPr="00E071BB" w:rsidRDefault="004C62A3" w:rsidP="00A4123D">
      <w:pPr>
        <w:rPr>
          <w:rFonts w:ascii="Arial" w:hAnsi="Arial" w:cs="Arial"/>
        </w:rPr>
      </w:pPr>
      <w:r w:rsidRPr="00E071BB">
        <w:rPr>
          <w:rFonts w:ascii="Arial" w:hAnsi="Arial" w:cs="Arial"/>
        </w:rPr>
        <w:t>​Kotter, J.P. (1996) Leading Change. Boston, MA: Harvard Business School Press.</w:t>
      </w:r>
    </w:p>
    <w:p w14:paraId="5A96FFEC" w14:textId="77777777" w:rsidR="004C62A3" w:rsidRPr="00E071BB" w:rsidRDefault="004C62A3" w:rsidP="00A4123D">
      <w:pPr>
        <w:rPr>
          <w:rFonts w:ascii="Arial" w:hAnsi="Arial" w:cs="Arial"/>
        </w:rPr>
      </w:pPr>
      <w:r w:rsidRPr="00E071BB">
        <w:rPr>
          <w:rFonts w:ascii="Arial" w:hAnsi="Arial" w:cs="Arial"/>
        </w:rPr>
        <w:t>​Lewin, K. (1951) Field Theory in Social Science. New York: Harper &amp; Row.</w:t>
      </w:r>
    </w:p>
    <w:p w14:paraId="6DE4E3B6" w14:textId="77777777" w:rsidR="004C62A3" w:rsidRPr="00E071BB" w:rsidRDefault="004C62A3" w:rsidP="00A4123D">
      <w:pPr>
        <w:rPr>
          <w:rFonts w:ascii="Arial" w:hAnsi="Arial" w:cs="Arial"/>
        </w:rPr>
      </w:pPr>
      <w:r w:rsidRPr="00E071BB">
        <w:rPr>
          <w:rFonts w:ascii="Arial" w:hAnsi="Arial" w:cs="Arial"/>
        </w:rPr>
        <w:t>​Lock, D. (2003) Project Management. 8th edn. Aldershot: Gower.</w:t>
      </w:r>
    </w:p>
    <w:p w14:paraId="0100BB4D" w14:textId="77777777" w:rsidR="004C62A3" w:rsidRPr="00E071BB" w:rsidRDefault="004C62A3" w:rsidP="00A4123D">
      <w:pPr>
        <w:rPr>
          <w:rFonts w:ascii="Arial" w:hAnsi="Arial" w:cs="Arial"/>
        </w:rPr>
      </w:pPr>
      <w:r w:rsidRPr="00E071BB">
        <w:rPr>
          <w:rFonts w:ascii="Arial" w:hAnsi="Arial" w:cs="Arial"/>
        </w:rPr>
        <w:lastRenderedPageBreak/>
        <w:t>​Mintzberg, H. (1994) 'The rise and fall of strategic planning', Harvard Business Review, 72(1), pp. 107–114.</w:t>
      </w:r>
    </w:p>
    <w:p w14:paraId="141E27F5" w14:textId="77777777" w:rsidR="004C62A3" w:rsidRPr="00E071BB" w:rsidRDefault="004C62A3" w:rsidP="00A4123D">
      <w:pPr>
        <w:rPr>
          <w:rFonts w:ascii="Arial" w:hAnsi="Arial" w:cs="Arial"/>
        </w:rPr>
      </w:pPr>
      <w:r w:rsidRPr="00E071BB">
        <w:rPr>
          <w:rFonts w:ascii="Arial" w:hAnsi="Arial" w:cs="Arial"/>
        </w:rPr>
        <w:t>​Müller, J. (2023) 'Digital disruption and the automotive value chain: A critical review of electric vehicle transitions', International Journal of Automotive Technology and Management, 23(2), pp. 145–168.</w:t>
      </w:r>
    </w:p>
    <w:p w14:paraId="63EF9135" w14:textId="77777777" w:rsidR="004C62A3" w:rsidRPr="00E071BB" w:rsidRDefault="004C62A3" w:rsidP="00A4123D">
      <w:pPr>
        <w:rPr>
          <w:rFonts w:ascii="Arial" w:hAnsi="Arial" w:cs="Arial"/>
        </w:rPr>
      </w:pPr>
      <w:r w:rsidRPr="00E071BB">
        <w:rPr>
          <w:rFonts w:ascii="Arial" w:hAnsi="Arial" w:cs="Arial"/>
        </w:rPr>
        <w:t>​Mumford, E. (1997) 'The participative approach: From dynamic past to agile future', Systems Practice, 10(3), pp. 307–321.</w:t>
      </w:r>
    </w:p>
    <w:p w14:paraId="78A2943A" w14:textId="77777777" w:rsidR="004C62A3" w:rsidRPr="00E071BB" w:rsidRDefault="004C62A3" w:rsidP="00A4123D">
      <w:pPr>
        <w:rPr>
          <w:rFonts w:ascii="Arial" w:hAnsi="Arial" w:cs="Arial"/>
        </w:rPr>
      </w:pPr>
      <w:r w:rsidRPr="00E071BB">
        <w:rPr>
          <w:rFonts w:ascii="Arial" w:hAnsi="Arial" w:cs="Arial"/>
        </w:rPr>
        <w:t>​Mumford, E. (2006) 'Researching socio-technical systems: From computing past to digital future', Information Technology &amp; People, 19(4), pp. 317–342.</w:t>
      </w:r>
    </w:p>
    <w:p w14:paraId="101D61DF" w14:textId="77777777" w:rsidR="004C62A3" w:rsidRPr="00E071BB" w:rsidRDefault="004C62A3" w:rsidP="00A4123D">
      <w:pPr>
        <w:rPr>
          <w:rFonts w:ascii="Arial" w:hAnsi="Arial" w:cs="Arial"/>
        </w:rPr>
      </w:pPr>
      <w:r w:rsidRPr="00E071BB">
        <w:rPr>
          <w:rFonts w:ascii="Arial" w:hAnsi="Arial" w:cs="Arial"/>
        </w:rPr>
        <w:t>​Mumford, M.D., Zaccaro, S.J., Harding, F.D., Jacobs, T.O. and Fleishman, E.A. (2000) 'Leadership skills for a changing world: Solving complex social problems', The Leadership Quarterly, 11(1), pp. 11–35.</w:t>
      </w:r>
    </w:p>
    <w:p w14:paraId="52405199" w14:textId="77777777" w:rsidR="004C62A3" w:rsidRPr="00E071BB" w:rsidRDefault="004C62A3" w:rsidP="00A4123D">
      <w:pPr>
        <w:rPr>
          <w:rFonts w:ascii="Arial" w:hAnsi="Arial" w:cs="Arial"/>
        </w:rPr>
      </w:pPr>
      <w:r w:rsidRPr="00E071BB">
        <w:rPr>
          <w:rFonts w:ascii="Arial" w:hAnsi="Arial" w:cs="Arial"/>
        </w:rPr>
        <w:t>​Pettigrew, A.M. (1985) The Awakening Giant: Continuity and Change in Imperial Chemical Industries. Oxford: Basil Blackwell.</w:t>
      </w:r>
    </w:p>
    <w:p w14:paraId="08872D28" w14:textId="77777777" w:rsidR="004C62A3" w:rsidRPr="00E071BB" w:rsidRDefault="004C62A3" w:rsidP="00A4123D">
      <w:pPr>
        <w:rPr>
          <w:rFonts w:ascii="Arial" w:hAnsi="Arial" w:cs="Arial"/>
        </w:rPr>
      </w:pPr>
      <w:r w:rsidRPr="00E071BB">
        <w:rPr>
          <w:rFonts w:ascii="Arial" w:hAnsi="Arial" w:cs="Arial"/>
        </w:rPr>
        <w:t>​Porter, M.E. (2008) 'The five competitive forces that shape strategy', Harvard Business Review, 86(1), pp. 78–93.</w:t>
      </w:r>
    </w:p>
    <w:p w14:paraId="44DC1173" w14:textId="77777777" w:rsidR="004C62A3" w:rsidRPr="00E071BB" w:rsidRDefault="004C62A3" w:rsidP="00A4123D">
      <w:pPr>
        <w:rPr>
          <w:rFonts w:ascii="Arial" w:hAnsi="Arial" w:cs="Arial"/>
        </w:rPr>
      </w:pPr>
      <w:r w:rsidRPr="00E071BB">
        <w:rPr>
          <w:rFonts w:ascii="Arial" w:hAnsi="Arial" w:cs="Arial"/>
        </w:rPr>
        <w:t>​S&amp;P Global. (2025) Global Automotive Industry Outlook: Navigating the Structural Shift. London: S&amp;P Global Mobility.</w:t>
      </w:r>
    </w:p>
    <w:p w14:paraId="49965247" w14:textId="77777777" w:rsidR="004C62A3" w:rsidRPr="00E071BB" w:rsidRDefault="004C62A3" w:rsidP="00A4123D">
      <w:pPr>
        <w:rPr>
          <w:rFonts w:ascii="Arial" w:hAnsi="Arial" w:cs="Arial"/>
        </w:rPr>
      </w:pPr>
      <w:r w:rsidRPr="00E071BB">
        <w:rPr>
          <w:rFonts w:ascii="Arial" w:hAnsi="Arial" w:cs="Arial"/>
        </w:rPr>
        <w:t>​Schein, E.H. (2010) Organizational Culture and Leadership. 4th edn. San Francisco, CA: Jossey-Bass.</w:t>
      </w:r>
    </w:p>
    <w:p w14:paraId="26DF3E0B" w14:textId="77777777" w:rsidR="004C62A3" w:rsidRPr="00E071BB" w:rsidRDefault="004C62A3" w:rsidP="00A4123D">
      <w:pPr>
        <w:rPr>
          <w:rFonts w:ascii="Arial" w:hAnsi="Arial" w:cs="Arial"/>
        </w:rPr>
      </w:pPr>
      <w:r w:rsidRPr="00E071BB">
        <w:rPr>
          <w:rFonts w:ascii="Arial" w:hAnsi="Arial" w:cs="Arial"/>
        </w:rPr>
        <w:t>​Sheridan, M. (2025) Legacy, Luxury, and Lithium: The Strategic Evolution of British Automotive Engineering. London: Palgrave Macmillan.</w:t>
      </w:r>
    </w:p>
    <w:p w14:paraId="5D5BF413" w14:textId="77777777" w:rsidR="004C62A3" w:rsidRPr="00E071BB" w:rsidRDefault="004C62A3" w:rsidP="00A4123D">
      <w:pPr>
        <w:rPr>
          <w:rFonts w:ascii="Arial" w:hAnsi="Arial" w:cs="Arial"/>
        </w:rPr>
      </w:pPr>
      <w:r w:rsidRPr="00E071BB">
        <w:rPr>
          <w:rFonts w:ascii="Arial" w:hAnsi="Arial" w:cs="Arial"/>
        </w:rPr>
        <w:t>​Tata Motors. (2025) Jaguar Land Rover Limited: Annual Subsidiary Report 2025. Mumbai: Tata Motors Limited.</w:t>
      </w:r>
    </w:p>
    <w:p w14:paraId="2BAF7311" w14:textId="77777777" w:rsidR="004C62A3" w:rsidRPr="00E071BB" w:rsidRDefault="004C62A3" w:rsidP="00A4123D">
      <w:pPr>
        <w:rPr>
          <w:rFonts w:ascii="Arial" w:hAnsi="Arial" w:cs="Arial"/>
        </w:rPr>
      </w:pPr>
      <w:r w:rsidRPr="00E071BB">
        <w:rPr>
          <w:rFonts w:ascii="Arial" w:hAnsi="Arial" w:cs="Arial"/>
        </w:rPr>
        <w:t>​Wells, P. (2022) 'The automotive industry in an era of eco-modernity: Strategy, structure, and sustainability at Jaguar Land Rover', Journal of Cleaner Production, 364, p. 132641.</w:t>
      </w:r>
    </w:p>
    <w:p w14:paraId="04DE17D0" w14:textId="77777777" w:rsidR="004C62A3" w:rsidRPr="00E071BB" w:rsidRDefault="004C62A3" w:rsidP="00A4123D">
      <w:pPr>
        <w:rPr>
          <w:rFonts w:ascii="Arial" w:hAnsi="Arial" w:cs="Arial"/>
        </w:rPr>
      </w:pPr>
      <w:r w:rsidRPr="00E071BB">
        <w:rPr>
          <w:rFonts w:ascii="Arial" w:hAnsi="Arial" w:cs="Arial"/>
        </w:rPr>
        <w:t>​Zendesk. (2026) Top 10 change management models in 2026. Available at: https://www.zendesk.co.uk/blog/employee-service/hrsm/change-management-models/ (Accessed: 29 June 2026).</w:t>
      </w:r>
    </w:p>
    <w:p w14:paraId="574448B9" w14:textId="77777777" w:rsidR="004C62A3" w:rsidRPr="00E071BB" w:rsidRDefault="004C62A3" w:rsidP="00A4123D">
      <w:pPr>
        <w:rPr>
          <w:rFonts w:ascii="Arial" w:hAnsi="Arial" w:cs="Arial"/>
        </w:rPr>
      </w:pPr>
      <w:r w:rsidRPr="00E071BB">
        <w:rPr>
          <w:rFonts w:ascii="Arial" w:hAnsi="Arial" w:cs="Arial"/>
        </w:rPr>
        <w:t>Batool, A., Zowghi, D. and Bano, M., 2025. AI governance: a systematic literature review. AI and Ethics, 5(3), pp.3265-3279.</w:t>
      </w:r>
    </w:p>
    <w:p w14:paraId="71A6C9F4" w14:textId="77777777" w:rsidR="004C62A3" w:rsidRPr="00E071BB" w:rsidRDefault="004C62A3" w:rsidP="00A4123D">
      <w:pPr>
        <w:rPr>
          <w:rFonts w:ascii="Arial" w:hAnsi="Arial" w:cs="Arial"/>
        </w:rPr>
      </w:pPr>
      <w:r w:rsidRPr="00E071BB">
        <w:rPr>
          <w:rFonts w:ascii="Arial" w:hAnsi="Arial" w:cs="Arial"/>
        </w:rPr>
        <w:t>Covarrubias, A. and Pérez, S.M.R. eds., 2019. New frontiers of the automobile industry: exploring geographies, technology, and institutional challenges. Springer Nature.</w:t>
      </w:r>
    </w:p>
    <w:p w14:paraId="269E934C" w14:textId="77777777" w:rsidR="004C62A3" w:rsidRPr="00E071BB" w:rsidRDefault="004C62A3" w:rsidP="00A4123D">
      <w:pPr>
        <w:rPr>
          <w:rFonts w:ascii="Arial" w:hAnsi="Arial" w:cs="Arial"/>
        </w:rPr>
      </w:pPr>
      <w:r w:rsidRPr="00E071BB">
        <w:rPr>
          <w:rFonts w:ascii="Arial" w:hAnsi="Arial" w:cs="Arial"/>
        </w:rPr>
        <w:t xml:space="preserve">Dong, B., 2023. A systematic review of the organizational inertia literature and </w:t>
      </w:r>
      <w:proofErr w:type="gramStart"/>
      <w:r w:rsidRPr="00E071BB">
        <w:rPr>
          <w:rFonts w:ascii="Arial" w:hAnsi="Arial" w:cs="Arial"/>
        </w:rPr>
        <w:t>future outlook</w:t>
      </w:r>
      <w:proofErr w:type="gramEnd"/>
      <w:r w:rsidRPr="00E071BB">
        <w:rPr>
          <w:rFonts w:ascii="Arial" w:hAnsi="Arial" w:cs="Arial"/>
        </w:rPr>
        <w:t>. International Journal of Education and Humanities, 8(2), pp.119-123.</w:t>
      </w:r>
    </w:p>
    <w:p w14:paraId="2C85959D" w14:textId="77777777" w:rsidR="004C62A3" w:rsidRPr="00E071BB" w:rsidRDefault="004C62A3" w:rsidP="00A4123D">
      <w:pPr>
        <w:rPr>
          <w:rFonts w:ascii="Arial" w:hAnsi="Arial" w:cs="Arial"/>
        </w:rPr>
      </w:pPr>
      <w:r w:rsidRPr="00E071BB">
        <w:rPr>
          <w:rFonts w:ascii="Arial" w:hAnsi="Arial" w:cs="Arial"/>
        </w:rPr>
        <w:t>Escobar, C.A., Tworek, M., Yang, K. and Morales-Menendez, R., 2025. Generative Ai for Manufacturing Innovation: A Comprehensive Review with Case Studies. Available at SSRN 5188841.</w:t>
      </w:r>
    </w:p>
    <w:p w14:paraId="1BC97B0F" w14:textId="77777777" w:rsidR="004C62A3" w:rsidRPr="00E071BB" w:rsidRDefault="004C62A3" w:rsidP="00A4123D">
      <w:pPr>
        <w:rPr>
          <w:rFonts w:ascii="Arial" w:hAnsi="Arial" w:cs="Arial"/>
        </w:rPr>
      </w:pPr>
      <w:r w:rsidRPr="00E071BB">
        <w:rPr>
          <w:rFonts w:ascii="Arial" w:hAnsi="Arial" w:cs="Arial"/>
        </w:rPr>
        <w:t>Forbes</w:t>
      </w:r>
      <w:r w:rsidRPr="00E071BB">
        <w:rPr>
          <w:rFonts w:ascii="Arial" w:hAnsi="Arial" w:cs="Arial"/>
        </w:rPr>
        <w:t xml:space="preserve"> (2024). Council Post: 20 Common Obstacles That Can Delay (Or Derail) A Software Project. Forbes.12 Aug. Available at: </w:t>
      </w:r>
      <w:r w:rsidRPr="00E071BB">
        <w:rPr>
          <w:rFonts w:ascii="Arial" w:hAnsi="Arial" w:cs="Arial"/>
        </w:rPr>
        <w:lastRenderedPageBreak/>
        <w:t>https://www.forbes.com/councils/forbestechcouncil/2023/06/26/20-common-obstacles-that-can-delay-or-derail-a-software-project/ [Accessed 13 July 2026].</w:t>
      </w:r>
    </w:p>
    <w:p w14:paraId="1B82ABD1" w14:textId="77777777" w:rsidR="004C62A3" w:rsidRPr="00E071BB" w:rsidRDefault="004C62A3" w:rsidP="00A4123D">
      <w:pPr>
        <w:rPr>
          <w:rFonts w:ascii="Arial" w:hAnsi="Arial" w:cs="Arial"/>
        </w:rPr>
      </w:pPr>
      <w:r w:rsidRPr="00E071BB">
        <w:rPr>
          <w:rFonts w:ascii="Arial" w:hAnsi="Arial" w:cs="Arial"/>
        </w:rPr>
        <w:t>Gorton, I., Khomh, F., Lenarduzzi, V., Menghi, C. and Roman, D., 2023. Software architectures for ai systems: State of practice and challenges. In Software Architecture: Research Roadmaps from the Community (pp. 25-39). Cham: Springer Nature Switzerland.</w:t>
      </w:r>
    </w:p>
    <w:p w14:paraId="7F0641B2" w14:textId="77777777" w:rsidR="004C62A3" w:rsidRPr="00E071BB" w:rsidRDefault="004C62A3" w:rsidP="00A4123D">
      <w:pPr>
        <w:rPr>
          <w:rFonts w:ascii="Arial" w:hAnsi="Arial" w:cs="Arial"/>
        </w:rPr>
      </w:pPr>
      <w:r w:rsidRPr="00E071BB">
        <w:rPr>
          <w:rFonts w:ascii="Arial" w:hAnsi="Arial" w:cs="Arial"/>
        </w:rPr>
        <w:t>GOV.UK (2024). Cyber security risks to artificial intelligence. GOV.UK. Available at: https://www.gov.uk/government/publications/research-on-the-cyber-security-of-ai/cyber-security-risks-to-artificial-intelligence [Accessed 13 July 2026].</w:t>
      </w:r>
    </w:p>
    <w:p w14:paraId="2E134286" w14:textId="77777777" w:rsidR="004C62A3" w:rsidRPr="00E071BB" w:rsidRDefault="004C62A3" w:rsidP="00A4123D">
      <w:pPr>
        <w:rPr>
          <w:rFonts w:ascii="Arial" w:hAnsi="Arial" w:cs="Arial"/>
        </w:rPr>
      </w:pPr>
      <w:r w:rsidRPr="00E071BB">
        <w:rPr>
          <w:rFonts w:ascii="Arial" w:hAnsi="Arial" w:cs="Arial"/>
        </w:rPr>
        <w:t>Harel, T.O., Maoz, I. and Halperin, E., 2020. A conflict within a conflict: Intragroup ideological polarization and intergroup intractable conflict. Current Opinion in Behavioral Sciences, 34, pp.52-57.</w:t>
      </w:r>
    </w:p>
    <w:p w14:paraId="33EBE812" w14:textId="77777777" w:rsidR="004C62A3" w:rsidRPr="00E071BB" w:rsidRDefault="004C62A3" w:rsidP="00A4123D">
      <w:pPr>
        <w:rPr>
          <w:rFonts w:ascii="Arial" w:hAnsi="Arial" w:cs="Arial"/>
        </w:rPr>
      </w:pPr>
      <w:r w:rsidRPr="00E071BB">
        <w:rPr>
          <w:rFonts w:ascii="Arial" w:hAnsi="Arial" w:cs="Arial"/>
        </w:rPr>
        <w:t>Hertzke, P., Schaufuss, P., Kampshoff, P. and Möller, T. (2025). New twists in the electric-vehicle transition: A consumer perspective. [online] McKinsey &amp; Company. Available at: https://www.mckinsey.com/features/mckinsey-center-for-future-mobility/our-insights/new-twists-in-the-electric-vehicle-transition-a-consumer-perspective [Accessed 11 July 2026].</w:t>
      </w:r>
    </w:p>
    <w:p w14:paraId="7C32C8C3" w14:textId="77777777" w:rsidR="004C62A3" w:rsidRPr="00E071BB" w:rsidRDefault="004C62A3" w:rsidP="00A4123D">
      <w:pPr>
        <w:rPr>
          <w:rFonts w:ascii="Arial" w:hAnsi="Arial" w:cs="Arial"/>
        </w:rPr>
      </w:pPr>
      <w:r w:rsidRPr="00E071BB">
        <w:rPr>
          <w:rFonts w:ascii="Arial" w:hAnsi="Arial" w:cs="Arial"/>
        </w:rPr>
        <w:t>Hühn, M.P., 2023. Business ethics: Between Friedman and Freeman? A response to a puzzle about business ethics. Business Ethics, the Environment &amp; Responsibility, 32(2), pp.868-876.</w:t>
      </w:r>
    </w:p>
    <w:p w14:paraId="434CD2F5" w14:textId="77777777" w:rsidR="004C62A3" w:rsidRPr="00E071BB" w:rsidRDefault="004C62A3" w:rsidP="00A4123D">
      <w:pPr>
        <w:rPr>
          <w:rFonts w:ascii="Arial" w:hAnsi="Arial" w:cs="Arial"/>
        </w:rPr>
      </w:pPr>
      <w:r w:rsidRPr="00E071BB">
        <w:rPr>
          <w:rFonts w:ascii="Arial" w:hAnsi="Arial" w:cs="Arial"/>
        </w:rPr>
        <w:t>JLR (2023). JLR TO INVEST £15 BILLION OVER NEXT FIVE YEARS AS ITS MODERN LUXURY ELECTRIC-FIRST FUTURE ACCELERATES | Jaguar Media Newsroom.</w:t>
      </w:r>
      <w:r w:rsidRPr="00E071BB">
        <w:rPr>
          <w:rFonts w:ascii="Arial" w:hAnsi="Arial" w:cs="Arial"/>
        </w:rPr>
        <w:t xml:space="preserve"> </w:t>
      </w:r>
      <w:r w:rsidRPr="00E071BB">
        <w:rPr>
          <w:rFonts w:ascii="Arial" w:hAnsi="Arial" w:cs="Arial"/>
        </w:rPr>
        <w:t>Jaguar.com. Available at: https://archive.jaguar.com/news/2023/04/jlr-invest-ps15-billion-over-next-five-years-its-modern-luxury-electric-first-future [Accessed 13 July 2026].</w:t>
      </w:r>
    </w:p>
    <w:p w14:paraId="7545CD0E" w14:textId="77777777" w:rsidR="004C62A3" w:rsidRPr="00E071BB" w:rsidRDefault="004C62A3" w:rsidP="00A4123D">
      <w:pPr>
        <w:rPr>
          <w:rFonts w:ascii="Arial" w:hAnsi="Arial" w:cs="Arial"/>
        </w:rPr>
      </w:pPr>
      <w:r w:rsidRPr="00E071BB">
        <w:rPr>
          <w:rFonts w:ascii="Arial" w:hAnsi="Arial" w:cs="Arial"/>
        </w:rPr>
        <w:t xml:space="preserve">JLR (2025). SUSTAINABILITY | JLR Corporate Website. [online] Jlr.com. Available at: https://www.jlr.com/sustainability [Accessed </w:t>
      </w:r>
      <w:r w:rsidRPr="00E071BB">
        <w:rPr>
          <w:rFonts w:ascii="Arial" w:hAnsi="Arial" w:cs="Arial"/>
        </w:rPr>
        <w:t>08</w:t>
      </w:r>
      <w:r w:rsidRPr="00E071BB">
        <w:rPr>
          <w:rFonts w:ascii="Arial" w:hAnsi="Arial" w:cs="Arial"/>
        </w:rPr>
        <w:t xml:space="preserve"> July 2026].</w:t>
      </w:r>
    </w:p>
    <w:p w14:paraId="11D879F1" w14:textId="77777777" w:rsidR="004C62A3" w:rsidRPr="00E071BB" w:rsidRDefault="004C62A3" w:rsidP="00A4123D">
      <w:pPr>
        <w:rPr>
          <w:rFonts w:ascii="Arial" w:hAnsi="Arial" w:cs="Arial"/>
        </w:rPr>
      </w:pPr>
      <w:r w:rsidRPr="00E071BB">
        <w:rPr>
          <w:rFonts w:ascii="Arial" w:hAnsi="Arial" w:cs="Arial"/>
        </w:rPr>
        <w:t xml:space="preserve">JLR </w:t>
      </w:r>
      <w:r w:rsidRPr="00E071BB">
        <w:rPr>
          <w:rFonts w:ascii="Arial" w:hAnsi="Arial" w:cs="Arial"/>
        </w:rPr>
        <w:t>(2026). JLR SETS OUT PATH TO DOUBLE DIGIT REVENUE GROWTH THROUGH GREATER PROPULSION FLEXIBILITY AND INCREASED FOCUS ON NORTH AMERICA | JLR Corporate Website. [online] Jlr.com. Available at: https://www.jlr.com/news/2026/06/jlr-sets-out-path-double-digit-revenue-growth-through-greater-propulsion-flexibility [Accessed 11 July 2026].</w:t>
      </w:r>
    </w:p>
    <w:p w14:paraId="38CABCBC" w14:textId="77777777" w:rsidR="004C62A3" w:rsidRPr="00E071BB" w:rsidRDefault="004C62A3" w:rsidP="00A4123D">
      <w:pPr>
        <w:rPr>
          <w:rFonts w:ascii="Arial" w:hAnsi="Arial" w:cs="Arial"/>
        </w:rPr>
      </w:pPr>
      <w:r w:rsidRPr="00E071BB">
        <w:rPr>
          <w:rFonts w:ascii="Arial" w:hAnsi="Arial" w:cs="Arial"/>
        </w:rPr>
        <w:t>Jolly, J. (2026). JLR at risk of battery supply delays after Somerset factory turmoil. [online] The Guardian. Available at: https://www.theguardian.com/business/2026/jun/20/jaguar-land-rover-jlr-battery-supply-delay-somerset-agratas [Accessed 1</w:t>
      </w:r>
      <w:r w:rsidRPr="00E071BB">
        <w:rPr>
          <w:rFonts w:ascii="Arial" w:hAnsi="Arial" w:cs="Arial"/>
        </w:rPr>
        <w:t>0</w:t>
      </w:r>
      <w:r w:rsidRPr="00E071BB">
        <w:rPr>
          <w:rFonts w:ascii="Arial" w:hAnsi="Arial" w:cs="Arial"/>
        </w:rPr>
        <w:t xml:space="preserve"> July 2026].</w:t>
      </w:r>
    </w:p>
    <w:p w14:paraId="54B75C40" w14:textId="77777777" w:rsidR="004C62A3" w:rsidRPr="00E071BB" w:rsidRDefault="004C62A3" w:rsidP="00A4123D">
      <w:pPr>
        <w:rPr>
          <w:rFonts w:ascii="Arial" w:hAnsi="Arial" w:cs="Arial"/>
        </w:rPr>
      </w:pPr>
      <w:r w:rsidRPr="00E071BB">
        <w:rPr>
          <w:rFonts w:ascii="Arial" w:hAnsi="Arial" w:cs="Arial"/>
        </w:rPr>
        <w:t xml:space="preserve">Jolly, J. (2026a). Jaguar Land Rover could have shifted production from UK without £380m battery subsidy, officials </w:t>
      </w:r>
      <w:r w:rsidRPr="00E071BB">
        <w:rPr>
          <w:rFonts w:ascii="Arial" w:hAnsi="Arial" w:cs="Arial"/>
        </w:rPr>
        <w:t>warned. The</w:t>
      </w:r>
      <w:r w:rsidRPr="00E071BB">
        <w:rPr>
          <w:rFonts w:ascii="Arial" w:hAnsi="Arial" w:cs="Arial"/>
        </w:rPr>
        <w:t xml:space="preserve"> Guardian. Available at: https://www.theguardian.com/business/2026/may/05/jaguar-land-rover-production-uk-battery-subsidy [Accessed 13 July 2026a].</w:t>
      </w:r>
    </w:p>
    <w:p w14:paraId="195AE8EE" w14:textId="77777777" w:rsidR="004C62A3" w:rsidRPr="00E071BB" w:rsidRDefault="004C62A3" w:rsidP="00A4123D">
      <w:pPr>
        <w:rPr>
          <w:rFonts w:ascii="Arial" w:hAnsi="Arial" w:cs="Arial"/>
        </w:rPr>
      </w:pPr>
      <w:r w:rsidRPr="00E071BB">
        <w:rPr>
          <w:rFonts w:ascii="Arial" w:hAnsi="Arial" w:cs="Arial"/>
        </w:rPr>
        <w:t>Juergen Reers, Hattula, S., Huber, A. and Wieland, J. (2025). Absorbing Disruptions: OEM Transformation. Accenture.com. Available at: https://www.accenture.com/gb-en/insights/automotive/absorbing-disruptions [Accessed 13 July 2026].</w:t>
      </w:r>
    </w:p>
    <w:p w14:paraId="4FA6B898" w14:textId="77777777" w:rsidR="004C62A3" w:rsidRPr="00E071BB" w:rsidRDefault="004C62A3" w:rsidP="00A4123D">
      <w:pPr>
        <w:rPr>
          <w:rFonts w:ascii="Arial" w:hAnsi="Arial" w:cs="Arial"/>
        </w:rPr>
      </w:pPr>
      <w:r w:rsidRPr="00E071BB">
        <w:rPr>
          <w:rFonts w:ascii="Arial" w:hAnsi="Arial" w:cs="Arial"/>
        </w:rPr>
        <w:t>Kamarova, S., Gagné, M., Holtrop, D. and Dunlop, P.D., 2025. Integrating behavior and organizational change literatures to uncover crucial psychological mechanisms underlying the adoption and maintenance of organizational change. Journal of Organizational Behavior, 46(2), pp.263-287.</w:t>
      </w:r>
    </w:p>
    <w:p w14:paraId="4A0479A8" w14:textId="77777777" w:rsidR="004C62A3" w:rsidRPr="00E071BB" w:rsidRDefault="004C62A3" w:rsidP="00A4123D">
      <w:pPr>
        <w:rPr>
          <w:rFonts w:ascii="Arial" w:hAnsi="Arial" w:cs="Arial"/>
        </w:rPr>
      </w:pPr>
      <w:r w:rsidRPr="00E071BB">
        <w:rPr>
          <w:rFonts w:ascii="Arial" w:hAnsi="Arial" w:cs="Arial"/>
        </w:rPr>
        <w:lastRenderedPageBreak/>
        <w:t>Kwag, S.J. and Kang, B., 2025. Key to the future of the automotive industry: SDV technology and reliability. JMST Advances, 7(1), pp.99-104.</w:t>
      </w:r>
    </w:p>
    <w:p w14:paraId="28BC0517" w14:textId="77777777" w:rsidR="004C62A3" w:rsidRPr="00E071BB" w:rsidRDefault="004C62A3" w:rsidP="00A4123D">
      <w:pPr>
        <w:rPr>
          <w:rFonts w:ascii="Arial" w:hAnsi="Arial" w:cs="Arial"/>
        </w:rPr>
      </w:pPr>
      <w:r w:rsidRPr="00E071BB">
        <w:rPr>
          <w:rFonts w:ascii="Arial" w:hAnsi="Arial" w:cs="Arial"/>
        </w:rPr>
        <w:t>Manufacturing Lead Generation (2026). 85+ Manufacturing Downtime Statistics (2025-2026): Costs, Causes, OEE Benchmarks &amp; Prevention Data. [online] Manufacturing Lead Generation. Available at: https://manufacturingleadgeneration.com/manufacturing-downtime-statistics/ [Accessed 13 July 2026].</w:t>
      </w:r>
    </w:p>
    <w:p w14:paraId="501BFBC7" w14:textId="77777777" w:rsidR="004C62A3" w:rsidRPr="00E071BB" w:rsidRDefault="004C62A3" w:rsidP="00A4123D">
      <w:pPr>
        <w:rPr>
          <w:rFonts w:ascii="Arial" w:hAnsi="Arial" w:cs="Arial"/>
        </w:rPr>
      </w:pPr>
      <w:r w:rsidRPr="00E071BB">
        <w:rPr>
          <w:rFonts w:ascii="Arial" w:hAnsi="Arial" w:cs="Arial"/>
        </w:rPr>
        <w:t xml:space="preserve">McHugh, B. (2024). Council Post: Situational Leadership Practices: Essential </w:t>
      </w:r>
      <w:r w:rsidRPr="00E071BB">
        <w:rPr>
          <w:rFonts w:ascii="Arial" w:hAnsi="Arial" w:cs="Arial"/>
        </w:rPr>
        <w:t>for</w:t>
      </w:r>
      <w:r w:rsidRPr="00E071BB">
        <w:rPr>
          <w:rFonts w:ascii="Arial" w:hAnsi="Arial" w:cs="Arial"/>
        </w:rPr>
        <w:t xml:space="preserve"> Today’s Leaders. Forbes.11 Mar. Available at: https://www.forbes.com/councils/forbescoachescouncil/2024/03/11/situational-leadership-practices-essential-for-todays-leaders/ [Accessed 1</w:t>
      </w:r>
      <w:r w:rsidRPr="00E071BB">
        <w:rPr>
          <w:rFonts w:ascii="Arial" w:hAnsi="Arial" w:cs="Arial"/>
        </w:rPr>
        <w:t>2</w:t>
      </w:r>
      <w:r w:rsidRPr="00E071BB">
        <w:rPr>
          <w:rFonts w:ascii="Arial" w:hAnsi="Arial" w:cs="Arial"/>
        </w:rPr>
        <w:t xml:space="preserve"> July 2026].</w:t>
      </w:r>
    </w:p>
    <w:p w14:paraId="5C96D284" w14:textId="77777777" w:rsidR="004C62A3" w:rsidRPr="00E071BB" w:rsidRDefault="004C62A3" w:rsidP="00A4123D">
      <w:pPr>
        <w:rPr>
          <w:rFonts w:ascii="Arial" w:hAnsi="Arial" w:cs="Arial"/>
        </w:rPr>
      </w:pPr>
      <w:r w:rsidRPr="00E071BB">
        <w:rPr>
          <w:rFonts w:ascii="Arial" w:hAnsi="Arial" w:cs="Arial"/>
        </w:rPr>
        <w:t>Mosca, L., Gianecchini, M. and Campagnolo, D., 2021. Organizational life cycle models: a design perspective. Journal of Organization Design, 10(1), pp.3-18.</w:t>
      </w:r>
    </w:p>
    <w:p w14:paraId="2116E7E6" w14:textId="77777777" w:rsidR="004C62A3" w:rsidRPr="00E071BB" w:rsidRDefault="004C62A3" w:rsidP="00A4123D">
      <w:pPr>
        <w:rPr>
          <w:rFonts w:ascii="Arial" w:hAnsi="Arial" w:cs="Arial"/>
        </w:rPr>
      </w:pPr>
      <w:r w:rsidRPr="00E071BB">
        <w:rPr>
          <w:rFonts w:ascii="Arial" w:hAnsi="Arial" w:cs="Arial"/>
        </w:rPr>
        <w:t xml:space="preserve">Müller, W.C., Bäck, H. and Hellström, J., 2024. Coalition dynamics: advances in the study of the coalition life cycle. West </w:t>
      </w:r>
      <w:r w:rsidRPr="00E071BB">
        <w:rPr>
          <w:rFonts w:ascii="Arial" w:hAnsi="Arial" w:cs="Arial"/>
        </w:rPr>
        <w:t>European</w:t>
      </w:r>
      <w:r w:rsidRPr="00E071BB">
        <w:rPr>
          <w:rFonts w:ascii="Arial" w:hAnsi="Arial" w:cs="Arial"/>
        </w:rPr>
        <w:t xml:space="preserve"> politics, 47(1), pp.1-30.</w:t>
      </w:r>
    </w:p>
    <w:p w14:paraId="06CB2326" w14:textId="77777777" w:rsidR="004C62A3" w:rsidRPr="00E071BB" w:rsidRDefault="004C62A3" w:rsidP="00A4123D">
      <w:pPr>
        <w:rPr>
          <w:rFonts w:ascii="Arial" w:hAnsi="Arial" w:cs="Arial"/>
        </w:rPr>
      </w:pPr>
      <w:r w:rsidRPr="00E071BB">
        <w:rPr>
          <w:rFonts w:ascii="Arial" w:hAnsi="Arial" w:cs="Arial"/>
        </w:rPr>
        <w:t>Nguyen, P.T., Rafferty, A.E. and Xerri, M.J., 2025. The impact of personal and change event characteristics on employee wellbeing via uncertainty and insecurity. Organizational Psychology Review, 15(2), pp.181-208.</w:t>
      </w:r>
    </w:p>
    <w:p w14:paraId="3A100BF2" w14:textId="77777777" w:rsidR="004C62A3" w:rsidRPr="00E071BB" w:rsidRDefault="004C62A3" w:rsidP="00A4123D">
      <w:pPr>
        <w:rPr>
          <w:rFonts w:ascii="Arial" w:hAnsi="Arial" w:cs="Arial"/>
        </w:rPr>
      </w:pPr>
      <w:r w:rsidRPr="00E071BB">
        <w:rPr>
          <w:rFonts w:ascii="Arial" w:hAnsi="Arial" w:cs="Arial"/>
        </w:rPr>
        <w:t>Ojakorotu, R., 2024. The Impact of Cultural Differences on HRM Strategies of UK-Based Multinational Corporations. International Journal of Socio-Cultural Research, 2(2), pp.3027-1649.</w:t>
      </w:r>
    </w:p>
    <w:p w14:paraId="14A72406" w14:textId="77777777" w:rsidR="004C62A3" w:rsidRPr="00E071BB" w:rsidRDefault="004C62A3" w:rsidP="00A4123D">
      <w:pPr>
        <w:rPr>
          <w:rFonts w:ascii="Arial" w:hAnsi="Arial" w:cs="Arial"/>
        </w:rPr>
      </w:pPr>
      <w:r w:rsidRPr="00E071BB">
        <w:rPr>
          <w:rFonts w:ascii="Arial" w:hAnsi="Arial" w:cs="Arial"/>
        </w:rPr>
        <w:t>Parodi, A. (2026). Global EV sales growth likely to slow after 20% jump in rocky 2025, research firm says. Reuters.14 Jan. Available at: https://www.reuters.com/sustainability/climate-energy/global-ev-sales-growth-likely-slow-after-20-jump-rocky-2025-research-firm-says-2026-01-14/ [Accessed 13 July 2026].</w:t>
      </w:r>
    </w:p>
    <w:p w14:paraId="6B1DBD3D" w14:textId="77777777" w:rsidR="004C62A3" w:rsidRPr="00E071BB" w:rsidRDefault="004C62A3" w:rsidP="00A4123D">
      <w:pPr>
        <w:rPr>
          <w:rFonts w:ascii="Arial" w:hAnsi="Arial" w:cs="Arial"/>
        </w:rPr>
      </w:pPr>
      <w:r w:rsidRPr="00E071BB">
        <w:rPr>
          <w:rFonts w:ascii="Arial" w:hAnsi="Arial" w:cs="Arial"/>
        </w:rPr>
        <w:t>Perides, M.P.N. and Vasconcellos, L., 2025. Organizational changes in adopting agile approaches: A systematic literature review. The Journal of Applied Behavioral Science, 61(1), pp.91-130.</w:t>
      </w:r>
    </w:p>
    <w:p w14:paraId="6EF1BCCD" w14:textId="77777777" w:rsidR="004C62A3" w:rsidRPr="00E071BB" w:rsidRDefault="004C62A3" w:rsidP="00A4123D">
      <w:pPr>
        <w:rPr>
          <w:rFonts w:ascii="Arial" w:hAnsi="Arial" w:cs="Arial"/>
        </w:rPr>
      </w:pPr>
      <w:r w:rsidRPr="00E071BB">
        <w:rPr>
          <w:rFonts w:ascii="Arial" w:hAnsi="Arial" w:cs="Arial"/>
        </w:rPr>
        <w:t>Rodger, J. (2025). Drivers warned over £15,000 penalty “per vehicle” under Labour. [online] Birmingham Live. Available at: https://www.birminghammail.co.uk/motoring/motoring-news/drivers-warned-over-15000-penalty-30959542 [Accessed 11 July 2026].</w:t>
      </w:r>
    </w:p>
    <w:p w14:paraId="4AE4F730" w14:textId="77777777" w:rsidR="004C62A3" w:rsidRPr="00E071BB" w:rsidRDefault="004C62A3" w:rsidP="00A4123D">
      <w:pPr>
        <w:rPr>
          <w:rFonts w:ascii="Arial" w:hAnsi="Arial" w:cs="Arial"/>
        </w:rPr>
      </w:pPr>
      <w:r w:rsidRPr="00E071BB">
        <w:rPr>
          <w:rFonts w:ascii="Arial" w:hAnsi="Arial" w:cs="Arial"/>
        </w:rPr>
        <w:t>Sahay, S. and Goldthwaite, C., 2024. Participatory practices during organizational change: Rethinking participation and resistance. Management Communication Quarterly, 38(2), pp.279-306.</w:t>
      </w:r>
    </w:p>
    <w:p w14:paraId="4CEBC9DF" w14:textId="77777777" w:rsidR="004C62A3" w:rsidRPr="00E071BB" w:rsidRDefault="004C62A3" w:rsidP="00A4123D">
      <w:pPr>
        <w:rPr>
          <w:rFonts w:ascii="Arial" w:hAnsi="Arial" w:cs="Arial"/>
        </w:rPr>
      </w:pPr>
      <w:r w:rsidRPr="00E071BB">
        <w:rPr>
          <w:rFonts w:ascii="Arial" w:hAnsi="Arial" w:cs="Arial"/>
        </w:rPr>
        <w:t>Shally Mohile (2024). JLR steps up its 5-year investment plan by £3 billion.</w:t>
      </w:r>
      <w:r w:rsidRPr="00E071BB">
        <w:rPr>
          <w:rFonts w:ascii="Arial" w:hAnsi="Arial" w:cs="Arial"/>
        </w:rPr>
        <w:t xml:space="preserve"> </w:t>
      </w:r>
      <w:r w:rsidRPr="00E071BB">
        <w:rPr>
          <w:rFonts w:ascii="Arial" w:hAnsi="Arial" w:cs="Arial"/>
        </w:rPr>
        <w:t>The Economic Times. Available at: https://economictimes.indiatimes.com/industry/auto/auto-news/tata-motors-steps-up-its-5-year-investment-plan-in-jlr-till-fy28-by-3-billion/articleshow/111111711.cms#google_vignette [Accessed 13 July 2026].</w:t>
      </w:r>
    </w:p>
    <w:p w14:paraId="0CAC5D43" w14:textId="77777777" w:rsidR="004C62A3" w:rsidRPr="00E071BB" w:rsidRDefault="004C62A3" w:rsidP="00A4123D">
      <w:pPr>
        <w:rPr>
          <w:rFonts w:ascii="Arial" w:hAnsi="Arial" w:cs="Arial"/>
        </w:rPr>
      </w:pPr>
      <w:r w:rsidRPr="00E071BB">
        <w:rPr>
          <w:rFonts w:ascii="Arial" w:hAnsi="Arial" w:cs="Arial"/>
        </w:rPr>
        <w:t>Singh, S., 2024. Cross-Cultural Management Practices in Multinational Corporations: Enhancing Organizational Effectiveness. Universal Research Reports, 11(4), pp.159-164.</w:t>
      </w:r>
    </w:p>
    <w:p w14:paraId="4B82805F" w14:textId="77777777" w:rsidR="004C62A3" w:rsidRPr="00E071BB" w:rsidRDefault="004C62A3" w:rsidP="00A4123D">
      <w:pPr>
        <w:rPr>
          <w:rFonts w:ascii="Arial" w:hAnsi="Arial" w:cs="Arial"/>
        </w:rPr>
      </w:pPr>
      <w:r w:rsidRPr="00E071BB">
        <w:rPr>
          <w:rFonts w:ascii="Arial" w:hAnsi="Arial" w:cs="Arial"/>
        </w:rPr>
        <w:t>Song, Y., Li, Y., Jiang, J. and Ye, B., 2025. The industrial prospect of electric vehicles—time delay stochastic evolutionary game evidence from the US, China, the EU, and Japan. Humanities and Social Sciences Communications, 12(1), pp.1-17.</w:t>
      </w:r>
    </w:p>
    <w:p w14:paraId="68839CB8" w14:textId="77777777" w:rsidR="004C62A3" w:rsidRPr="00E071BB" w:rsidRDefault="004C62A3" w:rsidP="00A4123D">
      <w:pPr>
        <w:rPr>
          <w:rFonts w:ascii="Arial" w:hAnsi="Arial" w:cs="Arial"/>
        </w:rPr>
      </w:pPr>
      <w:r w:rsidRPr="00E071BB">
        <w:rPr>
          <w:rFonts w:ascii="Arial" w:hAnsi="Arial" w:cs="Arial"/>
        </w:rPr>
        <w:lastRenderedPageBreak/>
        <w:t>Su, X. and Gao, P., 2026. From combustion to electric: Unveiling the forces behind vehicle substitution. Energy Policy, 208, p.114933.</w:t>
      </w:r>
    </w:p>
    <w:p w14:paraId="1C202161" w14:textId="77777777" w:rsidR="004C62A3" w:rsidRPr="00E071BB" w:rsidRDefault="004C62A3" w:rsidP="00A4123D">
      <w:pPr>
        <w:rPr>
          <w:rFonts w:ascii="Arial" w:hAnsi="Arial" w:cs="Arial"/>
        </w:rPr>
      </w:pPr>
      <w:r w:rsidRPr="00E071BB">
        <w:rPr>
          <w:rFonts w:ascii="Arial" w:hAnsi="Arial" w:cs="Arial"/>
        </w:rPr>
        <w:t>The Workplace Mediator</w:t>
      </w:r>
      <w:r w:rsidRPr="00E071BB">
        <w:rPr>
          <w:rFonts w:ascii="Arial" w:hAnsi="Arial" w:cs="Arial"/>
        </w:rPr>
        <w:t xml:space="preserve"> </w:t>
      </w:r>
      <w:r w:rsidRPr="00E071BB">
        <w:rPr>
          <w:rFonts w:ascii="Arial" w:hAnsi="Arial" w:cs="Arial"/>
        </w:rPr>
        <w:t xml:space="preserve">(2025). How to Use Mediation to Manage Conflicts Between Legacy Systems and New </w:t>
      </w:r>
      <w:r w:rsidRPr="00E071BB">
        <w:rPr>
          <w:rFonts w:ascii="Arial" w:hAnsi="Arial" w:cs="Arial"/>
        </w:rPr>
        <w:t>Processes. The</w:t>
      </w:r>
      <w:r w:rsidRPr="00E071BB">
        <w:rPr>
          <w:rFonts w:ascii="Arial" w:hAnsi="Arial" w:cs="Arial"/>
        </w:rPr>
        <w:t xml:space="preserve"> Workplace Mediator. Available at: https://theworkplacemediator.co.uk/how-to-use-mediation-to-manage-conflicts-between-legacy-systems-and-new-processes/ [Accessed 13 July 2026].</w:t>
      </w:r>
    </w:p>
    <w:p w14:paraId="17AD343F" w14:textId="77777777" w:rsidR="004C62A3" w:rsidRPr="00E071BB" w:rsidRDefault="004C62A3" w:rsidP="00A4123D">
      <w:pPr>
        <w:rPr>
          <w:rFonts w:ascii="Arial" w:hAnsi="Arial" w:cs="Arial"/>
        </w:rPr>
      </w:pPr>
      <w:r w:rsidRPr="00E071BB">
        <w:rPr>
          <w:rFonts w:ascii="Arial" w:hAnsi="Arial" w:cs="Arial"/>
        </w:rPr>
        <w:t>Unison (2025). Local government reform can’t be used as cover for job cuts | UNISON - the public service union. Unison.org.uk. Available at: https://unison.org.uk/press/2025/03/local-government-reform-cant-be-used-cover-job-cuts [Accessed 13 July 2026].</w:t>
      </w:r>
    </w:p>
    <w:p w14:paraId="6ABA1C97" w14:textId="77777777" w:rsidR="004C62A3" w:rsidRPr="00E071BB" w:rsidRDefault="004C62A3" w:rsidP="00A4123D">
      <w:pPr>
        <w:rPr>
          <w:rFonts w:ascii="Arial" w:hAnsi="Arial" w:cs="Arial"/>
        </w:rPr>
      </w:pPr>
      <w:r w:rsidRPr="00E071BB">
        <w:rPr>
          <w:rFonts w:ascii="Arial" w:hAnsi="Arial" w:cs="Arial"/>
        </w:rPr>
        <w:t>Unite the Union (2026) Unite calls for a decisive reduction of ZEV mandate targets to protect automotive jobs. Available at: https://www.unitetheunion.org/news-events/news/2026/june/unite-calls-for-a-decisive-reduction-of-zev-mandate-targets-to-protect-automotive-jobs (Accessed: 13 July 2026).</w:t>
      </w:r>
    </w:p>
    <w:p w14:paraId="00E7C68B" w14:textId="77777777" w:rsidR="004C62A3" w:rsidRPr="00E071BB" w:rsidRDefault="004C62A3" w:rsidP="00A4123D">
      <w:pPr>
        <w:rPr>
          <w:rFonts w:ascii="Arial" w:hAnsi="Arial" w:cs="Arial"/>
        </w:rPr>
      </w:pPr>
      <w:r w:rsidRPr="00E071BB">
        <w:rPr>
          <w:rFonts w:ascii="Arial" w:hAnsi="Arial" w:cs="Arial"/>
        </w:rPr>
        <w:t>Valtonen, A. and Holopainen, M., 2025. Mitigating employee resistance and achieving well-being in digital transformation. Information Technology &amp; People, 38(8), pp.42-72.</w:t>
      </w:r>
    </w:p>
    <w:p w14:paraId="56B8755F" w14:textId="77777777" w:rsidR="004C62A3" w:rsidRPr="00E071BB" w:rsidRDefault="004C62A3" w:rsidP="00A4123D">
      <w:pPr>
        <w:rPr>
          <w:rFonts w:ascii="Arial" w:hAnsi="Arial" w:cs="Arial"/>
        </w:rPr>
      </w:pPr>
      <w:r w:rsidRPr="00E071BB">
        <w:rPr>
          <w:rFonts w:ascii="Arial" w:hAnsi="Arial" w:cs="Arial"/>
        </w:rPr>
        <w:t>Wyatt, M. (2026). High-Performing Organizations Need Execution Alignment. Forbes. 5 Jan. Available at: https://www.forbes.com/councils/forbesbusinesscouncil/2026/01/05/strategic-thinking-isnt-enough-why-execution-alignment-defines-the-future-of-high-performing-organizations/ [Accessed 1</w:t>
      </w:r>
      <w:r w:rsidRPr="00E071BB">
        <w:rPr>
          <w:rFonts w:ascii="Arial" w:hAnsi="Arial" w:cs="Arial"/>
        </w:rPr>
        <w:t>2</w:t>
      </w:r>
      <w:r w:rsidRPr="00E071BB">
        <w:rPr>
          <w:rFonts w:ascii="Arial" w:hAnsi="Arial" w:cs="Arial"/>
        </w:rPr>
        <w:t xml:space="preserve"> July 2026].</w:t>
      </w:r>
    </w:p>
    <w:p w14:paraId="7D7BA429" w14:textId="77777777" w:rsidR="004C62A3" w:rsidRPr="00E071BB" w:rsidRDefault="004C62A3" w:rsidP="00A4123D">
      <w:pPr>
        <w:rPr>
          <w:rFonts w:ascii="Arial" w:hAnsi="Arial" w:cs="Arial"/>
        </w:rPr>
      </w:pPr>
      <w:r w:rsidRPr="00E071BB">
        <w:rPr>
          <w:rFonts w:ascii="Arial" w:hAnsi="Arial" w:cs="Arial"/>
        </w:rPr>
        <w:t>Xiong, W., Wu, D.D. and Yeung, J.H., 2025. Semiconductor supply chain resilience and disruption: insights, mitigation, and future directions. International Journal of Production Research, 63(9), pp.3442-3465.</w:t>
      </w:r>
    </w:p>
    <w:sectPr w:rsidR="004C62A3" w:rsidRPr="00E071BB" w:rsidSect="00F2512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F78EA"/>
    <w:multiLevelType w:val="hybridMultilevel"/>
    <w:tmpl w:val="1A5CC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37EA1"/>
    <w:multiLevelType w:val="hybridMultilevel"/>
    <w:tmpl w:val="50344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00112"/>
    <w:multiLevelType w:val="hybridMultilevel"/>
    <w:tmpl w:val="5E380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65BBF"/>
    <w:multiLevelType w:val="hybridMultilevel"/>
    <w:tmpl w:val="E1ECA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C4C42"/>
    <w:multiLevelType w:val="hybridMultilevel"/>
    <w:tmpl w:val="B04A8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2C01E2"/>
    <w:multiLevelType w:val="hybridMultilevel"/>
    <w:tmpl w:val="BCC69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A63067"/>
    <w:multiLevelType w:val="hybridMultilevel"/>
    <w:tmpl w:val="2A3E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859C2"/>
    <w:multiLevelType w:val="hybridMultilevel"/>
    <w:tmpl w:val="42A07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4978B2"/>
    <w:multiLevelType w:val="hybridMultilevel"/>
    <w:tmpl w:val="24042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BE3E9D"/>
    <w:multiLevelType w:val="hybridMultilevel"/>
    <w:tmpl w:val="C0D41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842AF"/>
    <w:multiLevelType w:val="hybridMultilevel"/>
    <w:tmpl w:val="096A9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677558">
    <w:abstractNumId w:val="7"/>
  </w:num>
  <w:num w:numId="2" w16cid:durableId="1969044579">
    <w:abstractNumId w:val="10"/>
  </w:num>
  <w:num w:numId="3" w16cid:durableId="634918766">
    <w:abstractNumId w:val="1"/>
  </w:num>
  <w:num w:numId="4" w16cid:durableId="772360804">
    <w:abstractNumId w:val="3"/>
  </w:num>
  <w:num w:numId="5" w16cid:durableId="1241915001">
    <w:abstractNumId w:val="8"/>
  </w:num>
  <w:num w:numId="6" w16cid:durableId="1476557739">
    <w:abstractNumId w:val="6"/>
  </w:num>
  <w:num w:numId="7" w16cid:durableId="1162165138">
    <w:abstractNumId w:val="2"/>
  </w:num>
  <w:num w:numId="8" w16cid:durableId="1145583189">
    <w:abstractNumId w:val="0"/>
  </w:num>
  <w:num w:numId="9" w16cid:durableId="355271160">
    <w:abstractNumId w:val="4"/>
  </w:num>
  <w:num w:numId="10" w16cid:durableId="77868704">
    <w:abstractNumId w:val="9"/>
  </w:num>
  <w:num w:numId="11" w16cid:durableId="15451745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9D0"/>
    <w:rsid w:val="0003644D"/>
    <w:rsid w:val="000371D9"/>
    <w:rsid w:val="000857DF"/>
    <w:rsid w:val="000A77D6"/>
    <w:rsid w:val="000B3BA0"/>
    <w:rsid w:val="000B601F"/>
    <w:rsid w:val="000C62A1"/>
    <w:rsid w:val="000F19AB"/>
    <w:rsid w:val="00122B17"/>
    <w:rsid w:val="00134772"/>
    <w:rsid w:val="00140AAC"/>
    <w:rsid w:val="00144EDE"/>
    <w:rsid w:val="001514DB"/>
    <w:rsid w:val="001667EB"/>
    <w:rsid w:val="00191323"/>
    <w:rsid w:val="00196C9E"/>
    <w:rsid w:val="001B2478"/>
    <w:rsid w:val="001C40F4"/>
    <w:rsid w:val="001C5F98"/>
    <w:rsid w:val="001D76D8"/>
    <w:rsid w:val="001E72E2"/>
    <w:rsid w:val="00214B5E"/>
    <w:rsid w:val="002213B6"/>
    <w:rsid w:val="0022721D"/>
    <w:rsid w:val="002309F9"/>
    <w:rsid w:val="00237D58"/>
    <w:rsid w:val="0024037B"/>
    <w:rsid w:val="00252387"/>
    <w:rsid w:val="0025451E"/>
    <w:rsid w:val="00277173"/>
    <w:rsid w:val="0027781F"/>
    <w:rsid w:val="002967BD"/>
    <w:rsid w:val="002A2399"/>
    <w:rsid w:val="002A4629"/>
    <w:rsid w:val="002B4A43"/>
    <w:rsid w:val="002B5A9B"/>
    <w:rsid w:val="002C000B"/>
    <w:rsid w:val="002D226D"/>
    <w:rsid w:val="00303D56"/>
    <w:rsid w:val="00303DBB"/>
    <w:rsid w:val="00310AA1"/>
    <w:rsid w:val="00345092"/>
    <w:rsid w:val="00346085"/>
    <w:rsid w:val="003522C0"/>
    <w:rsid w:val="003727F2"/>
    <w:rsid w:val="003747E3"/>
    <w:rsid w:val="003802E3"/>
    <w:rsid w:val="00382BA2"/>
    <w:rsid w:val="003877AF"/>
    <w:rsid w:val="003A3452"/>
    <w:rsid w:val="003A5890"/>
    <w:rsid w:val="003A70A7"/>
    <w:rsid w:val="003D212E"/>
    <w:rsid w:val="003E4785"/>
    <w:rsid w:val="003F2254"/>
    <w:rsid w:val="003F687E"/>
    <w:rsid w:val="00453BF3"/>
    <w:rsid w:val="00456B13"/>
    <w:rsid w:val="00462720"/>
    <w:rsid w:val="004827C8"/>
    <w:rsid w:val="00483B61"/>
    <w:rsid w:val="004B0675"/>
    <w:rsid w:val="004B126F"/>
    <w:rsid w:val="004B2D1D"/>
    <w:rsid w:val="004B4AF4"/>
    <w:rsid w:val="004C5231"/>
    <w:rsid w:val="004C5C5B"/>
    <w:rsid w:val="004C62A3"/>
    <w:rsid w:val="004C6A76"/>
    <w:rsid w:val="004C72D7"/>
    <w:rsid w:val="004C75D0"/>
    <w:rsid w:val="00506FCA"/>
    <w:rsid w:val="00510A94"/>
    <w:rsid w:val="0051701E"/>
    <w:rsid w:val="005172DC"/>
    <w:rsid w:val="00552951"/>
    <w:rsid w:val="00591074"/>
    <w:rsid w:val="005A4B3F"/>
    <w:rsid w:val="005B0848"/>
    <w:rsid w:val="005B3585"/>
    <w:rsid w:val="005D1BE3"/>
    <w:rsid w:val="005E424E"/>
    <w:rsid w:val="00617CD4"/>
    <w:rsid w:val="00622217"/>
    <w:rsid w:val="00630AD0"/>
    <w:rsid w:val="00635D47"/>
    <w:rsid w:val="00636771"/>
    <w:rsid w:val="0064570D"/>
    <w:rsid w:val="00673B67"/>
    <w:rsid w:val="00685600"/>
    <w:rsid w:val="00692F02"/>
    <w:rsid w:val="00694DD2"/>
    <w:rsid w:val="006A7ACC"/>
    <w:rsid w:val="006A7DE6"/>
    <w:rsid w:val="006B5A1B"/>
    <w:rsid w:val="006D1FD7"/>
    <w:rsid w:val="006D2BED"/>
    <w:rsid w:val="006D711D"/>
    <w:rsid w:val="00721CB8"/>
    <w:rsid w:val="00722770"/>
    <w:rsid w:val="007370F7"/>
    <w:rsid w:val="007501A3"/>
    <w:rsid w:val="0077471A"/>
    <w:rsid w:val="00797E64"/>
    <w:rsid w:val="007C2501"/>
    <w:rsid w:val="007C79C4"/>
    <w:rsid w:val="007D66BC"/>
    <w:rsid w:val="007E0EA2"/>
    <w:rsid w:val="007E31C8"/>
    <w:rsid w:val="007E7859"/>
    <w:rsid w:val="00802850"/>
    <w:rsid w:val="00814950"/>
    <w:rsid w:val="0081651F"/>
    <w:rsid w:val="00816DCF"/>
    <w:rsid w:val="00827B5B"/>
    <w:rsid w:val="0084615D"/>
    <w:rsid w:val="0084698C"/>
    <w:rsid w:val="00864978"/>
    <w:rsid w:val="008A79B2"/>
    <w:rsid w:val="008B714F"/>
    <w:rsid w:val="008C7C25"/>
    <w:rsid w:val="008D3239"/>
    <w:rsid w:val="008D4D2C"/>
    <w:rsid w:val="008D7F7A"/>
    <w:rsid w:val="008F0395"/>
    <w:rsid w:val="009152FC"/>
    <w:rsid w:val="009305A0"/>
    <w:rsid w:val="00930BBB"/>
    <w:rsid w:val="00936B20"/>
    <w:rsid w:val="00944221"/>
    <w:rsid w:val="009445E4"/>
    <w:rsid w:val="00954109"/>
    <w:rsid w:val="009648FB"/>
    <w:rsid w:val="00966E0C"/>
    <w:rsid w:val="00990B07"/>
    <w:rsid w:val="00990B85"/>
    <w:rsid w:val="00992B77"/>
    <w:rsid w:val="00996074"/>
    <w:rsid w:val="009C0472"/>
    <w:rsid w:val="009E1667"/>
    <w:rsid w:val="009E2616"/>
    <w:rsid w:val="009F4D3B"/>
    <w:rsid w:val="00A056C9"/>
    <w:rsid w:val="00A15C5B"/>
    <w:rsid w:val="00A23B14"/>
    <w:rsid w:val="00A4123D"/>
    <w:rsid w:val="00A5625B"/>
    <w:rsid w:val="00AA3C50"/>
    <w:rsid w:val="00AB086D"/>
    <w:rsid w:val="00AB18EC"/>
    <w:rsid w:val="00AB49FA"/>
    <w:rsid w:val="00AC1872"/>
    <w:rsid w:val="00AF2F2F"/>
    <w:rsid w:val="00B027B8"/>
    <w:rsid w:val="00B1300F"/>
    <w:rsid w:val="00B15DC4"/>
    <w:rsid w:val="00B37850"/>
    <w:rsid w:val="00B476BA"/>
    <w:rsid w:val="00B53FAA"/>
    <w:rsid w:val="00B54308"/>
    <w:rsid w:val="00B616F7"/>
    <w:rsid w:val="00B65177"/>
    <w:rsid w:val="00B71C21"/>
    <w:rsid w:val="00B852D1"/>
    <w:rsid w:val="00B878FA"/>
    <w:rsid w:val="00BC731A"/>
    <w:rsid w:val="00BD5836"/>
    <w:rsid w:val="00BD68C4"/>
    <w:rsid w:val="00BE38A8"/>
    <w:rsid w:val="00C070F1"/>
    <w:rsid w:val="00C463C1"/>
    <w:rsid w:val="00CA1AE7"/>
    <w:rsid w:val="00CB10BB"/>
    <w:rsid w:val="00CB604C"/>
    <w:rsid w:val="00CC7C8B"/>
    <w:rsid w:val="00CD2D86"/>
    <w:rsid w:val="00CE093C"/>
    <w:rsid w:val="00CF1740"/>
    <w:rsid w:val="00CF3C2E"/>
    <w:rsid w:val="00D039CE"/>
    <w:rsid w:val="00D03E77"/>
    <w:rsid w:val="00D31FD1"/>
    <w:rsid w:val="00D32D30"/>
    <w:rsid w:val="00D34B24"/>
    <w:rsid w:val="00D351C7"/>
    <w:rsid w:val="00D465A3"/>
    <w:rsid w:val="00D4757E"/>
    <w:rsid w:val="00D51D4E"/>
    <w:rsid w:val="00D62AE4"/>
    <w:rsid w:val="00D65156"/>
    <w:rsid w:val="00D87EF0"/>
    <w:rsid w:val="00D91F4D"/>
    <w:rsid w:val="00DA1BB9"/>
    <w:rsid w:val="00DA56AF"/>
    <w:rsid w:val="00DE3244"/>
    <w:rsid w:val="00DE691F"/>
    <w:rsid w:val="00DF4D42"/>
    <w:rsid w:val="00E071BB"/>
    <w:rsid w:val="00E15E66"/>
    <w:rsid w:val="00E401C7"/>
    <w:rsid w:val="00E43FE5"/>
    <w:rsid w:val="00E45715"/>
    <w:rsid w:val="00E46874"/>
    <w:rsid w:val="00E52915"/>
    <w:rsid w:val="00E65971"/>
    <w:rsid w:val="00E85939"/>
    <w:rsid w:val="00E85B54"/>
    <w:rsid w:val="00E924AB"/>
    <w:rsid w:val="00E928F8"/>
    <w:rsid w:val="00EB3B84"/>
    <w:rsid w:val="00EB52D9"/>
    <w:rsid w:val="00EC2032"/>
    <w:rsid w:val="00EC49D0"/>
    <w:rsid w:val="00ED62A1"/>
    <w:rsid w:val="00EF209E"/>
    <w:rsid w:val="00F249BD"/>
    <w:rsid w:val="00F249D7"/>
    <w:rsid w:val="00F2512B"/>
    <w:rsid w:val="00F43390"/>
    <w:rsid w:val="00F55454"/>
    <w:rsid w:val="00F631E9"/>
    <w:rsid w:val="00F64E90"/>
    <w:rsid w:val="00F67851"/>
    <w:rsid w:val="00F81961"/>
    <w:rsid w:val="00F83758"/>
    <w:rsid w:val="00F87FCB"/>
    <w:rsid w:val="00FC6918"/>
    <w:rsid w:val="00FD1700"/>
    <w:rsid w:val="00FD24DA"/>
    <w:rsid w:val="00FD4617"/>
    <w:rsid w:val="00FE0EE3"/>
    <w:rsid w:val="00FF5AC9"/>
    <w:rsid w:val="00FF6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9D9B1"/>
  <w15:chartTrackingRefBased/>
  <w15:docId w15:val="{815899E1-7917-421E-ADBD-F224234B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9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49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49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9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9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9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9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9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9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9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49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49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9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9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9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9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9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9D0"/>
    <w:rPr>
      <w:rFonts w:eastAsiaTheme="majorEastAsia" w:cstheme="majorBidi"/>
      <w:color w:val="272727" w:themeColor="text1" w:themeTint="D8"/>
    </w:rPr>
  </w:style>
  <w:style w:type="paragraph" w:styleId="Title">
    <w:name w:val="Title"/>
    <w:basedOn w:val="Normal"/>
    <w:next w:val="Normal"/>
    <w:link w:val="TitleChar"/>
    <w:uiPriority w:val="10"/>
    <w:qFormat/>
    <w:rsid w:val="00EC49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9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9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9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9D0"/>
    <w:pPr>
      <w:spacing w:before="160"/>
      <w:jc w:val="center"/>
    </w:pPr>
    <w:rPr>
      <w:i/>
      <w:iCs/>
      <w:color w:val="404040" w:themeColor="text1" w:themeTint="BF"/>
    </w:rPr>
  </w:style>
  <w:style w:type="character" w:customStyle="1" w:styleId="QuoteChar">
    <w:name w:val="Quote Char"/>
    <w:basedOn w:val="DefaultParagraphFont"/>
    <w:link w:val="Quote"/>
    <w:uiPriority w:val="29"/>
    <w:rsid w:val="00EC49D0"/>
    <w:rPr>
      <w:i/>
      <w:iCs/>
      <w:color w:val="404040" w:themeColor="text1" w:themeTint="BF"/>
    </w:rPr>
  </w:style>
  <w:style w:type="paragraph" w:styleId="ListParagraph">
    <w:name w:val="List Paragraph"/>
    <w:basedOn w:val="Normal"/>
    <w:uiPriority w:val="34"/>
    <w:qFormat/>
    <w:rsid w:val="00EC49D0"/>
    <w:pPr>
      <w:ind w:left="720"/>
      <w:contextualSpacing/>
    </w:pPr>
  </w:style>
  <w:style w:type="character" w:styleId="IntenseEmphasis">
    <w:name w:val="Intense Emphasis"/>
    <w:basedOn w:val="DefaultParagraphFont"/>
    <w:uiPriority w:val="21"/>
    <w:qFormat/>
    <w:rsid w:val="00EC49D0"/>
    <w:rPr>
      <w:i/>
      <w:iCs/>
      <w:color w:val="0F4761" w:themeColor="accent1" w:themeShade="BF"/>
    </w:rPr>
  </w:style>
  <w:style w:type="paragraph" w:styleId="IntenseQuote">
    <w:name w:val="Intense Quote"/>
    <w:basedOn w:val="Normal"/>
    <w:next w:val="Normal"/>
    <w:link w:val="IntenseQuoteChar"/>
    <w:uiPriority w:val="30"/>
    <w:qFormat/>
    <w:rsid w:val="00EC49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9D0"/>
    <w:rPr>
      <w:i/>
      <w:iCs/>
      <w:color w:val="0F4761" w:themeColor="accent1" w:themeShade="BF"/>
    </w:rPr>
  </w:style>
  <w:style w:type="character" w:styleId="IntenseReference">
    <w:name w:val="Intense Reference"/>
    <w:basedOn w:val="DefaultParagraphFont"/>
    <w:uiPriority w:val="32"/>
    <w:qFormat/>
    <w:rsid w:val="00EC49D0"/>
    <w:rPr>
      <w:b/>
      <w:bCs/>
      <w:smallCaps/>
      <w:color w:val="0F4761" w:themeColor="accent1" w:themeShade="BF"/>
      <w:spacing w:val="5"/>
    </w:rPr>
  </w:style>
  <w:style w:type="paragraph" w:styleId="TOCHeading">
    <w:name w:val="TOC Heading"/>
    <w:basedOn w:val="Heading1"/>
    <w:next w:val="Normal"/>
    <w:uiPriority w:val="39"/>
    <w:unhideWhenUsed/>
    <w:qFormat/>
    <w:rsid w:val="0086497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64978"/>
    <w:pPr>
      <w:spacing w:after="100"/>
    </w:pPr>
  </w:style>
  <w:style w:type="paragraph" w:styleId="TOC2">
    <w:name w:val="toc 2"/>
    <w:basedOn w:val="Normal"/>
    <w:next w:val="Normal"/>
    <w:autoRedefine/>
    <w:uiPriority w:val="39"/>
    <w:unhideWhenUsed/>
    <w:rsid w:val="00864978"/>
    <w:pPr>
      <w:spacing w:after="100"/>
      <w:ind w:left="220"/>
    </w:pPr>
  </w:style>
  <w:style w:type="character" w:styleId="Hyperlink">
    <w:name w:val="Hyperlink"/>
    <w:basedOn w:val="DefaultParagraphFont"/>
    <w:uiPriority w:val="99"/>
    <w:unhideWhenUsed/>
    <w:rsid w:val="00864978"/>
    <w:rPr>
      <w:color w:val="467886" w:themeColor="hyperlink"/>
      <w:u w:val="single"/>
    </w:rPr>
  </w:style>
  <w:style w:type="paragraph" w:styleId="NoSpacing">
    <w:name w:val="No Spacing"/>
    <w:link w:val="NoSpacingChar"/>
    <w:uiPriority w:val="1"/>
    <w:qFormat/>
    <w:rsid w:val="00F2512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2512B"/>
    <w:rPr>
      <w:rFonts w:eastAsiaTheme="minorEastAsia"/>
      <w:kern w:val="0"/>
      <w:lang w:val="en-US"/>
      <w14:ligatures w14:val="none"/>
    </w:rPr>
  </w:style>
  <w:style w:type="paragraph" w:styleId="TOC3">
    <w:name w:val="toc 3"/>
    <w:basedOn w:val="Normal"/>
    <w:next w:val="Normal"/>
    <w:autoRedefine/>
    <w:uiPriority w:val="39"/>
    <w:unhideWhenUsed/>
    <w:rsid w:val="0063677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99A76D-B4AB-44E9-A5C1-F7FBB36D0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2975</TotalTime>
  <Pages>19</Pages>
  <Words>6096</Words>
  <Characters>42615</Characters>
  <Application>Microsoft Office Word</Application>
  <DocSecurity>0</DocSecurity>
  <Lines>676</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STRATEGIC CHANGE PLAN</dc:title>
  <dc:subject>Module: Leading and Implementing Change (LCLM6003) Assignment Title: Lecturer: Taonga Kaonga Sobere-Snithers</dc:subject>
  <dc:creator>Ashfiq Hussain (2323532)</dc:creator>
  <cp:keywords/>
  <dc:description/>
  <cp:lastModifiedBy>Ashfiq Hussain (2323532)</cp:lastModifiedBy>
  <cp:revision>226</cp:revision>
  <dcterms:created xsi:type="dcterms:W3CDTF">2026-07-11T13:07:00Z</dcterms:created>
  <dcterms:modified xsi:type="dcterms:W3CDTF">2026-07-13T14:51:00Z</dcterms:modified>
</cp:coreProperties>
</file>