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783481" w14:textId="77777777" w:rsidR="007969CA" w:rsidRPr="00DD65B4" w:rsidRDefault="007969CA" w:rsidP="007969CA">
      <w:pPr>
        <w:rPr>
          <w:b/>
          <w:bCs/>
          <w:u w:val="single"/>
        </w:rPr>
      </w:pPr>
    </w:p>
    <w:p w14:paraId="235E31C5" w14:textId="66246FF1" w:rsidR="006B1810" w:rsidRDefault="007969CA" w:rsidP="00CA52CF">
      <w:pPr>
        <w:ind w:left="2880"/>
        <w:rPr>
          <w:b/>
          <w:bCs/>
          <w:u w:val="single"/>
        </w:rPr>
      </w:pPr>
      <w:r w:rsidRPr="00973B52">
        <w:rPr>
          <w:b/>
          <w:bCs/>
          <w:u w:val="single"/>
        </w:rPr>
        <w:t xml:space="preserve">Task 3 - Safeguarding </w:t>
      </w:r>
    </w:p>
    <w:p w14:paraId="74D24ECE" w14:textId="2BE30B02" w:rsidR="007969CA" w:rsidRPr="007A487D" w:rsidRDefault="00215C48" w:rsidP="007969CA">
      <w:pPr>
        <w:rPr>
          <w:b/>
          <w:bCs/>
        </w:rPr>
      </w:pPr>
      <w:r w:rsidRPr="007A487D">
        <w:rPr>
          <w:b/>
          <w:bCs/>
        </w:rPr>
        <w:t xml:space="preserve">Complete a critically reflective case study based on an assessment that you have undertaken with others, in your own area of work, concerning the safeguarding of either an adult or a child. You must demonstrate how the case relates to or could relate to safeguarding legislation, policies, strategies and procedures (including demonstrating an understanding of the interface between social services provision in Wales with the United Kingdom, the European Union (EU) and outside the EU). You must demonstrate your understanding of the integration of analysis in assessment, collaborative working and professional judgements in increasingly complex situations and the use of social work theories. You must refer to the specific dimensions of working in Wales. </w:t>
      </w:r>
    </w:p>
    <w:p w14:paraId="5340BD16" w14:textId="77777777" w:rsidR="00545D58" w:rsidRPr="00545D58" w:rsidRDefault="00545D58" w:rsidP="004C2AF0"/>
    <w:p w14:paraId="5B452A22" w14:textId="77777777" w:rsidR="007A487D" w:rsidRDefault="007A487D" w:rsidP="007A487D">
      <w:pPr>
        <w:spacing w:after="0" w:line="360" w:lineRule="auto"/>
        <w:jc w:val="both"/>
        <w:rPr>
          <w:rFonts w:ascii="Arial" w:hAnsi="Arial" w:cs="Arial"/>
        </w:rPr>
      </w:pPr>
      <w:r w:rsidRPr="00426ACB">
        <w:rPr>
          <w:rFonts w:ascii="Arial" w:hAnsi="Arial" w:cs="Arial"/>
        </w:rPr>
        <w:t>The purpose of this assignment is to look at safeguarding in the area of social work that I am employed. Due to me being a Duty Social Worker working in a children’s services team, this assignment will focus on social work in the context of child protection.</w:t>
      </w:r>
    </w:p>
    <w:p w14:paraId="076E49EC" w14:textId="77777777" w:rsidR="007A487D" w:rsidRDefault="007A487D" w:rsidP="007A487D">
      <w:pPr>
        <w:spacing w:after="0" w:line="360" w:lineRule="auto"/>
        <w:jc w:val="both"/>
        <w:rPr>
          <w:rFonts w:ascii="Arial" w:hAnsi="Arial" w:cs="Arial"/>
        </w:rPr>
      </w:pPr>
      <w:r w:rsidRPr="007F38B4">
        <w:rPr>
          <w:rFonts w:ascii="Arial" w:hAnsi="Arial" w:cs="Arial"/>
        </w:rPr>
        <w:t xml:space="preserve"> </w:t>
      </w:r>
      <w:r w:rsidRPr="00426ACB">
        <w:rPr>
          <w:rFonts w:ascii="Arial" w:hAnsi="Arial" w:cs="Arial"/>
        </w:rPr>
        <w:t>Within this assessment I will critically reflect upon a case I was assigned. I will also incorporate my knowledge of Welsh, United Kingdom, European and Non-European legislations, that I am duty bound to adhere to whilst working within Wales.  I will make links from the case study to social work theory and how it was relevant to the case, whilst highlighting the importance of working in collaboration with others including family and professionals.</w:t>
      </w:r>
    </w:p>
    <w:p w14:paraId="2D16A7F8" w14:textId="1A23240D" w:rsidR="007A487D" w:rsidRDefault="007A487D" w:rsidP="007A487D">
      <w:pPr>
        <w:spacing w:after="0" w:line="360" w:lineRule="auto"/>
        <w:jc w:val="both"/>
        <w:rPr>
          <w:rFonts w:ascii="Arial" w:hAnsi="Arial" w:cs="Arial"/>
        </w:rPr>
      </w:pPr>
      <w:r>
        <w:rPr>
          <w:rFonts w:ascii="Arial" w:hAnsi="Arial" w:cs="Arial"/>
        </w:rPr>
        <w:t xml:space="preserve">  </w:t>
      </w:r>
      <w:r w:rsidRPr="00426ACB">
        <w:rPr>
          <w:rFonts w:ascii="Arial" w:hAnsi="Arial" w:cs="Arial"/>
        </w:rPr>
        <w:t>To do this I will focus on an assessment I undertook alongside a 16-year-old young person, who had been told by their parent that they were no longer able to reside within their family home, and at risk of homelessness.</w:t>
      </w:r>
      <w:r w:rsidRPr="002F6D24">
        <w:rPr>
          <w:rFonts w:ascii="Arial" w:hAnsi="Arial" w:cs="Arial"/>
        </w:rPr>
        <w:t xml:space="preserve"> </w:t>
      </w:r>
    </w:p>
    <w:p w14:paraId="5936A8A3" w14:textId="77777777" w:rsidR="007A487D" w:rsidRPr="002F6D24" w:rsidRDefault="007A487D" w:rsidP="007A487D">
      <w:pPr>
        <w:spacing w:after="0" w:line="360" w:lineRule="auto"/>
        <w:jc w:val="both"/>
        <w:rPr>
          <w:rFonts w:ascii="Arial" w:hAnsi="Arial" w:cs="Arial"/>
        </w:rPr>
      </w:pPr>
      <w:r w:rsidRPr="00426ACB">
        <w:rPr>
          <w:rFonts w:ascii="Arial" w:hAnsi="Arial" w:cs="Arial"/>
        </w:rPr>
        <w:t>The case highlighted concerns regarding neglect, emotional harm, parental responsibility, and the local authority's duty to safeguard and promote the young person's wellbeing. This case study will critically analyse the assessment process, professional judgement, multi-agency working, relevant legislation, policy, and theory within the context of social work practice in Wales.</w:t>
      </w:r>
    </w:p>
    <w:p w14:paraId="20F0635D" w14:textId="77777777" w:rsidR="007A487D" w:rsidRDefault="007A487D" w:rsidP="007A487D">
      <w:pPr>
        <w:spacing w:after="0" w:line="360" w:lineRule="auto"/>
        <w:jc w:val="both"/>
        <w:rPr>
          <w:rFonts w:ascii="Arial" w:hAnsi="Arial" w:cs="Arial"/>
        </w:rPr>
      </w:pPr>
      <w:r w:rsidRPr="00054B99">
        <w:rPr>
          <w:rFonts w:ascii="Arial" w:hAnsi="Arial" w:cs="Arial"/>
        </w:rPr>
        <w:t xml:space="preserve">As a Social Worker, working within a Welsh children’s services. It is my duty to work in collaboration with members of the public and professionals to undertake initial </w:t>
      </w:r>
      <w:r w:rsidRPr="00054B99">
        <w:rPr>
          <w:rFonts w:ascii="Arial" w:hAnsi="Arial" w:cs="Arial"/>
        </w:rPr>
        <w:lastRenderedPageBreak/>
        <w:t>assessments for</w:t>
      </w:r>
      <w:r w:rsidRPr="00054B99">
        <w:rPr>
          <w:rFonts w:ascii="Arial" w:hAnsi="Arial" w:cs="Arial"/>
          <w:lang w:val="en"/>
        </w:rPr>
        <w:t xml:space="preserve"> families and young people, who may require non statutory early intervention, or statutory care and support</w:t>
      </w:r>
      <w:r w:rsidRPr="00054B99">
        <w:rPr>
          <w:rFonts w:ascii="Arial" w:hAnsi="Arial" w:cs="Arial"/>
        </w:rPr>
        <w:t>.</w:t>
      </w:r>
    </w:p>
    <w:p w14:paraId="41209AB6" w14:textId="77777777" w:rsidR="007A487D" w:rsidRPr="006140C7" w:rsidRDefault="007A487D" w:rsidP="007A487D">
      <w:pPr>
        <w:spacing w:after="0" w:line="360" w:lineRule="auto"/>
        <w:jc w:val="both"/>
        <w:rPr>
          <w:rFonts w:ascii="Arial" w:hAnsi="Arial" w:cs="Arial"/>
        </w:rPr>
      </w:pPr>
      <w:r w:rsidRPr="00054B99">
        <w:rPr>
          <w:rFonts w:ascii="Arial" w:hAnsi="Arial" w:cs="Arial"/>
        </w:rPr>
        <w:t>Social work in Wales is a devolved function, like the other three nations of the United Kingdom, Wales produces its own legislative and policy guidance in relation to social care. The key legislations within Wales are, the Social Services and Well-Being Act (Wales) 2014, the Wales Safeguarding Procedures, The Welsh Language (Wales) Measure 2011, and the More than just words and Active Offer, which are policy and guidance documents that clarify how Welsh language rights should be implemented in health and social care services in Wales (Social Care Wales, 2022).</w:t>
      </w:r>
    </w:p>
    <w:p w14:paraId="06F49DD4" w14:textId="77777777" w:rsidR="007A487D" w:rsidRPr="00415D0D" w:rsidRDefault="007A487D" w:rsidP="007A487D">
      <w:pPr>
        <w:spacing w:after="0" w:line="360" w:lineRule="auto"/>
        <w:jc w:val="both"/>
        <w:rPr>
          <w:rFonts w:ascii="Arial" w:hAnsi="Arial" w:cs="Arial"/>
        </w:rPr>
      </w:pPr>
      <w:r w:rsidRPr="00054B99">
        <w:rPr>
          <w:rFonts w:ascii="Arial" w:hAnsi="Arial" w:cs="Arial"/>
        </w:rPr>
        <w:t>The Social Services and Well-being (Wales) Act 2014 (SSWBA) despite being legislation in Wales, remains strongly aligned with the principles of the Children Act 1989 and combines Welsh and United Kingdom principles together with international human rights frameworks and agreements (SSWBA ,2014).</w:t>
      </w:r>
    </w:p>
    <w:p w14:paraId="7157781F" w14:textId="77777777" w:rsidR="007A487D" w:rsidRPr="00F8026D" w:rsidRDefault="007A487D" w:rsidP="007A487D">
      <w:pPr>
        <w:spacing w:after="0" w:line="360" w:lineRule="auto"/>
        <w:jc w:val="both"/>
        <w:rPr>
          <w:rFonts w:ascii="Arial" w:hAnsi="Arial" w:cs="Arial"/>
          <w:color w:val="FF0000"/>
        </w:rPr>
      </w:pPr>
      <w:r w:rsidRPr="00054B99">
        <w:rPr>
          <w:rFonts w:ascii="Arial" w:hAnsi="Arial" w:cs="Arial"/>
        </w:rPr>
        <w:t>The Social Services and Well-being (Wales) Act 2014 mirrors a rights-based approach which are consistent with the United Nations Convention on the Rights of the Child (UNCRC), an international human rights treaty comprising of 54 articles that establish children's rights and shape the responsibilities of governments in making sure those rights are realised for all children (Save the Children, 2025).</w:t>
      </w:r>
      <w:r w:rsidRPr="00F804DC">
        <w:rPr>
          <w:rFonts w:ascii="Arial" w:hAnsi="Arial" w:cs="Arial"/>
        </w:rPr>
        <w:t xml:space="preserve"> </w:t>
      </w:r>
    </w:p>
    <w:p w14:paraId="43A8409C" w14:textId="77777777" w:rsidR="007A487D" w:rsidRDefault="007A487D" w:rsidP="007A487D">
      <w:pPr>
        <w:spacing w:after="0" w:line="360" w:lineRule="auto"/>
        <w:jc w:val="both"/>
        <w:rPr>
          <w:rFonts w:ascii="Arial" w:hAnsi="Arial" w:cs="Arial"/>
          <w:color w:val="0D0D0D" w:themeColor="text1" w:themeTint="F2"/>
          <w:lang w:val="en"/>
        </w:rPr>
      </w:pPr>
      <w:r w:rsidRPr="00054B99">
        <w:rPr>
          <w:rFonts w:ascii="Arial" w:hAnsi="Arial" w:cs="Arial"/>
        </w:rPr>
        <w:t xml:space="preserve">As well as having knowledge of Welsh legislation and international treaties, due to regular </w:t>
      </w:r>
      <w:r w:rsidRPr="00054B99">
        <w:rPr>
          <w:rFonts w:ascii="Arial" w:hAnsi="Arial" w:cs="Arial"/>
          <w:lang w:val="en"/>
        </w:rPr>
        <w:t xml:space="preserve">cross-border working with other local authorities and agencies, it has been critical within my role, to have knowledge of other UK countries child protection legislations, such as </w:t>
      </w:r>
      <w:r w:rsidRPr="00054B99">
        <w:rPr>
          <w:rFonts w:ascii="Arial" w:hAnsi="Arial" w:cs="Arial"/>
          <w:color w:val="0D0D0D" w:themeColor="text1" w:themeTint="F2"/>
          <w:lang w:val="en"/>
        </w:rPr>
        <w:t>England’s The Childrens Act 1998, Scotland’s Children and Young People Act 2014, and The Children (Northern Ireland) Order 1995, to support my work.</w:t>
      </w:r>
    </w:p>
    <w:p w14:paraId="6F3EA7CF" w14:textId="77777777" w:rsidR="007A487D" w:rsidRPr="00054B99" w:rsidRDefault="007A487D" w:rsidP="007A487D">
      <w:pPr>
        <w:spacing w:after="0" w:line="360" w:lineRule="auto"/>
        <w:jc w:val="both"/>
        <w:rPr>
          <w:rFonts w:ascii="Arial" w:hAnsi="Arial" w:cs="Arial"/>
          <w:lang w:val="en"/>
        </w:rPr>
      </w:pPr>
    </w:p>
    <w:p w14:paraId="28C38A8C" w14:textId="77777777" w:rsidR="007A487D" w:rsidRPr="007A487D" w:rsidRDefault="007A487D" w:rsidP="007A487D">
      <w:pPr>
        <w:spacing w:after="0" w:line="360" w:lineRule="auto"/>
        <w:jc w:val="both"/>
        <w:rPr>
          <w:rFonts w:ascii="Arial" w:hAnsi="Arial" w:cs="Arial"/>
          <w:b/>
          <w:bCs/>
        </w:rPr>
      </w:pPr>
      <w:r w:rsidRPr="007A487D">
        <w:rPr>
          <w:rFonts w:ascii="Arial" w:hAnsi="Arial" w:cs="Arial"/>
          <w:b/>
          <w:bCs/>
        </w:rPr>
        <w:t xml:space="preserve">To ensure confidentiality throughout this case study, the young person will be known as 5, with their parents known as 6 and 7. </w:t>
      </w:r>
    </w:p>
    <w:p w14:paraId="3368A735" w14:textId="77777777" w:rsidR="007A487D" w:rsidRPr="00054B99" w:rsidRDefault="007A487D" w:rsidP="007A487D">
      <w:pPr>
        <w:spacing w:after="0" w:line="360" w:lineRule="auto"/>
        <w:jc w:val="both"/>
        <w:rPr>
          <w:rFonts w:ascii="Arial" w:hAnsi="Arial" w:cs="Arial"/>
        </w:rPr>
      </w:pPr>
    </w:p>
    <w:p w14:paraId="70A6E995" w14:textId="77777777" w:rsidR="007A487D" w:rsidRPr="00D81A50" w:rsidRDefault="007A487D" w:rsidP="007A487D">
      <w:pPr>
        <w:spacing w:after="0" w:line="360" w:lineRule="auto"/>
        <w:jc w:val="both"/>
        <w:rPr>
          <w:rFonts w:ascii="Arial" w:hAnsi="Arial" w:cs="Arial"/>
        </w:rPr>
      </w:pPr>
      <w:r w:rsidRPr="00054B99">
        <w:rPr>
          <w:rFonts w:ascii="Arial" w:hAnsi="Arial" w:cs="Arial"/>
        </w:rPr>
        <w:t xml:space="preserve">5, is a sixteen-year-old young person who when working with their Youth Justice Worker had disclosed that 6 had told them that morning, that they had to leave the family home, due to their behaviour, potentially making them homeless. The Youth Justice Worker having been made aware of this concern, spoke with 6, who had confirmed that this was true, then had a duty to report this concern under Part 7 S.130 (1) of the Social Services and Wellbeing Act 2014 which stipulates “ </w:t>
      </w:r>
      <w:r w:rsidRPr="00054B99">
        <w:rPr>
          <w:rFonts w:ascii="Arial" w:hAnsi="Arial" w:cs="Arial"/>
          <w:i/>
          <w:iCs/>
        </w:rPr>
        <w:t xml:space="preserve">if a relevant </w:t>
      </w:r>
      <w:r w:rsidRPr="00054B99">
        <w:rPr>
          <w:rFonts w:ascii="Arial" w:hAnsi="Arial" w:cs="Arial"/>
          <w:i/>
          <w:iCs/>
        </w:rPr>
        <w:lastRenderedPageBreak/>
        <w:t>partner of a local authority has reasonable cause to suspect a child is at risk and appear to be within the local authority area, they must inform the local authority of that fact”</w:t>
      </w:r>
      <w:r w:rsidRPr="00054B99">
        <w:rPr>
          <w:rFonts w:ascii="Arial" w:hAnsi="Arial" w:cs="Arial"/>
        </w:rPr>
        <w:t xml:space="preserve"> (Legislation.Gov,</w:t>
      </w:r>
      <w:r>
        <w:rPr>
          <w:rFonts w:ascii="Arial" w:hAnsi="Arial" w:cs="Arial"/>
        </w:rPr>
        <w:t xml:space="preserve"> </w:t>
      </w:r>
      <w:r w:rsidRPr="00054B99">
        <w:rPr>
          <w:rFonts w:ascii="Arial" w:hAnsi="Arial" w:cs="Arial"/>
        </w:rPr>
        <w:t>2014).</w:t>
      </w:r>
    </w:p>
    <w:p w14:paraId="4E5BF955" w14:textId="77777777" w:rsidR="007A487D" w:rsidRPr="00054B99" w:rsidRDefault="007A487D" w:rsidP="007A487D">
      <w:pPr>
        <w:spacing w:after="0" w:line="360" w:lineRule="auto"/>
        <w:jc w:val="both"/>
        <w:rPr>
          <w:rFonts w:ascii="Arial" w:hAnsi="Arial" w:cs="Arial"/>
        </w:rPr>
      </w:pPr>
      <w:r w:rsidRPr="00054B99">
        <w:rPr>
          <w:rFonts w:ascii="Arial" w:hAnsi="Arial" w:cs="Arial"/>
        </w:rPr>
        <w:t>This duty supports early identification and intervention to safeguard children and promote their wellbeing. A report made under S.130 of the Social Services and Well-being (Wales) Act 2014 may result in a range of outcomes, including early intervention, assessment, safeguarding enquiries, child protection planning, accommodation under Section 76, or legal intervention. The outcome is determined by the level of risk, the child's own needs and the professional analysis of available information (Safeguarding Wales, 2026).</w:t>
      </w:r>
    </w:p>
    <w:p w14:paraId="397903A0" w14:textId="77777777" w:rsidR="007A487D" w:rsidRDefault="007A487D" w:rsidP="007A487D">
      <w:pPr>
        <w:spacing w:after="0" w:line="360" w:lineRule="auto"/>
        <w:jc w:val="both"/>
        <w:rPr>
          <w:rFonts w:ascii="Arial" w:hAnsi="Arial" w:cs="Arial"/>
        </w:rPr>
      </w:pPr>
      <w:r w:rsidRPr="00054B99">
        <w:rPr>
          <w:rFonts w:ascii="Arial" w:hAnsi="Arial" w:cs="Arial"/>
        </w:rPr>
        <w:t>Following the referral being made, it is then the duty of the local authority to consider the information and decide if any action is required to safeguard the child. Due to the case being assigned to myself, this involved me gathering information from partner agencies such as the police, health and education to assist in determining this.  Section 3 Part 1 of the Wales Safeguarding Procedures requires Children's Services to respond to concerns by gathering appropriate information, analysing risk and need, and determining whether additional safeguarding intervention, assessment or protective action is required (Safeguarding Wales, 2026).</w:t>
      </w:r>
      <w:r>
        <w:rPr>
          <w:rFonts w:ascii="Arial" w:hAnsi="Arial" w:cs="Arial"/>
        </w:rPr>
        <w:t xml:space="preserve"> </w:t>
      </w:r>
    </w:p>
    <w:p w14:paraId="728CF17B" w14:textId="77777777" w:rsidR="007A487D" w:rsidRDefault="007A487D" w:rsidP="007A487D">
      <w:pPr>
        <w:spacing w:after="0" w:line="360" w:lineRule="auto"/>
        <w:jc w:val="both"/>
        <w:rPr>
          <w:rFonts w:ascii="Arial" w:hAnsi="Arial" w:cs="Arial"/>
        </w:rPr>
      </w:pPr>
      <w:r w:rsidRPr="00D81A50">
        <w:rPr>
          <w:rFonts w:ascii="Arial" w:hAnsi="Arial" w:cs="Arial"/>
        </w:rPr>
        <w:t>Due to the concerns being raised by the Youth Justice Worker in regard to 5 potentially being homeless. It was then my duty as a Welsh Social Worker to conform with Part 3 S.21 of the Social Services and Wellbeing Act and Section 3 of The Wales Safeguarding procedures to assess as to whether 5 had needs for care and support (Legislation.Gov,</w:t>
      </w:r>
      <w:r>
        <w:rPr>
          <w:rFonts w:ascii="Arial" w:hAnsi="Arial" w:cs="Arial"/>
        </w:rPr>
        <w:t xml:space="preserve"> </w:t>
      </w:r>
      <w:r w:rsidRPr="00D81A50">
        <w:rPr>
          <w:rFonts w:ascii="Arial" w:hAnsi="Arial" w:cs="Arial"/>
        </w:rPr>
        <w:t>2014).</w:t>
      </w:r>
    </w:p>
    <w:p w14:paraId="2418EC27" w14:textId="77777777" w:rsidR="007A487D" w:rsidRPr="00242F6D" w:rsidRDefault="007A487D" w:rsidP="007A487D">
      <w:pPr>
        <w:spacing w:after="0" w:line="360" w:lineRule="auto"/>
        <w:jc w:val="both"/>
        <w:rPr>
          <w:rFonts w:ascii="Arial" w:hAnsi="Arial" w:cs="Arial"/>
        </w:rPr>
      </w:pPr>
      <w:r w:rsidRPr="00054B99">
        <w:rPr>
          <w:rFonts w:ascii="Arial" w:hAnsi="Arial" w:cs="Arial"/>
        </w:rPr>
        <w:t xml:space="preserve">Due to 5 having been previously known to Childrens Services, and their being historic records available, I reviewed these records, with them providing a useful insight of 5’s early childhood. It was seen that 5 had endured many Adverse Childhood Experiences (ACES). ACES are stressful or traumatic experiences that occur during childhood (before age 18) that can have a long-term impact on a person's physical health, mental health, relationships, and wellbeing (Felitti et al., 1998). It was seen that 5 had witnessed episodes of domestic abuse, neglect, parent incarceration and separation throughout her childhood. Having this information gave me a further insight into the difficulties 5 and their family had experienced, providing me an understanding of 5's needs, risks and their protective factors, which supported the assessment in line with </w:t>
      </w:r>
      <w:r w:rsidRPr="00054B99">
        <w:rPr>
          <w:rFonts w:ascii="Arial" w:hAnsi="Arial" w:cs="Arial"/>
        </w:rPr>
        <w:lastRenderedPageBreak/>
        <w:t>social work principles of understanding an individual's circumstances across time and context (BASW, 2021).</w:t>
      </w:r>
    </w:p>
    <w:p w14:paraId="0705EBF1" w14:textId="77777777" w:rsidR="007A487D" w:rsidRPr="00D81A50" w:rsidRDefault="007A487D" w:rsidP="007A487D">
      <w:pPr>
        <w:spacing w:after="0" w:line="360" w:lineRule="auto"/>
        <w:jc w:val="both"/>
        <w:rPr>
          <w:rFonts w:ascii="Arial" w:hAnsi="Arial" w:cs="Arial"/>
        </w:rPr>
      </w:pPr>
      <w:r w:rsidRPr="00054B99">
        <w:rPr>
          <w:rFonts w:ascii="Arial" w:hAnsi="Arial" w:cs="Arial"/>
        </w:rPr>
        <w:t>It was my understanding that due to these childhood experiences, 5 could potentially have difficulties with their emotional regulation, learning, forming attachments, and being at an increased risk of physical and mental ill health (Hughes et al, 2017).  Bandura (1977) argues that children develop behaviours through observation, replication and reinforcement. As such, by witnessing domestic violence within the family home 5 may have normalised violence as being a means of expressing emotions or settling conflict, in theory this influencing 5's behaviour. With all this information being of use, when undertaking my assessment with 5.</w:t>
      </w:r>
    </w:p>
    <w:p w14:paraId="09391E59" w14:textId="5796375C" w:rsidR="007A487D" w:rsidRPr="00054B99" w:rsidRDefault="007A487D" w:rsidP="007A487D">
      <w:pPr>
        <w:spacing w:after="0" w:line="360" w:lineRule="auto"/>
        <w:jc w:val="both"/>
        <w:rPr>
          <w:rFonts w:ascii="Arial" w:hAnsi="Arial" w:cs="Arial"/>
        </w:rPr>
      </w:pPr>
      <w:r w:rsidRPr="00054B99">
        <w:rPr>
          <w:rFonts w:ascii="Arial" w:hAnsi="Arial" w:cs="Arial"/>
        </w:rPr>
        <w:t xml:space="preserve">Collaborative working is critical to social work practice in Wales and is promoted through the Social Services and Well-being (Wales) Act 2014. Effective safeguarding needs collaboration between social services, and partner agencies such as education, health, police and third-sector agencies, to make certain that </w:t>
      </w:r>
      <w:r w:rsidRPr="00054B99">
        <w:rPr>
          <w:rFonts w:ascii="Arial" w:hAnsi="Arial" w:cs="Arial"/>
        </w:rPr>
        <w:t>child’s</w:t>
      </w:r>
      <w:r w:rsidRPr="00054B99">
        <w:rPr>
          <w:rFonts w:ascii="Arial" w:hAnsi="Arial" w:cs="Arial"/>
        </w:rPr>
        <w:t xml:space="preserve"> needs are assessed holistically and that any identified risks are managed suitably. </w:t>
      </w:r>
    </w:p>
    <w:p w14:paraId="6F4DECBC" w14:textId="77777777" w:rsidR="007A487D" w:rsidRPr="00E9441E" w:rsidRDefault="007A487D" w:rsidP="007A487D">
      <w:pPr>
        <w:spacing w:after="0" w:line="360" w:lineRule="auto"/>
        <w:jc w:val="both"/>
        <w:rPr>
          <w:rFonts w:ascii="Arial" w:hAnsi="Arial" w:cs="Arial"/>
        </w:rPr>
      </w:pPr>
      <w:r w:rsidRPr="00054B99">
        <w:rPr>
          <w:rFonts w:ascii="Arial" w:hAnsi="Arial" w:cs="Arial"/>
        </w:rPr>
        <w:t>Whilst partnership working can improve outcomes for children and families, professionals must also be aware of potential difficulties involving information sharing, considering professional differences and organisational priorities (Safeguarding Wales, 2026) ensuring that General Data Protection Regulations are followed and the Data Protection Act 2018 is acted upon. The Children Act 1989, recognising that the protection of children may outweigh the requirement to obtain consent when there are safeguarding concerns (Department for Education, 2023).</w:t>
      </w:r>
    </w:p>
    <w:p w14:paraId="1B7FCF2D" w14:textId="77777777" w:rsidR="007A487D" w:rsidRPr="00054B99" w:rsidRDefault="007A487D" w:rsidP="007A487D">
      <w:pPr>
        <w:spacing w:after="0" w:line="360" w:lineRule="auto"/>
        <w:jc w:val="both"/>
        <w:rPr>
          <w:rFonts w:ascii="Arial" w:hAnsi="Arial" w:cs="Arial"/>
          <w:b/>
          <w:bCs/>
        </w:rPr>
      </w:pPr>
      <w:r w:rsidRPr="00054B99">
        <w:rPr>
          <w:rFonts w:ascii="Arial" w:hAnsi="Arial" w:cs="Arial"/>
        </w:rPr>
        <w:t xml:space="preserve">Although 5 is 16 years old and potentially homeless, it does not necessary mean they are being abused, however they would likely be seen as vulnerable and potentially at risk, </w:t>
      </w:r>
      <w:r w:rsidRPr="00054B99">
        <w:rPr>
          <w:rFonts w:ascii="Arial" w:hAnsi="Arial" w:cs="Arial"/>
          <w:b/>
          <w:bCs/>
        </w:rPr>
        <w:t xml:space="preserve"> </w:t>
      </w:r>
    </w:p>
    <w:p w14:paraId="113BB3F6" w14:textId="77777777" w:rsidR="007A487D" w:rsidRPr="00054B99" w:rsidRDefault="007A487D" w:rsidP="007A487D">
      <w:pPr>
        <w:spacing w:after="0" w:line="360" w:lineRule="auto"/>
        <w:jc w:val="both"/>
        <w:rPr>
          <w:rFonts w:ascii="Arial" w:hAnsi="Arial" w:cs="Arial"/>
        </w:rPr>
      </w:pPr>
      <w:r w:rsidRPr="00054B99">
        <w:rPr>
          <w:rFonts w:ascii="Arial" w:hAnsi="Arial" w:cs="Arial"/>
        </w:rPr>
        <w:t>Under Welsh safeguarding law, a child is at risk if they:</w:t>
      </w:r>
    </w:p>
    <w:p w14:paraId="3A73AA33" w14:textId="77777777" w:rsidR="007A487D" w:rsidRPr="00054B99" w:rsidRDefault="007A487D" w:rsidP="007A487D">
      <w:pPr>
        <w:numPr>
          <w:ilvl w:val="0"/>
          <w:numId w:val="16"/>
        </w:numPr>
        <w:spacing w:after="0" w:line="360" w:lineRule="auto"/>
        <w:jc w:val="both"/>
        <w:rPr>
          <w:rFonts w:ascii="Arial" w:hAnsi="Arial" w:cs="Arial"/>
        </w:rPr>
      </w:pPr>
      <w:r w:rsidRPr="00054B99">
        <w:rPr>
          <w:rFonts w:ascii="Arial" w:hAnsi="Arial" w:cs="Arial"/>
        </w:rPr>
        <w:t>Are experiencing or are at risk of abuse, neglect or other forms of harm; and</w:t>
      </w:r>
    </w:p>
    <w:p w14:paraId="02554B76" w14:textId="77777777" w:rsidR="007A487D" w:rsidRPr="00054B99" w:rsidRDefault="007A487D" w:rsidP="007A487D">
      <w:pPr>
        <w:numPr>
          <w:ilvl w:val="0"/>
          <w:numId w:val="16"/>
        </w:numPr>
        <w:spacing w:after="0" w:line="360" w:lineRule="auto"/>
        <w:jc w:val="both"/>
        <w:rPr>
          <w:rFonts w:ascii="Arial" w:hAnsi="Arial" w:cs="Arial"/>
        </w:rPr>
      </w:pPr>
      <w:r w:rsidRPr="00054B99">
        <w:rPr>
          <w:rFonts w:ascii="Arial" w:hAnsi="Arial" w:cs="Arial"/>
        </w:rPr>
        <w:t>Have needs for care and support. (Safeguarding Wales, 2026)</w:t>
      </w:r>
    </w:p>
    <w:p w14:paraId="1B8DED02" w14:textId="77777777" w:rsidR="007A487D" w:rsidRDefault="007A487D" w:rsidP="007A487D">
      <w:pPr>
        <w:spacing w:after="0" w:line="360" w:lineRule="auto"/>
        <w:jc w:val="both"/>
        <w:rPr>
          <w:rFonts w:ascii="Arial" w:hAnsi="Arial" w:cs="Arial"/>
        </w:rPr>
      </w:pPr>
    </w:p>
    <w:p w14:paraId="1D3C94AF" w14:textId="38D697E5" w:rsidR="007A487D" w:rsidRPr="00054B99" w:rsidRDefault="007A487D" w:rsidP="007A487D">
      <w:pPr>
        <w:spacing w:after="0" w:line="360" w:lineRule="auto"/>
        <w:jc w:val="both"/>
        <w:rPr>
          <w:rFonts w:ascii="Arial" w:hAnsi="Arial" w:cs="Arial"/>
        </w:rPr>
      </w:pPr>
      <w:r w:rsidRPr="00054B99">
        <w:rPr>
          <w:rFonts w:ascii="Arial" w:hAnsi="Arial" w:cs="Arial"/>
        </w:rPr>
        <w:t xml:space="preserve">However, by 6 refusing to have 5 return to the family home or support them, it could have been seen as thou 6 was failing to meet 5’s basic needs and as such an assessment would be required (Safeguarding Wales, 2026). NICE (2017) suggests homelessness does not automatically establish abuse, exclusion from the family home may imply neglectful parenting, emotional harm, or unmet care and support needs. </w:t>
      </w:r>
      <w:r w:rsidRPr="00054B99">
        <w:rPr>
          <w:rFonts w:ascii="Arial" w:hAnsi="Arial" w:cs="Arial"/>
        </w:rPr>
        <w:lastRenderedPageBreak/>
        <w:t>Therefore, practitioners must assess whether the young person meets the definition of a child at risk and whether safeguarding intervention or accommodation under Section 76 is required (NICE, 2017).</w:t>
      </w:r>
    </w:p>
    <w:p w14:paraId="3820B480" w14:textId="77777777" w:rsidR="007A487D" w:rsidRPr="00054B99" w:rsidRDefault="007A487D" w:rsidP="007A487D">
      <w:pPr>
        <w:spacing w:after="0" w:line="360" w:lineRule="auto"/>
        <w:jc w:val="both"/>
        <w:rPr>
          <w:rFonts w:ascii="Arial" w:hAnsi="Arial" w:cs="Arial"/>
        </w:rPr>
      </w:pPr>
      <w:r w:rsidRPr="00054B99">
        <w:rPr>
          <w:rFonts w:ascii="Arial" w:hAnsi="Arial" w:cs="Arial"/>
        </w:rPr>
        <w:t>Exclusion from the family home may also have further negative effects on 5’s development, Maslow’s hierarchy of needs is a useful theory to aid in assessment, Maslow identified 5   Basic Needs – food, water, sleep, shelter.  Safety Needs – feeling safe, secure, protected from harm.  Belonging Needs – love, family, friendships, feeling accepted. Self-Esteem Needs – confidence, respect, achievement, independence. Self-Development (Self-Actualisation) – reaching your full potential and achieving your goals (Maslow, 1943). Maslow's Hierarchy of Needs suggests that people must have their basic physiological and safety needs met before they can achieve higher levels of wellbeing, self-esteem and personal development. When applying Maslow’s hierarchy to 5, I was able to make links to this, and in 5’s case their basic, safety and feeling safe by being homeless and rejected where not being met, therefore potentially having a negative effect on them.</w:t>
      </w:r>
    </w:p>
    <w:p w14:paraId="59B96272" w14:textId="77777777" w:rsidR="007A487D" w:rsidRPr="00054B99" w:rsidRDefault="007A487D" w:rsidP="007A487D">
      <w:pPr>
        <w:spacing w:after="0" w:line="360" w:lineRule="auto"/>
        <w:jc w:val="both"/>
        <w:rPr>
          <w:rFonts w:ascii="Arial" w:hAnsi="Arial" w:cs="Arial"/>
        </w:rPr>
      </w:pPr>
      <w:r w:rsidRPr="00054B99">
        <w:rPr>
          <w:rFonts w:ascii="Arial" w:hAnsi="Arial" w:cs="Arial"/>
        </w:rPr>
        <w:t>As the initial presenting issue appeared to be linked to housing needs, I liaised with colleagues in the housing team, making them aware that a joint housing protocol was needing to take place. The joint housing protocol is Welsh Government guidance for assessing homeless 16 and 17 year-year-olds. This places a shared responsibility on children services and housing services when a 16- or 17-year-old present as homeless or threatened with homelessness to accommodate and safeguard. The joint assessment ought to be completed to ensure housing, support and risks are assessed (Welsh Government (2024).</w:t>
      </w:r>
    </w:p>
    <w:p w14:paraId="3802A859" w14:textId="77777777" w:rsidR="007A487D" w:rsidRPr="00ED5819" w:rsidRDefault="007A487D" w:rsidP="007A487D">
      <w:pPr>
        <w:spacing w:after="0" w:line="360" w:lineRule="auto"/>
        <w:jc w:val="both"/>
        <w:rPr>
          <w:rFonts w:ascii="Arial" w:hAnsi="Arial" w:cs="Arial"/>
        </w:rPr>
      </w:pPr>
      <w:r w:rsidRPr="00054B99">
        <w:rPr>
          <w:rFonts w:ascii="Arial" w:hAnsi="Arial" w:cs="Arial"/>
        </w:rPr>
        <w:t>The joint housing protocol was developed a result of the Southwark Ruling (R (G) v London Borough of Southwark, 2009) a piece of case law that places Childrens services primarily responsible for accommodating homeless 16- and 17-year-olds under S.20 of the Childrens Act 1989 (Gov.UK,2010).  In Wales, the needs of homeless children and young people are primarily considered under the Social Services and Well-being (Wales) Act 2014 and the Children Act 1989. Where a 16- or 17-year-old requires accommodation, local authorities must consider their duties under children's social care legislation, alongside homelessness duties under the Housing (Wales) Act 2014.</w:t>
      </w:r>
    </w:p>
    <w:p w14:paraId="59013E9D" w14:textId="77777777" w:rsidR="007A487D" w:rsidRPr="00ED5819" w:rsidRDefault="007A487D" w:rsidP="007A487D">
      <w:pPr>
        <w:spacing w:after="0" w:line="360" w:lineRule="auto"/>
        <w:jc w:val="both"/>
        <w:rPr>
          <w:rFonts w:ascii="Arial" w:hAnsi="Arial" w:cs="Arial"/>
        </w:rPr>
      </w:pPr>
      <w:r w:rsidRPr="00054B99">
        <w:rPr>
          <w:rFonts w:ascii="Arial" w:hAnsi="Arial" w:cs="Arial"/>
        </w:rPr>
        <w:t xml:space="preserve">The Southwark Judgment clarified that homeless 16- and 17-year-olds who meet the criteria under Section 20 of the Children Act 1989, which applies in both England and </w:t>
      </w:r>
      <w:r w:rsidRPr="00054B99">
        <w:rPr>
          <w:rFonts w:ascii="Arial" w:hAnsi="Arial" w:cs="Arial"/>
        </w:rPr>
        <w:lastRenderedPageBreak/>
        <w:t>Wales. However, in Wales if 5 was to be accommodated it would be in accordance with S.76 of the Social Services and Well-being (Wales) Act 2014.</w:t>
      </w:r>
    </w:p>
    <w:p w14:paraId="1FCBF689" w14:textId="77777777" w:rsidR="007A487D" w:rsidRPr="00D81A50" w:rsidRDefault="007A487D" w:rsidP="007A487D">
      <w:pPr>
        <w:spacing w:after="0" w:line="360" w:lineRule="auto"/>
        <w:jc w:val="both"/>
        <w:rPr>
          <w:rFonts w:ascii="Arial" w:hAnsi="Arial" w:cs="Arial"/>
        </w:rPr>
      </w:pPr>
      <w:r w:rsidRPr="00054B99">
        <w:rPr>
          <w:rFonts w:ascii="Arial" w:hAnsi="Arial" w:cs="Arial"/>
        </w:rPr>
        <w:t>Following requesting support from a colleague from the housing team, both myself and a housing officer met with 5, who was accompanied by their Youth Justice Worker, as their advocate. I felt that 5 presented as a vulnerable young person, who was playing with a fidget toy, they had been given to aid their concentration. However seemingly had capacity to understand and retain information and share it back with me.</w:t>
      </w:r>
    </w:p>
    <w:p w14:paraId="6EBDB604" w14:textId="77777777" w:rsidR="007A487D" w:rsidRDefault="007A487D" w:rsidP="007A487D">
      <w:pPr>
        <w:spacing w:after="0" w:line="360" w:lineRule="auto"/>
        <w:jc w:val="both"/>
        <w:rPr>
          <w:rFonts w:ascii="Arial" w:hAnsi="Arial" w:cs="Arial"/>
        </w:rPr>
      </w:pPr>
      <w:r w:rsidRPr="00054B99">
        <w:rPr>
          <w:rFonts w:ascii="Arial" w:hAnsi="Arial" w:cs="Arial"/>
        </w:rPr>
        <w:t>I made the “Active offer”, as due to being a Social Worker in Wales, it is important to recognise the requirements of the Welsh Language (Wales) Measure 2011, this establishes Welsh as an official language and requires public services to ensure that Welsh is treated equally to English. Offering the Active Offer supports the provision of person-centred services and enables individuals and families to communicate in their preferred language.</w:t>
      </w:r>
      <w:r>
        <w:rPr>
          <w:rFonts w:ascii="Arial" w:hAnsi="Arial" w:cs="Arial"/>
        </w:rPr>
        <w:t xml:space="preserve"> </w:t>
      </w:r>
    </w:p>
    <w:p w14:paraId="7EFCA5E5" w14:textId="77777777" w:rsidR="007A487D" w:rsidRDefault="007A487D" w:rsidP="007A487D">
      <w:pPr>
        <w:spacing w:after="0" w:line="360" w:lineRule="auto"/>
        <w:jc w:val="both"/>
        <w:rPr>
          <w:rFonts w:ascii="Arial" w:hAnsi="Arial" w:cs="Arial"/>
        </w:rPr>
      </w:pPr>
      <w:r w:rsidRPr="00054B99">
        <w:rPr>
          <w:rFonts w:ascii="Arial" w:hAnsi="Arial" w:cs="Arial"/>
        </w:rPr>
        <w:t>I made the Active Offer principle by making 5 aware of their rights to receive services through the medium of Welsh. Although 5 communicated in English, it was important to establish their language choice at the outset of the meeting rather than making an assumption, doing so promotes choice, inclusion and is culturally sensitive practice (Social Care Wales, 2022), 5 advised that they wanted to speak English as they did not speak Welsh.</w:t>
      </w:r>
    </w:p>
    <w:p w14:paraId="3D753881" w14:textId="77777777" w:rsidR="007A487D" w:rsidRPr="00D81A50" w:rsidRDefault="007A487D" w:rsidP="007A487D">
      <w:pPr>
        <w:spacing w:after="0" w:line="360" w:lineRule="auto"/>
        <w:jc w:val="both"/>
        <w:rPr>
          <w:rFonts w:ascii="Arial" w:hAnsi="Arial" w:cs="Arial"/>
        </w:rPr>
      </w:pPr>
      <w:r w:rsidRPr="00054B99">
        <w:rPr>
          <w:rFonts w:ascii="Arial" w:hAnsi="Arial" w:cs="Arial"/>
        </w:rPr>
        <w:t>I believed that before the assessment could take place, it was important to ensure that 5 felt comfortable in our presence, feeling it was a safe space, whereby they felt confident they could discuss their views and wishes freely and that their voice was going to be heard. By doing this,</w:t>
      </w:r>
      <w:r>
        <w:rPr>
          <w:rFonts w:ascii="Arial" w:hAnsi="Arial" w:cs="Arial"/>
        </w:rPr>
        <w:t xml:space="preserve"> It</w:t>
      </w:r>
      <w:r w:rsidRPr="00054B99">
        <w:rPr>
          <w:rFonts w:ascii="Arial" w:hAnsi="Arial" w:cs="Arial"/>
        </w:rPr>
        <w:t xml:space="preserve"> was not only the right thing to do, but I was also conforming with the United Nations Conventions on the Rights of the Child and that of the Code of Professional practice (Social Care Wales, 2019).</w:t>
      </w:r>
    </w:p>
    <w:p w14:paraId="55057F82" w14:textId="77777777" w:rsidR="007A487D" w:rsidRPr="00D81A50" w:rsidRDefault="007A487D" w:rsidP="007A487D">
      <w:pPr>
        <w:spacing w:after="0" w:line="360" w:lineRule="auto"/>
        <w:jc w:val="both"/>
        <w:rPr>
          <w:rFonts w:ascii="Arial" w:hAnsi="Arial" w:cs="Arial"/>
        </w:rPr>
      </w:pPr>
      <w:r w:rsidRPr="00054B99">
        <w:rPr>
          <w:rFonts w:ascii="Arial" w:hAnsi="Arial" w:cs="Arial"/>
        </w:rPr>
        <w:t>By opening a conversation with 5 regarding the fidget toy, adding a little humour as to how, I had no idea as how to use them, this seemingly broke down barriers, with 5 giving me a demonstration of the toy.  Due to this interaction, this act supported both me and 5 to establish a relationship, where trust could be built upon, and open dialogue could flow (Social Care Wales, 2019).</w:t>
      </w:r>
      <w:r w:rsidRPr="00D81A50">
        <w:rPr>
          <w:rFonts w:ascii="Arial" w:hAnsi="Arial" w:cs="Arial"/>
        </w:rPr>
        <w:t xml:space="preserve"> </w:t>
      </w:r>
    </w:p>
    <w:p w14:paraId="4EF9857A" w14:textId="77777777" w:rsidR="007A487D" w:rsidRPr="00D81A50" w:rsidRDefault="007A487D" w:rsidP="007A487D">
      <w:pPr>
        <w:spacing w:after="0" w:line="360" w:lineRule="auto"/>
        <w:jc w:val="both"/>
        <w:rPr>
          <w:rFonts w:ascii="Arial" w:hAnsi="Arial" w:cs="Arial"/>
        </w:rPr>
      </w:pPr>
      <w:r w:rsidRPr="00054B99">
        <w:rPr>
          <w:rFonts w:ascii="Arial" w:hAnsi="Arial" w:cs="Arial"/>
        </w:rPr>
        <w:t xml:space="preserve">During the assessment, I ensured that I worked in a person-centred holistic way with 5, as requested within the Social Care Wales Code of professional Practice. It was my duty to focus upon 5’s strengths, exploring their physical, mental, emotional and social </w:t>
      </w:r>
      <w:r w:rsidRPr="00054B99">
        <w:rPr>
          <w:rFonts w:ascii="Arial" w:hAnsi="Arial" w:cs="Arial"/>
        </w:rPr>
        <w:lastRenderedPageBreak/>
        <w:t>wellbeing, whilst ensuring that their rights and wellbeing were promoted, with 5 and others, feeling safe in the environment that they were in (Social Care Wales, 2019).</w:t>
      </w:r>
    </w:p>
    <w:p w14:paraId="55827EB3" w14:textId="77777777" w:rsidR="007A487D" w:rsidRPr="00D81A50" w:rsidRDefault="007A487D" w:rsidP="007A487D">
      <w:pPr>
        <w:spacing w:after="0" w:line="360" w:lineRule="auto"/>
        <w:jc w:val="both"/>
        <w:rPr>
          <w:rFonts w:ascii="Arial" w:hAnsi="Arial" w:cs="Arial"/>
        </w:rPr>
      </w:pPr>
      <w:r w:rsidRPr="00054B99">
        <w:rPr>
          <w:rFonts w:ascii="Arial" w:hAnsi="Arial" w:cs="Arial"/>
        </w:rPr>
        <w:t>Due to having an understanding of the Adverse Childhood Experiences that 5 had faced in their childhood, I ensured that I considered any potential issues with 5’s concentration and learning as, well as any communication needs. By working in a person-centred way, that ensured 5’s communication needs were met, I displayed positive body language and offered clear and direct open dialogue by avoiding any jargon or metaphors. It was also important that 5 had extra time to process their thoughts and answer any questions. The Social Care Wales Codes of Professional Practice emphasise the importance of clear communication and ensuring people understand information that affects them (Social Care Wales 2026.)</w:t>
      </w:r>
      <w:r w:rsidRPr="008461F7">
        <w:rPr>
          <w:rFonts w:ascii="Arial" w:hAnsi="Arial" w:cs="Arial"/>
        </w:rPr>
        <w:t xml:space="preserve"> </w:t>
      </w:r>
    </w:p>
    <w:p w14:paraId="0A4369A7" w14:textId="77777777" w:rsidR="007A487D" w:rsidRPr="00D81A50" w:rsidRDefault="007A487D" w:rsidP="007A487D">
      <w:pPr>
        <w:spacing w:after="0" w:line="360" w:lineRule="auto"/>
        <w:jc w:val="both"/>
        <w:rPr>
          <w:rFonts w:ascii="Arial" w:hAnsi="Arial" w:cs="Arial"/>
        </w:rPr>
      </w:pPr>
      <w:r w:rsidRPr="007824F0">
        <w:rPr>
          <w:rFonts w:ascii="Arial" w:hAnsi="Arial" w:cs="Arial"/>
        </w:rPr>
        <w:t>Whilst undertaking the assessment, 5 spoke about their relationship with their parents.  Making comments about having witnessed much domestic violence between them both.  5 remarked how they could never trust 7, stating that they had lost touch, and they did not know where they now were.</w:t>
      </w:r>
      <w:r w:rsidRPr="00D81A50">
        <w:rPr>
          <w:rFonts w:ascii="Arial" w:hAnsi="Arial" w:cs="Arial"/>
        </w:rPr>
        <w:t xml:space="preserve"> </w:t>
      </w:r>
    </w:p>
    <w:p w14:paraId="5738F03A" w14:textId="77777777" w:rsidR="007A487D" w:rsidRPr="007824F0" w:rsidRDefault="007A487D" w:rsidP="007A487D">
      <w:pPr>
        <w:spacing w:after="0" w:line="360" w:lineRule="auto"/>
        <w:jc w:val="both"/>
        <w:rPr>
          <w:rFonts w:ascii="Arial" w:hAnsi="Arial" w:cs="Arial"/>
        </w:rPr>
      </w:pPr>
      <w:r w:rsidRPr="007824F0">
        <w:rPr>
          <w:rFonts w:ascii="Arial" w:hAnsi="Arial" w:cs="Arial"/>
        </w:rPr>
        <w:t>Owing to my understanding of John Bowlby’s Attachment Theory. A Social Work theory, that highlights the importance of a child’s emotional bond with their primary caregivers and how disruption or loss could affect a child emotionally or psychologically into adulthood, having an impact on future relationships (NSPCC, 2021).</w:t>
      </w:r>
    </w:p>
    <w:p w14:paraId="3A8B60FF" w14:textId="2ECA1DC6" w:rsidR="007A487D" w:rsidRPr="007A487D" w:rsidRDefault="007A487D" w:rsidP="007A487D">
      <w:pPr>
        <w:spacing w:after="0" w:line="360" w:lineRule="auto"/>
        <w:jc w:val="both"/>
        <w:rPr>
          <w:rFonts w:ascii="Arial" w:hAnsi="Arial" w:cs="Arial"/>
        </w:rPr>
      </w:pPr>
      <w:r w:rsidRPr="007824F0">
        <w:rPr>
          <w:rFonts w:ascii="Arial" w:hAnsi="Arial" w:cs="Arial"/>
        </w:rPr>
        <w:t>I felt that 5 had a disorganised attachment, potentially having a fear of close relationships, feeling conflicted about their relationship with their parents. John Bowlby’s attachment theory described the disorganised attachment as usually being developed when a child’s biology mixed with growing up, in an environment that felt unsafe (McLeod. S, 2025) and that Children like 5, who experienced abuse, neglect or inconsistent care, were more like to develop this kind of attachment, due to their being a distortion in their sense of safety and trust in the people, who were supposed to protect them (McLeod. S, 2025).</w:t>
      </w:r>
      <w:r w:rsidRPr="00D81A50">
        <w:rPr>
          <w:rFonts w:ascii="Arial" w:hAnsi="Arial" w:cs="Arial"/>
        </w:rPr>
        <w:t xml:space="preserve"> </w:t>
      </w:r>
    </w:p>
    <w:p w14:paraId="1014ED8F" w14:textId="77777777" w:rsidR="007A487D" w:rsidRPr="007824F0" w:rsidRDefault="007A487D" w:rsidP="007A487D">
      <w:pPr>
        <w:spacing w:after="0" w:line="360" w:lineRule="auto"/>
        <w:jc w:val="both"/>
        <w:rPr>
          <w:rFonts w:ascii="Arial" w:hAnsi="Arial" w:cs="Arial"/>
        </w:rPr>
      </w:pPr>
      <w:r w:rsidRPr="007824F0">
        <w:rPr>
          <w:rFonts w:ascii="Arial" w:hAnsi="Arial" w:cs="Arial"/>
        </w:rPr>
        <w:t xml:space="preserve">During the assessment, we also discussed 5’s behaviour and as to the reason, 6 no longer wished for them to live in the family home. 5 remarked as to how, if they felt angry, that they just saw red, and hit out, that they struggled to “keep it together” even over issues, such as 6, switching down their music, as it was too loud. 5 disclosed that they had originally started smoking cannabis to self-medicate, to stop them from </w:t>
      </w:r>
      <w:r w:rsidRPr="007824F0">
        <w:rPr>
          <w:rFonts w:ascii="Arial" w:hAnsi="Arial" w:cs="Arial"/>
        </w:rPr>
        <w:lastRenderedPageBreak/>
        <w:t xml:space="preserve">feeling like this, however, was now receiving support through the youth justice service to reduce this. </w:t>
      </w:r>
    </w:p>
    <w:p w14:paraId="0DEA2F0A" w14:textId="77777777" w:rsidR="007A487D" w:rsidRPr="00D81A50" w:rsidRDefault="007A487D" w:rsidP="007A487D">
      <w:pPr>
        <w:spacing w:after="0" w:line="360" w:lineRule="auto"/>
        <w:jc w:val="both"/>
        <w:rPr>
          <w:rFonts w:ascii="Arial" w:hAnsi="Arial" w:cs="Arial"/>
        </w:rPr>
      </w:pPr>
      <w:r w:rsidRPr="007824F0">
        <w:rPr>
          <w:rFonts w:ascii="Arial" w:hAnsi="Arial" w:cs="Arial"/>
        </w:rPr>
        <w:t xml:space="preserve">It was during this part of the assessment, I believed </w:t>
      </w:r>
      <w:r>
        <w:rPr>
          <w:rFonts w:ascii="Arial" w:hAnsi="Arial" w:cs="Arial"/>
        </w:rPr>
        <w:t xml:space="preserve">again </w:t>
      </w:r>
      <w:r w:rsidRPr="007824F0">
        <w:rPr>
          <w:rFonts w:ascii="Arial" w:hAnsi="Arial" w:cs="Arial"/>
        </w:rPr>
        <w:t xml:space="preserve">that my knowledge of Banduras Social Learning Theory, supported my understanding of as to why 5 reacted the way that they did to others. Banduras Social Learning Theory examines how both an individual’s environment and cognitive factors interact to influence human learning and behaviour (McLeod. S, 2024). With Psychologists, Riggs and Oleary 1989 agreeing with Bandura’s theory, suggesting that </w:t>
      </w:r>
      <w:r w:rsidRPr="007824F0">
        <w:rPr>
          <w:rFonts w:ascii="Arial" w:hAnsi="Arial" w:cs="Arial"/>
          <w:i/>
          <w:iCs/>
        </w:rPr>
        <w:t xml:space="preserve">“Aggression was learned via direct observation of the behaviours of others and consequences”.  </w:t>
      </w:r>
      <w:r w:rsidRPr="007824F0">
        <w:rPr>
          <w:rFonts w:ascii="Arial" w:hAnsi="Arial" w:cs="Arial"/>
        </w:rPr>
        <w:t>It was my understanding that 5’s behaviour was likely a product of what 5 had witnessed during their early childhood and the trauma that this had brought.</w:t>
      </w:r>
      <w:r w:rsidRPr="00D81A50">
        <w:rPr>
          <w:rFonts w:ascii="Arial" w:hAnsi="Arial" w:cs="Arial"/>
        </w:rPr>
        <w:t xml:space="preserve"> </w:t>
      </w:r>
    </w:p>
    <w:p w14:paraId="6C1B4CED" w14:textId="77777777" w:rsidR="007A487D" w:rsidRPr="00D81A50" w:rsidRDefault="007A487D" w:rsidP="007A487D">
      <w:pPr>
        <w:spacing w:after="0" w:line="360" w:lineRule="auto"/>
        <w:jc w:val="both"/>
        <w:rPr>
          <w:rFonts w:ascii="Arial" w:hAnsi="Arial" w:cs="Arial"/>
        </w:rPr>
      </w:pPr>
      <w:r w:rsidRPr="007824F0">
        <w:rPr>
          <w:rFonts w:ascii="Arial" w:hAnsi="Arial" w:cs="Arial"/>
        </w:rPr>
        <w:t>After undertaking a thorough assessment in partnership with 5, their Youth Justice Worker and with the Housing Officer, having the opportunity to review the information obtained. The outcome of the assessment was that 5, did have needs for care and support, regarding themselves being homeless, also requiring additional support with their mental health and trauma, caused by their adverse childhood experiences.</w:t>
      </w:r>
    </w:p>
    <w:p w14:paraId="6E630613" w14:textId="22DB75FD" w:rsidR="007A487D" w:rsidRDefault="007A487D" w:rsidP="007A487D">
      <w:pPr>
        <w:spacing w:after="0" w:line="360" w:lineRule="auto"/>
        <w:jc w:val="both"/>
        <w:rPr>
          <w:rFonts w:ascii="Arial" w:hAnsi="Arial" w:cs="Arial"/>
        </w:rPr>
      </w:pPr>
      <w:r w:rsidRPr="007824F0">
        <w:rPr>
          <w:rFonts w:ascii="Arial" w:hAnsi="Arial" w:cs="Arial"/>
        </w:rPr>
        <w:t xml:space="preserve">Due to this assessment outcome, it was then my duty, under Part 76 of the Social Services and Wellbeing (Wales) Act 2014 and the Southwark Ruling 2009, to offer 5 appropriate accommodation and support (Legislation.Gov, 2014). I explained this to 5 and made them aware as their parents have parental responsibility I would need to contact them. 5 gave consent to </w:t>
      </w:r>
      <w:r>
        <w:rPr>
          <w:rFonts w:ascii="Arial" w:hAnsi="Arial" w:cs="Arial"/>
        </w:rPr>
        <w:t>6</w:t>
      </w:r>
      <w:r w:rsidRPr="007824F0">
        <w:rPr>
          <w:rFonts w:ascii="Arial" w:hAnsi="Arial" w:cs="Arial"/>
        </w:rPr>
        <w:t xml:space="preserve"> being contacted however they did state that </w:t>
      </w:r>
      <w:r w:rsidRPr="007824F0">
        <w:rPr>
          <w:rFonts w:ascii="Arial" w:hAnsi="Arial" w:cs="Arial"/>
        </w:rPr>
        <w:t xml:space="preserve">they </w:t>
      </w:r>
      <w:r>
        <w:rPr>
          <w:rFonts w:ascii="Arial" w:hAnsi="Arial" w:cs="Arial"/>
        </w:rPr>
        <w:t>now</w:t>
      </w:r>
      <w:r>
        <w:rPr>
          <w:rFonts w:ascii="Arial" w:hAnsi="Arial" w:cs="Arial"/>
        </w:rPr>
        <w:t xml:space="preserve"> </w:t>
      </w:r>
      <w:r w:rsidRPr="007824F0">
        <w:rPr>
          <w:rFonts w:ascii="Arial" w:hAnsi="Arial" w:cs="Arial"/>
        </w:rPr>
        <w:t>did not want to be accommodated and wanted to return home.</w:t>
      </w:r>
      <w:r>
        <w:rPr>
          <w:rFonts w:ascii="Arial" w:hAnsi="Arial" w:cs="Arial"/>
        </w:rPr>
        <w:t xml:space="preserve"> </w:t>
      </w:r>
    </w:p>
    <w:p w14:paraId="06B2DC8C" w14:textId="584A1FA9" w:rsidR="007A487D" w:rsidRPr="00D81A50" w:rsidRDefault="007A487D" w:rsidP="007A487D">
      <w:pPr>
        <w:spacing w:after="0" w:line="360" w:lineRule="auto"/>
        <w:jc w:val="both"/>
        <w:rPr>
          <w:rFonts w:ascii="Arial" w:hAnsi="Arial" w:cs="Arial"/>
        </w:rPr>
      </w:pPr>
      <w:r w:rsidRPr="00D81A50">
        <w:rPr>
          <w:rFonts w:ascii="Arial" w:hAnsi="Arial" w:cs="Arial"/>
        </w:rPr>
        <w:t xml:space="preserve">Contact was made with </w:t>
      </w:r>
      <w:r>
        <w:rPr>
          <w:rFonts w:ascii="Arial" w:hAnsi="Arial" w:cs="Arial"/>
        </w:rPr>
        <w:t>6</w:t>
      </w:r>
      <w:r w:rsidRPr="00D81A50">
        <w:rPr>
          <w:rFonts w:ascii="Arial" w:hAnsi="Arial" w:cs="Arial"/>
        </w:rPr>
        <w:t xml:space="preserve"> and again complying with the Code of Professional practice.  I ensured that during our conversation, I respected </w:t>
      </w:r>
      <w:r>
        <w:rPr>
          <w:rFonts w:ascii="Arial" w:hAnsi="Arial" w:cs="Arial"/>
        </w:rPr>
        <w:t>6</w:t>
      </w:r>
      <w:r w:rsidRPr="00D81A50">
        <w:rPr>
          <w:rFonts w:ascii="Arial" w:hAnsi="Arial" w:cs="Arial"/>
        </w:rPr>
        <w:t xml:space="preserve">’s views and wishes, promoted their rights and wellbeing, by ensuring that they felt heard.  </w:t>
      </w:r>
    </w:p>
    <w:p w14:paraId="16C3A7E6" w14:textId="77777777" w:rsidR="007A487D" w:rsidRDefault="007A487D" w:rsidP="007A487D">
      <w:pPr>
        <w:spacing w:after="0" w:line="360" w:lineRule="auto"/>
        <w:jc w:val="both"/>
        <w:rPr>
          <w:rFonts w:ascii="Arial" w:hAnsi="Arial" w:cs="Arial"/>
        </w:rPr>
      </w:pPr>
      <w:r w:rsidRPr="00D81A50">
        <w:rPr>
          <w:rFonts w:ascii="Arial" w:hAnsi="Arial" w:cs="Arial"/>
        </w:rPr>
        <w:t>We discussed 5’s wish to return home,</w:t>
      </w:r>
      <w:r>
        <w:rPr>
          <w:rFonts w:ascii="Arial" w:hAnsi="Arial" w:cs="Arial"/>
        </w:rPr>
        <w:t xml:space="preserve"> and</w:t>
      </w:r>
      <w:r w:rsidRPr="00D81A50">
        <w:rPr>
          <w:rFonts w:ascii="Arial" w:hAnsi="Arial" w:cs="Arial"/>
        </w:rPr>
        <w:t xml:space="preserve"> having had agreed to support. It was advised that a Care and Support Plan Assessment, that focused upon the wellbeing of the family, identifying the family’s needs and goals and devising a plan with a social worker, on how to achieve them, could be undertaken, if consented too.  </w:t>
      </w:r>
      <w:r w:rsidRPr="003B4674">
        <w:rPr>
          <w:rFonts w:ascii="Arial" w:hAnsi="Arial" w:cs="Arial"/>
        </w:rPr>
        <w:t xml:space="preserve">I was open and honest and explained to 6 that I felt a care and support plan in accordance with the Social Services and Well-being (Wales) Act 2014 would be my recommendation if they were willing to support this. I explained that I would need to discuss this with my team manager however this would be my recommendation. </w:t>
      </w:r>
      <w:r w:rsidRPr="00D81A50">
        <w:rPr>
          <w:rFonts w:ascii="Arial" w:hAnsi="Arial" w:cs="Arial"/>
        </w:rPr>
        <w:t>Due to this conversation,</w:t>
      </w:r>
      <w:r>
        <w:rPr>
          <w:rFonts w:ascii="Arial" w:hAnsi="Arial" w:cs="Arial"/>
        </w:rPr>
        <w:t>6</w:t>
      </w:r>
      <w:r w:rsidRPr="00D81A50">
        <w:rPr>
          <w:rFonts w:ascii="Arial" w:hAnsi="Arial" w:cs="Arial"/>
        </w:rPr>
        <w:t xml:space="preserve"> agreed to 5 returning home, consenting to support.</w:t>
      </w:r>
    </w:p>
    <w:p w14:paraId="6B0CEF81" w14:textId="77777777" w:rsidR="007A487D" w:rsidRPr="0022605B" w:rsidRDefault="007A487D" w:rsidP="007A487D">
      <w:pPr>
        <w:spacing w:after="0" w:line="360" w:lineRule="auto"/>
        <w:jc w:val="both"/>
        <w:rPr>
          <w:rFonts w:ascii="Arial" w:hAnsi="Arial" w:cs="Arial"/>
        </w:rPr>
      </w:pPr>
      <w:r>
        <w:rPr>
          <w:rFonts w:ascii="Arial" w:hAnsi="Arial" w:cs="Arial"/>
        </w:rPr>
        <w:lastRenderedPageBreak/>
        <w:t>Following my conversation with  6 I did not feel 5 was at risk of harm at home however I did feel 5 posed a risk at home, after speaking with 6 who identified 5’s behaviours However both 5 and 6 wanted to live with each other,  and as a result of this ,I did not feel this met the threshold for further child protection enquiries to be made.  I made this decision</w:t>
      </w:r>
      <w:r w:rsidRPr="0022605B">
        <w:rPr>
          <w:rFonts w:ascii="Arial" w:hAnsi="Arial" w:cs="Arial"/>
        </w:rPr>
        <w:t xml:space="preserve"> using </w:t>
      </w:r>
      <w:r>
        <w:rPr>
          <w:rFonts w:ascii="Arial" w:hAnsi="Arial" w:cs="Arial"/>
        </w:rPr>
        <w:t xml:space="preserve">my </w:t>
      </w:r>
      <w:r w:rsidRPr="0022605B">
        <w:rPr>
          <w:rFonts w:ascii="Arial" w:hAnsi="Arial" w:cs="Arial"/>
        </w:rPr>
        <w:t>professional judgement informed by laws, policy guidance,</w:t>
      </w:r>
      <w:r>
        <w:rPr>
          <w:rFonts w:ascii="Arial" w:hAnsi="Arial" w:cs="Arial"/>
        </w:rPr>
        <w:t xml:space="preserve"> evidence</w:t>
      </w:r>
      <w:r w:rsidRPr="0022605B">
        <w:rPr>
          <w:rFonts w:ascii="Arial" w:hAnsi="Arial" w:cs="Arial"/>
        </w:rPr>
        <w:t xml:space="preserve"> and the views of the young person (Social Care Wales, 2026)</w:t>
      </w:r>
      <w:r>
        <w:rPr>
          <w:rFonts w:ascii="Arial" w:hAnsi="Arial" w:cs="Arial"/>
        </w:rPr>
        <w:t xml:space="preserve"> </w:t>
      </w:r>
    </w:p>
    <w:p w14:paraId="6A4D169B" w14:textId="77777777" w:rsidR="007A487D" w:rsidRPr="00D81A50" w:rsidRDefault="007A487D" w:rsidP="007A487D">
      <w:pPr>
        <w:spacing w:after="0" w:line="360" w:lineRule="auto"/>
        <w:jc w:val="both"/>
        <w:rPr>
          <w:rFonts w:ascii="Arial" w:hAnsi="Arial" w:cs="Arial"/>
        </w:rPr>
      </w:pPr>
      <w:r w:rsidRPr="00D81A50">
        <w:rPr>
          <w:rFonts w:ascii="Arial" w:hAnsi="Arial" w:cs="Arial"/>
        </w:rPr>
        <w:t>A further conversation was held with 5, with 5’s behaviour</w:t>
      </w:r>
      <w:r>
        <w:rPr>
          <w:rFonts w:ascii="Arial" w:hAnsi="Arial" w:cs="Arial"/>
        </w:rPr>
        <w:t xml:space="preserve"> being addressed</w:t>
      </w:r>
      <w:r w:rsidRPr="00D81A50">
        <w:rPr>
          <w:rFonts w:ascii="Arial" w:hAnsi="Arial" w:cs="Arial"/>
        </w:rPr>
        <w:t xml:space="preserve"> and the Care and Support Plan assessment being discussed.  At the end of the discussion, 5 </w:t>
      </w:r>
      <w:r>
        <w:rPr>
          <w:rFonts w:ascii="Arial" w:hAnsi="Arial" w:cs="Arial"/>
        </w:rPr>
        <w:t xml:space="preserve">was asked as to whether they had any questions, in which 5 stated no, </w:t>
      </w:r>
      <w:r w:rsidRPr="00D81A50">
        <w:rPr>
          <w:rFonts w:ascii="Arial" w:hAnsi="Arial" w:cs="Arial"/>
        </w:rPr>
        <w:t>thank</w:t>
      </w:r>
      <w:r>
        <w:rPr>
          <w:rFonts w:ascii="Arial" w:hAnsi="Arial" w:cs="Arial"/>
        </w:rPr>
        <w:t>ing</w:t>
      </w:r>
      <w:r w:rsidRPr="00D81A50">
        <w:rPr>
          <w:rFonts w:ascii="Arial" w:hAnsi="Arial" w:cs="Arial"/>
        </w:rPr>
        <w:t xml:space="preserve"> me for the support, leaving with their Youth Justice Worker to return home. </w:t>
      </w:r>
    </w:p>
    <w:p w14:paraId="2A692422" w14:textId="3D9F3FCC" w:rsidR="007A487D" w:rsidRPr="002D40F5" w:rsidRDefault="007A487D" w:rsidP="007A487D">
      <w:pPr>
        <w:spacing w:after="0" w:line="360" w:lineRule="auto"/>
        <w:jc w:val="both"/>
        <w:rPr>
          <w:rFonts w:ascii="Arial" w:hAnsi="Arial" w:cs="Arial"/>
        </w:rPr>
      </w:pPr>
      <w:r w:rsidRPr="00916D60">
        <w:rPr>
          <w:rFonts w:ascii="Arial" w:hAnsi="Arial" w:cs="Arial"/>
        </w:rPr>
        <w:t>Following this</w:t>
      </w:r>
      <w:r>
        <w:rPr>
          <w:rFonts w:ascii="Arial" w:hAnsi="Arial" w:cs="Arial"/>
        </w:rPr>
        <w:t xml:space="preserve"> </w:t>
      </w:r>
      <w:r w:rsidRPr="00916D60">
        <w:rPr>
          <w:rFonts w:ascii="Arial" w:hAnsi="Arial" w:cs="Arial"/>
        </w:rPr>
        <w:t>I</w:t>
      </w:r>
      <w:r>
        <w:rPr>
          <w:rFonts w:ascii="Arial" w:hAnsi="Arial" w:cs="Arial"/>
        </w:rPr>
        <w:t xml:space="preserve"> reflected upon 5’s relationship with</w:t>
      </w:r>
      <w:r w:rsidRPr="00916D60">
        <w:rPr>
          <w:rFonts w:ascii="Arial" w:hAnsi="Arial" w:cs="Arial"/>
        </w:rPr>
        <w:t xml:space="preserve"> 7</w:t>
      </w:r>
      <w:r>
        <w:rPr>
          <w:rFonts w:ascii="Arial" w:hAnsi="Arial" w:cs="Arial"/>
        </w:rPr>
        <w:t xml:space="preserve"> and how 5 spoke about them having been</w:t>
      </w:r>
      <w:r w:rsidRPr="00916D60">
        <w:rPr>
          <w:rFonts w:ascii="Arial" w:hAnsi="Arial" w:cs="Arial"/>
        </w:rPr>
        <w:t xml:space="preserve"> estranged</w:t>
      </w:r>
      <w:r>
        <w:rPr>
          <w:rFonts w:ascii="Arial" w:hAnsi="Arial" w:cs="Arial"/>
        </w:rPr>
        <w:t xml:space="preserve"> for many years</w:t>
      </w:r>
      <w:r w:rsidRPr="00916D60">
        <w:rPr>
          <w:rFonts w:ascii="Arial" w:hAnsi="Arial" w:cs="Arial"/>
        </w:rPr>
        <w:t>,</w:t>
      </w:r>
      <w:r>
        <w:rPr>
          <w:rFonts w:ascii="Arial" w:hAnsi="Arial" w:cs="Arial"/>
        </w:rPr>
        <w:t xml:space="preserve"> seemingly saddened by this, and how even though 6 and</w:t>
      </w:r>
      <w:r w:rsidRPr="00916D60">
        <w:rPr>
          <w:rFonts w:ascii="Arial" w:hAnsi="Arial" w:cs="Arial"/>
        </w:rPr>
        <w:t xml:space="preserve"> 7</w:t>
      </w:r>
      <w:r>
        <w:rPr>
          <w:rFonts w:ascii="Arial" w:hAnsi="Arial" w:cs="Arial"/>
        </w:rPr>
        <w:t xml:space="preserve"> had separated, 7 should have been included in the assessment and planning</w:t>
      </w:r>
      <w:r w:rsidRPr="00916D60">
        <w:rPr>
          <w:rFonts w:ascii="Arial" w:hAnsi="Arial" w:cs="Arial"/>
        </w:rPr>
        <w:t>.</w:t>
      </w:r>
      <w:r>
        <w:rPr>
          <w:rFonts w:ascii="Arial" w:hAnsi="Arial" w:cs="Arial"/>
        </w:rPr>
        <w:t xml:space="preserve"> This being due to </w:t>
      </w:r>
      <w:r>
        <w:rPr>
          <w:rFonts w:ascii="Arial" w:hAnsi="Arial" w:cs="Arial"/>
        </w:rPr>
        <w:t>7</w:t>
      </w:r>
      <w:r w:rsidRPr="00916D60">
        <w:rPr>
          <w:rFonts w:ascii="Arial" w:hAnsi="Arial" w:cs="Arial"/>
        </w:rPr>
        <w:t xml:space="preserve"> </w:t>
      </w:r>
      <w:r>
        <w:rPr>
          <w:rFonts w:ascii="Arial" w:hAnsi="Arial" w:cs="Arial"/>
        </w:rPr>
        <w:t>still</w:t>
      </w:r>
      <w:r>
        <w:rPr>
          <w:rFonts w:ascii="Arial" w:hAnsi="Arial" w:cs="Arial"/>
        </w:rPr>
        <w:t xml:space="preserve"> having</w:t>
      </w:r>
      <w:r w:rsidRPr="00916D60">
        <w:rPr>
          <w:rFonts w:ascii="Arial" w:hAnsi="Arial" w:cs="Arial"/>
        </w:rPr>
        <w:t xml:space="preserve"> parental responsibilities and legal rights and accountabilities towards </w:t>
      </w:r>
      <w:r>
        <w:rPr>
          <w:rFonts w:ascii="Arial" w:hAnsi="Arial" w:cs="Arial"/>
        </w:rPr>
        <w:t xml:space="preserve">5, </w:t>
      </w:r>
      <w:r w:rsidRPr="00916D60">
        <w:rPr>
          <w:rFonts w:ascii="Arial" w:hAnsi="Arial" w:cs="Arial"/>
        </w:rPr>
        <w:t>until they reach the age of 18 (</w:t>
      </w:r>
      <w:r w:rsidRPr="007824F0">
        <w:rPr>
          <w:rFonts w:ascii="Arial" w:hAnsi="Arial" w:cs="Arial"/>
        </w:rPr>
        <w:t>Children Act</w:t>
      </w:r>
      <w:r>
        <w:rPr>
          <w:rFonts w:ascii="Arial" w:hAnsi="Arial" w:cs="Arial"/>
        </w:rPr>
        <w:t>,</w:t>
      </w:r>
      <w:r w:rsidRPr="007824F0">
        <w:rPr>
          <w:rFonts w:ascii="Arial" w:hAnsi="Arial" w:cs="Arial"/>
        </w:rPr>
        <w:t>1989</w:t>
      </w:r>
      <w:r>
        <w:rPr>
          <w:rFonts w:ascii="Arial" w:hAnsi="Arial" w:cs="Arial"/>
        </w:rPr>
        <w:t>).</w:t>
      </w:r>
    </w:p>
    <w:p w14:paraId="1E9BEE71" w14:textId="7FEFB437" w:rsidR="007A487D" w:rsidRPr="0022605B" w:rsidRDefault="007A487D" w:rsidP="007A487D">
      <w:pPr>
        <w:spacing w:after="0" w:line="360" w:lineRule="auto"/>
        <w:jc w:val="both"/>
        <w:rPr>
          <w:rFonts w:ascii="Arial" w:hAnsi="Arial" w:cs="Arial"/>
        </w:rPr>
      </w:pPr>
      <w:r w:rsidRPr="0022605B">
        <w:rPr>
          <w:rFonts w:ascii="Arial" w:hAnsi="Arial" w:cs="Arial"/>
        </w:rPr>
        <w:t xml:space="preserve">I discussed the case with my manager explained the situation and the difficulties the family were experiencing using Gibbs' Reflective Cycle. I explained who made the referral and why explaining that 6 was </w:t>
      </w:r>
      <w:r>
        <w:rPr>
          <w:rFonts w:ascii="Arial" w:hAnsi="Arial" w:cs="Arial"/>
        </w:rPr>
        <w:t xml:space="preserve">initially </w:t>
      </w:r>
      <w:r w:rsidRPr="0022605B">
        <w:rPr>
          <w:rFonts w:ascii="Arial" w:hAnsi="Arial" w:cs="Arial"/>
        </w:rPr>
        <w:t xml:space="preserve">refusing to have 5 back at the family home due to 5’s behaviour. I explained that being a parent myself I really struggled with the thought that a parent would abandon their child and felt this was a child protection issue, however when speaking with 5 they did acknowledge that their behaviour was contributing to the </w:t>
      </w:r>
      <w:r w:rsidRPr="0022605B">
        <w:rPr>
          <w:rFonts w:ascii="Arial" w:hAnsi="Arial" w:cs="Arial"/>
        </w:rPr>
        <w:t>situation,</w:t>
      </w:r>
      <w:r w:rsidRPr="0022605B">
        <w:rPr>
          <w:rFonts w:ascii="Arial" w:hAnsi="Arial" w:cs="Arial"/>
        </w:rPr>
        <w:t xml:space="preserve"> and they wanted to go home. I explained that both 5 and 6 engaged with the assessment and both spoke about the same issues and the difficulties the family had experienced including domestic abuse and substance misuse</w:t>
      </w:r>
      <w:r>
        <w:rPr>
          <w:rFonts w:ascii="Arial" w:hAnsi="Arial" w:cs="Arial"/>
        </w:rPr>
        <w:t>. I explained that following from the What Matters conversations with 5 and 6 thy both agreed for 5 to return home. I advised in my professional opinion there are no immediate risks and family have agreed to a care and support plan and updated the local authority recording system accordingly.</w:t>
      </w:r>
    </w:p>
    <w:p w14:paraId="5F172078" w14:textId="77777777" w:rsidR="007A487D" w:rsidRPr="0022605B" w:rsidRDefault="007A487D" w:rsidP="007A487D">
      <w:pPr>
        <w:spacing w:after="0" w:line="360" w:lineRule="auto"/>
        <w:jc w:val="both"/>
        <w:rPr>
          <w:rFonts w:ascii="Arial" w:hAnsi="Arial" w:cs="Arial"/>
        </w:rPr>
      </w:pPr>
      <w:r w:rsidRPr="0022605B">
        <w:rPr>
          <w:rFonts w:ascii="Arial" w:hAnsi="Arial" w:cs="Arial"/>
        </w:rPr>
        <w:t xml:space="preserve">Following completion of the assessment, a Care and Support Plan was developed alongside 5 and 6, in accordance with the Social Services and Well-being (Wales) Act 2014. The plan identified the young person's need for safe accommodation, emotional support and continued engagement in education. Consistent with the Welsh "What Matters" approach, the plan focused on achieving outcomes that were important to the </w:t>
      </w:r>
      <w:r w:rsidRPr="0022605B">
        <w:rPr>
          <w:rFonts w:ascii="Arial" w:hAnsi="Arial" w:cs="Arial"/>
        </w:rPr>
        <w:lastRenderedPageBreak/>
        <w:t>young person whilst managing the safeguarding risks associated with homelessness and family breakdown</w:t>
      </w:r>
    </w:p>
    <w:p w14:paraId="15457702" w14:textId="77777777" w:rsidR="007A487D" w:rsidRDefault="007A487D" w:rsidP="007A487D">
      <w:pPr>
        <w:spacing w:after="0" w:line="360" w:lineRule="auto"/>
        <w:jc w:val="both"/>
        <w:rPr>
          <w:rFonts w:ascii="Arial" w:hAnsi="Arial" w:cs="Arial"/>
        </w:rPr>
      </w:pPr>
      <w:r w:rsidRPr="0022605B">
        <w:rPr>
          <w:rFonts w:ascii="Arial" w:hAnsi="Arial" w:cs="Arial"/>
        </w:rPr>
        <w:t>The purpose of this assignment was to look at safeguarding in the area of social work that I practise in a duty team the children's services as a result this assignment focused on social work in the context of child protection I critically reflected on a case I was assigned and incorporated my knowledge of Welsh, United Kingdom, European and Non-European legislations.  I made links from the case to theory and how it was relevant to the case, whilst</w:t>
      </w:r>
      <w:r>
        <w:rPr>
          <w:rFonts w:ascii="Arial" w:hAnsi="Arial" w:cs="Arial"/>
        </w:rPr>
        <w:t xml:space="preserve"> </w:t>
      </w:r>
      <w:r w:rsidRPr="0022605B">
        <w:rPr>
          <w:rFonts w:ascii="Arial" w:hAnsi="Arial" w:cs="Arial"/>
        </w:rPr>
        <w:t>highlighting the importance</w:t>
      </w:r>
      <w:r>
        <w:rPr>
          <w:rFonts w:ascii="Arial" w:hAnsi="Arial" w:cs="Arial"/>
        </w:rPr>
        <w:t xml:space="preserve"> of</w:t>
      </w:r>
      <w:r w:rsidRPr="007F38B4">
        <w:rPr>
          <w:rFonts w:ascii="Arial" w:hAnsi="Arial" w:cs="Arial"/>
        </w:rPr>
        <w:t xml:space="preserve"> collaborative </w:t>
      </w:r>
      <w:r>
        <w:rPr>
          <w:rFonts w:ascii="Arial" w:hAnsi="Arial" w:cs="Arial"/>
        </w:rPr>
        <w:t xml:space="preserve">working with </w:t>
      </w:r>
      <w:r w:rsidRPr="007F38B4">
        <w:rPr>
          <w:rFonts w:ascii="Arial" w:hAnsi="Arial" w:cs="Arial"/>
        </w:rPr>
        <w:t>others including the family and Professionals</w:t>
      </w:r>
    </w:p>
    <w:p w14:paraId="24F35248" w14:textId="77777777" w:rsidR="007A487D" w:rsidRDefault="007A487D" w:rsidP="007A487D">
      <w:pPr>
        <w:spacing w:after="0" w:line="360" w:lineRule="auto"/>
        <w:jc w:val="both"/>
        <w:rPr>
          <w:rFonts w:ascii="Arial" w:hAnsi="Arial" w:cs="Arial"/>
        </w:rPr>
      </w:pPr>
    </w:p>
    <w:p w14:paraId="25A863BB" w14:textId="77777777" w:rsidR="007A487D" w:rsidRPr="007654CA" w:rsidRDefault="007A487D" w:rsidP="007A487D">
      <w:pPr>
        <w:spacing w:after="0" w:line="360" w:lineRule="auto"/>
        <w:jc w:val="both"/>
        <w:rPr>
          <w:rFonts w:ascii="Arial" w:hAnsi="Arial" w:cs="Arial"/>
        </w:rPr>
      </w:pPr>
    </w:p>
    <w:p w14:paraId="4806D307" w14:textId="77777777" w:rsidR="007A487D" w:rsidRPr="002D40F5" w:rsidRDefault="007A487D" w:rsidP="007A487D">
      <w:pPr>
        <w:spacing w:after="0" w:line="360" w:lineRule="auto"/>
        <w:jc w:val="both"/>
        <w:rPr>
          <w:rFonts w:ascii="Arial" w:hAnsi="Arial" w:cs="Arial"/>
        </w:rPr>
      </w:pPr>
      <w:r>
        <w:rPr>
          <w:rFonts w:ascii="Arial" w:hAnsi="Arial" w:cs="Arial"/>
        </w:rPr>
        <w:t>Word Count 3616</w:t>
      </w:r>
    </w:p>
    <w:p w14:paraId="48DA8211" w14:textId="77777777" w:rsidR="007A487D" w:rsidRPr="008E7A5A" w:rsidRDefault="007A487D" w:rsidP="007A487D">
      <w:pPr>
        <w:spacing w:after="0" w:line="360" w:lineRule="auto"/>
        <w:jc w:val="both"/>
        <w:rPr>
          <w:rFonts w:ascii="Arial" w:hAnsi="Arial" w:cs="Arial"/>
        </w:rPr>
      </w:pPr>
    </w:p>
    <w:p w14:paraId="01BCADCE" w14:textId="77777777" w:rsidR="007A487D" w:rsidRDefault="007A487D" w:rsidP="007A487D">
      <w:pPr>
        <w:spacing w:after="0" w:line="360" w:lineRule="auto"/>
        <w:jc w:val="both"/>
        <w:rPr>
          <w:rFonts w:ascii="Arial" w:hAnsi="Arial" w:cs="Arial"/>
        </w:rPr>
      </w:pPr>
    </w:p>
    <w:p w14:paraId="3E647354" w14:textId="5CC56712" w:rsidR="007A487D" w:rsidRPr="007A487D" w:rsidRDefault="007A487D" w:rsidP="007A487D">
      <w:pPr>
        <w:spacing w:after="0"/>
        <w:rPr>
          <w:rFonts w:ascii="Arial" w:hAnsi="Arial" w:cs="Arial"/>
          <w:b/>
          <w:bCs/>
        </w:rPr>
      </w:pPr>
      <w:r w:rsidRPr="007A487D">
        <w:rPr>
          <w:rFonts w:ascii="Arial" w:hAnsi="Arial" w:cs="Arial"/>
          <w:b/>
          <w:bCs/>
        </w:rPr>
        <w:t xml:space="preserve"> Additional </w:t>
      </w:r>
      <w:r w:rsidRPr="007A487D">
        <w:rPr>
          <w:rFonts w:ascii="Arial" w:hAnsi="Arial" w:cs="Arial"/>
          <w:b/>
          <w:bCs/>
        </w:rPr>
        <w:t>References</w:t>
      </w:r>
    </w:p>
    <w:p w14:paraId="2EA93FE6" w14:textId="77777777" w:rsidR="007A487D" w:rsidRDefault="007A487D" w:rsidP="007A487D">
      <w:pPr>
        <w:spacing w:after="0"/>
        <w:rPr>
          <w:rFonts w:ascii="Arial" w:hAnsi="Arial" w:cs="Arial"/>
        </w:rPr>
      </w:pPr>
    </w:p>
    <w:p w14:paraId="2E0537FE" w14:textId="77777777" w:rsidR="007A487D" w:rsidRPr="007A487D" w:rsidRDefault="007A487D" w:rsidP="007A487D">
      <w:pPr>
        <w:spacing w:after="0" w:line="360" w:lineRule="auto"/>
        <w:jc w:val="both"/>
        <w:rPr>
          <w:rFonts w:ascii="Arial" w:hAnsi="Arial" w:cs="Arial"/>
        </w:rPr>
      </w:pPr>
      <w:r w:rsidRPr="007A487D">
        <w:rPr>
          <w:rFonts w:ascii="Arial" w:hAnsi="Arial" w:cs="Arial"/>
        </w:rPr>
        <w:t xml:space="preserve">Bandura, A. (1977) </w:t>
      </w:r>
      <w:r w:rsidRPr="007A487D">
        <w:rPr>
          <w:rFonts w:ascii="Arial" w:hAnsi="Arial" w:cs="Arial"/>
          <w:i/>
          <w:iCs/>
        </w:rPr>
        <w:t>Social Learning Theory</w:t>
      </w:r>
      <w:r w:rsidRPr="007A487D">
        <w:rPr>
          <w:rFonts w:ascii="Arial" w:hAnsi="Arial" w:cs="Arial"/>
        </w:rPr>
        <w:t>. Englewood Cliffs, NJ: Prentice Hall</w:t>
      </w:r>
    </w:p>
    <w:p w14:paraId="1941D229" w14:textId="77777777" w:rsidR="007A487D" w:rsidRPr="007A487D" w:rsidRDefault="007A487D" w:rsidP="007A487D">
      <w:pPr>
        <w:spacing w:after="0" w:line="360" w:lineRule="auto"/>
        <w:jc w:val="both"/>
        <w:rPr>
          <w:rFonts w:ascii="Arial" w:hAnsi="Arial" w:cs="Arial"/>
        </w:rPr>
      </w:pPr>
      <w:r w:rsidRPr="007A487D">
        <w:rPr>
          <w:rFonts w:ascii="Arial" w:hAnsi="Arial" w:cs="Arial"/>
        </w:rPr>
        <w:t xml:space="preserve">British Association of Social Workers (BASW) (2021) </w:t>
      </w:r>
      <w:r w:rsidRPr="007A487D">
        <w:rPr>
          <w:rFonts w:ascii="Arial" w:hAnsi="Arial" w:cs="Arial"/>
          <w:i/>
          <w:iCs/>
        </w:rPr>
        <w:t>The Professional Capabilities Framework</w:t>
      </w:r>
      <w:r w:rsidRPr="007A487D">
        <w:rPr>
          <w:rFonts w:ascii="Arial" w:hAnsi="Arial" w:cs="Arial"/>
        </w:rPr>
        <w:t>. Birmingham: BASW.</w:t>
      </w:r>
    </w:p>
    <w:p w14:paraId="0D281BEE" w14:textId="77777777" w:rsidR="007A487D" w:rsidRPr="007A487D" w:rsidRDefault="007A487D" w:rsidP="007A487D">
      <w:pPr>
        <w:spacing w:after="0" w:line="360" w:lineRule="auto"/>
        <w:jc w:val="both"/>
        <w:rPr>
          <w:rFonts w:ascii="Arial" w:hAnsi="Arial" w:cs="Arial"/>
        </w:rPr>
      </w:pPr>
      <w:r w:rsidRPr="007A487D">
        <w:rPr>
          <w:rFonts w:ascii="Arial" w:hAnsi="Arial" w:cs="Arial"/>
        </w:rPr>
        <w:t xml:space="preserve">Bronfenbrenner, U. (1979) </w:t>
      </w:r>
      <w:r w:rsidRPr="007A487D">
        <w:rPr>
          <w:rFonts w:ascii="Arial" w:hAnsi="Arial" w:cs="Arial"/>
          <w:i/>
          <w:iCs/>
        </w:rPr>
        <w:t>The Ecology of Human Development: Experiments by Nature and Design</w:t>
      </w:r>
      <w:r w:rsidRPr="007A487D">
        <w:rPr>
          <w:rFonts w:ascii="Arial" w:hAnsi="Arial" w:cs="Arial"/>
        </w:rPr>
        <w:t>. Cambridge, MA: Harvard University Press.</w:t>
      </w:r>
    </w:p>
    <w:p w14:paraId="56C4334E" w14:textId="77777777" w:rsidR="007A487D" w:rsidRPr="007A487D" w:rsidRDefault="007A487D" w:rsidP="007A487D">
      <w:pPr>
        <w:spacing w:after="0" w:line="360" w:lineRule="auto"/>
        <w:jc w:val="both"/>
        <w:rPr>
          <w:rFonts w:ascii="Arial" w:hAnsi="Arial" w:cs="Arial"/>
        </w:rPr>
      </w:pPr>
      <w:r w:rsidRPr="007A487D">
        <w:rPr>
          <w:rFonts w:ascii="Arial" w:hAnsi="Arial" w:cs="Arial"/>
        </w:rPr>
        <w:t xml:space="preserve">Children Act 1989. (c.41). London: HMSO. </w:t>
      </w:r>
    </w:p>
    <w:p w14:paraId="3FF119DE" w14:textId="77777777" w:rsidR="007A487D" w:rsidRPr="007A487D" w:rsidRDefault="007A487D" w:rsidP="007A487D">
      <w:pPr>
        <w:spacing w:after="0" w:line="360" w:lineRule="auto"/>
        <w:jc w:val="both"/>
        <w:rPr>
          <w:rFonts w:ascii="Arial" w:hAnsi="Arial" w:cs="Arial"/>
        </w:rPr>
      </w:pPr>
      <w:r w:rsidRPr="007A487D">
        <w:rPr>
          <w:rFonts w:ascii="Arial" w:hAnsi="Arial" w:cs="Arial"/>
        </w:rPr>
        <w:t xml:space="preserve">Department for Education (2023) </w:t>
      </w:r>
      <w:r w:rsidRPr="007A487D">
        <w:rPr>
          <w:rFonts w:ascii="Arial" w:hAnsi="Arial" w:cs="Arial"/>
          <w:i/>
          <w:iCs/>
        </w:rPr>
        <w:t>Working Together to Safeguard Children</w:t>
      </w:r>
      <w:r w:rsidRPr="007A487D">
        <w:rPr>
          <w:rFonts w:ascii="Arial" w:hAnsi="Arial" w:cs="Arial"/>
        </w:rPr>
        <w:t xml:space="preserve">. London: HMSO. Available at: </w:t>
      </w:r>
      <w:hyperlink r:id="rId7" w:history="1">
        <w:r w:rsidRPr="007A487D">
          <w:rPr>
            <w:rStyle w:val="Hyperlink"/>
            <w:rFonts w:ascii="Arial" w:hAnsi="Arial" w:cs="Arial"/>
          </w:rPr>
          <w:t>https://www.gov.uk/government/publications/working-together-to-safeguard-children</w:t>
        </w:r>
      </w:hyperlink>
    </w:p>
    <w:p w14:paraId="1F7A2E05" w14:textId="77777777" w:rsidR="007A487D" w:rsidRPr="007A487D" w:rsidRDefault="007A487D" w:rsidP="007A487D">
      <w:pPr>
        <w:spacing w:after="0" w:line="360" w:lineRule="auto"/>
        <w:jc w:val="both"/>
        <w:rPr>
          <w:rFonts w:ascii="Arial" w:hAnsi="Arial" w:cs="Arial"/>
        </w:rPr>
      </w:pPr>
      <w:r w:rsidRPr="007A487D">
        <w:rPr>
          <w:rFonts w:ascii="Arial" w:hAnsi="Arial" w:cs="Arial"/>
        </w:rPr>
        <w:t xml:space="preserve">Housing (Wales) Act 2014. (anaw 7). Cardiff: Welsh Government. </w:t>
      </w:r>
    </w:p>
    <w:p w14:paraId="2D443D86" w14:textId="77777777" w:rsidR="007A487D" w:rsidRPr="007A487D" w:rsidRDefault="007A487D" w:rsidP="007A487D">
      <w:pPr>
        <w:spacing w:after="0" w:line="360" w:lineRule="auto"/>
        <w:jc w:val="both"/>
        <w:rPr>
          <w:rFonts w:ascii="Arial" w:hAnsi="Arial" w:cs="Arial"/>
        </w:rPr>
      </w:pPr>
      <w:r w:rsidRPr="007A487D">
        <w:rPr>
          <w:rFonts w:ascii="Arial" w:hAnsi="Arial" w:cs="Arial"/>
        </w:rPr>
        <w:t xml:space="preserve">Munro, E. (2011) </w:t>
      </w:r>
      <w:r w:rsidRPr="007A487D">
        <w:rPr>
          <w:rFonts w:ascii="Arial" w:hAnsi="Arial" w:cs="Arial"/>
          <w:i/>
          <w:iCs/>
        </w:rPr>
        <w:t>The Munro Review of Child Protection: Final Report – A Child-Centred System</w:t>
      </w:r>
      <w:r w:rsidRPr="007A487D">
        <w:rPr>
          <w:rFonts w:ascii="Arial" w:hAnsi="Arial" w:cs="Arial"/>
        </w:rPr>
        <w:t>. London: Department for Education</w:t>
      </w:r>
    </w:p>
    <w:p w14:paraId="2DF91100" w14:textId="77777777" w:rsidR="007A487D" w:rsidRPr="007A487D" w:rsidRDefault="007A487D" w:rsidP="007A487D">
      <w:pPr>
        <w:spacing w:after="0" w:line="360" w:lineRule="auto"/>
        <w:jc w:val="both"/>
        <w:rPr>
          <w:rFonts w:ascii="Arial" w:hAnsi="Arial" w:cs="Arial"/>
        </w:rPr>
      </w:pPr>
      <w:r w:rsidRPr="007A487D">
        <w:rPr>
          <w:rFonts w:ascii="Arial" w:hAnsi="Arial" w:cs="Arial"/>
        </w:rPr>
        <w:t>R (G) v London Borough of Southwark [2009] UKHL 26, House of Lords. Available at: https://publications.parliament.uk/pa/ld200809/ldjudgmt/jd090520/appg-1.htm (Accessed: 06 July 2026).</w:t>
      </w:r>
    </w:p>
    <w:p w14:paraId="470E063D" w14:textId="77777777" w:rsidR="007A487D" w:rsidRPr="007A487D" w:rsidRDefault="007A487D" w:rsidP="007A487D">
      <w:pPr>
        <w:spacing w:after="0" w:line="360" w:lineRule="auto"/>
        <w:jc w:val="both"/>
        <w:rPr>
          <w:rFonts w:ascii="Arial" w:hAnsi="Arial" w:cs="Arial"/>
        </w:rPr>
      </w:pPr>
      <w:r w:rsidRPr="007A487D">
        <w:rPr>
          <w:rFonts w:ascii="Arial" w:hAnsi="Arial" w:cs="Arial"/>
        </w:rPr>
        <w:t xml:space="preserve">Social Care Wales (2022) </w:t>
      </w:r>
      <w:r w:rsidRPr="007A487D">
        <w:rPr>
          <w:rFonts w:ascii="Arial" w:hAnsi="Arial" w:cs="Arial"/>
          <w:i/>
          <w:iCs/>
        </w:rPr>
        <w:t>More Than Just Words: Welsh Language Plan in Health and Social Care</w:t>
      </w:r>
      <w:r w:rsidRPr="007A487D">
        <w:rPr>
          <w:rFonts w:ascii="Arial" w:hAnsi="Arial" w:cs="Arial"/>
        </w:rPr>
        <w:t>. Cardiff: Social Care Wales.</w:t>
      </w:r>
    </w:p>
    <w:p w14:paraId="001238D1" w14:textId="77777777" w:rsidR="007A487D" w:rsidRPr="007A487D" w:rsidRDefault="007A487D" w:rsidP="007A487D">
      <w:pPr>
        <w:spacing w:after="0" w:line="360" w:lineRule="auto"/>
        <w:jc w:val="both"/>
        <w:rPr>
          <w:rFonts w:ascii="Arial" w:hAnsi="Arial" w:cs="Arial"/>
        </w:rPr>
      </w:pPr>
      <w:r w:rsidRPr="007A487D">
        <w:rPr>
          <w:rFonts w:ascii="Arial" w:hAnsi="Arial" w:cs="Arial"/>
        </w:rPr>
        <w:lastRenderedPageBreak/>
        <w:t xml:space="preserve">Social Care Wales (2026) </w:t>
      </w:r>
      <w:r w:rsidRPr="007A487D">
        <w:rPr>
          <w:rFonts w:ascii="Arial" w:hAnsi="Arial" w:cs="Arial"/>
          <w:i/>
          <w:iCs/>
        </w:rPr>
        <w:t>Code of Professional Practice for Social Care Workers</w:t>
      </w:r>
      <w:r w:rsidRPr="007A487D">
        <w:rPr>
          <w:rFonts w:ascii="Arial" w:hAnsi="Arial" w:cs="Arial"/>
        </w:rPr>
        <w:t>. Cardiff: Social Care Wales. Available at: https://socialcare.wales/codes-of-practice-and-guidance/code-of-professional-practice-for-social-care-workers</w:t>
      </w:r>
    </w:p>
    <w:p w14:paraId="561A578E" w14:textId="77777777" w:rsidR="007A487D" w:rsidRPr="007A487D" w:rsidRDefault="007A487D" w:rsidP="007A487D">
      <w:pPr>
        <w:spacing w:after="0" w:line="360" w:lineRule="auto"/>
        <w:jc w:val="both"/>
        <w:rPr>
          <w:rFonts w:ascii="Arial" w:hAnsi="Arial" w:cs="Arial"/>
        </w:rPr>
      </w:pPr>
      <w:r w:rsidRPr="007A487D">
        <w:rPr>
          <w:rFonts w:ascii="Arial" w:hAnsi="Arial" w:cs="Arial"/>
        </w:rPr>
        <w:t xml:space="preserve">Social Services and Well-being (Wales) Act 2014. (anaw 4). Cardiff: Welsh Government. </w:t>
      </w:r>
    </w:p>
    <w:p w14:paraId="00E1B7EA" w14:textId="34AEDD87" w:rsidR="007A487D" w:rsidRPr="007A487D" w:rsidRDefault="007A487D" w:rsidP="007A487D">
      <w:pPr>
        <w:spacing w:line="360" w:lineRule="auto"/>
        <w:jc w:val="both"/>
        <w:rPr>
          <w:rFonts w:ascii="Arial" w:hAnsi="Arial" w:cs="Arial"/>
        </w:rPr>
      </w:pPr>
      <w:r w:rsidRPr="007A487D">
        <w:rPr>
          <w:rFonts w:ascii="Arial" w:hAnsi="Arial" w:cs="Arial"/>
        </w:rPr>
        <w:t xml:space="preserve">Welsh Government (2011) </w:t>
      </w:r>
      <w:r w:rsidRPr="007A487D">
        <w:rPr>
          <w:rFonts w:ascii="Arial" w:hAnsi="Arial" w:cs="Arial"/>
          <w:i/>
          <w:iCs/>
        </w:rPr>
        <w:t>Welsh Language (Wales) Measure 2011</w:t>
      </w:r>
      <w:r w:rsidRPr="007A487D">
        <w:rPr>
          <w:rFonts w:ascii="Arial" w:hAnsi="Arial" w:cs="Arial"/>
        </w:rPr>
        <w:t>. Cardiff: Welsh Government. Available at: https://www.legislation.gov.uk/mwa/2011/1/contents (Accessed: 14 July 2026).</w:t>
      </w:r>
    </w:p>
    <w:p w14:paraId="6E593F42" w14:textId="77777777" w:rsidR="007A487D" w:rsidRPr="007A487D" w:rsidRDefault="007A487D" w:rsidP="007A487D">
      <w:pPr>
        <w:spacing w:line="360" w:lineRule="auto"/>
        <w:jc w:val="both"/>
        <w:rPr>
          <w:rFonts w:ascii="Arial" w:hAnsi="Arial" w:cs="Arial"/>
        </w:rPr>
      </w:pPr>
      <w:r w:rsidRPr="007A487D">
        <w:rPr>
          <w:rFonts w:ascii="Arial" w:hAnsi="Arial" w:cs="Arial"/>
        </w:rPr>
        <w:t xml:space="preserve">Welsh Government (2024). </w:t>
      </w:r>
      <w:r w:rsidRPr="007A487D">
        <w:rPr>
          <w:rFonts w:ascii="Arial" w:hAnsi="Arial" w:cs="Arial"/>
          <w:i/>
          <w:iCs/>
        </w:rPr>
        <w:t>Preventing homelessness: guidance for young people.</w:t>
      </w:r>
      <w:r w:rsidRPr="007A487D">
        <w:rPr>
          <w:rFonts w:ascii="Arial" w:hAnsi="Arial" w:cs="Arial"/>
        </w:rPr>
        <w:t xml:space="preserve"> Cardiff: Welsh Government. Available at: https://www.gov.wales/homelessness</w:t>
      </w:r>
    </w:p>
    <w:p w14:paraId="70DCAA1B" w14:textId="77777777" w:rsidR="007A487D" w:rsidRPr="007A487D" w:rsidRDefault="007A487D" w:rsidP="007A487D">
      <w:pPr>
        <w:spacing w:line="360" w:lineRule="auto"/>
        <w:jc w:val="both"/>
        <w:rPr>
          <w:rFonts w:ascii="Arial" w:hAnsi="Arial" w:cs="Arial"/>
        </w:rPr>
      </w:pPr>
    </w:p>
    <w:p w14:paraId="1A3217E1" w14:textId="0C93A945" w:rsidR="00744ABE" w:rsidRPr="007A487D" w:rsidRDefault="00744ABE">
      <w:pPr>
        <w:rPr>
          <w:rFonts w:ascii="Arial" w:hAnsi="Arial" w:cs="Arial"/>
        </w:rPr>
      </w:pPr>
    </w:p>
    <w:sectPr w:rsidR="00744ABE" w:rsidRPr="007A487D">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FA9E79" w14:textId="77777777" w:rsidR="00FB6FB0" w:rsidRDefault="00FB6FB0" w:rsidP="00B539DC">
      <w:pPr>
        <w:spacing w:after="0" w:line="240" w:lineRule="auto"/>
      </w:pPr>
      <w:r>
        <w:separator/>
      </w:r>
    </w:p>
  </w:endnote>
  <w:endnote w:type="continuationSeparator" w:id="0">
    <w:p w14:paraId="0CEED4AF" w14:textId="77777777" w:rsidR="00FB6FB0" w:rsidRDefault="00FB6FB0" w:rsidP="00B539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4365342"/>
      <w:docPartObj>
        <w:docPartGallery w:val="Page Numbers (Bottom of Page)"/>
        <w:docPartUnique/>
      </w:docPartObj>
    </w:sdtPr>
    <w:sdtEndPr>
      <w:rPr>
        <w:color w:val="7F7F7F" w:themeColor="background1" w:themeShade="7F"/>
        <w:spacing w:val="60"/>
      </w:rPr>
    </w:sdtEndPr>
    <w:sdtContent>
      <w:p w14:paraId="6066EA8C" w14:textId="66882641" w:rsidR="00B539DC" w:rsidRDefault="00B539DC">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042AF941" w14:textId="77777777" w:rsidR="00B539DC" w:rsidRDefault="00B539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45625F" w14:textId="77777777" w:rsidR="00FB6FB0" w:rsidRDefault="00FB6FB0" w:rsidP="00B539DC">
      <w:pPr>
        <w:spacing w:after="0" w:line="240" w:lineRule="auto"/>
      </w:pPr>
      <w:r>
        <w:separator/>
      </w:r>
    </w:p>
  </w:footnote>
  <w:footnote w:type="continuationSeparator" w:id="0">
    <w:p w14:paraId="33A37266" w14:textId="77777777" w:rsidR="00FB6FB0" w:rsidRDefault="00FB6FB0" w:rsidP="00B539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0740F8" w14:textId="138DDFA6" w:rsidR="00B539DC" w:rsidRDefault="00B539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946C0D"/>
    <w:multiLevelType w:val="multilevel"/>
    <w:tmpl w:val="078CF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CA42E8"/>
    <w:multiLevelType w:val="multilevel"/>
    <w:tmpl w:val="1466DC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FD03A6"/>
    <w:multiLevelType w:val="multilevel"/>
    <w:tmpl w:val="352E7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C030F1"/>
    <w:multiLevelType w:val="hybridMultilevel"/>
    <w:tmpl w:val="3CEA70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A17258"/>
    <w:multiLevelType w:val="hybridMultilevel"/>
    <w:tmpl w:val="CFD22110"/>
    <w:lvl w:ilvl="0" w:tplc="A57ACCE2">
      <w:start w:val="1"/>
      <w:numFmt w:val="bullet"/>
      <w:lvlText w:val="•"/>
      <w:lvlJc w:val="left"/>
      <w:pPr>
        <w:tabs>
          <w:tab w:val="num" w:pos="720"/>
        </w:tabs>
        <w:ind w:left="720" w:hanging="360"/>
      </w:pPr>
      <w:rPr>
        <w:rFonts w:ascii="Arial" w:hAnsi="Arial" w:hint="default"/>
      </w:rPr>
    </w:lvl>
    <w:lvl w:ilvl="1" w:tplc="A21CB2EC" w:tentative="1">
      <w:start w:val="1"/>
      <w:numFmt w:val="bullet"/>
      <w:lvlText w:val="•"/>
      <w:lvlJc w:val="left"/>
      <w:pPr>
        <w:tabs>
          <w:tab w:val="num" w:pos="1440"/>
        </w:tabs>
        <w:ind w:left="1440" w:hanging="360"/>
      </w:pPr>
      <w:rPr>
        <w:rFonts w:ascii="Arial" w:hAnsi="Arial" w:hint="default"/>
      </w:rPr>
    </w:lvl>
    <w:lvl w:ilvl="2" w:tplc="9948C95C" w:tentative="1">
      <w:start w:val="1"/>
      <w:numFmt w:val="bullet"/>
      <w:lvlText w:val="•"/>
      <w:lvlJc w:val="left"/>
      <w:pPr>
        <w:tabs>
          <w:tab w:val="num" w:pos="2160"/>
        </w:tabs>
        <w:ind w:left="2160" w:hanging="360"/>
      </w:pPr>
      <w:rPr>
        <w:rFonts w:ascii="Arial" w:hAnsi="Arial" w:hint="default"/>
      </w:rPr>
    </w:lvl>
    <w:lvl w:ilvl="3" w:tplc="7AB4E490" w:tentative="1">
      <w:start w:val="1"/>
      <w:numFmt w:val="bullet"/>
      <w:lvlText w:val="•"/>
      <w:lvlJc w:val="left"/>
      <w:pPr>
        <w:tabs>
          <w:tab w:val="num" w:pos="2880"/>
        </w:tabs>
        <w:ind w:left="2880" w:hanging="360"/>
      </w:pPr>
      <w:rPr>
        <w:rFonts w:ascii="Arial" w:hAnsi="Arial" w:hint="default"/>
      </w:rPr>
    </w:lvl>
    <w:lvl w:ilvl="4" w:tplc="2E7CBC9E" w:tentative="1">
      <w:start w:val="1"/>
      <w:numFmt w:val="bullet"/>
      <w:lvlText w:val="•"/>
      <w:lvlJc w:val="left"/>
      <w:pPr>
        <w:tabs>
          <w:tab w:val="num" w:pos="3600"/>
        </w:tabs>
        <w:ind w:left="3600" w:hanging="360"/>
      </w:pPr>
      <w:rPr>
        <w:rFonts w:ascii="Arial" w:hAnsi="Arial" w:hint="default"/>
      </w:rPr>
    </w:lvl>
    <w:lvl w:ilvl="5" w:tplc="A7F8619C" w:tentative="1">
      <w:start w:val="1"/>
      <w:numFmt w:val="bullet"/>
      <w:lvlText w:val="•"/>
      <w:lvlJc w:val="left"/>
      <w:pPr>
        <w:tabs>
          <w:tab w:val="num" w:pos="4320"/>
        </w:tabs>
        <w:ind w:left="4320" w:hanging="360"/>
      </w:pPr>
      <w:rPr>
        <w:rFonts w:ascii="Arial" w:hAnsi="Arial" w:hint="default"/>
      </w:rPr>
    </w:lvl>
    <w:lvl w:ilvl="6" w:tplc="1C5A2B34" w:tentative="1">
      <w:start w:val="1"/>
      <w:numFmt w:val="bullet"/>
      <w:lvlText w:val="•"/>
      <w:lvlJc w:val="left"/>
      <w:pPr>
        <w:tabs>
          <w:tab w:val="num" w:pos="5040"/>
        </w:tabs>
        <w:ind w:left="5040" w:hanging="360"/>
      </w:pPr>
      <w:rPr>
        <w:rFonts w:ascii="Arial" w:hAnsi="Arial" w:hint="default"/>
      </w:rPr>
    </w:lvl>
    <w:lvl w:ilvl="7" w:tplc="B4E65756" w:tentative="1">
      <w:start w:val="1"/>
      <w:numFmt w:val="bullet"/>
      <w:lvlText w:val="•"/>
      <w:lvlJc w:val="left"/>
      <w:pPr>
        <w:tabs>
          <w:tab w:val="num" w:pos="5760"/>
        </w:tabs>
        <w:ind w:left="5760" w:hanging="360"/>
      </w:pPr>
      <w:rPr>
        <w:rFonts w:ascii="Arial" w:hAnsi="Arial" w:hint="default"/>
      </w:rPr>
    </w:lvl>
    <w:lvl w:ilvl="8" w:tplc="F9E8EDA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5D47733"/>
    <w:multiLevelType w:val="multilevel"/>
    <w:tmpl w:val="5C187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E312C7"/>
    <w:multiLevelType w:val="multilevel"/>
    <w:tmpl w:val="38848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E11144"/>
    <w:multiLevelType w:val="multilevel"/>
    <w:tmpl w:val="27FAF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516973"/>
    <w:multiLevelType w:val="multilevel"/>
    <w:tmpl w:val="81FAC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A8A7B28"/>
    <w:multiLevelType w:val="hybridMultilevel"/>
    <w:tmpl w:val="02A24D18"/>
    <w:lvl w:ilvl="0" w:tplc="0BAADE1A">
      <w:start w:val="1"/>
      <w:numFmt w:val="bullet"/>
      <w:lvlText w:val="•"/>
      <w:lvlJc w:val="left"/>
      <w:pPr>
        <w:tabs>
          <w:tab w:val="num" w:pos="720"/>
        </w:tabs>
        <w:ind w:left="720" w:hanging="360"/>
      </w:pPr>
      <w:rPr>
        <w:rFonts w:ascii="Arial" w:hAnsi="Arial" w:hint="default"/>
      </w:rPr>
    </w:lvl>
    <w:lvl w:ilvl="1" w:tplc="422CFCE0" w:tentative="1">
      <w:start w:val="1"/>
      <w:numFmt w:val="bullet"/>
      <w:lvlText w:val="•"/>
      <w:lvlJc w:val="left"/>
      <w:pPr>
        <w:tabs>
          <w:tab w:val="num" w:pos="1440"/>
        </w:tabs>
        <w:ind w:left="1440" w:hanging="360"/>
      </w:pPr>
      <w:rPr>
        <w:rFonts w:ascii="Arial" w:hAnsi="Arial" w:hint="default"/>
      </w:rPr>
    </w:lvl>
    <w:lvl w:ilvl="2" w:tplc="A606B394" w:tentative="1">
      <w:start w:val="1"/>
      <w:numFmt w:val="bullet"/>
      <w:lvlText w:val="•"/>
      <w:lvlJc w:val="left"/>
      <w:pPr>
        <w:tabs>
          <w:tab w:val="num" w:pos="2160"/>
        </w:tabs>
        <w:ind w:left="2160" w:hanging="360"/>
      </w:pPr>
      <w:rPr>
        <w:rFonts w:ascii="Arial" w:hAnsi="Arial" w:hint="default"/>
      </w:rPr>
    </w:lvl>
    <w:lvl w:ilvl="3" w:tplc="DBD29FE0" w:tentative="1">
      <w:start w:val="1"/>
      <w:numFmt w:val="bullet"/>
      <w:lvlText w:val="•"/>
      <w:lvlJc w:val="left"/>
      <w:pPr>
        <w:tabs>
          <w:tab w:val="num" w:pos="2880"/>
        </w:tabs>
        <w:ind w:left="2880" w:hanging="360"/>
      </w:pPr>
      <w:rPr>
        <w:rFonts w:ascii="Arial" w:hAnsi="Arial" w:hint="default"/>
      </w:rPr>
    </w:lvl>
    <w:lvl w:ilvl="4" w:tplc="DD7C6872" w:tentative="1">
      <w:start w:val="1"/>
      <w:numFmt w:val="bullet"/>
      <w:lvlText w:val="•"/>
      <w:lvlJc w:val="left"/>
      <w:pPr>
        <w:tabs>
          <w:tab w:val="num" w:pos="3600"/>
        </w:tabs>
        <w:ind w:left="3600" w:hanging="360"/>
      </w:pPr>
      <w:rPr>
        <w:rFonts w:ascii="Arial" w:hAnsi="Arial" w:hint="default"/>
      </w:rPr>
    </w:lvl>
    <w:lvl w:ilvl="5" w:tplc="4E4C49EE" w:tentative="1">
      <w:start w:val="1"/>
      <w:numFmt w:val="bullet"/>
      <w:lvlText w:val="•"/>
      <w:lvlJc w:val="left"/>
      <w:pPr>
        <w:tabs>
          <w:tab w:val="num" w:pos="4320"/>
        </w:tabs>
        <w:ind w:left="4320" w:hanging="360"/>
      </w:pPr>
      <w:rPr>
        <w:rFonts w:ascii="Arial" w:hAnsi="Arial" w:hint="default"/>
      </w:rPr>
    </w:lvl>
    <w:lvl w:ilvl="6" w:tplc="9AD8BFBE" w:tentative="1">
      <w:start w:val="1"/>
      <w:numFmt w:val="bullet"/>
      <w:lvlText w:val="•"/>
      <w:lvlJc w:val="left"/>
      <w:pPr>
        <w:tabs>
          <w:tab w:val="num" w:pos="5040"/>
        </w:tabs>
        <w:ind w:left="5040" w:hanging="360"/>
      </w:pPr>
      <w:rPr>
        <w:rFonts w:ascii="Arial" w:hAnsi="Arial" w:hint="default"/>
      </w:rPr>
    </w:lvl>
    <w:lvl w:ilvl="7" w:tplc="74FA3EA6" w:tentative="1">
      <w:start w:val="1"/>
      <w:numFmt w:val="bullet"/>
      <w:lvlText w:val="•"/>
      <w:lvlJc w:val="left"/>
      <w:pPr>
        <w:tabs>
          <w:tab w:val="num" w:pos="5760"/>
        </w:tabs>
        <w:ind w:left="5760" w:hanging="360"/>
      </w:pPr>
      <w:rPr>
        <w:rFonts w:ascii="Arial" w:hAnsi="Arial" w:hint="default"/>
      </w:rPr>
    </w:lvl>
    <w:lvl w:ilvl="8" w:tplc="F2C2B44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8DF5D19"/>
    <w:multiLevelType w:val="multilevel"/>
    <w:tmpl w:val="BEA07E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B17362"/>
    <w:multiLevelType w:val="multilevel"/>
    <w:tmpl w:val="7F86BA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1A00DDA"/>
    <w:multiLevelType w:val="multilevel"/>
    <w:tmpl w:val="1ACA0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A50967"/>
    <w:multiLevelType w:val="multilevel"/>
    <w:tmpl w:val="C4AC7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595C02"/>
    <w:multiLevelType w:val="multilevel"/>
    <w:tmpl w:val="F7368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AA3CDA"/>
    <w:multiLevelType w:val="multilevel"/>
    <w:tmpl w:val="7196F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1067592">
    <w:abstractNumId w:val="3"/>
  </w:num>
  <w:num w:numId="2" w16cid:durableId="722680423">
    <w:abstractNumId w:val="8"/>
  </w:num>
  <w:num w:numId="3" w16cid:durableId="1279722548">
    <w:abstractNumId w:val="9"/>
  </w:num>
  <w:num w:numId="4" w16cid:durableId="1827669967">
    <w:abstractNumId w:val="4"/>
  </w:num>
  <w:num w:numId="5" w16cid:durableId="1830250228">
    <w:abstractNumId w:val="14"/>
  </w:num>
  <w:num w:numId="6" w16cid:durableId="416172685">
    <w:abstractNumId w:val="6"/>
  </w:num>
  <w:num w:numId="7" w16cid:durableId="116217745">
    <w:abstractNumId w:val="11"/>
  </w:num>
  <w:num w:numId="8" w16cid:durableId="1064912019">
    <w:abstractNumId w:val="5"/>
  </w:num>
  <w:num w:numId="9" w16cid:durableId="619535896">
    <w:abstractNumId w:val="12"/>
  </w:num>
  <w:num w:numId="10" w16cid:durableId="1639332862">
    <w:abstractNumId w:val="1"/>
  </w:num>
  <w:num w:numId="11" w16cid:durableId="686715785">
    <w:abstractNumId w:val="7"/>
  </w:num>
  <w:num w:numId="12" w16cid:durableId="661737128">
    <w:abstractNumId w:val="13"/>
  </w:num>
  <w:num w:numId="13" w16cid:durableId="1841966496">
    <w:abstractNumId w:val="10"/>
  </w:num>
  <w:num w:numId="14" w16cid:durableId="1855457899">
    <w:abstractNumId w:val="2"/>
  </w:num>
  <w:num w:numId="15" w16cid:durableId="1320426479">
    <w:abstractNumId w:val="0"/>
  </w:num>
  <w:num w:numId="16" w16cid:durableId="198869957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4EB"/>
    <w:rsid w:val="000108C2"/>
    <w:rsid w:val="00020E88"/>
    <w:rsid w:val="00045E10"/>
    <w:rsid w:val="00062675"/>
    <w:rsid w:val="00067105"/>
    <w:rsid w:val="000700BB"/>
    <w:rsid w:val="00081B23"/>
    <w:rsid w:val="0008254C"/>
    <w:rsid w:val="00083151"/>
    <w:rsid w:val="000921FD"/>
    <w:rsid w:val="000A494F"/>
    <w:rsid w:val="000A4EF8"/>
    <w:rsid w:val="000A792D"/>
    <w:rsid w:val="000B25EB"/>
    <w:rsid w:val="000B4E39"/>
    <w:rsid w:val="000B6904"/>
    <w:rsid w:val="000C15EC"/>
    <w:rsid w:val="000D528E"/>
    <w:rsid w:val="000F643F"/>
    <w:rsid w:val="001004AE"/>
    <w:rsid w:val="00100A74"/>
    <w:rsid w:val="00101079"/>
    <w:rsid w:val="001144BF"/>
    <w:rsid w:val="00117B56"/>
    <w:rsid w:val="00137AE1"/>
    <w:rsid w:val="00146D34"/>
    <w:rsid w:val="00153C42"/>
    <w:rsid w:val="001714D5"/>
    <w:rsid w:val="00172DF2"/>
    <w:rsid w:val="00174FB7"/>
    <w:rsid w:val="00181194"/>
    <w:rsid w:val="00182FDA"/>
    <w:rsid w:val="001852E6"/>
    <w:rsid w:val="00187508"/>
    <w:rsid w:val="00192B4F"/>
    <w:rsid w:val="00193AF9"/>
    <w:rsid w:val="00197CC6"/>
    <w:rsid w:val="001A11E6"/>
    <w:rsid w:val="001A17DE"/>
    <w:rsid w:val="001B5BEC"/>
    <w:rsid w:val="001B7C81"/>
    <w:rsid w:val="001C04B7"/>
    <w:rsid w:val="001E4959"/>
    <w:rsid w:val="001F319B"/>
    <w:rsid w:val="00204839"/>
    <w:rsid w:val="002051B0"/>
    <w:rsid w:val="00215768"/>
    <w:rsid w:val="00215924"/>
    <w:rsid w:val="00215C48"/>
    <w:rsid w:val="00240BEF"/>
    <w:rsid w:val="0024419D"/>
    <w:rsid w:val="00244E6A"/>
    <w:rsid w:val="002605A4"/>
    <w:rsid w:val="002646C9"/>
    <w:rsid w:val="002663B7"/>
    <w:rsid w:val="00271DC2"/>
    <w:rsid w:val="00275C9D"/>
    <w:rsid w:val="00284EC3"/>
    <w:rsid w:val="002938D6"/>
    <w:rsid w:val="00296B47"/>
    <w:rsid w:val="002A1F5A"/>
    <w:rsid w:val="002B1FD2"/>
    <w:rsid w:val="002B7036"/>
    <w:rsid w:val="002C1906"/>
    <w:rsid w:val="002F5E4A"/>
    <w:rsid w:val="00300AB7"/>
    <w:rsid w:val="0030205E"/>
    <w:rsid w:val="00302E8D"/>
    <w:rsid w:val="003108A9"/>
    <w:rsid w:val="00311319"/>
    <w:rsid w:val="00316EAF"/>
    <w:rsid w:val="00317510"/>
    <w:rsid w:val="00320F8C"/>
    <w:rsid w:val="003354B1"/>
    <w:rsid w:val="00342FD2"/>
    <w:rsid w:val="003432AA"/>
    <w:rsid w:val="0034500D"/>
    <w:rsid w:val="00360993"/>
    <w:rsid w:val="00372A2D"/>
    <w:rsid w:val="00382E5A"/>
    <w:rsid w:val="00391771"/>
    <w:rsid w:val="003A1A31"/>
    <w:rsid w:val="003A5B15"/>
    <w:rsid w:val="003B24CF"/>
    <w:rsid w:val="003B3BE4"/>
    <w:rsid w:val="003B527D"/>
    <w:rsid w:val="003B74F7"/>
    <w:rsid w:val="003C2D3E"/>
    <w:rsid w:val="003C71E1"/>
    <w:rsid w:val="003D4D90"/>
    <w:rsid w:val="003F3740"/>
    <w:rsid w:val="003F5E70"/>
    <w:rsid w:val="00411D88"/>
    <w:rsid w:val="004163E8"/>
    <w:rsid w:val="004356B4"/>
    <w:rsid w:val="00441165"/>
    <w:rsid w:val="004453C7"/>
    <w:rsid w:val="00464985"/>
    <w:rsid w:val="004652DF"/>
    <w:rsid w:val="004669FB"/>
    <w:rsid w:val="00477C52"/>
    <w:rsid w:val="0048323B"/>
    <w:rsid w:val="00487516"/>
    <w:rsid w:val="00490E43"/>
    <w:rsid w:val="00496984"/>
    <w:rsid w:val="004A7A9D"/>
    <w:rsid w:val="004B2EFD"/>
    <w:rsid w:val="004B401B"/>
    <w:rsid w:val="004B51B3"/>
    <w:rsid w:val="004B571B"/>
    <w:rsid w:val="004C2AF0"/>
    <w:rsid w:val="004C3759"/>
    <w:rsid w:val="004C3956"/>
    <w:rsid w:val="004C5A12"/>
    <w:rsid w:val="004D2349"/>
    <w:rsid w:val="004D45C9"/>
    <w:rsid w:val="004D5578"/>
    <w:rsid w:val="004E188E"/>
    <w:rsid w:val="004E3ABF"/>
    <w:rsid w:val="004F3115"/>
    <w:rsid w:val="004F5B8D"/>
    <w:rsid w:val="00521FB5"/>
    <w:rsid w:val="00526DD6"/>
    <w:rsid w:val="005325A9"/>
    <w:rsid w:val="00534D6F"/>
    <w:rsid w:val="0054497F"/>
    <w:rsid w:val="00545D58"/>
    <w:rsid w:val="00552AB4"/>
    <w:rsid w:val="0055627E"/>
    <w:rsid w:val="00557B48"/>
    <w:rsid w:val="00563240"/>
    <w:rsid w:val="005701DD"/>
    <w:rsid w:val="005803DD"/>
    <w:rsid w:val="00587A77"/>
    <w:rsid w:val="00595B82"/>
    <w:rsid w:val="005A3EE2"/>
    <w:rsid w:val="005B0CA3"/>
    <w:rsid w:val="005B58CA"/>
    <w:rsid w:val="005D3CB2"/>
    <w:rsid w:val="005D794C"/>
    <w:rsid w:val="005F3383"/>
    <w:rsid w:val="005F601B"/>
    <w:rsid w:val="00610682"/>
    <w:rsid w:val="00615325"/>
    <w:rsid w:val="006224E5"/>
    <w:rsid w:val="00623570"/>
    <w:rsid w:val="00631309"/>
    <w:rsid w:val="00652596"/>
    <w:rsid w:val="00661B71"/>
    <w:rsid w:val="00662015"/>
    <w:rsid w:val="006648F9"/>
    <w:rsid w:val="00666380"/>
    <w:rsid w:val="00671951"/>
    <w:rsid w:val="006726B7"/>
    <w:rsid w:val="00684850"/>
    <w:rsid w:val="006B1810"/>
    <w:rsid w:val="006B60FA"/>
    <w:rsid w:val="006B75D1"/>
    <w:rsid w:val="006B779E"/>
    <w:rsid w:val="006C2366"/>
    <w:rsid w:val="006C6532"/>
    <w:rsid w:val="006D17A4"/>
    <w:rsid w:val="006E56E3"/>
    <w:rsid w:val="006F105F"/>
    <w:rsid w:val="006F7689"/>
    <w:rsid w:val="007113A9"/>
    <w:rsid w:val="00712C99"/>
    <w:rsid w:val="00714235"/>
    <w:rsid w:val="00717415"/>
    <w:rsid w:val="007231E7"/>
    <w:rsid w:val="00724162"/>
    <w:rsid w:val="00744ABE"/>
    <w:rsid w:val="00747177"/>
    <w:rsid w:val="007514C7"/>
    <w:rsid w:val="0076224B"/>
    <w:rsid w:val="00791353"/>
    <w:rsid w:val="007925E4"/>
    <w:rsid w:val="007969CA"/>
    <w:rsid w:val="007A487D"/>
    <w:rsid w:val="007B02A6"/>
    <w:rsid w:val="007B4387"/>
    <w:rsid w:val="007C2870"/>
    <w:rsid w:val="007E2163"/>
    <w:rsid w:val="007E3012"/>
    <w:rsid w:val="007F1E6A"/>
    <w:rsid w:val="007F49F6"/>
    <w:rsid w:val="008024EB"/>
    <w:rsid w:val="0083242E"/>
    <w:rsid w:val="00847D56"/>
    <w:rsid w:val="008513A4"/>
    <w:rsid w:val="00856068"/>
    <w:rsid w:val="008573C8"/>
    <w:rsid w:val="00860360"/>
    <w:rsid w:val="00863F76"/>
    <w:rsid w:val="008669D4"/>
    <w:rsid w:val="00872B5F"/>
    <w:rsid w:val="00875C24"/>
    <w:rsid w:val="008935A2"/>
    <w:rsid w:val="008C08AF"/>
    <w:rsid w:val="008C78E5"/>
    <w:rsid w:val="008D50B8"/>
    <w:rsid w:val="008D5152"/>
    <w:rsid w:val="008E1E6A"/>
    <w:rsid w:val="008F7836"/>
    <w:rsid w:val="00921F27"/>
    <w:rsid w:val="009355FD"/>
    <w:rsid w:val="009443A7"/>
    <w:rsid w:val="00950C9A"/>
    <w:rsid w:val="00955956"/>
    <w:rsid w:val="00961E09"/>
    <w:rsid w:val="009652AA"/>
    <w:rsid w:val="009662D8"/>
    <w:rsid w:val="00976DC2"/>
    <w:rsid w:val="00983E7D"/>
    <w:rsid w:val="00984A1A"/>
    <w:rsid w:val="009B62D3"/>
    <w:rsid w:val="009E2317"/>
    <w:rsid w:val="009E406A"/>
    <w:rsid w:val="009E47CD"/>
    <w:rsid w:val="009F38D5"/>
    <w:rsid w:val="00A104E2"/>
    <w:rsid w:val="00A1532A"/>
    <w:rsid w:val="00A252F2"/>
    <w:rsid w:val="00A40B42"/>
    <w:rsid w:val="00A4217B"/>
    <w:rsid w:val="00A43734"/>
    <w:rsid w:val="00A44D31"/>
    <w:rsid w:val="00A51898"/>
    <w:rsid w:val="00A6155F"/>
    <w:rsid w:val="00A71DDA"/>
    <w:rsid w:val="00A73F82"/>
    <w:rsid w:val="00A91FCE"/>
    <w:rsid w:val="00A97A7F"/>
    <w:rsid w:val="00AA0000"/>
    <w:rsid w:val="00AA066F"/>
    <w:rsid w:val="00AB33D1"/>
    <w:rsid w:val="00AC0152"/>
    <w:rsid w:val="00AD6506"/>
    <w:rsid w:val="00AE2EE6"/>
    <w:rsid w:val="00AF3547"/>
    <w:rsid w:val="00AF6514"/>
    <w:rsid w:val="00AF7061"/>
    <w:rsid w:val="00AF71C2"/>
    <w:rsid w:val="00B03B77"/>
    <w:rsid w:val="00B10479"/>
    <w:rsid w:val="00B234DD"/>
    <w:rsid w:val="00B24279"/>
    <w:rsid w:val="00B271EE"/>
    <w:rsid w:val="00B33340"/>
    <w:rsid w:val="00B34BE5"/>
    <w:rsid w:val="00B41148"/>
    <w:rsid w:val="00B462E7"/>
    <w:rsid w:val="00B50A8F"/>
    <w:rsid w:val="00B50AAE"/>
    <w:rsid w:val="00B51540"/>
    <w:rsid w:val="00B5165E"/>
    <w:rsid w:val="00B539DC"/>
    <w:rsid w:val="00B71392"/>
    <w:rsid w:val="00B73D0F"/>
    <w:rsid w:val="00B74CBE"/>
    <w:rsid w:val="00B803DF"/>
    <w:rsid w:val="00BB5ED9"/>
    <w:rsid w:val="00BD6E29"/>
    <w:rsid w:val="00BE005B"/>
    <w:rsid w:val="00BE4ACA"/>
    <w:rsid w:val="00BF208C"/>
    <w:rsid w:val="00BF21AA"/>
    <w:rsid w:val="00C00A1E"/>
    <w:rsid w:val="00C0339D"/>
    <w:rsid w:val="00C137BA"/>
    <w:rsid w:val="00C20984"/>
    <w:rsid w:val="00C222D7"/>
    <w:rsid w:val="00C226EE"/>
    <w:rsid w:val="00C30138"/>
    <w:rsid w:val="00C33FD0"/>
    <w:rsid w:val="00C35309"/>
    <w:rsid w:val="00C41007"/>
    <w:rsid w:val="00C545B4"/>
    <w:rsid w:val="00C630A7"/>
    <w:rsid w:val="00C655B5"/>
    <w:rsid w:val="00C66B7D"/>
    <w:rsid w:val="00C82E89"/>
    <w:rsid w:val="00C84EFD"/>
    <w:rsid w:val="00C84F88"/>
    <w:rsid w:val="00C96E93"/>
    <w:rsid w:val="00CA52CF"/>
    <w:rsid w:val="00CB3EEE"/>
    <w:rsid w:val="00CB63C1"/>
    <w:rsid w:val="00CD1155"/>
    <w:rsid w:val="00CD2E4B"/>
    <w:rsid w:val="00CD564A"/>
    <w:rsid w:val="00CE64C9"/>
    <w:rsid w:val="00CF78D9"/>
    <w:rsid w:val="00D0163E"/>
    <w:rsid w:val="00D168D4"/>
    <w:rsid w:val="00D2015F"/>
    <w:rsid w:val="00D205EE"/>
    <w:rsid w:val="00D30192"/>
    <w:rsid w:val="00D33409"/>
    <w:rsid w:val="00D36D91"/>
    <w:rsid w:val="00D47F69"/>
    <w:rsid w:val="00D53417"/>
    <w:rsid w:val="00D53643"/>
    <w:rsid w:val="00D54E24"/>
    <w:rsid w:val="00D56437"/>
    <w:rsid w:val="00D81A50"/>
    <w:rsid w:val="00D81AE8"/>
    <w:rsid w:val="00D83ECB"/>
    <w:rsid w:val="00D90664"/>
    <w:rsid w:val="00DC2335"/>
    <w:rsid w:val="00DC4B41"/>
    <w:rsid w:val="00DD1A19"/>
    <w:rsid w:val="00DD652D"/>
    <w:rsid w:val="00DD78C1"/>
    <w:rsid w:val="00DE394D"/>
    <w:rsid w:val="00DE6C08"/>
    <w:rsid w:val="00E07E38"/>
    <w:rsid w:val="00E31232"/>
    <w:rsid w:val="00E34F96"/>
    <w:rsid w:val="00E50900"/>
    <w:rsid w:val="00E50951"/>
    <w:rsid w:val="00E5792F"/>
    <w:rsid w:val="00E62D54"/>
    <w:rsid w:val="00E64867"/>
    <w:rsid w:val="00E85FDD"/>
    <w:rsid w:val="00E87571"/>
    <w:rsid w:val="00E9101D"/>
    <w:rsid w:val="00EA3606"/>
    <w:rsid w:val="00EA62AE"/>
    <w:rsid w:val="00EB2C77"/>
    <w:rsid w:val="00EC53EE"/>
    <w:rsid w:val="00EC7FE6"/>
    <w:rsid w:val="00EE1192"/>
    <w:rsid w:val="00EE5D40"/>
    <w:rsid w:val="00EF30DC"/>
    <w:rsid w:val="00F0139F"/>
    <w:rsid w:val="00F04141"/>
    <w:rsid w:val="00F043D0"/>
    <w:rsid w:val="00F40453"/>
    <w:rsid w:val="00F519FD"/>
    <w:rsid w:val="00F52237"/>
    <w:rsid w:val="00F708F7"/>
    <w:rsid w:val="00F75E81"/>
    <w:rsid w:val="00F769DA"/>
    <w:rsid w:val="00FA03CE"/>
    <w:rsid w:val="00FB5470"/>
    <w:rsid w:val="00FB6FB0"/>
    <w:rsid w:val="00FD27E0"/>
    <w:rsid w:val="00FF005F"/>
    <w:rsid w:val="00FF2D6D"/>
    <w:rsid w:val="00FF5D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1B1D2"/>
  <w15:chartTrackingRefBased/>
  <w15:docId w15:val="{0BF5DB40-AC4B-4A47-B0FC-8CED39F43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69CA"/>
  </w:style>
  <w:style w:type="paragraph" w:styleId="Heading1">
    <w:name w:val="heading 1"/>
    <w:basedOn w:val="Normal"/>
    <w:next w:val="Normal"/>
    <w:link w:val="Heading1Char"/>
    <w:uiPriority w:val="9"/>
    <w:qFormat/>
    <w:rsid w:val="008024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24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24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24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24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24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24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24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24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24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24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24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24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24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24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24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24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24EB"/>
    <w:rPr>
      <w:rFonts w:eastAsiaTheme="majorEastAsia" w:cstheme="majorBidi"/>
      <w:color w:val="272727" w:themeColor="text1" w:themeTint="D8"/>
    </w:rPr>
  </w:style>
  <w:style w:type="paragraph" w:styleId="Title">
    <w:name w:val="Title"/>
    <w:basedOn w:val="Normal"/>
    <w:next w:val="Normal"/>
    <w:link w:val="TitleChar"/>
    <w:uiPriority w:val="10"/>
    <w:qFormat/>
    <w:rsid w:val="008024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24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24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24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24EB"/>
    <w:pPr>
      <w:spacing w:before="160"/>
      <w:jc w:val="center"/>
    </w:pPr>
    <w:rPr>
      <w:i/>
      <w:iCs/>
      <w:color w:val="404040" w:themeColor="text1" w:themeTint="BF"/>
    </w:rPr>
  </w:style>
  <w:style w:type="character" w:customStyle="1" w:styleId="QuoteChar">
    <w:name w:val="Quote Char"/>
    <w:basedOn w:val="DefaultParagraphFont"/>
    <w:link w:val="Quote"/>
    <w:uiPriority w:val="29"/>
    <w:rsid w:val="008024EB"/>
    <w:rPr>
      <w:i/>
      <w:iCs/>
      <w:color w:val="404040" w:themeColor="text1" w:themeTint="BF"/>
    </w:rPr>
  </w:style>
  <w:style w:type="paragraph" w:styleId="ListParagraph">
    <w:name w:val="List Paragraph"/>
    <w:basedOn w:val="Normal"/>
    <w:uiPriority w:val="34"/>
    <w:qFormat/>
    <w:rsid w:val="008024EB"/>
    <w:pPr>
      <w:ind w:left="720"/>
      <w:contextualSpacing/>
    </w:pPr>
  </w:style>
  <w:style w:type="character" w:styleId="IntenseEmphasis">
    <w:name w:val="Intense Emphasis"/>
    <w:basedOn w:val="DefaultParagraphFont"/>
    <w:uiPriority w:val="21"/>
    <w:qFormat/>
    <w:rsid w:val="008024EB"/>
    <w:rPr>
      <w:i/>
      <w:iCs/>
      <w:color w:val="0F4761" w:themeColor="accent1" w:themeShade="BF"/>
    </w:rPr>
  </w:style>
  <w:style w:type="paragraph" w:styleId="IntenseQuote">
    <w:name w:val="Intense Quote"/>
    <w:basedOn w:val="Normal"/>
    <w:next w:val="Normal"/>
    <w:link w:val="IntenseQuoteChar"/>
    <w:uiPriority w:val="30"/>
    <w:qFormat/>
    <w:rsid w:val="008024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24EB"/>
    <w:rPr>
      <w:i/>
      <w:iCs/>
      <w:color w:val="0F4761" w:themeColor="accent1" w:themeShade="BF"/>
    </w:rPr>
  </w:style>
  <w:style w:type="character" w:styleId="IntenseReference">
    <w:name w:val="Intense Reference"/>
    <w:basedOn w:val="DefaultParagraphFont"/>
    <w:uiPriority w:val="32"/>
    <w:qFormat/>
    <w:rsid w:val="008024EB"/>
    <w:rPr>
      <w:b/>
      <w:bCs/>
      <w:smallCaps/>
      <w:color w:val="0F4761" w:themeColor="accent1" w:themeShade="BF"/>
      <w:spacing w:val="5"/>
    </w:rPr>
  </w:style>
  <w:style w:type="character" w:styleId="Hyperlink">
    <w:name w:val="Hyperlink"/>
    <w:basedOn w:val="DefaultParagraphFont"/>
    <w:uiPriority w:val="99"/>
    <w:unhideWhenUsed/>
    <w:rsid w:val="009662D8"/>
    <w:rPr>
      <w:color w:val="467886" w:themeColor="hyperlink"/>
      <w:u w:val="single"/>
    </w:rPr>
  </w:style>
  <w:style w:type="character" w:styleId="UnresolvedMention">
    <w:name w:val="Unresolved Mention"/>
    <w:basedOn w:val="DefaultParagraphFont"/>
    <w:uiPriority w:val="99"/>
    <w:semiHidden/>
    <w:unhideWhenUsed/>
    <w:rsid w:val="009662D8"/>
    <w:rPr>
      <w:color w:val="605E5C"/>
      <w:shd w:val="clear" w:color="auto" w:fill="E1DFDD"/>
    </w:rPr>
  </w:style>
  <w:style w:type="paragraph" w:styleId="Header">
    <w:name w:val="header"/>
    <w:basedOn w:val="Normal"/>
    <w:link w:val="HeaderChar"/>
    <w:uiPriority w:val="99"/>
    <w:unhideWhenUsed/>
    <w:rsid w:val="00B539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9DC"/>
  </w:style>
  <w:style w:type="paragraph" w:styleId="Footer">
    <w:name w:val="footer"/>
    <w:basedOn w:val="Normal"/>
    <w:link w:val="FooterChar"/>
    <w:uiPriority w:val="99"/>
    <w:unhideWhenUsed/>
    <w:rsid w:val="00B539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9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506367">
      <w:bodyDiv w:val="1"/>
      <w:marLeft w:val="0"/>
      <w:marRight w:val="0"/>
      <w:marTop w:val="0"/>
      <w:marBottom w:val="0"/>
      <w:divBdr>
        <w:top w:val="none" w:sz="0" w:space="0" w:color="auto"/>
        <w:left w:val="none" w:sz="0" w:space="0" w:color="auto"/>
        <w:bottom w:val="none" w:sz="0" w:space="0" w:color="auto"/>
        <w:right w:val="none" w:sz="0" w:space="0" w:color="auto"/>
      </w:divBdr>
    </w:div>
    <w:div w:id="231503278">
      <w:bodyDiv w:val="1"/>
      <w:marLeft w:val="0"/>
      <w:marRight w:val="0"/>
      <w:marTop w:val="0"/>
      <w:marBottom w:val="0"/>
      <w:divBdr>
        <w:top w:val="none" w:sz="0" w:space="0" w:color="auto"/>
        <w:left w:val="none" w:sz="0" w:space="0" w:color="auto"/>
        <w:bottom w:val="none" w:sz="0" w:space="0" w:color="auto"/>
        <w:right w:val="none" w:sz="0" w:space="0" w:color="auto"/>
      </w:divBdr>
    </w:div>
    <w:div w:id="281498534">
      <w:bodyDiv w:val="1"/>
      <w:marLeft w:val="0"/>
      <w:marRight w:val="0"/>
      <w:marTop w:val="0"/>
      <w:marBottom w:val="0"/>
      <w:divBdr>
        <w:top w:val="none" w:sz="0" w:space="0" w:color="auto"/>
        <w:left w:val="none" w:sz="0" w:space="0" w:color="auto"/>
        <w:bottom w:val="none" w:sz="0" w:space="0" w:color="auto"/>
        <w:right w:val="none" w:sz="0" w:space="0" w:color="auto"/>
      </w:divBdr>
    </w:div>
    <w:div w:id="530412205">
      <w:bodyDiv w:val="1"/>
      <w:marLeft w:val="0"/>
      <w:marRight w:val="0"/>
      <w:marTop w:val="0"/>
      <w:marBottom w:val="0"/>
      <w:divBdr>
        <w:top w:val="none" w:sz="0" w:space="0" w:color="auto"/>
        <w:left w:val="none" w:sz="0" w:space="0" w:color="auto"/>
        <w:bottom w:val="none" w:sz="0" w:space="0" w:color="auto"/>
        <w:right w:val="none" w:sz="0" w:space="0" w:color="auto"/>
      </w:divBdr>
    </w:div>
    <w:div w:id="619914967">
      <w:bodyDiv w:val="1"/>
      <w:marLeft w:val="0"/>
      <w:marRight w:val="0"/>
      <w:marTop w:val="0"/>
      <w:marBottom w:val="0"/>
      <w:divBdr>
        <w:top w:val="none" w:sz="0" w:space="0" w:color="auto"/>
        <w:left w:val="none" w:sz="0" w:space="0" w:color="auto"/>
        <w:bottom w:val="none" w:sz="0" w:space="0" w:color="auto"/>
        <w:right w:val="none" w:sz="0" w:space="0" w:color="auto"/>
      </w:divBdr>
    </w:div>
    <w:div w:id="665670337">
      <w:bodyDiv w:val="1"/>
      <w:marLeft w:val="0"/>
      <w:marRight w:val="0"/>
      <w:marTop w:val="0"/>
      <w:marBottom w:val="0"/>
      <w:divBdr>
        <w:top w:val="none" w:sz="0" w:space="0" w:color="auto"/>
        <w:left w:val="none" w:sz="0" w:space="0" w:color="auto"/>
        <w:bottom w:val="none" w:sz="0" w:space="0" w:color="auto"/>
        <w:right w:val="none" w:sz="0" w:space="0" w:color="auto"/>
      </w:divBdr>
      <w:divsChild>
        <w:div w:id="1611666107">
          <w:marLeft w:val="547"/>
          <w:marRight w:val="0"/>
          <w:marTop w:val="96"/>
          <w:marBottom w:val="0"/>
          <w:divBdr>
            <w:top w:val="none" w:sz="0" w:space="0" w:color="auto"/>
            <w:left w:val="none" w:sz="0" w:space="0" w:color="auto"/>
            <w:bottom w:val="none" w:sz="0" w:space="0" w:color="auto"/>
            <w:right w:val="none" w:sz="0" w:space="0" w:color="auto"/>
          </w:divBdr>
        </w:div>
      </w:divsChild>
    </w:div>
    <w:div w:id="672344208">
      <w:bodyDiv w:val="1"/>
      <w:marLeft w:val="0"/>
      <w:marRight w:val="0"/>
      <w:marTop w:val="0"/>
      <w:marBottom w:val="0"/>
      <w:divBdr>
        <w:top w:val="none" w:sz="0" w:space="0" w:color="auto"/>
        <w:left w:val="none" w:sz="0" w:space="0" w:color="auto"/>
        <w:bottom w:val="none" w:sz="0" w:space="0" w:color="auto"/>
        <w:right w:val="none" w:sz="0" w:space="0" w:color="auto"/>
      </w:divBdr>
    </w:div>
    <w:div w:id="730886198">
      <w:bodyDiv w:val="1"/>
      <w:marLeft w:val="0"/>
      <w:marRight w:val="0"/>
      <w:marTop w:val="0"/>
      <w:marBottom w:val="0"/>
      <w:divBdr>
        <w:top w:val="none" w:sz="0" w:space="0" w:color="auto"/>
        <w:left w:val="none" w:sz="0" w:space="0" w:color="auto"/>
        <w:bottom w:val="none" w:sz="0" w:space="0" w:color="auto"/>
        <w:right w:val="none" w:sz="0" w:space="0" w:color="auto"/>
      </w:divBdr>
    </w:div>
    <w:div w:id="773480800">
      <w:bodyDiv w:val="1"/>
      <w:marLeft w:val="0"/>
      <w:marRight w:val="0"/>
      <w:marTop w:val="0"/>
      <w:marBottom w:val="0"/>
      <w:divBdr>
        <w:top w:val="none" w:sz="0" w:space="0" w:color="auto"/>
        <w:left w:val="none" w:sz="0" w:space="0" w:color="auto"/>
        <w:bottom w:val="none" w:sz="0" w:space="0" w:color="auto"/>
        <w:right w:val="none" w:sz="0" w:space="0" w:color="auto"/>
      </w:divBdr>
    </w:div>
    <w:div w:id="782385325">
      <w:bodyDiv w:val="1"/>
      <w:marLeft w:val="0"/>
      <w:marRight w:val="0"/>
      <w:marTop w:val="0"/>
      <w:marBottom w:val="0"/>
      <w:divBdr>
        <w:top w:val="none" w:sz="0" w:space="0" w:color="auto"/>
        <w:left w:val="none" w:sz="0" w:space="0" w:color="auto"/>
        <w:bottom w:val="none" w:sz="0" w:space="0" w:color="auto"/>
        <w:right w:val="none" w:sz="0" w:space="0" w:color="auto"/>
      </w:divBdr>
      <w:divsChild>
        <w:div w:id="2011368054">
          <w:marLeft w:val="547"/>
          <w:marRight w:val="0"/>
          <w:marTop w:val="86"/>
          <w:marBottom w:val="0"/>
          <w:divBdr>
            <w:top w:val="none" w:sz="0" w:space="0" w:color="auto"/>
            <w:left w:val="none" w:sz="0" w:space="0" w:color="auto"/>
            <w:bottom w:val="none" w:sz="0" w:space="0" w:color="auto"/>
            <w:right w:val="none" w:sz="0" w:space="0" w:color="auto"/>
          </w:divBdr>
        </w:div>
        <w:div w:id="628979581">
          <w:marLeft w:val="547"/>
          <w:marRight w:val="0"/>
          <w:marTop w:val="86"/>
          <w:marBottom w:val="0"/>
          <w:divBdr>
            <w:top w:val="none" w:sz="0" w:space="0" w:color="auto"/>
            <w:left w:val="none" w:sz="0" w:space="0" w:color="auto"/>
            <w:bottom w:val="none" w:sz="0" w:space="0" w:color="auto"/>
            <w:right w:val="none" w:sz="0" w:space="0" w:color="auto"/>
          </w:divBdr>
        </w:div>
      </w:divsChild>
    </w:div>
    <w:div w:id="1212813953">
      <w:bodyDiv w:val="1"/>
      <w:marLeft w:val="0"/>
      <w:marRight w:val="0"/>
      <w:marTop w:val="0"/>
      <w:marBottom w:val="0"/>
      <w:divBdr>
        <w:top w:val="none" w:sz="0" w:space="0" w:color="auto"/>
        <w:left w:val="none" w:sz="0" w:space="0" w:color="auto"/>
        <w:bottom w:val="none" w:sz="0" w:space="0" w:color="auto"/>
        <w:right w:val="none" w:sz="0" w:space="0" w:color="auto"/>
      </w:divBdr>
    </w:div>
    <w:div w:id="1215892030">
      <w:bodyDiv w:val="1"/>
      <w:marLeft w:val="0"/>
      <w:marRight w:val="0"/>
      <w:marTop w:val="0"/>
      <w:marBottom w:val="0"/>
      <w:divBdr>
        <w:top w:val="none" w:sz="0" w:space="0" w:color="auto"/>
        <w:left w:val="none" w:sz="0" w:space="0" w:color="auto"/>
        <w:bottom w:val="none" w:sz="0" w:space="0" w:color="auto"/>
        <w:right w:val="none" w:sz="0" w:space="0" w:color="auto"/>
      </w:divBdr>
    </w:div>
    <w:div w:id="1339693917">
      <w:bodyDiv w:val="1"/>
      <w:marLeft w:val="0"/>
      <w:marRight w:val="0"/>
      <w:marTop w:val="0"/>
      <w:marBottom w:val="0"/>
      <w:divBdr>
        <w:top w:val="none" w:sz="0" w:space="0" w:color="auto"/>
        <w:left w:val="none" w:sz="0" w:space="0" w:color="auto"/>
        <w:bottom w:val="none" w:sz="0" w:space="0" w:color="auto"/>
        <w:right w:val="none" w:sz="0" w:space="0" w:color="auto"/>
      </w:divBdr>
    </w:div>
    <w:div w:id="1374620789">
      <w:bodyDiv w:val="1"/>
      <w:marLeft w:val="0"/>
      <w:marRight w:val="0"/>
      <w:marTop w:val="0"/>
      <w:marBottom w:val="0"/>
      <w:divBdr>
        <w:top w:val="none" w:sz="0" w:space="0" w:color="auto"/>
        <w:left w:val="none" w:sz="0" w:space="0" w:color="auto"/>
        <w:bottom w:val="none" w:sz="0" w:space="0" w:color="auto"/>
        <w:right w:val="none" w:sz="0" w:space="0" w:color="auto"/>
      </w:divBdr>
    </w:div>
    <w:div w:id="1438334261">
      <w:bodyDiv w:val="1"/>
      <w:marLeft w:val="0"/>
      <w:marRight w:val="0"/>
      <w:marTop w:val="0"/>
      <w:marBottom w:val="0"/>
      <w:divBdr>
        <w:top w:val="none" w:sz="0" w:space="0" w:color="auto"/>
        <w:left w:val="none" w:sz="0" w:space="0" w:color="auto"/>
        <w:bottom w:val="none" w:sz="0" w:space="0" w:color="auto"/>
        <w:right w:val="none" w:sz="0" w:space="0" w:color="auto"/>
      </w:divBdr>
    </w:div>
    <w:div w:id="1456826551">
      <w:bodyDiv w:val="1"/>
      <w:marLeft w:val="0"/>
      <w:marRight w:val="0"/>
      <w:marTop w:val="0"/>
      <w:marBottom w:val="0"/>
      <w:divBdr>
        <w:top w:val="none" w:sz="0" w:space="0" w:color="auto"/>
        <w:left w:val="none" w:sz="0" w:space="0" w:color="auto"/>
        <w:bottom w:val="none" w:sz="0" w:space="0" w:color="auto"/>
        <w:right w:val="none" w:sz="0" w:space="0" w:color="auto"/>
      </w:divBdr>
    </w:div>
    <w:div w:id="1462109280">
      <w:bodyDiv w:val="1"/>
      <w:marLeft w:val="0"/>
      <w:marRight w:val="0"/>
      <w:marTop w:val="0"/>
      <w:marBottom w:val="0"/>
      <w:divBdr>
        <w:top w:val="none" w:sz="0" w:space="0" w:color="auto"/>
        <w:left w:val="none" w:sz="0" w:space="0" w:color="auto"/>
        <w:bottom w:val="none" w:sz="0" w:space="0" w:color="auto"/>
        <w:right w:val="none" w:sz="0" w:space="0" w:color="auto"/>
      </w:divBdr>
    </w:div>
    <w:div w:id="1510103164">
      <w:bodyDiv w:val="1"/>
      <w:marLeft w:val="0"/>
      <w:marRight w:val="0"/>
      <w:marTop w:val="0"/>
      <w:marBottom w:val="0"/>
      <w:divBdr>
        <w:top w:val="none" w:sz="0" w:space="0" w:color="auto"/>
        <w:left w:val="none" w:sz="0" w:space="0" w:color="auto"/>
        <w:bottom w:val="none" w:sz="0" w:space="0" w:color="auto"/>
        <w:right w:val="none" w:sz="0" w:space="0" w:color="auto"/>
      </w:divBdr>
    </w:div>
    <w:div w:id="1785953784">
      <w:bodyDiv w:val="1"/>
      <w:marLeft w:val="0"/>
      <w:marRight w:val="0"/>
      <w:marTop w:val="0"/>
      <w:marBottom w:val="0"/>
      <w:divBdr>
        <w:top w:val="none" w:sz="0" w:space="0" w:color="auto"/>
        <w:left w:val="none" w:sz="0" w:space="0" w:color="auto"/>
        <w:bottom w:val="none" w:sz="0" w:space="0" w:color="auto"/>
        <w:right w:val="none" w:sz="0" w:space="0" w:color="auto"/>
      </w:divBdr>
    </w:div>
    <w:div w:id="1794715070">
      <w:bodyDiv w:val="1"/>
      <w:marLeft w:val="0"/>
      <w:marRight w:val="0"/>
      <w:marTop w:val="0"/>
      <w:marBottom w:val="0"/>
      <w:divBdr>
        <w:top w:val="none" w:sz="0" w:space="0" w:color="auto"/>
        <w:left w:val="none" w:sz="0" w:space="0" w:color="auto"/>
        <w:bottom w:val="none" w:sz="0" w:space="0" w:color="auto"/>
        <w:right w:val="none" w:sz="0" w:space="0" w:color="auto"/>
      </w:divBdr>
    </w:div>
    <w:div w:id="1826580463">
      <w:bodyDiv w:val="1"/>
      <w:marLeft w:val="0"/>
      <w:marRight w:val="0"/>
      <w:marTop w:val="0"/>
      <w:marBottom w:val="0"/>
      <w:divBdr>
        <w:top w:val="none" w:sz="0" w:space="0" w:color="auto"/>
        <w:left w:val="none" w:sz="0" w:space="0" w:color="auto"/>
        <w:bottom w:val="none" w:sz="0" w:space="0" w:color="auto"/>
        <w:right w:val="none" w:sz="0" w:space="0" w:color="auto"/>
      </w:divBdr>
    </w:div>
    <w:div w:id="1830707575">
      <w:bodyDiv w:val="1"/>
      <w:marLeft w:val="0"/>
      <w:marRight w:val="0"/>
      <w:marTop w:val="0"/>
      <w:marBottom w:val="0"/>
      <w:divBdr>
        <w:top w:val="none" w:sz="0" w:space="0" w:color="auto"/>
        <w:left w:val="none" w:sz="0" w:space="0" w:color="auto"/>
        <w:bottom w:val="none" w:sz="0" w:space="0" w:color="auto"/>
        <w:right w:val="none" w:sz="0" w:space="0" w:color="auto"/>
      </w:divBdr>
    </w:div>
    <w:div w:id="1840731409">
      <w:bodyDiv w:val="1"/>
      <w:marLeft w:val="0"/>
      <w:marRight w:val="0"/>
      <w:marTop w:val="0"/>
      <w:marBottom w:val="0"/>
      <w:divBdr>
        <w:top w:val="none" w:sz="0" w:space="0" w:color="auto"/>
        <w:left w:val="none" w:sz="0" w:space="0" w:color="auto"/>
        <w:bottom w:val="none" w:sz="0" w:space="0" w:color="auto"/>
        <w:right w:val="none" w:sz="0" w:space="0" w:color="auto"/>
      </w:divBdr>
    </w:div>
    <w:div w:id="2031183335">
      <w:bodyDiv w:val="1"/>
      <w:marLeft w:val="0"/>
      <w:marRight w:val="0"/>
      <w:marTop w:val="0"/>
      <w:marBottom w:val="0"/>
      <w:divBdr>
        <w:top w:val="none" w:sz="0" w:space="0" w:color="auto"/>
        <w:left w:val="none" w:sz="0" w:space="0" w:color="auto"/>
        <w:bottom w:val="none" w:sz="0" w:space="0" w:color="auto"/>
        <w:right w:val="none" w:sz="0" w:space="0" w:color="auto"/>
      </w:divBdr>
    </w:div>
    <w:div w:id="2033024683">
      <w:bodyDiv w:val="1"/>
      <w:marLeft w:val="0"/>
      <w:marRight w:val="0"/>
      <w:marTop w:val="0"/>
      <w:marBottom w:val="0"/>
      <w:divBdr>
        <w:top w:val="none" w:sz="0" w:space="0" w:color="auto"/>
        <w:left w:val="none" w:sz="0" w:space="0" w:color="auto"/>
        <w:bottom w:val="none" w:sz="0" w:space="0" w:color="auto"/>
        <w:right w:val="none" w:sz="0" w:space="0" w:color="auto"/>
      </w:divBdr>
    </w:div>
    <w:div w:id="2135059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gov.uk/government/publications/working-together-to-safeguard-childr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3783</Words>
  <Characters>21566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Forrester</dc:creator>
  <cp:keywords/>
  <dc:description/>
  <cp:lastModifiedBy>Samantha Forrester</cp:lastModifiedBy>
  <cp:revision>3</cp:revision>
  <dcterms:created xsi:type="dcterms:W3CDTF">2026-07-15T10:48:00Z</dcterms:created>
  <dcterms:modified xsi:type="dcterms:W3CDTF">2026-07-15T10:49:00Z</dcterms:modified>
</cp:coreProperties>
</file>