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84904" w14:textId="77777777" w:rsidR="00AE2C98" w:rsidRPr="00635B7A" w:rsidRDefault="00AE2C98" w:rsidP="00945159">
      <w:pPr>
        <w:pStyle w:val="Normal1"/>
        <w:spacing w:line="360" w:lineRule="auto"/>
        <w:rPr>
          <w:rFonts w:ascii="Times New Roman" w:eastAsia="Times New Roman" w:hAnsi="Times New Roman" w:cs="Times New Roman"/>
          <w:b/>
          <w:sz w:val="32"/>
          <w:szCs w:val="32"/>
          <w:lang w:val="en-US"/>
        </w:rPr>
      </w:pPr>
    </w:p>
    <w:p w14:paraId="7B45F3B8" w14:textId="77777777" w:rsidR="00AE2C98" w:rsidRPr="00635B7A" w:rsidRDefault="00AE2C98" w:rsidP="00635B7A">
      <w:pPr>
        <w:pStyle w:val="Normal1"/>
        <w:spacing w:line="360" w:lineRule="auto"/>
        <w:jc w:val="center"/>
        <w:rPr>
          <w:rFonts w:ascii="Times New Roman" w:eastAsia="Times New Roman" w:hAnsi="Times New Roman" w:cs="Times New Roman"/>
          <w:b/>
          <w:sz w:val="32"/>
          <w:szCs w:val="32"/>
          <w:lang w:val="en-US"/>
        </w:rPr>
      </w:pPr>
    </w:p>
    <w:p w14:paraId="7913AD59" w14:textId="77777777" w:rsidR="00945159" w:rsidRPr="001A5E62" w:rsidRDefault="00945159" w:rsidP="00945159">
      <w:pPr>
        <w:pStyle w:val="Normal1"/>
        <w:spacing w:line="360" w:lineRule="auto"/>
        <w:jc w:val="center"/>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noProof/>
          <w:color w:val="1F1F1F"/>
          <w:sz w:val="24"/>
          <w:szCs w:val="24"/>
        </w:rPr>
        <w:drawing>
          <wp:inline distT="0" distB="0" distL="0" distR="0" wp14:anchorId="19D7691E" wp14:editId="1175E8EE">
            <wp:extent cx="1543050" cy="1493082"/>
            <wp:effectExtent l="0" t="0" r="0" b="0"/>
            <wp:docPr id="454751303" name="Picture 1" descr="A blue background with a black and yellow shield with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751303" name="Picture 1" descr="A blue background with a black and yellow shield with leaves and flowers&#10;&#10;Description automatically generated"/>
                    <pic:cNvPicPr>
                      <a:picLocks noChangeAspect="1" noChangeArrowheads="1"/>
                    </pic:cNvPicPr>
                  </pic:nvPicPr>
                  <pic:blipFill>
                    <a:blip r:embed="rId8"/>
                    <a:srcRect/>
                    <a:stretch>
                      <a:fillRect/>
                    </a:stretch>
                  </pic:blipFill>
                  <pic:spPr bwMode="auto">
                    <a:xfrm>
                      <a:off x="0" y="0"/>
                      <a:ext cx="1548735" cy="1498583"/>
                    </a:xfrm>
                    <a:prstGeom prst="rect">
                      <a:avLst/>
                    </a:prstGeom>
                    <a:noFill/>
                    <a:ln w="9525">
                      <a:noFill/>
                      <a:miter lim="800000"/>
                      <a:headEnd/>
                      <a:tailEnd/>
                    </a:ln>
                  </pic:spPr>
                </pic:pic>
              </a:graphicData>
            </a:graphic>
          </wp:inline>
        </w:drawing>
      </w:r>
    </w:p>
    <w:p w14:paraId="02EE189C" w14:textId="77777777" w:rsidR="00945159" w:rsidRDefault="00945159" w:rsidP="00945159">
      <w:pPr>
        <w:pStyle w:val="Normal1"/>
        <w:spacing w:line="600" w:lineRule="auto"/>
        <w:jc w:val="center"/>
        <w:rPr>
          <w:rFonts w:ascii="Times New Roman" w:eastAsia="Times New Roman" w:hAnsi="Times New Roman" w:cs="Times New Roman"/>
          <w:b/>
          <w:color w:val="1F1F1F"/>
          <w:sz w:val="24"/>
          <w:szCs w:val="24"/>
        </w:rPr>
      </w:pPr>
    </w:p>
    <w:p w14:paraId="0332D418" w14:textId="77777777" w:rsidR="00945159" w:rsidRPr="0035798A" w:rsidRDefault="00945159" w:rsidP="00945159">
      <w:pPr>
        <w:pStyle w:val="Normal1"/>
        <w:spacing w:line="600" w:lineRule="auto"/>
        <w:jc w:val="center"/>
        <w:rPr>
          <w:rFonts w:ascii="Times New Roman" w:eastAsia="Times New Roman" w:hAnsi="Times New Roman" w:cs="Times New Roman"/>
          <w:b/>
          <w:color w:val="1F1F1F"/>
          <w:sz w:val="24"/>
          <w:szCs w:val="24"/>
        </w:rPr>
      </w:pPr>
      <w:r w:rsidRPr="0035798A">
        <w:rPr>
          <w:rFonts w:ascii="Times New Roman" w:eastAsia="Times New Roman" w:hAnsi="Times New Roman" w:cs="Times New Roman"/>
          <w:b/>
          <w:color w:val="1F1F1F"/>
          <w:sz w:val="24"/>
          <w:szCs w:val="24"/>
        </w:rPr>
        <w:t>University name University of Wales Trinity Saint David</w:t>
      </w:r>
    </w:p>
    <w:p w14:paraId="4FFF51C5" w14:textId="77777777" w:rsidR="00945159" w:rsidRPr="0035798A" w:rsidRDefault="00945159" w:rsidP="00945159">
      <w:pPr>
        <w:pStyle w:val="Normal1"/>
        <w:spacing w:line="600" w:lineRule="auto"/>
        <w:jc w:val="center"/>
        <w:rPr>
          <w:rFonts w:ascii="Times New Roman" w:eastAsia="Times New Roman" w:hAnsi="Times New Roman" w:cs="Times New Roman"/>
          <w:b/>
          <w:color w:val="1F1F1F"/>
          <w:sz w:val="24"/>
          <w:szCs w:val="24"/>
        </w:rPr>
      </w:pPr>
      <w:r w:rsidRPr="0035798A">
        <w:rPr>
          <w:rFonts w:ascii="Times New Roman" w:eastAsia="Times New Roman" w:hAnsi="Times New Roman" w:cs="Times New Roman"/>
          <w:b/>
          <w:color w:val="1F1F1F"/>
          <w:sz w:val="24"/>
          <w:szCs w:val="24"/>
        </w:rPr>
        <w:t>Student name:</w:t>
      </w:r>
      <w:r>
        <w:rPr>
          <w:rFonts w:ascii="Times New Roman" w:eastAsia="Times New Roman" w:hAnsi="Times New Roman" w:cs="Times New Roman"/>
          <w:b/>
          <w:color w:val="1F1F1F"/>
          <w:sz w:val="24"/>
          <w:szCs w:val="24"/>
        </w:rPr>
        <w:t xml:space="preserve"> Cocea Florentin</w:t>
      </w:r>
    </w:p>
    <w:p w14:paraId="10F0D41F" w14:textId="3238DFAF" w:rsidR="00945159" w:rsidRPr="0035798A" w:rsidRDefault="00945159" w:rsidP="00945159">
      <w:pPr>
        <w:pStyle w:val="Normal1"/>
        <w:spacing w:line="600" w:lineRule="auto"/>
        <w:jc w:val="center"/>
        <w:rPr>
          <w:rFonts w:ascii="Times New Roman" w:eastAsia="Times New Roman" w:hAnsi="Times New Roman" w:cs="Times New Roman"/>
          <w:b/>
          <w:color w:val="1F1F1F"/>
          <w:sz w:val="24"/>
          <w:szCs w:val="24"/>
        </w:rPr>
      </w:pPr>
      <w:r w:rsidRPr="0035798A">
        <w:rPr>
          <w:rFonts w:ascii="Times New Roman" w:eastAsia="Times New Roman" w:hAnsi="Times New Roman" w:cs="Times New Roman"/>
          <w:b/>
          <w:color w:val="1F1F1F"/>
          <w:sz w:val="24"/>
          <w:szCs w:val="24"/>
        </w:rPr>
        <w:t>Student ID:</w:t>
      </w:r>
      <w:r>
        <w:rPr>
          <w:rFonts w:ascii="Times New Roman" w:eastAsia="Times New Roman" w:hAnsi="Times New Roman" w:cs="Times New Roman"/>
          <w:b/>
          <w:color w:val="1F1F1F"/>
          <w:sz w:val="24"/>
          <w:szCs w:val="24"/>
        </w:rPr>
        <w:t>21341</w:t>
      </w:r>
      <w:r w:rsidR="00665565">
        <w:rPr>
          <w:rFonts w:ascii="Times New Roman" w:eastAsia="Times New Roman" w:hAnsi="Times New Roman" w:cs="Times New Roman"/>
          <w:b/>
          <w:color w:val="1F1F1F"/>
          <w:sz w:val="24"/>
          <w:szCs w:val="24"/>
        </w:rPr>
        <w:t>24</w:t>
      </w:r>
    </w:p>
    <w:p w14:paraId="02066821" w14:textId="0E35CC7F" w:rsidR="00945159" w:rsidRPr="0035798A" w:rsidRDefault="00945159" w:rsidP="00945159">
      <w:pPr>
        <w:pStyle w:val="Normal1"/>
        <w:spacing w:line="600" w:lineRule="auto"/>
        <w:jc w:val="center"/>
        <w:rPr>
          <w:rFonts w:ascii="Times New Roman" w:eastAsia="Times New Roman" w:hAnsi="Times New Roman" w:cs="Times New Roman"/>
          <w:b/>
          <w:color w:val="1F1F1F"/>
          <w:sz w:val="24"/>
          <w:szCs w:val="24"/>
        </w:rPr>
      </w:pPr>
      <w:r w:rsidRPr="0035798A">
        <w:rPr>
          <w:rFonts w:ascii="Times New Roman" w:eastAsia="Times New Roman" w:hAnsi="Times New Roman" w:cs="Times New Roman"/>
          <w:b/>
          <w:color w:val="1F1F1F"/>
          <w:sz w:val="24"/>
          <w:szCs w:val="24"/>
        </w:rPr>
        <w:t>ID module</w:t>
      </w:r>
      <w:r>
        <w:rPr>
          <w:rFonts w:ascii="Times New Roman" w:eastAsia="Times New Roman" w:hAnsi="Times New Roman" w:cs="Times New Roman"/>
          <w:b/>
          <w:color w:val="1F1F1F"/>
          <w:sz w:val="24"/>
          <w:szCs w:val="24"/>
        </w:rPr>
        <w:t>:</w:t>
      </w:r>
      <w:r w:rsidRPr="0035798A">
        <w:rPr>
          <w:rFonts w:ascii="Times New Roman" w:eastAsia="Times New Roman" w:hAnsi="Times New Roman" w:cs="Times New Roman"/>
          <w:b/>
          <w:color w:val="1F1F1F"/>
          <w:sz w:val="24"/>
          <w:szCs w:val="24"/>
        </w:rPr>
        <w:t xml:space="preserve"> LCBB500</w:t>
      </w:r>
      <w:r>
        <w:rPr>
          <w:rFonts w:ascii="Times New Roman" w:eastAsia="Times New Roman" w:hAnsi="Times New Roman" w:cs="Times New Roman"/>
          <w:b/>
          <w:color w:val="1F1F1F"/>
          <w:sz w:val="24"/>
          <w:szCs w:val="24"/>
        </w:rPr>
        <w:t>8</w:t>
      </w:r>
    </w:p>
    <w:p w14:paraId="4AD57CAD" w14:textId="583642F3" w:rsidR="00945159" w:rsidRPr="0035798A" w:rsidRDefault="00945159" w:rsidP="00945159">
      <w:pPr>
        <w:pStyle w:val="Normal1"/>
        <w:spacing w:line="600" w:lineRule="auto"/>
        <w:jc w:val="center"/>
        <w:rPr>
          <w:rFonts w:ascii="Times New Roman" w:eastAsia="Times New Roman" w:hAnsi="Times New Roman" w:cs="Times New Roman"/>
          <w:b/>
          <w:color w:val="1F1F1F"/>
          <w:sz w:val="24"/>
          <w:szCs w:val="24"/>
        </w:rPr>
      </w:pPr>
      <w:r>
        <w:rPr>
          <w:rFonts w:ascii="Times New Roman" w:eastAsia="Times New Roman" w:hAnsi="Times New Roman" w:cs="Times New Roman"/>
          <w:b/>
          <w:color w:val="1F1F1F"/>
          <w:sz w:val="24"/>
          <w:szCs w:val="24"/>
        </w:rPr>
        <w:t>Module</w:t>
      </w:r>
      <w:r w:rsidRPr="0035798A">
        <w:rPr>
          <w:rFonts w:ascii="Times New Roman" w:eastAsia="Times New Roman" w:hAnsi="Times New Roman" w:cs="Times New Roman"/>
          <w:b/>
          <w:color w:val="1F1F1F"/>
          <w:sz w:val="24"/>
          <w:szCs w:val="24"/>
        </w:rPr>
        <w:t xml:space="preserve"> name</w:t>
      </w:r>
      <w:r>
        <w:rPr>
          <w:rFonts w:ascii="Times New Roman" w:eastAsia="Times New Roman" w:hAnsi="Times New Roman" w:cs="Times New Roman"/>
          <w:b/>
          <w:color w:val="1F1F1F"/>
          <w:sz w:val="24"/>
          <w:szCs w:val="24"/>
        </w:rPr>
        <w:t xml:space="preserve">, </w:t>
      </w:r>
      <w:proofErr w:type="spellStart"/>
      <w:r>
        <w:rPr>
          <w:rFonts w:ascii="Times New Roman" w:eastAsia="Times New Roman" w:hAnsi="Times New Roman" w:cs="Times New Roman"/>
          <w:b/>
          <w:color w:val="1F1F1F"/>
          <w:sz w:val="24"/>
          <w:szCs w:val="24"/>
        </w:rPr>
        <w:t>assesstment</w:t>
      </w:r>
      <w:proofErr w:type="spellEnd"/>
      <w:r>
        <w:rPr>
          <w:rFonts w:ascii="Times New Roman" w:eastAsia="Times New Roman" w:hAnsi="Times New Roman" w:cs="Times New Roman"/>
          <w:b/>
          <w:color w:val="1F1F1F"/>
          <w:sz w:val="24"/>
          <w:szCs w:val="24"/>
        </w:rPr>
        <w:t xml:space="preserve"> number: </w:t>
      </w:r>
      <w:r w:rsidRPr="0035798A">
        <w:rPr>
          <w:rFonts w:ascii="Times New Roman" w:eastAsia="Times New Roman" w:hAnsi="Times New Roman" w:cs="Times New Roman"/>
          <w:b/>
          <w:color w:val="1F1F1F"/>
          <w:sz w:val="24"/>
          <w:szCs w:val="24"/>
        </w:rPr>
        <w:t>  Management</w:t>
      </w:r>
      <w:r>
        <w:rPr>
          <w:rFonts w:ascii="Times New Roman" w:eastAsia="Times New Roman" w:hAnsi="Times New Roman" w:cs="Times New Roman"/>
          <w:b/>
          <w:color w:val="1F1F1F"/>
          <w:sz w:val="24"/>
          <w:szCs w:val="24"/>
        </w:rPr>
        <w:t xml:space="preserve"> Economics</w:t>
      </w:r>
      <w:r>
        <w:rPr>
          <w:rFonts w:ascii="Times New Roman" w:eastAsia="Times New Roman" w:hAnsi="Times New Roman" w:cs="Times New Roman"/>
          <w:b/>
          <w:color w:val="1F1F1F"/>
          <w:sz w:val="24"/>
          <w:szCs w:val="24"/>
        </w:rPr>
        <w:t xml:space="preserve"> </w:t>
      </w:r>
      <w:r>
        <w:rPr>
          <w:rFonts w:ascii="Times New Roman" w:eastAsia="Times New Roman" w:hAnsi="Times New Roman" w:cs="Times New Roman"/>
          <w:b/>
          <w:color w:val="1F1F1F"/>
          <w:sz w:val="24"/>
          <w:szCs w:val="24"/>
        </w:rPr>
        <w:t>–</w:t>
      </w:r>
      <w:r>
        <w:rPr>
          <w:rFonts w:ascii="Times New Roman" w:eastAsia="Times New Roman" w:hAnsi="Times New Roman" w:cs="Times New Roman"/>
          <w:b/>
          <w:color w:val="1F1F1F"/>
          <w:sz w:val="24"/>
          <w:szCs w:val="24"/>
        </w:rPr>
        <w:t xml:space="preserve"> </w:t>
      </w:r>
      <w:proofErr w:type="spellStart"/>
      <w:r>
        <w:rPr>
          <w:rFonts w:ascii="Times New Roman" w:eastAsia="Times New Roman" w:hAnsi="Times New Roman" w:cs="Times New Roman"/>
          <w:b/>
          <w:color w:val="1F1F1F"/>
          <w:sz w:val="24"/>
          <w:szCs w:val="24"/>
        </w:rPr>
        <w:t>Coursework:Essay</w:t>
      </w:r>
      <w:proofErr w:type="spellEnd"/>
    </w:p>
    <w:p w14:paraId="7B1CC5A6" w14:textId="1C4AE173" w:rsidR="00945159" w:rsidRPr="00521FB4" w:rsidRDefault="00945159" w:rsidP="00945159">
      <w:pPr>
        <w:pStyle w:val="Normal1"/>
        <w:spacing w:line="600" w:lineRule="auto"/>
        <w:jc w:val="center"/>
        <w:rPr>
          <w:rFonts w:ascii="Times New Roman" w:eastAsia="Times New Roman" w:hAnsi="Times New Roman" w:cs="Times New Roman"/>
          <w:b/>
          <w:color w:val="1F1F1F"/>
          <w:sz w:val="24"/>
          <w:szCs w:val="24"/>
        </w:rPr>
      </w:pPr>
      <w:r w:rsidRPr="0035798A">
        <w:rPr>
          <w:rFonts w:ascii="Times New Roman" w:eastAsia="Times New Roman" w:hAnsi="Times New Roman" w:cs="Times New Roman"/>
          <w:b/>
          <w:color w:val="1F1F1F"/>
          <w:sz w:val="24"/>
          <w:szCs w:val="24"/>
        </w:rPr>
        <w:t>Lector name:</w:t>
      </w:r>
      <w:r w:rsidRPr="00521FB4">
        <w:t xml:space="preserve"> </w:t>
      </w:r>
      <w:r>
        <w:rPr>
          <w:rFonts w:ascii="Times New Roman" w:eastAsia="Times New Roman" w:hAnsi="Times New Roman" w:cs="Times New Roman"/>
          <w:b/>
          <w:color w:val="1F1F1F"/>
          <w:sz w:val="24"/>
          <w:szCs w:val="24"/>
        </w:rPr>
        <w:t>Riaz Bhatti</w:t>
      </w:r>
    </w:p>
    <w:p w14:paraId="45A3CECF" w14:textId="77777777" w:rsidR="00AE2C98" w:rsidRPr="00635B7A" w:rsidRDefault="00AE2C98" w:rsidP="00635B7A">
      <w:pPr>
        <w:pStyle w:val="Normal1"/>
        <w:spacing w:line="360" w:lineRule="auto"/>
        <w:jc w:val="center"/>
        <w:rPr>
          <w:rFonts w:ascii="Times New Roman" w:eastAsia="Times New Roman" w:hAnsi="Times New Roman" w:cs="Times New Roman"/>
          <w:b/>
          <w:sz w:val="32"/>
          <w:szCs w:val="32"/>
          <w:lang w:val="en-US"/>
        </w:rPr>
      </w:pPr>
    </w:p>
    <w:p w14:paraId="3841A381" w14:textId="77777777" w:rsidR="00AE2C98" w:rsidRPr="00635B7A" w:rsidRDefault="00AE2C98" w:rsidP="00635B7A">
      <w:pPr>
        <w:pStyle w:val="Normal1"/>
        <w:spacing w:line="360" w:lineRule="auto"/>
        <w:jc w:val="center"/>
        <w:rPr>
          <w:rFonts w:ascii="Times New Roman" w:eastAsia="Times New Roman" w:hAnsi="Times New Roman" w:cs="Times New Roman"/>
          <w:b/>
          <w:sz w:val="32"/>
          <w:szCs w:val="32"/>
          <w:lang w:val="en-US"/>
        </w:rPr>
      </w:pPr>
    </w:p>
    <w:p w14:paraId="492A7091" w14:textId="77777777" w:rsidR="00AE2C98" w:rsidRPr="00635B7A" w:rsidRDefault="00AE2C98" w:rsidP="00635B7A">
      <w:pPr>
        <w:pStyle w:val="Normal1"/>
        <w:spacing w:line="360" w:lineRule="auto"/>
        <w:jc w:val="center"/>
        <w:rPr>
          <w:rFonts w:ascii="Times New Roman" w:eastAsia="Times New Roman" w:hAnsi="Times New Roman" w:cs="Times New Roman"/>
          <w:b/>
          <w:sz w:val="32"/>
          <w:szCs w:val="32"/>
          <w:lang w:val="en-US"/>
        </w:rPr>
      </w:pPr>
    </w:p>
    <w:p w14:paraId="7C2D494F" w14:textId="77777777" w:rsidR="00AE2C98" w:rsidRPr="00635B7A" w:rsidRDefault="00AE2C98" w:rsidP="00635B7A">
      <w:pPr>
        <w:pStyle w:val="Normal1"/>
        <w:spacing w:line="360" w:lineRule="auto"/>
        <w:jc w:val="center"/>
        <w:rPr>
          <w:rFonts w:ascii="Times New Roman" w:eastAsia="Times New Roman" w:hAnsi="Times New Roman" w:cs="Times New Roman"/>
          <w:b/>
          <w:sz w:val="32"/>
          <w:szCs w:val="32"/>
          <w:lang w:val="en-US"/>
        </w:rPr>
      </w:pPr>
    </w:p>
    <w:p w14:paraId="70624558" w14:textId="77777777" w:rsidR="00AE2C98" w:rsidRPr="00635B7A" w:rsidRDefault="00AE2C98" w:rsidP="00635B7A">
      <w:pPr>
        <w:pStyle w:val="Normal1"/>
        <w:spacing w:line="360" w:lineRule="auto"/>
        <w:jc w:val="center"/>
        <w:rPr>
          <w:rFonts w:ascii="Times New Roman" w:eastAsia="Times New Roman" w:hAnsi="Times New Roman" w:cs="Times New Roman"/>
          <w:b/>
          <w:sz w:val="32"/>
          <w:szCs w:val="32"/>
          <w:lang w:val="en-US"/>
        </w:rPr>
      </w:pPr>
    </w:p>
    <w:p w14:paraId="050B45AC" w14:textId="77777777" w:rsidR="00AE2C98" w:rsidRPr="00635B7A" w:rsidRDefault="00AE2C98" w:rsidP="00635B7A">
      <w:pPr>
        <w:pStyle w:val="Normal1"/>
        <w:spacing w:line="360" w:lineRule="auto"/>
        <w:jc w:val="center"/>
        <w:rPr>
          <w:rFonts w:ascii="Times New Roman" w:eastAsia="Times New Roman" w:hAnsi="Times New Roman" w:cs="Times New Roman"/>
          <w:b/>
          <w:sz w:val="32"/>
          <w:szCs w:val="32"/>
          <w:lang w:val="en-US"/>
        </w:rPr>
      </w:pPr>
    </w:p>
    <w:p w14:paraId="323C020A" w14:textId="77777777" w:rsidR="00AA3D77" w:rsidRPr="00635B7A" w:rsidRDefault="00AA3D77" w:rsidP="00635B7A">
      <w:pPr>
        <w:pStyle w:val="Normal1"/>
        <w:spacing w:line="360" w:lineRule="auto"/>
        <w:jc w:val="both"/>
        <w:rPr>
          <w:rFonts w:ascii="Times New Roman" w:eastAsia="Times New Roman" w:hAnsi="Times New Roman" w:cs="Times New Roman"/>
          <w:b/>
          <w:sz w:val="24"/>
          <w:szCs w:val="24"/>
          <w:lang w:val="en-US"/>
        </w:rPr>
      </w:pPr>
    </w:p>
    <w:p w14:paraId="4327005E" w14:textId="77777777" w:rsidR="00AA3D77" w:rsidRPr="00635B7A" w:rsidRDefault="00843FFB" w:rsidP="00635B7A">
      <w:pPr>
        <w:pStyle w:val="Normal1"/>
        <w:spacing w:line="360" w:lineRule="auto"/>
        <w:jc w:val="both"/>
        <w:rPr>
          <w:rFonts w:ascii="Times New Roman" w:eastAsia="Times New Roman" w:hAnsi="Times New Roman" w:cs="Times New Roman"/>
          <w:b/>
          <w:sz w:val="24"/>
          <w:szCs w:val="24"/>
          <w:lang w:val="en-US"/>
        </w:rPr>
      </w:pPr>
      <w:r w:rsidRPr="00635B7A">
        <w:rPr>
          <w:rFonts w:ascii="Times New Roman" w:hAnsi="Times New Roman" w:cs="Times New Roman"/>
          <w:lang w:val="en-US"/>
        </w:rPr>
        <w:br w:type="page"/>
      </w:r>
    </w:p>
    <w:p w14:paraId="4A45DB9B" w14:textId="77777777" w:rsidR="00AA3D77" w:rsidRPr="00635B7A" w:rsidRDefault="00843FFB" w:rsidP="00635B7A">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lastRenderedPageBreak/>
        <w:t xml:space="preserve">The behemoth and the knock-on effect of Covid-19 are rife in the retail sectors of the UK in terms of import, and export. Higher prices and delayed deliveries resulted in a mismatch in customer demand, and supply. In this regard, Brexit trade barriers, </w:t>
      </w:r>
      <w:r w:rsidRPr="00635B7A">
        <w:rPr>
          <w:rFonts w:ascii="Times New Roman" w:eastAsia="Times New Roman" w:hAnsi="Times New Roman" w:cs="Times New Roman"/>
          <w:sz w:val="24"/>
          <w:szCs w:val="24"/>
        </w:rPr>
        <w:t>labour</w:t>
      </w:r>
      <w:r w:rsidRPr="00635B7A">
        <w:rPr>
          <w:rFonts w:ascii="Times New Roman" w:eastAsia="Times New Roman" w:hAnsi="Times New Roman" w:cs="Times New Roman"/>
          <w:sz w:val="24"/>
          <w:szCs w:val="24"/>
          <w:lang w:val="en-US"/>
        </w:rPr>
        <w:t xml:space="preserve"> shortage, and global supply problems led to panic buying among the customers</w:t>
      </w:r>
      <w:r w:rsidR="00FB29BC" w:rsidRPr="00635B7A">
        <w:rPr>
          <w:rFonts w:ascii="Times New Roman" w:eastAsia="Times New Roman" w:hAnsi="Times New Roman" w:cs="Times New Roman"/>
          <w:sz w:val="24"/>
          <w:szCs w:val="24"/>
          <w:lang w:val="en-US"/>
        </w:rPr>
        <w:t xml:space="preserve"> (</w:t>
      </w:r>
      <w:r w:rsidR="00FB29BC" w:rsidRPr="00635B7A">
        <w:rPr>
          <w:rFonts w:ascii="Times New Roman" w:hAnsi="Times New Roman" w:cs="Times New Roman"/>
          <w:sz w:val="24"/>
        </w:rPr>
        <w:t>Instituteforgovernment.org.uk</w:t>
      </w:r>
      <w:r w:rsidR="00FB29BC" w:rsidRPr="00635B7A">
        <w:rPr>
          <w:rFonts w:ascii="Times New Roman" w:eastAsia="Times New Roman" w:hAnsi="Times New Roman" w:cs="Times New Roman"/>
          <w:sz w:val="24"/>
          <w:szCs w:val="24"/>
          <w:lang w:val="en-US"/>
        </w:rPr>
        <w:t>, 2021)</w:t>
      </w:r>
      <w:r w:rsidRPr="00635B7A">
        <w:rPr>
          <w:rFonts w:ascii="Times New Roman" w:eastAsia="Times New Roman" w:hAnsi="Times New Roman" w:cs="Times New Roman"/>
          <w:sz w:val="24"/>
          <w:szCs w:val="24"/>
          <w:lang w:val="en-US"/>
        </w:rPr>
        <w:t xml:space="preserve">. A decline in economic activity was rife with an unprecedented drop in GDP with economic uncertainty. Soaring food and fuel prices resulted in a mammoth 10% increase in the inflation rate in the UK which may go beyond 13% as forecast by the Bank of England (The Guardian, 2022). The biggest operators of petrol in the UK warned of fuel shortages as there was a shortage of fuel stations in terms of meeting the demand. Furthermore, the EU drivers started leaving the UK as a result of Brexit which added fuel to the flame as the UK encountered driver shortages. It is a matter of astonishment that there was a gap of approximately 100,000 lorry drivers owing to the pandemic, and Brexit to some extent. Besides, </w:t>
      </w:r>
      <w:r w:rsidRPr="00635B7A">
        <w:rPr>
          <w:rFonts w:ascii="Times New Roman" w:eastAsia="Times New Roman" w:hAnsi="Times New Roman" w:cs="Times New Roman"/>
          <w:b/>
          <w:i/>
          <w:sz w:val="24"/>
          <w:szCs w:val="24"/>
          <w:lang w:val="en-US"/>
        </w:rPr>
        <w:t xml:space="preserve">vocational training </w:t>
      </w:r>
      <w:r w:rsidRPr="00635B7A">
        <w:rPr>
          <w:rFonts w:ascii="Times New Roman" w:eastAsia="Times New Roman" w:hAnsi="Times New Roman" w:cs="Times New Roman"/>
          <w:sz w:val="24"/>
          <w:szCs w:val="24"/>
          <w:lang w:val="en-US"/>
        </w:rPr>
        <w:t xml:space="preserve">of the drivers is also disrupted and </w:t>
      </w:r>
      <w:r w:rsidRPr="00635B7A">
        <w:rPr>
          <w:rFonts w:ascii="Times New Roman" w:eastAsia="Times New Roman" w:hAnsi="Times New Roman" w:cs="Times New Roman"/>
          <w:b/>
          <w:i/>
          <w:sz w:val="24"/>
          <w:szCs w:val="24"/>
          <w:lang w:val="en-US"/>
        </w:rPr>
        <w:t xml:space="preserve">DVLA </w:t>
      </w:r>
      <w:r w:rsidRPr="00635B7A">
        <w:rPr>
          <w:rFonts w:ascii="Times New Roman" w:eastAsia="Times New Roman" w:hAnsi="Times New Roman" w:cs="Times New Roman"/>
          <w:sz w:val="24"/>
          <w:szCs w:val="24"/>
          <w:lang w:val="en-US"/>
        </w:rPr>
        <w:t>or the driver, and vehicle licensing agency suspended many drivers as they were not chauffeurs.</w:t>
      </w:r>
    </w:p>
    <w:p w14:paraId="7506B1C1" w14:textId="77777777" w:rsidR="00AA3D77" w:rsidRPr="00635B7A" w:rsidRDefault="00843FFB" w:rsidP="00635B7A">
      <w:pPr>
        <w:pStyle w:val="Normal1"/>
        <w:spacing w:line="360" w:lineRule="auto"/>
        <w:jc w:val="both"/>
        <w:rPr>
          <w:rFonts w:ascii="Times New Roman" w:eastAsia="Times New Roman" w:hAnsi="Times New Roman" w:cs="Times New Roman"/>
          <w:b/>
          <w:i/>
          <w:sz w:val="24"/>
          <w:szCs w:val="24"/>
          <w:lang w:val="en-US"/>
        </w:rPr>
      </w:pPr>
      <w:r w:rsidRPr="00635B7A">
        <w:rPr>
          <w:rFonts w:ascii="Times New Roman" w:eastAsia="Times New Roman" w:hAnsi="Times New Roman" w:cs="Times New Roman"/>
          <w:sz w:val="24"/>
          <w:szCs w:val="24"/>
          <w:lang w:val="en-US"/>
        </w:rPr>
        <w:t xml:space="preserve">Apart from these, </w:t>
      </w:r>
      <w:r w:rsidRPr="00635B7A">
        <w:rPr>
          <w:rFonts w:ascii="Times New Roman" w:eastAsia="Times New Roman" w:hAnsi="Times New Roman" w:cs="Times New Roman"/>
          <w:b/>
          <w:i/>
          <w:sz w:val="24"/>
          <w:szCs w:val="24"/>
          <w:lang w:val="en-US"/>
        </w:rPr>
        <w:t xml:space="preserve">panic buying </w:t>
      </w:r>
      <w:r w:rsidRPr="00635B7A">
        <w:rPr>
          <w:rFonts w:ascii="Times New Roman" w:eastAsia="Times New Roman" w:hAnsi="Times New Roman" w:cs="Times New Roman"/>
          <w:sz w:val="24"/>
          <w:szCs w:val="24"/>
          <w:lang w:val="en-US"/>
        </w:rPr>
        <w:t xml:space="preserve">has contributed to the scarcity of fuels as the rushing of customers to fill their tanks resulted in a rapid increase in demand which made shortages worse. Psychological distress was evident during the pandemic as over-purchasing took place in the UK and </w:t>
      </w:r>
      <w:r w:rsidRPr="00635B7A">
        <w:rPr>
          <w:rFonts w:ascii="Times New Roman" w:eastAsia="Times New Roman" w:hAnsi="Times New Roman" w:cs="Times New Roman"/>
          <w:sz w:val="24"/>
          <w:szCs w:val="24"/>
        </w:rPr>
        <w:t>neighbouring</w:t>
      </w:r>
      <w:r w:rsidRPr="00635B7A">
        <w:rPr>
          <w:rFonts w:ascii="Times New Roman" w:eastAsia="Times New Roman" w:hAnsi="Times New Roman" w:cs="Times New Roman"/>
          <w:sz w:val="24"/>
          <w:szCs w:val="24"/>
          <w:lang w:val="en-US"/>
        </w:rPr>
        <w:t xml:space="preserve"> areas to counter the future crisis</w:t>
      </w:r>
      <w:r w:rsidR="00ED0922" w:rsidRPr="00635B7A">
        <w:rPr>
          <w:rFonts w:ascii="Times New Roman" w:eastAsia="Times New Roman" w:hAnsi="Times New Roman" w:cs="Times New Roman"/>
          <w:sz w:val="24"/>
          <w:szCs w:val="24"/>
          <w:lang w:val="en-US"/>
        </w:rPr>
        <w:t xml:space="preserve"> (</w:t>
      </w:r>
      <w:r w:rsidR="00ED0922" w:rsidRPr="00635B7A">
        <w:rPr>
          <w:rFonts w:ascii="Times New Roman" w:hAnsi="Times New Roman" w:cs="Times New Roman"/>
          <w:sz w:val="24"/>
        </w:rPr>
        <w:t>Instituteforgovernment.org.uk</w:t>
      </w:r>
      <w:r w:rsidR="00ED0922" w:rsidRPr="00635B7A">
        <w:rPr>
          <w:rFonts w:ascii="Times New Roman" w:eastAsia="Times New Roman" w:hAnsi="Times New Roman" w:cs="Times New Roman"/>
          <w:sz w:val="24"/>
          <w:szCs w:val="24"/>
          <w:lang w:val="en-US"/>
        </w:rPr>
        <w:t>, 2021)</w:t>
      </w:r>
      <w:r w:rsidRPr="00635B7A">
        <w:rPr>
          <w:rFonts w:ascii="Times New Roman" w:eastAsia="Times New Roman" w:hAnsi="Times New Roman" w:cs="Times New Roman"/>
          <w:sz w:val="24"/>
          <w:szCs w:val="24"/>
          <w:lang w:val="en-US"/>
        </w:rPr>
        <w:t xml:space="preserve">. Besides, people used to buy </w:t>
      </w:r>
      <w:r w:rsidR="002E3C80" w:rsidRPr="00635B7A">
        <w:rPr>
          <w:rFonts w:ascii="Times New Roman" w:eastAsia="Times New Roman" w:hAnsi="Times New Roman" w:cs="Times New Roman"/>
          <w:sz w:val="24"/>
          <w:szCs w:val="24"/>
          <w:lang w:val="en-US"/>
        </w:rPr>
        <w:t>variety ranges</w:t>
      </w:r>
      <w:r w:rsidRPr="00635B7A">
        <w:rPr>
          <w:rFonts w:ascii="Times New Roman" w:eastAsia="Times New Roman" w:hAnsi="Times New Roman" w:cs="Times New Roman"/>
          <w:sz w:val="24"/>
          <w:szCs w:val="24"/>
          <w:lang w:val="en-US"/>
        </w:rPr>
        <w:t xml:space="preserve"> of products instead of </w:t>
      </w:r>
      <w:r w:rsidRPr="00635B7A">
        <w:rPr>
          <w:rFonts w:ascii="Times New Roman" w:eastAsia="Times New Roman" w:hAnsi="Times New Roman" w:cs="Times New Roman"/>
          <w:sz w:val="24"/>
          <w:szCs w:val="24"/>
        </w:rPr>
        <w:t>focussing</w:t>
      </w:r>
      <w:r w:rsidRPr="00635B7A">
        <w:rPr>
          <w:rFonts w:ascii="Times New Roman" w:eastAsia="Times New Roman" w:hAnsi="Times New Roman" w:cs="Times New Roman"/>
          <w:sz w:val="24"/>
          <w:szCs w:val="24"/>
          <w:lang w:val="en-US"/>
        </w:rPr>
        <w:t xml:space="preserve"> on a single one. Post-lockdown energy demand was heightened in UK supermarkets. Besides, the UK economy was hit hard compared to other countries in regard to GDP falls as there was no output outside the market. </w:t>
      </w:r>
      <w:r w:rsidR="00524F71">
        <w:rPr>
          <w:rFonts w:ascii="Times New Roman" w:eastAsia="Times New Roman" w:hAnsi="Times New Roman" w:cs="Times New Roman"/>
          <w:sz w:val="24"/>
          <w:szCs w:val="24"/>
          <w:lang w:val="en-US"/>
        </w:rPr>
        <w:t>It is evident that</w:t>
      </w:r>
      <w:r w:rsidRPr="00635B7A">
        <w:rPr>
          <w:rFonts w:ascii="Times New Roman" w:eastAsia="Times New Roman" w:hAnsi="Times New Roman" w:cs="Times New Roman"/>
          <w:sz w:val="24"/>
          <w:szCs w:val="24"/>
          <w:lang w:val="en-US"/>
        </w:rPr>
        <w:t xml:space="preserve"> growth, </w:t>
      </w:r>
      <w:r w:rsidR="006C20DA" w:rsidRPr="00635B7A">
        <w:rPr>
          <w:rFonts w:ascii="Times New Roman" w:eastAsia="Times New Roman" w:hAnsi="Times New Roman" w:cs="Times New Roman"/>
          <w:sz w:val="24"/>
          <w:szCs w:val="24"/>
          <w:lang w:val="en-US"/>
        </w:rPr>
        <w:t>trade,</w:t>
      </w:r>
      <w:r w:rsidRPr="00635B7A">
        <w:rPr>
          <w:rFonts w:ascii="Times New Roman" w:eastAsia="Times New Roman" w:hAnsi="Times New Roman" w:cs="Times New Roman"/>
          <w:sz w:val="24"/>
          <w:szCs w:val="24"/>
          <w:lang w:val="en-US"/>
        </w:rPr>
        <w:t xml:space="preserve"> and employment were haltered as there was no investment in the UK after </w:t>
      </w:r>
      <w:r w:rsidRPr="00635B7A">
        <w:rPr>
          <w:rFonts w:ascii="Times New Roman" w:eastAsia="Times New Roman" w:hAnsi="Times New Roman" w:cs="Times New Roman"/>
          <w:sz w:val="24"/>
          <w:szCs w:val="24"/>
        </w:rPr>
        <w:t>Brexit</w:t>
      </w:r>
      <w:r w:rsidRPr="00635B7A">
        <w:rPr>
          <w:rFonts w:ascii="Times New Roman" w:eastAsia="Times New Roman" w:hAnsi="Times New Roman" w:cs="Times New Roman"/>
          <w:sz w:val="24"/>
          <w:szCs w:val="24"/>
          <w:lang w:val="en-US"/>
        </w:rPr>
        <w:t xml:space="preserve">. Besides, a shift in consumer appetite was writ large during the lockdown as there was pressure on supply chains along with energy, and electronic components. UK borrowing after the Second World War reached a record high of 15% after the pandemic. </w:t>
      </w:r>
      <w:r w:rsidRPr="00635B7A">
        <w:rPr>
          <w:rFonts w:ascii="Times New Roman" w:eastAsia="Times New Roman" w:hAnsi="Times New Roman" w:cs="Times New Roman"/>
          <w:b/>
          <w:i/>
          <w:sz w:val="24"/>
          <w:szCs w:val="24"/>
          <w:lang w:val="en-US"/>
        </w:rPr>
        <w:t>[Referred to Appendix 1]</w:t>
      </w:r>
    </w:p>
    <w:p w14:paraId="1CDE4143" w14:textId="77777777" w:rsidR="00AA3D77" w:rsidRPr="00635B7A" w:rsidRDefault="00843FFB" w:rsidP="00635B7A">
      <w:pPr>
        <w:pStyle w:val="Normal1"/>
        <w:spacing w:line="360" w:lineRule="auto"/>
        <w:jc w:val="center"/>
        <w:rPr>
          <w:rFonts w:ascii="Times New Roman" w:eastAsia="Times New Roman" w:hAnsi="Times New Roman" w:cs="Times New Roman"/>
          <w:sz w:val="24"/>
          <w:szCs w:val="24"/>
          <w:lang w:val="en-US"/>
        </w:rPr>
      </w:pPr>
      <w:r w:rsidRPr="00635B7A">
        <w:rPr>
          <w:rFonts w:ascii="Times New Roman" w:eastAsia="Times New Roman" w:hAnsi="Times New Roman" w:cs="Times New Roman"/>
          <w:noProof/>
          <w:sz w:val="24"/>
          <w:szCs w:val="24"/>
          <w:lang w:val="en-US"/>
        </w:rPr>
        <w:lastRenderedPageBreak/>
        <w:drawing>
          <wp:inline distT="114300" distB="114300" distL="114300" distR="114300" wp14:anchorId="26E3D4F7" wp14:editId="0D6DE159">
            <wp:extent cx="3976688" cy="2904956"/>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3976688" cy="2904956"/>
                    </a:xfrm>
                    <a:prstGeom prst="rect">
                      <a:avLst/>
                    </a:prstGeom>
                    <a:ln w="25400">
                      <a:solidFill>
                        <a:srgbClr val="000000"/>
                      </a:solidFill>
                      <a:prstDash val="solid"/>
                    </a:ln>
                  </pic:spPr>
                </pic:pic>
              </a:graphicData>
            </a:graphic>
          </wp:inline>
        </w:drawing>
      </w:r>
    </w:p>
    <w:p w14:paraId="157A5C78" w14:textId="77777777" w:rsidR="00AA3D77" w:rsidRPr="00635B7A" w:rsidRDefault="00843FFB" w:rsidP="00635B7A">
      <w:pPr>
        <w:pStyle w:val="Normal1"/>
        <w:spacing w:line="360" w:lineRule="auto"/>
        <w:jc w:val="center"/>
        <w:rPr>
          <w:rFonts w:ascii="Times New Roman" w:eastAsia="Times New Roman" w:hAnsi="Times New Roman" w:cs="Times New Roman"/>
          <w:b/>
          <w:sz w:val="24"/>
          <w:szCs w:val="24"/>
          <w:lang w:val="en-US"/>
        </w:rPr>
      </w:pPr>
      <w:r w:rsidRPr="00635B7A">
        <w:rPr>
          <w:rFonts w:ascii="Times New Roman" w:eastAsia="Times New Roman" w:hAnsi="Times New Roman" w:cs="Times New Roman"/>
          <w:b/>
          <w:sz w:val="24"/>
          <w:szCs w:val="24"/>
          <w:lang w:val="en-US"/>
        </w:rPr>
        <w:t>Figure 1: UK government borrowing in FY 2020</w:t>
      </w:r>
    </w:p>
    <w:p w14:paraId="123A12C1" w14:textId="77777777" w:rsidR="00AA3D77" w:rsidRPr="00635B7A" w:rsidRDefault="00843FFB" w:rsidP="00635B7A">
      <w:pPr>
        <w:pStyle w:val="Normal1"/>
        <w:spacing w:line="360" w:lineRule="auto"/>
        <w:jc w:val="center"/>
        <w:rPr>
          <w:rFonts w:ascii="Times New Roman" w:eastAsia="Times New Roman" w:hAnsi="Times New Roman" w:cs="Times New Roman"/>
          <w:sz w:val="24"/>
          <w:szCs w:val="24"/>
          <w:lang w:val="en-US"/>
        </w:rPr>
      </w:pPr>
      <w:r w:rsidRPr="00635B7A">
        <w:rPr>
          <w:rFonts w:ascii="Times New Roman" w:eastAsia="Times New Roman" w:hAnsi="Times New Roman" w:cs="Times New Roman"/>
          <w:b/>
          <w:sz w:val="24"/>
          <w:szCs w:val="24"/>
          <w:lang w:val="en-US"/>
        </w:rPr>
        <w:t>(</w:t>
      </w:r>
      <w:r w:rsidRPr="00635B7A">
        <w:rPr>
          <w:rFonts w:ascii="Times New Roman" w:eastAsia="Times New Roman" w:hAnsi="Times New Roman" w:cs="Times New Roman"/>
          <w:sz w:val="24"/>
          <w:szCs w:val="24"/>
          <w:lang w:val="en-US"/>
        </w:rPr>
        <w:t>Source: Inman, 2020</w:t>
      </w:r>
      <w:r w:rsidRPr="00635B7A">
        <w:rPr>
          <w:rFonts w:ascii="Times New Roman" w:eastAsia="Times New Roman" w:hAnsi="Times New Roman" w:cs="Times New Roman"/>
          <w:b/>
          <w:sz w:val="24"/>
          <w:szCs w:val="24"/>
          <w:lang w:val="en-US"/>
        </w:rPr>
        <w:t>)</w:t>
      </w:r>
    </w:p>
    <w:p w14:paraId="58EE4191" w14:textId="77777777" w:rsidR="00AA3D77" w:rsidRPr="000D6611" w:rsidRDefault="00843FFB" w:rsidP="000D6611">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As depicted in Figure 1, UK borrowing stood at more than 174 billion and a high inflation rate increased the debt-to-GDP ratio of the UK government. Moreover, the overall debt pile of the UK government jumped to a mammoth 103% with customer price inflation or </w:t>
      </w:r>
      <w:r w:rsidRPr="00635B7A">
        <w:rPr>
          <w:rFonts w:ascii="Times New Roman" w:eastAsia="Times New Roman" w:hAnsi="Times New Roman" w:cs="Times New Roman"/>
          <w:b/>
          <w:i/>
          <w:sz w:val="24"/>
          <w:szCs w:val="24"/>
          <w:lang w:val="en-US"/>
        </w:rPr>
        <w:t xml:space="preserve">CPI </w:t>
      </w:r>
      <w:r w:rsidRPr="00635B7A">
        <w:rPr>
          <w:rFonts w:ascii="Times New Roman" w:eastAsia="Times New Roman" w:hAnsi="Times New Roman" w:cs="Times New Roman"/>
          <w:sz w:val="24"/>
          <w:szCs w:val="24"/>
          <w:lang w:val="en-US"/>
        </w:rPr>
        <w:t xml:space="preserve">increase from 0.2% to 0.5% (Inman, 2020). Moreover, Appendix 3 shows that GDP was 17% in the FY 2021 reflected by record spending and borrowing. As the unemployment rate was increased to 5% redundancies rose to nearly 370,000 </w:t>
      </w:r>
      <w:proofErr w:type="spellStart"/>
      <w:r w:rsidR="00AE2C98" w:rsidRPr="00635B7A">
        <w:rPr>
          <w:rFonts w:ascii="Times New Roman" w:eastAsia="Times New Roman" w:hAnsi="Times New Roman" w:cs="Times New Roman"/>
          <w:sz w:val="24"/>
          <w:szCs w:val="24"/>
          <w:lang w:val="en-US"/>
        </w:rPr>
        <w:t>fuelled</w:t>
      </w:r>
      <w:proofErr w:type="spellEnd"/>
      <w:r w:rsidRPr="00635B7A">
        <w:rPr>
          <w:rFonts w:ascii="Times New Roman" w:eastAsia="Times New Roman" w:hAnsi="Times New Roman" w:cs="Times New Roman"/>
          <w:sz w:val="24"/>
          <w:szCs w:val="24"/>
          <w:lang w:val="en-US"/>
        </w:rPr>
        <w:t xml:space="preserve"> by job losses which was 3.8% in 2029 (Partington, 2020). The “Office for Budget Responsibility”, an independent economic forecaster of the government showed that the unemployment rate rose to 7.5% as 2.6 million people could remain unemployed (Partington, 2020). In this way, the redundant people soared to a record high across the UK followed by a scaling back of the government to its furlough scheme. Apart from these, more than 16,000 business forms which took government-backed COVID loans amidst the pandemic went bust without pay</w:t>
      </w:r>
      <w:r w:rsidR="006C20DA" w:rsidRPr="00635B7A">
        <w:rPr>
          <w:rFonts w:ascii="Times New Roman" w:eastAsia="Times New Roman" w:hAnsi="Times New Roman" w:cs="Times New Roman"/>
          <w:sz w:val="24"/>
          <w:szCs w:val="24"/>
          <w:lang w:val="en-US"/>
        </w:rPr>
        <w:t>ing back as the cost of the taxp</w:t>
      </w:r>
      <w:r w:rsidRPr="00635B7A">
        <w:rPr>
          <w:rFonts w:ascii="Times New Roman" w:eastAsia="Times New Roman" w:hAnsi="Times New Roman" w:cs="Times New Roman"/>
          <w:sz w:val="24"/>
          <w:szCs w:val="24"/>
          <w:lang w:val="en-US"/>
        </w:rPr>
        <w:t xml:space="preserve">ayer could be </w:t>
      </w:r>
      <w:r w:rsidR="006C20DA" w:rsidRPr="00635B7A">
        <w:rPr>
          <w:rFonts w:ascii="Times New Roman" w:eastAsia="Times New Roman" w:hAnsi="Times New Roman" w:cs="Times New Roman"/>
          <w:sz w:val="24"/>
          <w:szCs w:val="24"/>
          <w:lang w:val="en-US"/>
        </w:rPr>
        <w:t xml:space="preserve">nearly </w:t>
      </w:r>
      <w:r w:rsidR="006C20DA" w:rsidRPr="00635B7A">
        <w:rPr>
          <w:rFonts w:ascii="Times New Roman" w:hAnsi="Times New Roman" w:cs="Times New Roman"/>
          <w:color w:val="202224"/>
          <w:sz w:val="27"/>
          <w:szCs w:val="27"/>
          <w:lang w:val="en-US"/>
        </w:rPr>
        <w:t>£</w:t>
      </w:r>
      <w:r w:rsidRPr="00635B7A">
        <w:rPr>
          <w:rFonts w:ascii="Times New Roman" w:eastAsia="Times New Roman" w:hAnsi="Times New Roman" w:cs="Times New Roman"/>
          <w:color w:val="202224"/>
          <w:sz w:val="24"/>
          <w:szCs w:val="24"/>
          <w:lang w:val="en-US"/>
        </w:rPr>
        <w:t xml:space="preserve">500 million as the forms went under. Furthermore, in the era of the pandemic, a total of 1.5 million loans were handed out </w:t>
      </w:r>
      <w:r w:rsidR="00AE2C98" w:rsidRPr="00635B7A">
        <w:rPr>
          <w:rFonts w:ascii="Times New Roman" w:eastAsia="Times New Roman" w:hAnsi="Times New Roman" w:cs="Times New Roman"/>
          <w:color w:val="202224"/>
          <w:sz w:val="24"/>
          <w:szCs w:val="24"/>
          <w:lang w:val="en-US"/>
        </w:rPr>
        <w:t xml:space="preserve">worth </w:t>
      </w:r>
      <w:r w:rsidR="00AE2C98" w:rsidRPr="00635B7A">
        <w:rPr>
          <w:rFonts w:ascii="Times New Roman" w:hAnsi="Times New Roman" w:cs="Times New Roman"/>
          <w:color w:val="202224"/>
          <w:sz w:val="24"/>
          <w:szCs w:val="24"/>
          <w:lang w:val="en-US"/>
        </w:rPr>
        <w:t>£</w:t>
      </w:r>
      <w:r w:rsidRPr="00635B7A">
        <w:rPr>
          <w:rFonts w:ascii="Times New Roman" w:eastAsia="Times New Roman" w:hAnsi="Times New Roman" w:cs="Times New Roman"/>
          <w:sz w:val="24"/>
          <w:szCs w:val="24"/>
          <w:lang w:val="en-US"/>
        </w:rPr>
        <w:t>47 billion (BBC, 2022). Hence, these were the core problems that gave rise to the bankruptcy of the UK government.</w:t>
      </w:r>
    </w:p>
    <w:p w14:paraId="47562E25" w14:textId="77777777" w:rsidR="00AA3D77" w:rsidRPr="00635B7A" w:rsidRDefault="00843FFB" w:rsidP="00635B7A">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Government regulation was writ large as no recourse to public funds or NRPF and the habitual residence test or HRT was temporarily suspended where the minimum income requirement was </w:t>
      </w:r>
      <w:r w:rsidRPr="00635B7A">
        <w:rPr>
          <w:rFonts w:ascii="Times New Roman" w:eastAsia="Times New Roman" w:hAnsi="Times New Roman" w:cs="Times New Roman"/>
          <w:sz w:val="24"/>
          <w:szCs w:val="24"/>
          <w:lang w:val="en-US"/>
        </w:rPr>
        <w:lastRenderedPageBreak/>
        <w:t xml:space="preserve">£18,600 per year for the immigrants (citizensadvice.org.uk, 2020). Moreover, the UK government moved onto a 10-year route from a 5-year route to a settlement where the public could not show minimum income. It was evident that the migrants did not receive government benefits in the form of child tax credits, disability living allowance, and council tax benefits due to financial hardship. While the role of the government agencies is considered, the </w:t>
      </w:r>
      <w:r w:rsidR="00D62AD7" w:rsidRPr="00635B7A">
        <w:rPr>
          <w:rFonts w:ascii="Times New Roman" w:eastAsia="Times New Roman" w:hAnsi="Times New Roman" w:cs="Times New Roman"/>
          <w:sz w:val="24"/>
          <w:szCs w:val="24"/>
          <w:lang w:val="en-US"/>
        </w:rPr>
        <w:t>corona virus</w:t>
      </w:r>
      <w:r w:rsidRPr="00635B7A">
        <w:rPr>
          <w:rFonts w:ascii="Times New Roman" w:eastAsia="Times New Roman" w:hAnsi="Times New Roman" w:cs="Times New Roman"/>
          <w:sz w:val="24"/>
          <w:szCs w:val="24"/>
          <w:lang w:val="en-US"/>
        </w:rPr>
        <w:t xml:space="preserve"> job retention scheme or </w:t>
      </w:r>
      <w:r w:rsidRPr="00635B7A">
        <w:rPr>
          <w:rFonts w:ascii="Times New Roman" w:eastAsia="Times New Roman" w:hAnsi="Times New Roman" w:cs="Times New Roman"/>
          <w:b/>
          <w:i/>
          <w:sz w:val="24"/>
          <w:szCs w:val="24"/>
          <w:lang w:val="en-US"/>
        </w:rPr>
        <w:t xml:space="preserve">CJRS </w:t>
      </w:r>
      <w:r w:rsidRPr="00635B7A">
        <w:rPr>
          <w:rFonts w:ascii="Times New Roman" w:eastAsia="Times New Roman" w:hAnsi="Times New Roman" w:cs="Times New Roman"/>
          <w:sz w:val="24"/>
          <w:szCs w:val="24"/>
          <w:lang w:val="en-US"/>
        </w:rPr>
        <w:t>was of immense significance as it provided 80% of the usual wages to the employees as they could not work due to furlough where the maximum grant increased to £52,000 (Wiggan and Grover, 2022). This financial support is suggested for the citizens of the UK as the economy is reinvigorated.</w:t>
      </w:r>
    </w:p>
    <w:p w14:paraId="50350C72" w14:textId="77777777" w:rsidR="00AA3D77" w:rsidRPr="00635B7A" w:rsidRDefault="00843FFB" w:rsidP="00635B7A">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Apart from these, a ‘cautious’ government recovery strategy was fostered with the implementation of work-from-home along with the re-opening of schools. Moreover, there was relaxation in international travel, which benefited the business. The government's support of workers and businesses was rife as the </w:t>
      </w:r>
      <w:r w:rsidRPr="00635B7A">
        <w:rPr>
          <w:rFonts w:ascii="Times New Roman" w:eastAsia="Times New Roman" w:hAnsi="Times New Roman" w:cs="Times New Roman"/>
          <w:b/>
          <w:i/>
          <w:sz w:val="24"/>
          <w:szCs w:val="24"/>
          <w:lang w:val="en-US"/>
        </w:rPr>
        <w:t xml:space="preserve">VAT reform </w:t>
      </w:r>
      <w:r w:rsidRPr="00635B7A">
        <w:rPr>
          <w:rFonts w:ascii="Times New Roman" w:eastAsia="Times New Roman" w:hAnsi="Times New Roman" w:cs="Times New Roman"/>
          <w:sz w:val="24"/>
          <w:szCs w:val="24"/>
          <w:lang w:val="en-US"/>
        </w:rPr>
        <w:t xml:space="preserve">program was introduced where 20% was applied to goods VAT contributed to nearly £130 </w:t>
      </w:r>
      <w:r w:rsidR="00D62AD7" w:rsidRPr="00635B7A">
        <w:rPr>
          <w:rFonts w:ascii="Times New Roman" w:eastAsia="Times New Roman" w:hAnsi="Times New Roman" w:cs="Times New Roman"/>
          <w:sz w:val="24"/>
          <w:szCs w:val="24"/>
          <w:lang w:val="en-US"/>
        </w:rPr>
        <w:t>billion</w:t>
      </w:r>
      <w:r w:rsidRPr="00635B7A">
        <w:rPr>
          <w:rFonts w:ascii="Times New Roman" w:eastAsia="Times New Roman" w:hAnsi="Times New Roman" w:cs="Times New Roman"/>
          <w:sz w:val="24"/>
          <w:szCs w:val="24"/>
          <w:lang w:val="en-US"/>
        </w:rPr>
        <w:t xml:space="preserve"> in 2020. Besides, a loss carry backup facility was implemented for £2,000,000 of losses during the pandemic (Parliament.uk, 2021). In the furlough scheme, £100 </w:t>
      </w:r>
      <w:r w:rsidR="00D62AD7" w:rsidRPr="00635B7A">
        <w:rPr>
          <w:rFonts w:ascii="Times New Roman" w:eastAsia="Times New Roman" w:hAnsi="Times New Roman" w:cs="Times New Roman"/>
          <w:sz w:val="24"/>
          <w:szCs w:val="24"/>
          <w:lang w:val="en-US"/>
        </w:rPr>
        <w:t xml:space="preserve">billion </w:t>
      </w:r>
      <w:r w:rsidRPr="00635B7A">
        <w:rPr>
          <w:rFonts w:ascii="Times New Roman" w:eastAsia="Times New Roman" w:hAnsi="Times New Roman" w:cs="Times New Roman"/>
          <w:sz w:val="24"/>
          <w:szCs w:val="24"/>
          <w:lang w:val="en-US"/>
        </w:rPr>
        <w:t xml:space="preserve">was spent on the jobs (King, 2021). An in-depth assessment by the UK government could be introduced by employing a group of top-knowledge experts for a comprehensive assessment of supply chains with pain point identification followed by areas of improvement. Furthermore, data-driven analytics, </w:t>
      </w:r>
      <w:r w:rsidR="0082529F" w:rsidRPr="00635B7A">
        <w:rPr>
          <w:rFonts w:ascii="Times New Roman" w:eastAsia="Times New Roman" w:hAnsi="Times New Roman" w:cs="Times New Roman"/>
          <w:sz w:val="24"/>
          <w:szCs w:val="24"/>
          <w:lang w:val="en-US"/>
        </w:rPr>
        <w:t>optimization</w:t>
      </w:r>
      <w:r w:rsidRPr="00635B7A">
        <w:rPr>
          <w:rFonts w:ascii="Times New Roman" w:eastAsia="Times New Roman" w:hAnsi="Times New Roman" w:cs="Times New Roman"/>
          <w:sz w:val="24"/>
          <w:szCs w:val="24"/>
          <w:lang w:val="en-US"/>
        </w:rPr>
        <w:t xml:space="preserve"> of inventory levels, forecasting and accurate demand, and streamlining supplier relation</w:t>
      </w:r>
      <w:r w:rsidR="0075082A">
        <w:rPr>
          <w:rFonts w:ascii="Times New Roman" w:eastAsia="Times New Roman" w:hAnsi="Times New Roman" w:cs="Times New Roman"/>
          <w:sz w:val="24"/>
          <w:szCs w:val="24"/>
          <w:lang w:val="en-US"/>
        </w:rPr>
        <w:t xml:space="preserve">ships are of immense importance. </w:t>
      </w:r>
      <w:r w:rsidRPr="00635B7A">
        <w:rPr>
          <w:rFonts w:ascii="Times New Roman" w:eastAsia="Times New Roman" w:hAnsi="Times New Roman" w:cs="Times New Roman"/>
          <w:sz w:val="24"/>
          <w:szCs w:val="24"/>
          <w:lang w:val="en-US"/>
        </w:rPr>
        <w:t xml:space="preserve">In the way of route planning, and risk mitigation techniques, </w:t>
      </w:r>
      <w:r w:rsidR="00F97FEF" w:rsidRPr="00635B7A">
        <w:rPr>
          <w:rFonts w:ascii="Times New Roman" w:eastAsia="Times New Roman" w:hAnsi="Times New Roman" w:cs="Times New Roman"/>
          <w:sz w:val="24"/>
          <w:szCs w:val="24"/>
          <w:lang w:val="en-US"/>
        </w:rPr>
        <w:t>collaboration</w:t>
      </w:r>
      <w:r w:rsidRPr="00635B7A">
        <w:rPr>
          <w:rFonts w:ascii="Times New Roman" w:eastAsia="Times New Roman" w:hAnsi="Times New Roman" w:cs="Times New Roman"/>
          <w:sz w:val="24"/>
          <w:szCs w:val="24"/>
          <w:lang w:val="en-US"/>
        </w:rPr>
        <w:t xml:space="preserve"> in the supply chain management could be carried out.</w:t>
      </w:r>
    </w:p>
    <w:p w14:paraId="1E2B4470" w14:textId="77777777" w:rsidR="00AA3D77" w:rsidRPr="00635B7A" w:rsidRDefault="00843FFB" w:rsidP="00635B7A">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Other than these, the chiefs of 57 leading charities across the UK demanded a </w:t>
      </w:r>
      <w:r w:rsidRPr="00635B7A">
        <w:rPr>
          <w:rFonts w:ascii="Times New Roman" w:eastAsia="Times New Roman" w:hAnsi="Times New Roman" w:cs="Times New Roman"/>
          <w:b/>
          <w:i/>
          <w:sz w:val="24"/>
          <w:szCs w:val="24"/>
          <w:lang w:val="en-US"/>
        </w:rPr>
        <w:t xml:space="preserve">‘green recovery’ </w:t>
      </w:r>
      <w:r w:rsidRPr="00635B7A">
        <w:rPr>
          <w:rFonts w:ascii="Times New Roman" w:eastAsia="Times New Roman" w:hAnsi="Times New Roman" w:cs="Times New Roman"/>
          <w:sz w:val="24"/>
          <w:szCs w:val="24"/>
          <w:lang w:val="en-US"/>
        </w:rPr>
        <w:t>to meet low carbon targets to ensure zero emissions by 2050 (The Guardian, 2021). Additionally, the UK was seen holding the onus of green recovery in the UN climate summit that is “</w:t>
      </w:r>
      <w:r w:rsidRPr="00635B7A">
        <w:rPr>
          <w:rFonts w:ascii="Times New Roman" w:eastAsia="Times New Roman" w:hAnsi="Times New Roman" w:cs="Times New Roman"/>
          <w:b/>
          <w:i/>
          <w:sz w:val="24"/>
          <w:szCs w:val="24"/>
          <w:lang w:val="en-US"/>
        </w:rPr>
        <w:t xml:space="preserve">Cop 26” </w:t>
      </w:r>
      <w:r w:rsidRPr="00635B7A">
        <w:rPr>
          <w:rFonts w:ascii="Times New Roman" w:eastAsia="Times New Roman" w:hAnsi="Times New Roman" w:cs="Times New Roman"/>
          <w:sz w:val="24"/>
          <w:szCs w:val="24"/>
          <w:lang w:val="en-US"/>
        </w:rPr>
        <w:t xml:space="preserve">which is highly recommended to carry on financial recovery. Other than these, the UK government can line up with alternative sources of supply materials followed by stocking up on raw materials. Additionally, diverse locations need to be found for exporting materials along with making a strong rapport with the stakeholders. Furthermore, the business strategy must be reshaped while working with potential suppliers to meet the demand along with getting quality materials. As opined by Ellickson (2013), market structure, and performance must be evaluated </w:t>
      </w:r>
      <w:r w:rsidRPr="00635B7A">
        <w:rPr>
          <w:rFonts w:ascii="Times New Roman" w:eastAsia="Times New Roman" w:hAnsi="Times New Roman" w:cs="Times New Roman"/>
          <w:sz w:val="24"/>
          <w:szCs w:val="24"/>
          <w:lang w:val="en-US"/>
        </w:rPr>
        <w:lastRenderedPageBreak/>
        <w:t>with a good hand where price cost margins can be negotiated with the suppliers. Besides, the cost of production also needs to be considered to yield higher prices. In this regard, a negotiation is supposed to be made with the suppliers in the supermarket industry. As the UK was highly dependent on imports and the revenue was based on the final products that were made in the UK, issues came up as there was no import which resulted in fewer final products. Hence, an executive guide to operational recovery can be fostered as a stakeholder, and community engagement is central in contingency planning, and crisis management.</w:t>
      </w:r>
    </w:p>
    <w:p w14:paraId="7CED3A0D" w14:textId="77777777" w:rsidR="00AA3D77" w:rsidRPr="00635B7A" w:rsidRDefault="00843FFB" w:rsidP="00635B7A">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It is evident that when the demand for a </w:t>
      </w:r>
      <w:r w:rsidR="00F97FEF" w:rsidRPr="00635B7A">
        <w:rPr>
          <w:rFonts w:ascii="Times New Roman" w:eastAsia="Times New Roman" w:hAnsi="Times New Roman" w:cs="Times New Roman"/>
          <w:sz w:val="24"/>
          <w:szCs w:val="24"/>
          <w:lang w:val="en-US"/>
        </w:rPr>
        <w:t>service</w:t>
      </w:r>
      <w:r w:rsidRPr="00635B7A">
        <w:rPr>
          <w:rFonts w:ascii="Times New Roman" w:eastAsia="Times New Roman" w:hAnsi="Times New Roman" w:cs="Times New Roman"/>
          <w:sz w:val="24"/>
          <w:szCs w:val="24"/>
          <w:lang w:val="en-US"/>
        </w:rPr>
        <w:t xml:space="preserve"> or good is heightened, the prices rise subsequently where the suppliers are inclined to produce in bulk amounts and take advantage of the margin opportunities. </w:t>
      </w:r>
      <w:proofErr w:type="spellStart"/>
      <w:r w:rsidRPr="00635B7A">
        <w:rPr>
          <w:rFonts w:ascii="Times New Roman" w:eastAsia="Times New Roman" w:hAnsi="Times New Roman" w:cs="Times New Roman"/>
          <w:sz w:val="24"/>
          <w:szCs w:val="24"/>
          <w:lang w:val="en-US"/>
        </w:rPr>
        <w:t>Heydari</w:t>
      </w:r>
      <w:r w:rsidRPr="00635B7A">
        <w:rPr>
          <w:rFonts w:ascii="Times New Roman" w:eastAsia="Times New Roman" w:hAnsi="Times New Roman" w:cs="Times New Roman"/>
          <w:i/>
          <w:sz w:val="24"/>
          <w:szCs w:val="24"/>
          <w:lang w:val="en-US"/>
        </w:rPr>
        <w:t>et</w:t>
      </w:r>
      <w:proofErr w:type="spellEnd"/>
      <w:r w:rsidRPr="00635B7A">
        <w:rPr>
          <w:rFonts w:ascii="Times New Roman" w:eastAsia="Times New Roman" w:hAnsi="Times New Roman" w:cs="Times New Roman"/>
          <w:i/>
          <w:sz w:val="24"/>
          <w:szCs w:val="24"/>
          <w:lang w:val="en-US"/>
        </w:rPr>
        <w:t xml:space="preserve"> al. </w:t>
      </w:r>
      <w:r w:rsidRPr="00635B7A">
        <w:rPr>
          <w:rFonts w:ascii="Times New Roman" w:eastAsia="Times New Roman" w:hAnsi="Times New Roman" w:cs="Times New Roman"/>
          <w:sz w:val="24"/>
          <w:szCs w:val="24"/>
          <w:lang w:val="en-US"/>
        </w:rPr>
        <w:t xml:space="preserve">(2021) claimed that a coordination approach is required to balance the price and quality of the goods and services where a </w:t>
      </w:r>
      <w:r w:rsidRPr="00635B7A">
        <w:rPr>
          <w:rFonts w:ascii="Times New Roman" w:eastAsia="Times New Roman" w:hAnsi="Times New Roman" w:cs="Times New Roman"/>
          <w:b/>
          <w:sz w:val="24"/>
          <w:szCs w:val="24"/>
          <w:lang w:val="en-US"/>
        </w:rPr>
        <w:t>g</w:t>
      </w:r>
      <w:r w:rsidRPr="00635B7A">
        <w:rPr>
          <w:rFonts w:ascii="Times New Roman" w:eastAsia="Times New Roman" w:hAnsi="Times New Roman" w:cs="Times New Roman"/>
          <w:b/>
          <w:i/>
          <w:sz w:val="24"/>
          <w:szCs w:val="24"/>
          <w:lang w:val="en-US"/>
        </w:rPr>
        <w:t xml:space="preserve">reen supply chain </w:t>
      </w:r>
      <w:r w:rsidRPr="00635B7A">
        <w:rPr>
          <w:rFonts w:ascii="Times New Roman" w:eastAsia="Times New Roman" w:hAnsi="Times New Roman" w:cs="Times New Roman"/>
          <w:sz w:val="24"/>
          <w:szCs w:val="24"/>
          <w:lang w:val="en-US"/>
        </w:rPr>
        <w:t xml:space="preserve">can be fruitful. Buyers and sellers are constrained by competition where the market equilibrium is determined by the interaction of supply and demand resulting in </w:t>
      </w:r>
      <w:r w:rsidRPr="00635B7A">
        <w:rPr>
          <w:rFonts w:ascii="Times New Roman" w:eastAsia="Times New Roman" w:hAnsi="Times New Roman" w:cs="Times New Roman"/>
          <w:b/>
          <w:i/>
          <w:sz w:val="24"/>
          <w:szCs w:val="24"/>
          <w:lang w:val="en-US"/>
        </w:rPr>
        <w:t xml:space="preserve">competitive equilibrium. </w:t>
      </w:r>
      <w:r w:rsidRPr="00635B7A">
        <w:rPr>
          <w:rFonts w:ascii="Times New Roman" w:eastAsia="Times New Roman" w:hAnsi="Times New Roman" w:cs="Times New Roman"/>
          <w:sz w:val="24"/>
          <w:szCs w:val="24"/>
          <w:lang w:val="en-US"/>
        </w:rPr>
        <w:t xml:space="preserve">Price, as well as quantities in the competitive equilibrium, </w:t>
      </w:r>
      <w:r w:rsidR="0082529F" w:rsidRPr="00635B7A">
        <w:rPr>
          <w:rFonts w:ascii="Times New Roman" w:eastAsia="Times New Roman" w:hAnsi="Times New Roman" w:cs="Times New Roman"/>
          <w:sz w:val="24"/>
          <w:szCs w:val="24"/>
          <w:lang w:val="en-US"/>
        </w:rPr>
        <w:t>was</w:t>
      </w:r>
      <w:r w:rsidRPr="00635B7A">
        <w:rPr>
          <w:rFonts w:ascii="Times New Roman" w:eastAsia="Times New Roman" w:hAnsi="Times New Roman" w:cs="Times New Roman"/>
          <w:sz w:val="24"/>
          <w:szCs w:val="24"/>
          <w:lang w:val="en-US"/>
        </w:rPr>
        <w:t xml:space="preserve"> changed in response to supply and demand shocks during the pandemic in the UK. In this regard, the price reduction can help in improving the business productivity as well as expansion as more customers are drawn towards it. A strategic customer-centric profit </w:t>
      </w:r>
      <w:r w:rsidR="00853E3D" w:rsidRPr="00635B7A">
        <w:rPr>
          <w:rFonts w:ascii="Times New Roman" w:eastAsia="Times New Roman" w:hAnsi="Times New Roman" w:cs="Times New Roman"/>
          <w:sz w:val="24"/>
          <w:szCs w:val="24"/>
          <w:lang w:val="en-US"/>
        </w:rPr>
        <w:t>optimization</w:t>
      </w:r>
      <w:r w:rsidRPr="00635B7A">
        <w:rPr>
          <w:rFonts w:ascii="Times New Roman" w:eastAsia="Times New Roman" w:hAnsi="Times New Roman" w:cs="Times New Roman"/>
          <w:sz w:val="24"/>
          <w:szCs w:val="24"/>
          <w:lang w:val="en-US"/>
        </w:rPr>
        <w:t xml:space="preserve"> technique was adopted by Amazon with a comprehensive understanding of the current financial state. In this platform, the cost of goods sales or </w:t>
      </w:r>
      <w:r w:rsidRPr="00635B7A">
        <w:rPr>
          <w:rFonts w:ascii="Times New Roman" w:eastAsia="Times New Roman" w:hAnsi="Times New Roman" w:cs="Times New Roman"/>
          <w:b/>
          <w:i/>
          <w:sz w:val="24"/>
          <w:szCs w:val="24"/>
          <w:lang w:val="en-US"/>
        </w:rPr>
        <w:t xml:space="preserve">COGS </w:t>
      </w:r>
      <w:r w:rsidRPr="00635B7A">
        <w:rPr>
          <w:rFonts w:ascii="Times New Roman" w:eastAsia="Times New Roman" w:hAnsi="Times New Roman" w:cs="Times New Roman"/>
          <w:sz w:val="24"/>
          <w:szCs w:val="24"/>
          <w:lang w:val="en-US"/>
        </w:rPr>
        <w:t>is lower where the development of personalized systems fo</w:t>
      </w:r>
      <w:r w:rsidR="00090C19">
        <w:rPr>
          <w:rFonts w:ascii="Times New Roman" w:eastAsia="Times New Roman" w:hAnsi="Times New Roman" w:cs="Times New Roman"/>
          <w:sz w:val="24"/>
          <w:szCs w:val="24"/>
          <w:lang w:val="en-US"/>
        </w:rPr>
        <w:t xml:space="preserve">r profit tracking is writ large. </w:t>
      </w:r>
      <w:r w:rsidRPr="00635B7A">
        <w:rPr>
          <w:rFonts w:ascii="Times New Roman" w:eastAsia="Times New Roman" w:hAnsi="Times New Roman" w:cs="Times New Roman"/>
          <w:sz w:val="24"/>
          <w:szCs w:val="24"/>
          <w:lang w:val="en-US"/>
        </w:rPr>
        <w:t>Moreover, the ‘carbon trust’, and eco-friendly shopping platforms of Amazon offer more than 40,000 plastic-free items leading to sustainability (Smithers, 2020).</w:t>
      </w:r>
    </w:p>
    <w:p w14:paraId="33D8FBDC" w14:textId="77777777" w:rsidR="00AA3D77" w:rsidRPr="00635B7A" w:rsidRDefault="00843FFB" w:rsidP="00635B7A">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Marketing strategy is of immense importance while demand and supply are concerned where the UK faltered, especially after the onset of the pandemic, and Brexit. </w:t>
      </w:r>
      <w:r w:rsidR="00135A91">
        <w:rPr>
          <w:rFonts w:ascii="Times New Roman" w:eastAsia="Times New Roman" w:hAnsi="Times New Roman" w:cs="Times New Roman"/>
          <w:sz w:val="24"/>
          <w:szCs w:val="24"/>
          <w:lang w:val="en-US"/>
        </w:rPr>
        <w:t>It is evident that business</w:t>
      </w:r>
      <w:r w:rsidRPr="00635B7A">
        <w:rPr>
          <w:rFonts w:ascii="Times New Roman" w:eastAsia="Times New Roman" w:hAnsi="Times New Roman" w:cs="Times New Roman"/>
          <w:sz w:val="24"/>
          <w:szCs w:val="24"/>
          <w:lang w:val="en-US"/>
        </w:rPr>
        <w:t xml:space="preserve"> model innovation catered to the needs of business flexibility followed by long-term innovation. Crisis management is also crucial where a sophisticated marketing strategy can determine the value and proposition of a company. On the other hand, </w:t>
      </w:r>
      <w:r w:rsidR="00B50996">
        <w:rPr>
          <w:rFonts w:ascii="Times New Roman" w:eastAsia="Times New Roman" w:hAnsi="Times New Roman" w:cs="Times New Roman"/>
          <w:sz w:val="24"/>
          <w:szCs w:val="24"/>
          <w:lang w:val="en-US"/>
        </w:rPr>
        <w:t>S</w:t>
      </w:r>
      <w:r w:rsidRPr="00635B7A">
        <w:rPr>
          <w:rFonts w:ascii="Times New Roman" w:eastAsia="Times New Roman" w:hAnsi="Times New Roman" w:cs="Times New Roman"/>
          <w:sz w:val="24"/>
          <w:szCs w:val="24"/>
          <w:lang w:val="en-US"/>
        </w:rPr>
        <w:t xml:space="preserve">CM or supply chain management and firm performance are invariably connected where total quality management or </w:t>
      </w:r>
      <w:r w:rsidRPr="00635B7A">
        <w:rPr>
          <w:rFonts w:ascii="Times New Roman" w:eastAsia="Times New Roman" w:hAnsi="Times New Roman" w:cs="Times New Roman"/>
          <w:b/>
          <w:i/>
          <w:sz w:val="24"/>
          <w:szCs w:val="24"/>
          <w:lang w:val="en-US"/>
        </w:rPr>
        <w:t xml:space="preserve">TQM </w:t>
      </w:r>
      <w:r w:rsidRPr="00635B7A">
        <w:rPr>
          <w:rFonts w:ascii="Times New Roman" w:eastAsia="Times New Roman" w:hAnsi="Times New Roman" w:cs="Times New Roman"/>
          <w:sz w:val="24"/>
          <w:szCs w:val="24"/>
          <w:lang w:val="en-US"/>
        </w:rPr>
        <w:t xml:space="preserve">is an integral part. Besides, </w:t>
      </w:r>
      <w:r w:rsidRPr="00635B7A">
        <w:rPr>
          <w:rFonts w:ascii="Times New Roman" w:eastAsia="Times New Roman" w:hAnsi="Times New Roman" w:cs="Times New Roman"/>
          <w:b/>
          <w:i/>
          <w:sz w:val="24"/>
          <w:szCs w:val="24"/>
          <w:lang w:val="en-US"/>
        </w:rPr>
        <w:t xml:space="preserve">JIT </w:t>
      </w:r>
      <w:r w:rsidRPr="00635B7A">
        <w:rPr>
          <w:rFonts w:ascii="Times New Roman" w:eastAsia="Times New Roman" w:hAnsi="Times New Roman" w:cs="Times New Roman"/>
          <w:sz w:val="24"/>
          <w:szCs w:val="24"/>
          <w:lang w:val="en-US"/>
        </w:rPr>
        <w:t xml:space="preserve">or just-in-time supply chains are the needs of the hour as they can increase profit without shelling out additional </w:t>
      </w:r>
      <w:proofErr w:type="spellStart"/>
      <w:r w:rsidRPr="00635B7A">
        <w:rPr>
          <w:rFonts w:ascii="Times New Roman" w:eastAsia="Times New Roman" w:hAnsi="Times New Roman" w:cs="Times New Roman"/>
          <w:sz w:val="24"/>
          <w:szCs w:val="24"/>
          <w:lang w:val="en-US"/>
        </w:rPr>
        <w:t>labour</w:t>
      </w:r>
      <w:proofErr w:type="spellEnd"/>
      <w:r w:rsidRPr="00635B7A">
        <w:rPr>
          <w:rFonts w:ascii="Times New Roman" w:eastAsia="Times New Roman" w:hAnsi="Times New Roman" w:cs="Times New Roman"/>
          <w:sz w:val="24"/>
          <w:szCs w:val="24"/>
          <w:lang w:val="en-US"/>
        </w:rPr>
        <w:t xml:space="preserve">. Along with demand forecasting, and drop shipping, JIT is of immense relevance that reduces the inventory amount by delivering products at the desired time. Lastly, an initial public offering or IPO is made by a company for the </w:t>
      </w:r>
      <w:r w:rsidRPr="00635B7A">
        <w:rPr>
          <w:rFonts w:ascii="Times New Roman" w:eastAsia="Times New Roman" w:hAnsi="Times New Roman" w:cs="Times New Roman"/>
          <w:sz w:val="24"/>
          <w:szCs w:val="24"/>
          <w:lang w:val="en-US"/>
        </w:rPr>
        <w:lastRenderedPageBreak/>
        <w:t>investors to invest followed by purchasing of shares to raise capital to improve the demand and supply effectively.</w:t>
      </w:r>
    </w:p>
    <w:p w14:paraId="2642F992" w14:textId="77777777" w:rsidR="00AA3D77" w:rsidRPr="00635B7A" w:rsidRDefault="00843FFB" w:rsidP="00635B7A">
      <w:pPr>
        <w:pStyle w:val="Normal1"/>
        <w:spacing w:line="360" w:lineRule="auto"/>
        <w:jc w:val="both"/>
        <w:rPr>
          <w:rFonts w:ascii="Times New Roman" w:eastAsia="Times New Roman" w:hAnsi="Times New Roman" w:cs="Times New Roman"/>
          <w:shd w:val="clear" w:color="auto" w:fill="FCFCFC"/>
          <w:lang w:val="en-US"/>
        </w:rPr>
      </w:pPr>
      <w:r w:rsidRPr="00635B7A">
        <w:rPr>
          <w:rFonts w:ascii="Times New Roman" w:eastAsia="Times New Roman" w:hAnsi="Times New Roman" w:cs="Times New Roman"/>
          <w:sz w:val="24"/>
          <w:szCs w:val="24"/>
          <w:lang w:val="en-US"/>
        </w:rPr>
        <w:t xml:space="preserve">Worker retention and satisfaction are effective in terms of meeting the supply, and demand in a well-directed manner as ample information can be obtained from the experienced </w:t>
      </w:r>
      <w:r w:rsidR="00F97FEF" w:rsidRPr="00635B7A">
        <w:rPr>
          <w:rFonts w:ascii="Times New Roman" w:eastAsia="Times New Roman" w:hAnsi="Times New Roman" w:cs="Times New Roman"/>
          <w:sz w:val="24"/>
          <w:szCs w:val="24"/>
          <w:lang w:val="en-US"/>
        </w:rPr>
        <w:t>workers which are</w:t>
      </w:r>
      <w:r w:rsidRPr="00635B7A">
        <w:rPr>
          <w:rFonts w:ascii="Times New Roman" w:eastAsia="Times New Roman" w:hAnsi="Times New Roman" w:cs="Times New Roman"/>
          <w:sz w:val="24"/>
          <w:szCs w:val="24"/>
          <w:lang w:val="en-US"/>
        </w:rPr>
        <w:t xml:space="preserve"> a vital factor for stability. Moreover, a healthy growth curve in a business can be obtained with a smooth flow of supply as employee retention, and satisfaction are pivotal. Digital transformation can highly contribute to a strong supplier relationship allowing adaptability, and flexibility in times of disruptions such as Brexit, and COVID-19 (Forbes, 2023). Besides, risks can be managed with joint business plans and open communication channels. A CAS or complex adaptive system is highly effective in responding to disruption while maintaining the existing process and business structure. In addition to these, the supply chain must be ready amidst shifting consumer patterns which are impacted by </w:t>
      </w:r>
      <w:r w:rsidRPr="00635B7A">
        <w:rPr>
          <w:rFonts w:ascii="Times New Roman" w:eastAsia="Times New Roman" w:hAnsi="Times New Roman" w:cs="Times New Roman"/>
          <w:color w:val="333333"/>
          <w:sz w:val="24"/>
          <w:szCs w:val="24"/>
          <w:shd w:val="clear" w:color="auto" w:fill="FCFCFC"/>
          <w:lang w:val="en-US"/>
        </w:rPr>
        <w:t xml:space="preserve">volatility, uncertainty, complexity and ambiguity </w:t>
      </w:r>
      <w:r w:rsidRPr="00635B7A">
        <w:rPr>
          <w:rFonts w:ascii="Times New Roman" w:eastAsia="Times New Roman" w:hAnsi="Times New Roman" w:cs="Times New Roman"/>
          <w:sz w:val="24"/>
          <w:szCs w:val="24"/>
          <w:shd w:val="clear" w:color="auto" w:fill="FCFCFC"/>
          <w:lang w:val="en-US"/>
        </w:rPr>
        <w:t xml:space="preserve">or </w:t>
      </w:r>
      <w:r w:rsidRPr="00635B7A">
        <w:rPr>
          <w:rFonts w:ascii="Times New Roman" w:eastAsia="Times New Roman" w:hAnsi="Times New Roman" w:cs="Times New Roman"/>
          <w:b/>
          <w:i/>
          <w:sz w:val="24"/>
          <w:szCs w:val="24"/>
          <w:shd w:val="clear" w:color="auto" w:fill="FCFCFC"/>
          <w:lang w:val="en-US"/>
        </w:rPr>
        <w:t>VUCA</w:t>
      </w:r>
      <w:r w:rsidRPr="00635B7A">
        <w:rPr>
          <w:rFonts w:ascii="Times New Roman" w:eastAsia="Times New Roman" w:hAnsi="Times New Roman" w:cs="Times New Roman"/>
          <w:sz w:val="24"/>
          <w:szCs w:val="24"/>
          <w:shd w:val="clear" w:color="auto" w:fill="FCFCFC"/>
          <w:lang w:val="en-US"/>
        </w:rPr>
        <w:t xml:space="preserve">. </w:t>
      </w:r>
      <w:r w:rsidR="00AB4D70" w:rsidRPr="00635B7A">
        <w:rPr>
          <w:rFonts w:ascii="Times New Roman" w:eastAsia="Times New Roman" w:hAnsi="Times New Roman" w:cs="Times New Roman"/>
          <w:sz w:val="24"/>
          <w:szCs w:val="24"/>
          <w:shd w:val="clear" w:color="auto" w:fill="FCFCFC"/>
          <w:lang w:val="en-US"/>
        </w:rPr>
        <w:t>Shortage</w:t>
      </w:r>
      <w:r w:rsidRPr="00635B7A">
        <w:rPr>
          <w:rFonts w:ascii="Times New Roman" w:eastAsia="Times New Roman" w:hAnsi="Times New Roman" w:cs="Times New Roman"/>
          <w:sz w:val="24"/>
          <w:szCs w:val="24"/>
          <w:shd w:val="clear" w:color="auto" w:fill="FCFCFC"/>
          <w:lang w:val="en-US"/>
        </w:rPr>
        <w:t xml:space="preserve"> and supply can be perfectly matched when a </w:t>
      </w:r>
      <w:r w:rsidRPr="00635B7A">
        <w:rPr>
          <w:rFonts w:ascii="Times New Roman" w:eastAsia="Times New Roman" w:hAnsi="Times New Roman" w:cs="Times New Roman"/>
          <w:b/>
          <w:i/>
          <w:sz w:val="24"/>
          <w:szCs w:val="24"/>
          <w:shd w:val="clear" w:color="auto" w:fill="FCFCFC"/>
          <w:lang w:val="en-US"/>
        </w:rPr>
        <w:t xml:space="preserve">consumer-facing </w:t>
      </w:r>
      <w:r w:rsidRPr="00635B7A">
        <w:rPr>
          <w:rFonts w:ascii="Times New Roman" w:eastAsia="Times New Roman" w:hAnsi="Times New Roman" w:cs="Times New Roman"/>
          <w:sz w:val="24"/>
          <w:szCs w:val="24"/>
          <w:shd w:val="clear" w:color="auto" w:fill="FCFCFC"/>
          <w:lang w:val="en-US"/>
        </w:rPr>
        <w:t>business approach is implemented deftly. A market-oriented focus and collaboration among the supply chain can encourage the customers, stakeholders, and suppliers.</w:t>
      </w:r>
    </w:p>
    <w:p w14:paraId="726D16ED" w14:textId="77777777" w:rsidR="00AA3D77" w:rsidRPr="00635B7A" w:rsidRDefault="00B2381F" w:rsidP="00635B7A">
      <w:pPr>
        <w:pStyle w:val="Normal1"/>
        <w:spacing w:line="360" w:lineRule="auto"/>
        <w:jc w:val="center"/>
        <w:rPr>
          <w:rFonts w:ascii="Times New Roman" w:eastAsia="Times New Roman" w:hAnsi="Times New Roman" w:cs="Times New Roman"/>
          <w:shd w:val="clear" w:color="auto" w:fill="FCFCFC"/>
          <w:lang w:val="en-US"/>
        </w:rPr>
      </w:pPr>
      <w:r w:rsidRPr="00635B7A">
        <w:rPr>
          <w:rFonts w:ascii="Times New Roman" w:eastAsia="Times New Roman" w:hAnsi="Times New Roman" w:cs="Times New Roman"/>
          <w:noProof/>
          <w:shd w:val="clear" w:color="auto" w:fill="FCFCFC"/>
          <w:lang w:val="en-US"/>
        </w:rPr>
        <w:drawing>
          <wp:inline distT="0" distB="0" distL="0" distR="0" wp14:anchorId="4B6AD019" wp14:editId="5BBE34D5">
            <wp:extent cx="5486400" cy="3200400"/>
            <wp:effectExtent l="76200" t="0" r="76200" b="0"/>
            <wp:docPr id="7"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E156779" w14:textId="77777777" w:rsidR="00AA3D77" w:rsidRPr="00635B7A" w:rsidRDefault="00843FFB" w:rsidP="00635B7A">
      <w:pPr>
        <w:pStyle w:val="Normal1"/>
        <w:spacing w:line="360" w:lineRule="auto"/>
        <w:jc w:val="center"/>
        <w:rPr>
          <w:rFonts w:ascii="Times New Roman" w:eastAsia="Times New Roman" w:hAnsi="Times New Roman" w:cs="Times New Roman"/>
          <w:sz w:val="24"/>
          <w:szCs w:val="24"/>
          <w:lang w:val="en-US"/>
        </w:rPr>
      </w:pPr>
      <w:r w:rsidRPr="00635B7A">
        <w:rPr>
          <w:rFonts w:ascii="Times New Roman" w:eastAsia="Times New Roman" w:hAnsi="Times New Roman" w:cs="Times New Roman"/>
          <w:b/>
          <w:sz w:val="24"/>
          <w:szCs w:val="24"/>
          <w:lang w:val="en-US"/>
        </w:rPr>
        <w:t>Figure 2: Pricing, and risk management concerning supply, and demand</w:t>
      </w:r>
      <w:r w:rsidRPr="00635B7A">
        <w:rPr>
          <w:rFonts w:ascii="Times New Roman" w:hAnsi="Times New Roman" w:cs="Times New Roman"/>
          <w:lang w:val="en-US"/>
        </w:rPr>
        <w:br w:type="page"/>
      </w:r>
    </w:p>
    <w:p w14:paraId="762F8404" w14:textId="77777777" w:rsidR="00AA3D77" w:rsidRPr="00635B7A" w:rsidRDefault="00843FFB" w:rsidP="00635B7A">
      <w:pPr>
        <w:pStyle w:val="Normal1"/>
        <w:spacing w:line="360" w:lineRule="auto"/>
        <w:jc w:val="both"/>
        <w:rPr>
          <w:rFonts w:ascii="Times New Roman" w:eastAsia="Times New Roman" w:hAnsi="Times New Roman" w:cs="Times New Roman"/>
          <w:b/>
          <w:i/>
          <w:sz w:val="24"/>
          <w:szCs w:val="24"/>
          <w:lang w:val="en-US"/>
        </w:rPr>
      </w:pPr>
      <w:r w:rsidRPr="00635B7A">
        <w:rPr>
          <w:rFonts w:ascii="Times New Roman" w:eastAsia="Times New Roman" w:hAnsi="Times New Roman" w:cs="Times New Roman"/>
          <w:sz w:val="24"/>
          <w:szCs w:val="24"/>
          <w:lang w:val="en-US"/>
        </w:rPr>
        <w:lastRenderedPageBreak/>
        <w:t>Price elasticity and elasticity are the two common terms that are highly related to price changes that took place in the UK during the pandemic. The elasticity of demand is an economic concept that measures the responsiveness in the demand regarding the quantity of a good or service regarding price</w:t>
      </w:r>
      <w:r w:rsidR="00074832">
        <w:rPr>
          <w:rFonts w:ascii="Times New Roman" w:eastAsia="Times New Roman" w:hAnsi="Times New Roman" w:cs="Times New Roman"/>
          <w:sz w:val="24"/>
          <w:szCs w:val="24"/>
          <w:lang w:val="en-US"/>
        </w:rPr>
        <w:t xml:space="preserve">. </w:t>
      </w:r>
      <w:r w:rsidRPr="00635B7A">
        <w:rPr>
          <w:rFonts w:ascii="Times New Roman" w:eastAsia="Times New Roman" w:hAnsi="Times New Roman" w:cs="Times New Roman"/>
          <w:sz w:val="24"/>
          <w:szCs w:val="24"/>
          <w:lang w:val="en-US"/>
        </w:rPr>
        <w:t xml:space="preserve">On the contrary, </w:t>
      </w:r>
      <w:r w:rsidRPr="00635B7A">
        <w:rPr>
          <w:rFonts w:ascii="Times New Roman" w:eastAsia="Times New Roman" w:hAnsi="Times New Roman" w:cs="Times New Roman"/>
          <w:b/>
          <w:i/>
          <w:sz w:val="24"/>
          <w:szCs w:val="24"/>
          <w:lang w:val="en-US"/>
        </w:rPr>
        <w:t xml:space="preserve">cross elasticity </w:t>
      </w:r>
      <w:r w:rsidRPr="00635B7A">
        <w:rPr>
          <w:rFonts w:ascii="Times New Roman" w:eastAsia="Times New Roman" w:hAnsi="Times New Roman" w:cs="Times New Roman"/>
          <w:sz w:val="24"/>
          <w:szCs w:val="24"/>
          <w:lang w:val="en-US"/>
        </w:rPr>
        <w:t xml:space="preserve">caters to the responsiveness of demand for one good with the simultaneous changing price of another good For example, Pepsi, and Coke can display cross elasticity which is quite similar to margarine, and butter where the goods are </w:t>
      </w:r>
      <w:r w:rsidRPr="00635B7A">
        <w:rPr>
          <w:rFonts w:ascii="Times New Roman" w:eastAsia="Times New Roman" w:hAnsi="Times New Roman" w:cs="Times New Roman"/>
          <w:b/>
          <w:i/>
          <w:sz w:val="24"/>
          <w:szCs w:val="24"/>
          <w:lang w:val="en-US"/>
        </w:rPr>
        <w:t xml:space="preserve">substitutes. </w:t>
      </w:r>
      <w:r w:rsidRPr="00635B7A">
        <w:rPr>
          <w:rFonts w:ascii="Times New Roman" w:eastAsia="Times New Roman" w:hAnsi="Times New Roman" w:cs="Times New Roman"/>
          <w:sz w:val="24"/>
          <w:szCs w:val="24"/>
          <w:lang w:val="en-US"/>
        </w:rPr>
        <w:t xml:space="preserve">On the other hand, </w:t>
      </w:r>
      <w:r w:rsidRPr="00635B7A">
        <w:rPr>
          <w:rFonts w:ascii="Times New Roman" w:eastAsia="Times New Roman" w:hAnsi="Times New Roman" w:cs="Times New Roman"/>
          <w:b/>
          <w:i/>
          <w:sz w:val="24"/>
          <w:szCs w:val="24"/>
          <w:lang w:val="en-US"/>
        </w:rPr>
        <w:t>complementary goods</w:t>
      </w:r>
      <w:r w:rsidRPr="00635B7A">
        <w:rPr>
          <w:rFonts w:ascii="Times New Roman" w:eastAsia="Times New Roman" w:hAnsi="Times New Roman" w:cs="Times New Roman"/>
          <w:sz w:val="24"/>
          <w:szCs w:val="24"/>
          <w:lang w:val="en-US"/>
        </w:rPr>
        <w:t xml:space="preserve"> are exhibiting joint demand that is they are jointly consumed</w:t>
      </w:r>
      <w:r w:rsidR="00DC6724">
        <w:rPr>
          <w:rFonts w:ascii="Times New Roman" w:eastAsia="Times New Roman" w:hAnsi="Times New Roman" w:cs="Times New Roman"/>
          <w:sz w:val="24"/>
          <w:szCs w:val="24"/>
          <w:lang w:val="en-US"/>
        </w:rPr>
        <w:t xml:space="preserve">. </w:t>
      </w:r>
      <w:r w:rsidRPr="00635B7A">
        <w:rPr>
          <w:rFonts w:ascii="Times New Roman" w:eastAsia="Times New Roman" w:hAnsi="Times New Roman" w:cs="Times New Roman"/>
          <w:sz w:val="24"/>
          <w:szCs w:val="24"/>
          <w:lang w:val="en-US"/>
        </w:rPr>
        <w:t xml:space="preserve">An example of such goods is gasoline and SUVs. </w:t>
      </w:r>
      <w:r w:rsidR="00853E3D" w:rsidRPr="00635B7A">
        <w:rPr>
          <w:rFonts w:ascii="Times New Roman" w:eastAsia="Times New Roman" w:hAnsi="Times New Roman" w:cs="Times New Roman"/>
          <w:sz w:val="24"/>
          <w:szCs w:val="24"/>
          <w:lang w:val="en-US"/>
        </w:rPr>
        <w:t>These</w:t>
      </w:r>
      <w:r w:rsidRPr="00635B7A">
        <w:rPr>
          <w:rFonts w:ascii="Times New Roman" w:eastAsia="Times New Roman" w:hAnsi="Times New Roman" w:cs="Times New Roman"/>
          <w:sz w:val="24"/>
          <w:szCs w:val="24"/>
          <w:lang w:val="en-US"/>
        </w:rPr>
        <w:t xml:space="preserve"> can be further categorized as closed substitutes and weak substitutes, close complements, and weak complements. Therefore, the price of goods along with the income of people is invariably connected to the terms. Apart from these, inelasticity refers to the </w:t>
      </w:r>
      <w:r w:rsidRPr="00635B7A">
        <w:rPr>
          <w:rFonts w:ascii="Times New Roman" w:eastAsia="Times New Roman" w:hAnsi="Times New Roman" w:cs="Times New Roman"/>
          <w:b/>
          <w:i/>
          <w:sz w:val="24"/>
          <w:szCs w:val="24"/>
          <w:lang w:val="en-US"/>
        </w:rPr>
        <w:t xml:space="preserve">static quantity </w:t>
      </w:r>
      <w:r w:rsidRPr="00635B7A">
        <w:rPr>
          <w:rFonts w:ascii="Times New Roman" w:eastAsia="Times New Roman" w:hAnsi="Times New Roman" w:cs="Times New Roman"/>
          <w:sz w:val="24"/>
          <w:szCs w:val="24"/>
          <w:lang w:val="en-US"/>
        </w:rPr>
        <w:t>of a good irrespective of price changes which means the buying habits of the consumers remain the same even after a price rise</w:t>
      </w:r>
      <w:r w:rsidR="006D3318">
        <w:rPr>
          <w:rFonts w:ascii="Times New Roman" w:eastAsia="Times New Roman" w:hAnsi="Times New Roman" w:cs="Times New Roman"/>
          <w:sz w:val="24"/>
          <w:szCs w:val="24"/>
          <w:lang w:val="en-US"/>
        </w:rPr>
        <w:t xml:space="preserve">. </w:t>
      </w:r>
      <w:r w:rsidRPr="00635B7A">
        <w:rPr>
          <w:rFonts w:ascii="Times New Roman" w:eastAsia="Times New Roman" w:hAnsi="Times New Roman" w:cs="Times New Roman"/>
          <w:sz w:val="24"/>
          <w:szCs w:val="24"/>
          <w:lang w:val="en-US"/>
        </w:rPr>
        <w:t xml:space="preserve">Price flexibility, entry barriers, and market fluctuations are the core aspects that determine the elasticity. </w:t>
      </w:r>
      <w:r w:rsidRPr="00635B7A">
        <w:rPr>
          <w:rFonts w:ascii="Times New Roman" w:eastAsia="Times New Roman" w:hAnsi="Times New Roman" w:cs="Times New Roman"/>
          <w:b/>
          <w:i/>
          <w:sz w:val="24"/>
          <w:szCs w:val="24"/>
          <w:lang w:val="en-US"/>
        </w:rPr>
        <w:t>[Referred to Appendix 4]</w:t>
      </w:r>
    </w:p>
    <w:p w14:paraId="17E87F59" w14:textId="77777777" w:rsidR="00AA3D77" w:rsidRPr="00635B7A" w:rsidRDefault="00843FFB" w:rsidP="00635B7A">
      <w:pPr>
        <w:pStyle w:val="Normal1"/>
        <w:spacing w:line="360" w:lineRule="auto"/>
        <w:jc w:val="both"/>
        <w:rPr>
          <w:rFonts w:ascii="Times New Roman" w:eastAsia="Times New Roman" w:hAnsi="Times New Roman" w:cs="Times New Roman"/>
          <w:b/>
          <w:i/>
          <w:sz w:val="24"/>
          <w:szCs w:val="24"/>
          <w:lang w:val="en-US"/>
        </w:rPr>
      </w:pPr>
      <w:r w:rsidRPr="00635B7A">
        <w:rPr>
          <w:rFonts w:ascii="Times New Roman" w:eastAsia="Times New Roman" w:hAnsi="Times New Roman" w:cs="Times New Roman"/>
          <w:sz w:val="24"/>
          <w:szCs w:val="24"/>
          <w:highlight w:val="white"/>
          <w:lang w:val="en-US"/>
        </w:rPr>
        <w:t xml:space="preserve">While the price changes in the cost of fuel were evident during the time of the pandemic, the magnitude implied that demand for fuel was </w:t>
      </w:r>
      <w:r w:rsidRPr="00635B7A">
        <w:rPr>
          <w:rFonts w:ascii="Times New Roman" w:eastAsia="Times New Roman" w:hAnsi="Times New Roman" w:cs="Times New Roman"/>
          <w:b/>
          <w:i/>
          <w:sz w:val="24"/>
          <w:szCs w:val="24"/>
          <w:highlight w:val="white"/>
          <w:lang w:val="en-US"/>
        </w:rPr>
        <w:t xml:space="preserve">inelastic. </w:t>
      </w:r>
      <w:r w:rsidRPr="00635B7A">
        <w:rPr>
          <w:rFonts w:ascii="Times New Roman" w:eastAsia="Times New Roman" w:hAnsi="Times New Roman" w:cs="Times New Roman"/>
          <w:sz w:val="24"/>
          <w:szCs w:val="24"/>
          <w:highlight w:val="white"/>
          <w:lang w:val="en-US"/>
        </w:rPr>
        <w:t>This is because of the relative unresponsiveness of demand to price changes. As fuel is one of the most important commodities for people, the buying habits of consumers are more or less similar whether the price goes up or falls. Additionally, it is to be considered that there are not many substitutes for fuel across the globe which implies that people would be dependent on fuels irrespective of price changes</w:t>
      </w:r>
      <w:r w:rsidR="00074832">
        <w:rPr>
          <w:rFonts w:ascii="Times New Roman" w:eastAsia="Times New Roman" w:hAnsi="Times New Roman" w:cs="Times New Roman"/>
          <w:sz w:val="24"/>
          <w:szCs w:val="24"/>
          <w:highlight w:val="white"/>
          <w:lang w:val="en-US"/>
        </w:rPr>
        <w:t>.</w:t>
      </w:r>
      <w:r w:rsidRPr="00635B7A">
        <w:rPr>
          <w:rFonts w:ascii="Times New Roman" w:eastAsia="Times New Roman" w:hAnsi="Times New Roman" w:cs="Times New Roman"/>
          <w:sz w:val="24"/>
          <w:szCs w:val="24"/>
          <w:highlight w:val="white"/>
          <w:lang w:val="en-US"/>
        </w:rPr>
        <w:t xml:space="preserve"> Besides, high prices can have little effect on the demand of people over time whereas driver shortage in the UK after Brexit could make the scenario worse. Hence, as demand for fuel remained constant even after the price rise, this resulted in</w:t>
      </w:r>
      <w:r w:rsidRPr="00635B7A">
        <w:rPr>
          <w:rFonts w:ascii="Times New Roman" w:eastAsia="Times New Roman" w:hAnsi="Times New Roman" w:cs="Times New Roman"/>
          <w:b/>
          <w:i/>
          <w:sz w:val="24"/>
          <w:szCs w:val="24"/>
          <w:highlight w:val="white"/>
          <w:lang w:val="en-US"/>
        </w:rPr>
        <w:t xml:space="preserve"> price-inelasticity</w:t>
      </w:r>
      <w:r w:rsidRPr="00635B7A">
        <w:rPr>
          <w:rFonts w:ascii="Times New Roman" w:eastAsia="Times New Roman" w:hAnsi="Times New Roman" w:cs="Times New Roman"/>
          <w:sz w:val="24"/>
          <w:szCs w:val="24"/>
          <w:highlight w:val="white"/>
          <w:lang w:val="en-US"/>
        </w:rPr>
        <w:t xml:space="preserve"> and </w:t>
      </w:r>
      <w:r w:rsidRPr="00635B7A">
        <w:rPr>
          <w:rFonts w:ascii="Times New Roman" w:eastAsia="Times New Roman" w:hAnsi="Times New Roman" w:cs="Times New Roman"/>
          <w:b/>
          <w:i/>
          <w:sz w:val="24"/>
          <w:szCs w:val="24"/>
          <w:highlight w:val="white"/>
          <w:lang w:val="en-US"/>
        </w:rPr>
        <w:t>income-inelasticity</w:t>
      </w:r>
      <w:r w:rsidR="00B26212">
        <w:rPr>
          <w:rFonts w:ascii="Times New Roman" w:eastAsia="Times New Roman" w:hAnsi="Times New Roman" w:cs="Times New Roman"/>
          <w:b/>
          <w:i/>
          <w:sz w:val="24"/>
          <w:szCs w:val="24"/>
          <w:highlight w:val="white"/>
          <w:lang w:val="en-US"/>
        </w:rPr>
        <w:t xml:space="preserve"> </w:t>
      </w:r>
      <w:r w:rsidR="00B33842" w:rsidRPr="00B33842">
        <w:rPr>
          <w:rFonts w:ascii="Times New Roman" w:eastAsia="Times New Roman" w:hAnsi="Times New Roman" w:cs="Times New Roman"/>
          <w:sz w:val="24"/>
          <w:szCs w:val="24"/>
          <w:lang w:val="en-US"/>
        </w:rPr>
        <w:t>(Mikayilov et al. 2020)</w:t>
      </w:r>
      <w:r w:rsidRPr="00B33842">
        <w:rPr>
          <w:rFonts w:ascii="Times New Roman" w:eastAsia="Times New Roman" w:hAnsi="Times New Roman" w:cs="Times New Roman"/>
          <w:sz w:val="24"/>
          <w:szCs w:val="24"/>
          <w:highlight w:val="white"/>
          <w:lang w:val="en-US"/>
        </w:rPr>
        <w:t>.</w:t>
      </w:r>
    </w:p>
    <w:p w14:paraId="4D6A3067" w14:textId="77777777" w:rsidR="00AA3D77" w:rsidRPr="00635B7A" w:rsidRDefault="00843FFB" w:rsidP="00635B7A">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It is predicted from the law of supply and demand that prices will fall when the supply of </w:t>
      </w:r>
      <w:r w:rsidR="008E35E4" w:rsidRPr="00635B7A">
        <w:rPr>
          <w:rFonts w:ascii="Times New Roman" w:eastAsia="Times New Roman" w:hAnsi="Times New Roman" w:cs="Times New Roman"/>
          <w:sz w:val="24"/>
          <w:szCs w:val="24"/>
          <w:lang w:val="en-US"/>
        </w:rPr>
        <w:t>services</w:t>
      </w:r>
      <w:r w:rsidRPr="00635B7A">
        <w:rPr>
          <w:rFonts w:ascii="Times New Roman" w:eastAsia="Times New Roman" w:hAnsi="Times New Roman" w:cs="Times New Roman"/>
          <w:sz w:val="24"/>
          <w:szCs w:val="24"/>
          <w:lang w:val="en-US"/>
        </w:rPr>
        <w:t xml:space="preserve"> or goods outstrips the demand. </w:t>
      </w:r>
      <w:r w:rsidR="00627CFA">
        <w:rPr>
          <w:rFonts w:ascii="Times New Roman" w:eastAsia="Times New Roman" w:hAnsi="Times New Roman" w:cs="Times New Roman"/>
          <w:sz w:val="24"/>
          <w:szCs w:val="24"/>
          <w:lang w:val="en-US"/>
        </w:rPr>
        <w:t>It is seen that</w:t>
      </w:r>
      <w:r w:rsidRPr="00635B7A">
        <w:rPr>
          <w:rFonts w:ascii="Times New Roman" w:eastAsia="Times New Roman" w:hAnsi="Times New Roman" w:cs="Times New Roman"/>
          <w:sz w:val="24"/>
          <w:szCs w:val="24"/>
          <w:lang w:val="en-US"/>
        </w:rPr>
        <w:t xml:space="preserve"> in a free market, the equilibrium price is fostered when the demand exactly matches the supply. As per the law of supply and demand, when the supply is increased, the princess falls and demand remains constant. This can take place when productivity surges and suppliers are inclined to lower prices to enhance demand. On the other hand, prices can fall with increasing demand and supply remains constant. Similarly, prices rise when supply decreases as customers are willing to shell out more and prices return to </w:t>
      </w:r>
      <w:r w:rsidRPr="00635B7A">
        <w:rPr>
          <w:rFonts w:ascii="Times New Roman" w:eastAsia="Times New Roman" w:hAnsi="Times New Roman" w:cs="Times New Roman"/>
          <w:sz w:val="24"/>
          <w:szCs w:val="24"/>
          <w:lang w:val="en-US"/>
        </w:rPr>
        <w:lastRenderedPageBreak/>
        <w:t>their baseline when supply is restored. Again, an increase in demand is proportional to a price rise when supply is constant. Consumers can accept a higher price with a growing appetite for a certain product that</w:t>
      </w:r>
      <w:r w:rsidR="00DC5761">
        <w:rPr>
          <w:rFonts w:ascii="Times New Roman" w:eastAsia="Times New Roman" w:hAnsi="Times New Roman" w:cs="Times New Roman"/>
          <w:sz w:val="24"/>
          <w:szCs w:val="24"/>
          <w:lang w:val="en-US"/>
        </w:rPr>
        <w:t xml:space="preserve"> is related to increased demand. </w:t>
      </w:r>
      <w:r w:rsidRPr="00635B7A">
        <w:rPr>
          <w:rFonts w:ascii="Times New Roman" w:eastAsia="Times New Roman" w:hAnsi="Times New Roman" w:cs="Times New Roman"/>
          <w:sz w:val="24"/>
          <w:szCs w:val="24"/>
          <w:lang w:val="en-US"/>
        </w:rPr>
        <w:t>When the customers are not interested in a product, demand is decreased with unchanged supply. In contrast, increased supply can lead to lower prices with higher quantities. Lastly, decreased supply is related to higher prices, and lower quantities as customers are willing to pay in terms of availability in case of a disruption such as the pandemic.</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5"/>
        <w:gridCol w:w="2535"/>
        <w:gridCol w:w="2340"/>
        <w:gridCol w:w="2340"/>
      </w:tblGrid>
      <w:tr w:rsidR="00AA3D77" w:rsidRPr="00635B7A" w14:paraId="06B46A0C" w14:textId="77777777" w:rsidTr="009963E6">
        <w:trPr>
          <w:cantSplit/>
          <w:trHeight w:val="320"/>
          <w:tblHeader/>
          <w:jc w:val="center"/>
        </w:trPr>
        <w:tc>
          <w:tcPr>
            <w:tcW w:w="2145" w:type="dxa"/>
            <w:shd w:val="clear" w:color="auto" w:fill="00FFFF"/>
            <w:tcMar>
              <w:top w:w="100" w:type="dxa"/>
              <w:left w:w="100" w:type="dxa"/>
              <w:bottom w:w="100" w:type="dxa"/>
              <w:right w:w="100" w:type="dxa"/>
            </w:tcMar>
          </w:tcPr>
          <w:p w14:paraId="7DCFCCA9"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Supply</w:t>
            </w:r>
          </w:p>
        </w:tc>
        <w:tc>
          <w:tcPr>
            <w:tcW w:w="2535" w:type="dxa"/>
            <w:shd w:val="clear" w:color="auto" w:fill="00FFFF"/>
            <w:tcMar>
              <w:top w:w="100" w:type="dxa"/>
              <w:left w:w="100" w:type="dxa"/>
              <w:bottom w:w="100" w:type="dxa"/>
              <w:right w:w="100" w:type="dxa"/>
            </w:tcMar>
          </w:tcPr>
          <w:p w14:paraId="27EB6928"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Demand</w:t>
            </w:r>
          </w:p>
        </w:tc>
        <w:tc>
          <w:tcPr>
            <w:tcW w:w="2340" w:type="dxa"/>
            <w:shd w:val="clear" w:color="auto" w:fill="00FFFF"/>
            <w:tcMar>
              <w:top w:w="100" w:type="dxa"/>
              <w:left w:w="100" w:type="dxa"/>
              <w:bottom w:w="100" w:type="dxa"/>
              <w:right w:w="100" w:type="dxa"/>
            </w:tcMar>
          </w:tcPr>
          <w:p w14:paraId="0D2DDD74"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Inventory</w:t>
            </w:r>
          </w:p>
        </w:tc>
        <w:tc>
          <w:tcPr>
            <w:tcW w:w="2340" w:type="dxa"/>
            <w:shd w:val="clear" w:color="auto" w:fill="00FFFF"/>
            <w:tcMar>
              <w:top w:w="100" w:type="dxa"/>
              <w:left w:w="100" w:type="dxa"/>
              <w:bottom w:w="100" w:type="dxa"/>
              <w:right w:w="100" w:type="dxa"/>
            </w:tcMar>
          </w:tcPr>
          <w:p w14:paraId="33956E47"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Price change</w:t>
            </w:r>
          </w:p>
        </w:tc>
      </w:tr>
      <w:tr w:rsidR="00AA3D77" w:rsidRPr="00635B7A" w14:paraId="1E5085F6" w14:textId="77777777" w:rsidTr="009963E6">
        <w:trPr>
          <w:cantSplit/>
          <w:tblHeader/>
          <w:jc w:val="center"/>
        </w:trPr>
        <w:tc>
          <w:tcPr>
            <w:tcW w:w="2145" w:type="dxa"/>
            <w:shd w:val="clear" w:color="auto" w:fill="auto"/>
            <w:tcMar>
              <w:top w:w="100" w:type="dxa"/>
              <w:left w:w="100" w:type="dxa"/>
              <w:bottom w:w="100" w:type="dxa"/>
              <w:right w:w="100" w:type="dxa"/>
            </w:tcMar>
          </w:tcPr>
          <w:p w14:paraId="5254F014"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Decreases</w:t>
            </w:r>
          </w:p>
        </w:tc>
        <w:tc>
          <w:tcPr>
            <w:tcW w:w="2535" w:type="dxa"/>
            <w:shd w:val="clear" w:color="auto" w:fill="auto"/>
            <w:tcMar>
              <w:top w:w="100" w:type="dxa"/>
              <w:left w:w="100" w:type="dxa"/>
              <w:bottom w:w="100" w:type="dxa"/>
              <w:right w:w="100" w:type="dxa"/>
            </w:tcMar>
          </w:tcPr>
          <w:p w14:paraId="1F8AFF11"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Remains constant</w:t>
            </w:r>
          </w:p>
        </w:tc>
        <w:tc>
          <w:tcPr>
            <w:tcW w:w="2340" w:type="dxa"/>
            <w:shd w:val="clear" w:color="auto" w:fill="auto"/>
            <w:tcMar>
              <w:top w:w="100" w:type="dxa"/>
              <w:left w:w="100" w:type="dxa"/>
              <w:bottom w:w="100" w:type="dxa"/>
              <w:right w:w="100" w:type="dxa"/>
            </w:tcMar>
          </w:tcPr>
          <w:p w14:paraId="3267F3D0"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shortage</w:t>
            </w:r>
          </w:p>
        </w:tc>
        <w:tc>
          <w:tcPr>
            <w:tcW w:w="2340" w:type="dxa"/>
            <w:shd w:val="clear" w:color="auto" w:fill="auto"/>
            <w:tcMar>
              <w:top w:w="100" w:type="dxa"/>
              <w:left w:w="100" w:type="dxa"/>
              <w:bottom w:w="100" w:type="dxa"/>
              <w:right w:w="100" w:type="dxa"/>
            </w:tcMar>
          </w:tcPr>
          <w:p w14:paraId="590134B9"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Higher</w:t>
            </w:r>
          </w:p>
        </w:tc>
      </w:tr>
      <w:tr w:rsidR="00AA3D77" w:rsidRPr="00635B7A" w14:paraId="42ECFD7F" w14:textId="77777777" w:rsidTr="009963E6">
        <w:trPr>
          <w:cantSplit/>
          <w:tblHeader/>
          <w:jc w:val="center"/>
        </w:trPr>
        <w:tc>
          <w:tcPr>
            <w:tcW w:w="2145" w:type="dxa"/>
            <w:shd w:val="clear" w:color="auto" w:fill="auto"/>
            <w:tcMar>
              <w:top w:w="100" w:type="dxa"/>
              <w:left w:w="100" w:type="dxa"/>
              <w:bottom w:w="100" w:type="dxa"/>
              <w:right w:w="100" w:type="dxa"/>
            </w:tcMar>
          </w:tcPr>
          <w:p w14:paraId="122FDF4C" w14:textId="77777777" w:rsidR="00AA3D77" w:rsidRPr="00635B7A" w:rsidRDefault="00843FFB" w:rsidP="00635B7A">
            <w:pPr>
              <w:pStyle w:val="Normal1"/>
              <w:widowControl w:val="0"/>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Remains constant</w:t>
            </w:r>
          </w:p>
        </w:tc>
        <w:tc>
          <w:tcPr>
            <w:tcW w:w="2535" w:type="dxa"/>
            <w:shd w:val="clear" w:color="auto" w:fill="auto"/>
            <w:tcMar>
              <w:top w:w="100" w:type="dxa"/>
              <w:left w:w="100" w:type="dxa"/>
              <w:bottom w:w="100" w:type="dxa"/>
              <w:right w:w="100" w:type="dxa"/>
            </w:tcMar>
          </w:tcPr>
          <w:p w14:paraId="51963189"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increases</w:t>
            </w:r>
          </w:p>
        </w:tc>
        <w:tc>
          <w:tcPr>
            <w:tcW w:w="2340" w:type="dxa"/>
            <w:shd w:val="clear" w:color="auto" w:fill="auto"/>
            <w:tcMar>
              <w:top w:w="100" w:type="dxa"/>
              <w:left w:w="100" w:type="dxa"/>
              <w:bottom w:w="100" w:type="dxa"/>
              <w:right w:w="100" w:type="dxa"/>
            </w:tcMar>
          </w:tcPr>
          <w:p w14:paraId="09F74730" w14:textId="77777777" w:rsidR="00AA3D77" w:rsidRPr="00635B7A" w:rsidRDefault="00843FFB" w:rsidP="00635B7A">
            <w:pPr>
              <w:pStyle w:val="Normal1"/>
              <w:widowControl w:val="0"/>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shortage</w:t>
            </w:r>
          </w:p>
        </w:tc>
        <w:tc>
          <w:tcPr>
            <w:tcW w:w="2340" w:type="dxa"/>
            <w:shd w:val="clear" w:color="auto" w:fill="auto"/>
            <w:tcMar>
              <w:top w:w="100" w:type="dxa"/>
              <w:left w:w="100" w:type="dxa"/>
              <w:bottom w:w="100" w:type="dxa"/>
              <w:right w:w="100" w:type="dxa"/>
            </w:tcMar>
          </w:tcPr>
          <w:p w14:paraId="6E72BDEC" w14:textId="77777777" w:rsidR="00AA3D77" w:rsidRPr="00635B7A" w:rsidRDefault="00843FFB" w:rsidP="00635B7A">
            <w:pPr>
              <w:pStyle w:val="Normal1"/>
              <w:widowControl w:val="0"/>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Higher</w:t>
            </w:r>
          </w:p>
        </w:tc>
      </w:tr>
      <w:tr w:rsidR="00AA3D77" w:rsidRPr="00635B7A" w14:paraId="6F526A38" w14:textId="77777777" w:rsidTr="009963E6">
        <w:trPr>
          <w:cantSplit/>
          <w:tblHeader/>
          <w:jc w:val="center"/>
        </w:trPr>
        <w:tc>
          <w:tcPr>
            <w:tcW w:w="2145" w:type="dxa"/>
            <w:shd w:val="clear" w:color="auto" w:fill="auto"/>
            <w:tcMar>
              <w:top w:w="100" w:type="dxa"/>
              <w:left w:w="100" w:type="dxa"/>
              <w:bottom w:w="100" w:type="dxa"/>
              <w:right w:w="100" w:type="dxa"/>
            </w:tcMar>
          </w:tcPr>
          <w:p w14:paraId="18C5C73B"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Increases</w:t>
            </w:r>
          </w:p>
        </w:tc>
        <w:tc>
          <w:tcPr>
            <w:tcW w:w="2535" w:type="dxa"/>
            <w:shd w:val="clear" w:color="auto" w:fill="auto"/>
            <w:tcMar>
              <w:top w:w="100" w:type="dxa"/>
              <w:left w:w="100" w:type="dxa"/>
              <w:bottom w:w="100" w:type="dxa"/>
              <w:right w:w="100" w:type="dxa"/>
            </w:tcMar>
          </w:tcPr>
          <w:p w14:paraId="7678F0F5" w14:textId="77777777" w:rsidR="00AA3D77" w:rsidRPr="00635B7A" w:rsidRDefault="00843FFB" w:rsidP="00635B7A">
            <w:pPr>
              <w:pStyle w:val="Normal1"/>
              <w:widowControl w:val="0"/>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Remains constant</w:t>
            </w:r>
          </w:p>
        </w:tc>
        <w:tc>
          <w:tcPr>
            <w:tcW w:w="2340" w:type="dxa"/>
            <w:shd w:val="clear" w:color="auto" w:fill="auto"/>
            <w:tcMar>
              <w:top w:w="100" w:type="dxa"/>
              <w:left w:w="100" w:type="dxa"/>
              <w:bottom w:w="100" w:type="dxa"/>
              <w:right w:w="100" w:type="dxa"/>
            </w:tcMar>
          </w:tcPr>
          <w:p w14:paraId="18C0CEA2"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Surplus</w:t>
            </w:r>
          </w:p>
        </w:tc>
        <w:tc>
          <w:tcPr>
            <w:tcW w:w="2340" w:type="dxa"/>
            <w:shd w:val="clear" w:color="auto" w:fill="auto"/>
            <w:tcMar>
              <w:top w:w="100" w:type="dxa"/>
              <w:left w:w="100" w:type="dxa"/>
              <w:bottom w:w="100" w:type="dxa"/>
              <w:right w:w="100" w:type="dxa"/>
            </w:tcMar>
          </w:tcPr>
          <w:p w14:paraId="37C3D86C" w14:textId="77777777" w:rsidR="00AA3D77" w:rsidRPr="00635B7A" w:rsidRDefault="00843FFB" w:rsidP="00635B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Lower</w:t>
            </w:r>
          </w:p>
        </w:tc>
      </w:tr>
      <w:tr w:rsidR="00AA3D77" w:rsidRPr="00635B7A" w14:paraId="52E80155" w14:textId="77777777" w:rsidTr="009963E6">
        <w:trPr>
          <w:cantSplit/>
          <w:tblHeader/>
          <w:jc w:val="center"/>
        </w:trPr>
        <w:tc>
          <w:tcPr>
            <w:tcW w:w="2145" w:type="dxa"/>
            <w:shd w:val="clear" w:color="auto" w:fill="auto"/>
            <w:tcMar>
              <w:top w:w="100" w:type="dxa"/>
              <w:left w:w="100" w:type="dxa"/>
              <w:bottom w:w="100" w:type="dxa"/>
              <w:right w:w="100" w:type="dxa"/>
            </w:tcMar>
          </w:tcPr>
          <w:p w14:paraId="47C1CF05" w14:textId="77777777" w:rsidR="00AA3D77" w:rsidRPr="00635B7A" w:rsidRDefault="00843FFB" w:rsidP="00635B7A">
            <w:pPr>
              <w:pStyle w:val="Normal1"/>
              <w:widowControl w:val="0"/>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Remains constant</w:t>
            </w:r>
          </w:p>
        </w:tc>
        <w:tc>
          <w:tcPr>
            <w:tcW w:w="2535" w:type="dxa"/>
            <w:shd w:val="clear" w:color="auto" w:fill="auto"/>
            <w:tcMar>
              <w:top w:w="100" w:type="dxa"/>
              <w:left w:w="100" w:type="dxa"/>
              <w:bottom w:w="100" w:type="dxa"/>
              <w:right w:w="100" w:type="dxa"/>
            </w:tcMar>
          </w:tcPr>
          <w:p w14:paraId="712FC336" w14:textId="77777777" w:rsidR="00AA3D77" w:rsidRPr="00635B7A" w:rsidRDefault="00843FFB" w:rsidP="00635B7A">
            <w:pPr>
              <w:pStyle w:val="Normal1"/>
              <w:widowControl w:val="0"/>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Decreases</w:t>
            </w:r>
          </w:p>
        </w:tc>
        <w:tc>
          <w:tcPr>
            <w:tcW w:w="2340" w:type="dxa"/>
            <w:shd w:val="clear" w:color="auto" w:fill="auto"/>
            <w:tcMar>
              <w:top w:w="100" w:type="dxa"/>
              <w:left w:w="100" w:type="dxa"/>
              <w:bottom w:w="100" w:type="dxa"/>
              <w:right w:w="100" w:type="dxa"/>
            </w:tcMar>
          </w:tcPr>
          <w:p w14:paraId="5060EAFF" w14:textId="77777777" w:rsidR="00AA3D77" w:rsidRPr="00635B7A" w:rsidRDefault="00843FFB" w:rsidP="00635B7A">
            <w:pPr>
              <w:pStyle w:val="Normal1"/>
              <w:widowControl w:val="0"/>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Surplus</w:t>
            </w:r>
          </w:p>
        </w:tc>
        <w:tc>
          <w:tcPr>
            <w:tcW w:w="2340" w:type="dxa"/>
            <w:shd w:val="clear" w:color="auto" w:fill="auto"/>
            <w:tcMar>
              <w:top w:w="100" w:type="dxa"/>
              <w:left w:w="100" w:type="dxa"/>
              <w:bottom w:w="100" w:type="dxa"/>
              <w:right w:w="100" w:type="dxa"/>
            </w:tcMar>
          </w:tcPr>
          <w:p w14:paraId="3124268F" w14:textId="77777777" w:rsidR="00AA3D77" w:rsidRPr="00635B7A" w:rsidRDefault="00843FFB" w:rsidP="00635B7A">
            <w:pPr>
              <w:pStyle w:val="Normal1"/>
              <w:widowControl w:val="0"/>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Lower</w:t>
            </w:r>
          </w:p>
        </w:tc>
      </w:tr>
    </w:tbl>
    <w:p w14:paraId="2987FB5D" w14:textId="77777777" w:rsidR="00AA3D77" w:rsidRDefault="00843FFB" w:rsidP="00635B7A">
      <w:pPr>
        <w:pStyle w:val="Normal1"/>
        <w:spacing w:line="360" w:lineRule="auto"/>
        <w:jc w:val="center"/>
        <w:rPr>
          <w:rFonts w:ascii="Times New Roman" w:eastAsia="Times New Roman" w:hAnsi="Times New Roman" w:cs="Times New Roman"/>
          <w:b/>
          <w:sz w:val="24"/>
          <w:szCs w:val="24"/>
          <w:lang w:val="en-US"/>
        </w:rPr>
      </w:pPr>
      <w:r w:rsidRPr="00635B7A">
        <w:rPr>
          <w:rFonts w:ascii="Times New Roman" w:eastAsia="Times New Roman" w:hAnsi="Times New Roman" w:cs="Times New Roman"/>
          <w:b/>
          <w:sz w:val="24"/>
          <w:szCs w:val="24"/>
          <w:lang w:val="en-US"/>
        </w:rPr>
        <w:t>Table 1: Laws of supply and demand</w:t>
      </w:r>
    </w:p>
    <w:p w14:paraId="60C2DE53" w14:textId="77777777" w:rsidR="008B31A6" w:rsidRPr="008B31A6" w:rsidRDefault="00C2334A" w:rsidP="008B31A6">
      <w:pPr>
        <w:pStyle w:val="Normal1"/>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Laws of supply and demand are</w:t>
      </w:r>
      <w:r w:rsidR="008B31A6">
        <w:rPr>
          <w:rFonts w:ascii="Times New Roman" w:eastAsia="Times New Roman" w:hAnsi="Times New Roman" w:cs="Times New Roman"/>
          <w:sz w:val="24"/>
          <w:szCs w:val="24"/>
          <w:lang w:val="en-US"/>
        </w:rPr>
        <w:t xml:space="preserve"> tabulated in the above table where a critical relationship has b</w:t>
      </w:r>
      <w:r w:rsidR="00F00E27">
        <w:rPr>
          <w:rFonts w:ascii="Times New Roman" w:eastAsia="Times New Roman" w:hAnsi="Times New Roman" w:cs="Times New Roman"/>
          <w:sz w:val="24"/>
          <w:szCs w:val="24"/>
          <w:lang w:val="en-US"/>
        </w:rPr>
        <w:t>e</w:t>
      </w:r>
      <w:r w:rsidR="008B31A6">
        <w:rPr>
          <w:rFonts w:ascii="Times New Roman" w:eastAsia="Times New Roman" w:hAnsi="Times New Roman" w:cs="Times New Roman"/>
          <w:sz w:val="24"/>
          <w:szCs w:val="24"/>
          <w:lang w:val="en-US"/>
        </w:rPr>
        <w:t xml:space="preserve">en </w:t>
      </w:r>
      <w:r>
        <w:rPr>
          <w:rFonts w:ascii="Times New Roman" w:eastAsia="Times New Roman" w:hAnsi="Times New Roman" w:cs="Times New Roman"/>
          <w:sz w:val="24"/>
          <w:szCs w:val="24"/>
          <w:lang w:val="en-US"/>
        </w:rPr>
        <w:t>established</w:t>
      </w:r>
      <w:r w:rsidR="008B31A6">
        <w:rPr>
          <w:rFonts w:ascii="Times New Roman" w:eastAsia="Times New Roman" w:hAnsi="Times New Roman" w:cs="Times New Roman"/>
          <w:sz w:val="24"/>
          <w:szCs w:val="24"/>
          <w:lang w:val="en-US"/>
        </w:rPr>
        <w:t xml:space="preserve"> between supply, and demand.</w:t>
      </w:r>
    </w:p>
    <w:p w14:paraId="2ED7F131" w14:textId="77777777" w:rsidR="00AA3D77" w:rsidRPr="00635B7A" w:rsidRDefault="00843FFB" w:rsidP="00635B7A">
      <w:pPr>
        <w:pStyle w:val="Normal1"/>
        <w:spacing w:line="360" w:lineRule="auto"/>
        <w:jc w:val="both"/>
        <w:rPr>
          <w:rFonts w:ascii="Times New Roman" w:eastAsia="Times New Roman" w:hAnsi="Times New Roman" w:cs="Times New Roman"/>
          <w:b/>
          <w:sz w:val="24"/>
          <w:szCs w:val="24"/>
          <w:lang w:val="en-US"/>
        </w:rPr>
      </w:pPr>
      <w:r w:rsidRPr="00635B7A">
        <w:rPr>
          <w:rFonts w:ascii="Times New Roman" w:hAnsi="Times New Roman" w:cs="Times New Roman"/>
          <w:lang w:val="en-US"/>
        </w:rPr>
        <w:br w:type="page"/>
      </w:r>
    </w:p>
    <w:p w14:paraId="2D4CB2E1" w14:textId="77777777" w:rsidR="00AA3D77" w:rsidRPr="00635B7A" w:rsidRDefault="00843FFB" w:rsidP="00635B7A">
      <w:pPr>
        <w:pStyle w:val="Heading1"/>
        <w:spacing w:before="0" w:after="0"/>
        <w:rPr>
          <w:rFonts w:cs="Times New Roman"/>
          <w:lang w:val="en-US"/>
        </w:rPr>
      </w:pPr>
      <w:bookmarkStart w:id="0" w:name="_Toc164262178"/>
      <w:r w:rsidRPr="00635B7A">
        <w:rPr>
          <w:rFonts w:cs="Times New Roman"/>
          <w:lang w:val="en-US"/>
        </w:rPr>
        <w:lastRenderedPageBreak/>
        <w:t>References</w:t>
      </w:r>
      <w:bookmarkEnd w:id="0"/>
    </w:p>
    <w:p w14:paraId="72771F8D"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BBC, 2022. </w:t>
      </w:r>
      <w:r w:rsidRPr="00635B7A">
        <w:rPr>
          <w:rFonts w:ascii="Times New Roman" w:eastAsia="Times New Roman" w:hAnsi="Times New Roman" w:cs="Times New Roman"/>
          <w:i/>
          <w:sz w:val="24"/>
          <w:szCs w:val="24"/>
          <w:lang w:val="en-US"/>
        </w:rPr>
        <w:t xml:space="preserve">Thousands of small firms go bust owing millions in bounce back Covid loans. </w:t>
      </w:r>
      <w:r w:rsidRPr="00635B7A">
        <w:rPr>
          <w:rFonts w:ascii="Times New Roman" w:eastAsia="Times New Roman" w:hAnsi="Times New Roman" w:cs="Times New Roman"/>
          <w:sz w:val="24"/>
          <w:szCs w:val="24"/>
          <w:lang w:val="en-US"/>
        </w:rPr>
        <w:t>Available at: https://www.bbc.com/news/business-62338308 [Accessed 16 April 2024]</w:t>
      </w:r>
    </w:p>
    <w:p w14:paraId="5F025ECE"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Citizensadvice.org.uk, 2020. </w:t>
      </w:r>
      <w:r w:rsidRPr="00635B7A">
        <w:rPr>
          <w:rFonts w:ascii="Times New Roman" w:eastAsia="Times New Roman" w:hAnsi="Times New Roman" w:cs="Times New Roman"/>
          <w:i/>
          <w:sz w:val="24"/>
          <w:szCs w:val="24"/>
          <w:lang w:val="en-US"/>
        </w:rPr>
        <w:t xml:space="preserve">Thousands of small firms go bust owing millions in bounce back Covid loans. </w:t>
      </w:r>
      <w:r w:rsidRPr="00635B7A">
        <w:rPr>
          <w:rFonts w:ascii="Times New Roman" w:eastAsia="Times New Roman" w:hAnsi="Times New Roman" w:cs="Times New Roman"/>
          <w:sz w:val="24"/>
          <w:szCs w:val="24"/>
          <w:lang w:val="en-US"/>
        </w:rPr>
        <w:t>Available at: https://www.citizensadvice.org.uk/wales/about-us/our-work/policy/policy-research-topics/welfare-policy-research-surveys-and-consultation-responses/welfare-policy-research/nowhere-to-turn-how-immigration-rules-are-preventing-people-from-getting-support-during-the-coronavirus-pandemic/ [Accessed 16 April 2024]</w:t>
      </w:r>
    </w:p>
    <w:p w14:paraId="78FBE4F7"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Ellickson, P. (2013) Market Structure and Performance. International Encyclopedia of the Social &amp; Behavioral  Sciences, Forthcoming; Simon School Working Paper No. 13-21</w:t>
      </w:r>
    </w:p>
    <w:p w14:paraId="728BD9A7"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Forbes, 2023. </w:t>
      </w:r>
      <w:r w:rsidRPr="00635B7A">
        <w:rPr>
          <w:rFonts w:ascii="Times New Roman" w:eastAsia="Times New Roman" w:hAnsi="Times New Roman" w:cs="Times New Roman"/>
          <w:i/>
          <w:sz w:val="24"/>
          <w:szCs w:val="24"/>
          <w:lang w:val="en-US"/>
        </w:rPr>
        <w:t>Riding The Wave Of Uncertainty: Risk Mitigation Strategies For Supply Chain Disruptions.</w:t>
      </w:r>
      <w:r w:rsidRPr="00635B7A">
        <w:rPr>
          <w:rFonts w:ascii="Times New Roman" w:eastAsia="Times New Roman" w:hAnsi="Times New Roman" w:cs="Times New Roman"/>
          <w:sz w:val="24"/>
          <w:szCs w:val="24"/>
          <w:lang w:val="en-US"/>
        </w:rPr>
        <w:t xml:space="preserve"> Available at: https://www.forbes.com/sites/forbesbusinesscouncil/2023/08/29/riding-the-wave-of-uncertainty-risk-mitigation-strategies-for-supply-chain-disruptions/?sh=6876d0ad4ece [Accessed 16 April 2024]</w:t>
      </w:r>
    </w:p>
    <w:p w14:paraId="7A29DAAB"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Heydari, J., Govindan, K. and Basiri, Z., 2021. Balancing price and green quality in presence of consumer environmental awareness: A green supply chain coordination approach. International Journal of Production Research, 59(7), pp.1957-1975.</w:t>
      </w:r>
    </w:p>
    <w:p w14:paraId="32B6CDD4"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Inman, P., 2020. </w:t>
      </w:r>
      <w:r w:rsidRPr="00635B7A">
        <w:rPr>
          <w:rFonts w:ascii="Times New Roman" w:eastAsia="Times New Roman" w:hAnsi="Times New Roman" w:cs="Times New Roman"/>
          <w:i/>
          <w:sz w:val="24"/>
          <w:szCs w:val="24"/>
          <w:lang w:val="en-US"/>
        </w:rPr>
        <w:t xml:space="preserve">UK government borrowing soars to record high during Covid pandemic. </w:t>
      </w:r>
      <w:r w:rsidRPr="00635B7A">
        <w:rPr>
          <w:rFonts w:ascii="Times New Roman" w:eastAsia="Times New Roman" w:hAnsi="Times New Roman" w:cs="Times New Roman"/>
          <w:sz w:val="24"/>
          <w:szCs w:val="24"/>
          <w:lang w:val="en-US"/>
        </w:rPr>
        <w:t>Available at: https://www.theguardian.com/business/2020/oct/21/uk-public-finances-pushed-into-36bn-deficit-as-inflation-rises-covid [Accessed 16 April 2024]</w:t>
      </w:r>
    </w:p>
    <w:p w14:paraId="2A0313A9" w14:textId="77777777" w:rsidR="003477E6" w:rsidRPr="00635B7A" w:rsidRDefault="003477E6"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hAnsi="Times New Roman" w:cs="Times New Roman"/>
          <w:sz w:val="24"/>
        </w:rPr>
        <w:t>Instituteforgovernment.org.uk</w:t>
      </w:r>
      <w:r w:rsidRPr="00635B7A">
        <w:rPr>
          <w:rFonts w:ascii="Times New Roman" w:eastAsia="Times New Roman" w:hAnsi="Times New Roman" w:cs="Times New Roman"/>
          <w:sz w:val="24"/>
          <w:szCs w:val="24"/>
          <w:lang w:val="en-US"/>
        </w:rPr>
        <w:t xml:space="preserve">, 2021. </w:t>
      </w:r>
      <w:r w:rsidRPr="00635B7A">
        <w:rPr>
          <w:rFonts w:ascii="Times New Roman" w:eastAsia="Times New Roman" w:hAnsi="Times New Roman" w:cs="Times New Roman"/>
          <w:i/>
          <w:sz w:val="24"/>
          <w:szCs w:val="24"/>
          <w:lang w:val="en-US"/>
        </w:rPr>
        <w:t>Supply chain problems.</w:t>
      </w:r>
      <w:r w:rsidRPr="00635B7A">
        <w:rPr>
          <w:rFonts w:ascii="Times New Roman" w:eastAsia="Times New Roman" w:hAnsi="Times New Roman" w:cs="Times New Roman"/>
          <w:sz w:val="24"/>
          <w:szCs w:val="24"/>
          <w:lang w:val="en-US"/>
        </w:rPr>
        <w:t xml:space="preserve"> Available at:</w:t>
      </w:r>
      <w:hyperlink r:id="rId15"/>
      <w:r w:rsidRPr="00635B7A">
        <w:rPr>
          <w:rFonts w:ascii="Times New Roman" w:hAnsi="Times New Roman" w:cs="Times New Roman"/>
          <w:sz w:val="24"/>
        </w:rPr>
        <w:t>https://www.instituteforgovernment.org.uk/explainer/supply-chain-problems</w:t>
      </w:r>
      <w:r w:rsidRPr="00635B7A">
        <w:rPr>
          <w:rFonts w:ascii="Times New Roman" w:eastAsia="Times New Roman" w:hAnsi="Times New Roman" w:cs="Times New Roman"/>
          <w:sz w:val="24"/>
          <w:szCs w:val="24"/>
          <w:lang w:val="en-US"/>
        </w:rPr>
        <w:t>[Accessed 16 April 2024]</w:t>
      </w:r>
    </w:p>
    <w:p w14:paraId="53160579" w14:textId="77777777" w:rsidR="00AA3D77"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King, B., 2021. </w:t>
      </w:r>
      <w:r w:rsidRPr="00635B7A">
        <w:rPr>
          <w:rFonts w:ascii="Times New Roman" w:eastAsia="Times New Roman" w:hAnsi="Times New Roman" w:cs="Times New Roman"/>
          <w:i/>
          <w:sz w:val="24"/>
          <w:szCs w:val="24"/>
          <w:lang w:val="en-US"/>
        </w:rPr>
        <w:t>How much is Covid costing the UK and how will we pay?</w:t>
      </w:r>
      <w:r w:rsidRPr="00635B7A">
        <w:rPr>
          <w:rFonts w:ascii="Times New Roman" w:eastAsia="Times New Roman" w:hAnsi="Times New Roman" w:cs="Times New Roman"/>
          <w:sz w:val="24"/>
          <w:szCs w:val="24"/>
          <w:lang w:val="en-US"/>
        </w:rPr>
        <w:t xml:space="preserve"> Available at: https://www.bbc.com/news/business-52663523 [Accessed 16 April 2024]</w:t>
      </w:r>
    </w:p>
    <w:p w14:paraId="0EDCCCF3" w14:textId="77777777" w:rsidR="00B33842" w:rsidRPr="00635B7A" w:rsidRDefault="0075082A" w:rsidP="004A6B8D">
      <w:pPr>
        <w:pStyle w:val="Normal1"/>
        <w:spacing w:line="360" w:lineRule="auto"/>
        <w:jc w:val="both"/>
        <w:rPr>
          <w:rFonts w:ascii="Times New Roman" w:eastAsia="Times New Roman" w:hAnsi="Times New Roman" w:cs="Times New Roman"/>
          <w:sz w:val="24"/>
          <w:szCs w:val="24"/>
          <w:lang w:val="en-US"/>
        </w:rPr>
      </w:pPr>
      <w:r w:rsidRPr="0075082A">
        <w:rPr>
          <w:rFonts w:ascii="Times New Roman" w:eastAsia="Times New Roman" w:hAnsi="Times New Roman" w:cs="Times New Roman"/>
          <w:sz w:val="24"/>
          <w:szCs w:val="24"/>
          <w:lang w:val="en-US"/>
        </w:rPr>
        <w:t xml:space="preserve">Mikayilov, J.I., </w:t>
      </w:r>
      <w:proofErr w:type="spellStart"/>
      <w:r w:rsidRPr="0075082A">
        <w:rPr>
          <w:rFonts w:ascii="Times New Roman" w:eastAsia="Times New Roman" w:hAnsi="Times New Roman" w:cs="Times New Roman"/>
          <w:sz w:val="24"/>
          <w:szCs w:val="24"/>
          <w:lang w:val="en-US"/>
        </w:rPr>
        <w:t>Mukhtarov</w:t>
      </w:r>
      <w:proofErr w:type="spellEnd"/>
      <w:r w:rsidRPr="0075082A">
        <w:rPr>
          <w:rFonts w:ascii="Times New Roman" w:eastAsia="Times New Roman" w:hAnsi="Times New Roman" w:cs="Times New Roman"/>
          <w:sz w:val="24"/>
          <w:szCs w:val="24"/>
          <w:lang w:val="en-US"/>
        </w:rPr>
        <w:t>, S., Dinçer, H., Yüksel, S. and Aydın, R., 2020. Elasticity analysis of fossil energy sources for sustainable economies: A case of gasoline consumption in Turkey. Energies, 13(3), p.731.</w:t>
      </w:r>
    </w:p>
    <w:p w14:paraId="47AF3F86"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Parliament.uk, 2021. </w:t>
      </w:r>
      <w:r w:rsidRPr="00635B7A">
        <w:rPr>
          <w:rFonts w:ascii="Times New Roman" w:eastAsia="Times New Roman" w:hAnsi="Times New Roman" w:cs="Times New Roman"/>
          <w:i/>
          <w:sz w:val="24"/>
          <w:szCs w:val="24"/>
          <w:lang w:val="en-US"/>
        </w:rPr>
        <w:t xml:space="preserve">Thousands of small firms go bust owing millions in bounce back Covid loans. </w:t>
      </w:r>
      <w:r w:rsidRPr="00635B7A">
        <w:rPr>
          <w:rFonts w:ascii="Times New Roman" w:eastAsia="Times New Roman" w:hAnsi="Times New Roman" w:cs="Times New Roman"/>
          <w:sz w:val="24"/>
          <w:szCs w:val="24"/>
          <w:lang w:val="en-US"/>
        </w:rPr>
        <w:t xml:space="preserve">Available at: </w:t>
      </w:r>
      <w:r w:rsidRPr="00635B7A">
        <w:rPr>
          <w:rFonts w:ascii="Times New Roman" w:eastAsia="Times New Roman" w:hAnsi="Times New Roman" w:cs="Times New Roman"/>
          <w:sz w:val="24"/>
          <w:szCs w:val="24"/>
          <w:lang w:val="en-US"/>
        </w:rPr>
        <w:lastRenderedPageBreak/>
        <w:t>https://committees.parliament.uk/publications/6149/documents/68547/default/ [Accessed 16 April 2024]</w:t>
      </w:r>
    </w:p>
    <w:p w14:paraId="2924C8D4"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Partington, R., 2020. </w:t>
      </w:r>
      <w:r w:rsidRPr="00635B7A">
        <w:rPr>
          <w:rFonts w:ascii="Times New Roman" w:eastAsia="Times New Roman" w:hAnsi="Times New Roman" w:cs="Times New Roman"/>
          <w:i/>
          <w:sz w:val="24"/>
          <w:szCs w:val="24"/>
          <w:lang w:val="en-US"/>
        </w:rPr>
        <w:t xml:space="preserve">UK redundancies rise to record high amid second Covid-19 wave. </w:t>
      </w:r>
      <w:r w:rsidRPr="00635B7A">
        <w:rPr>
          <w:rFonts w:ascii="Times New Roman" w:eastAsia="Times New Roman" w:hAnsi="Times New Roman" w:cs="Times New Roman"/>
          <w:sz w:val="24"/>
          <w:szCs w:val="24"/>
          <w:lang w:val="en-US"/>
        </w:rPr>
        <w:t>Available at: https://www.theguardian.com/business/2020/dec/15/uk-redundancies-rise-covid-unemployment-rate-job-losses [Accessed 16 April 2024]</w:t>
      </w:r>
    </w:p>
    <w:p w14:paraId="03393BFE"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Smithers, R., 2020. </w:t>
      </w:r>
      <w:r w:rsidRPr="00635B7A">
        <w:rPr>
          <w:rFonts w:ascii="Times New Roman" w:eastAsia="Times New Roman" w:hAnsi="Times New Roman" w:cs="Times New Roman"/>
          <w:i/>
          <w:sz w:val="24"/>
          <w:szCs w:val="24"/>
          <w:lang w:val="en-US"/>
        </w:rPr>
        <w:t>Amazon launches 'eco-friendly' shopping platform</w:t>
      </w:r>
      <w:r w:rsidRPr="00635B7A">
        <w:rPr>
          <w:rFonts w:ascii="Times New Roman" w:eastAsia="Times New Roman" w:hAnsi="Times New Roman" w:cs="Times New Roman"/>
          <w:sz w:val="24"/>
          <w:szCs w:val="24"/>
          <w:lang w:val="en-US"/>
        </w:rPr>
        <w:t>. Available at: https://www.theguardian.com/technology/2020/oct/27/amazon-launches-eco-friendly-shopping-platform [Accessed 16 April 2024]</w:t>
      </w:r>
    </w:p>
    <w:p w14:paraId="45BF43FC"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The guardian, 2021. </w:t>
      </w:r>
      <w:r w:rsidRPr="00635B7A">
        <w:rPr>
          <w:rFonts w:ascii="Times New Roman" w:eastAsia="Times New Roman" w:hAnsi="Times New Roman" w:cs="Times New Roman"/>
          <w:i/>
          <w:sz w:val="24"/>
          <w:szCs w:val="24"/>
          <w:lang w:val="en-US"/>
        </w:rPr>
        <w:t xml:space="preserve">What is causing the UK crisis in petrol </w:t>
      </w:r>
      <w:proofErr w:type="spellStart"/>
      <w:r w:rsidRPr="00635B7A">
        <w:rPr>
          <w:rFonts w:ascii="Times New Roman" w:eastAsia="Times New Roman" w:hAnsi="Times New Roman" w:cs="Times New Roman"/>
          <w:i/>
          <w:sz w:val="24"/>
          <w:szCs w:val="24"/>
          <w:lang w:val="en-US"/>
        </w:rPr>
        <w:t>supplies?.</w:t>
      </w:r>
      <w:r w:rsidRPr="00635B7A">
        <w:rPr>
          <w:rFonts w:ascii="Times New Roman" w:eastAsia="Times New Roman" w:hAnsi="Times New Roman" w:cs="Times New Roman"/>
          <w:sz w:val="24"/>
          <w:szCs w:val="24"/>
          <w:lang w:val="en-US"/>
        </w:rPr>
        <w:t>Available</w:t>
      </w:r>
      <w:proofErr w:type="spellEnd"/>
      <w:r w:rsidRPr="00635B7A">
        <w:rPr>
          <w:rFonts w:ascii="Times New Roman" w:eastAsia="Times New Roman" w:hAnsi="Times New Roman" w:cs="Times New Roman"/>
          <w:sz w:val="24"/>
          <w:szCs w:val="24"/>
          <w:lang w:val="en-US"/>
        </w:rPr>
        <w:t xml:space="preserve"> at: https://www.theguardian.com/business/2021/sep/24/what-is-causing-the-uk-crisis-in-petrol-supplies#:~:text=The%20industry%20estimates%20there%20is,to%20take%20their%20HGV%20tests. [Accessed 16 April 2024]</w:t>
      </w:r>
    </w:p>
    <w:p w14:paraId="559FE3AE"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 xml:space="preserve">The guardian, 2022. </w:t>
      </w:r>
      <w:r w:rsidRPr="00635B7A">
        <w:rPr>
          <w:rFonts w:ascii="Times New Roman" w:eastAsia="Times New Roman" w:hAnsi="Times New Roman" w:cs="Times New Roman"/>
          <w:i/>
          <w:sz w:val="24"/>
          <w:szCs w:val="24"/>
          <w:lang w:val="en-US"/>
        </w:rPr>
        <w:t>UK inflation hits 10.1%, driven by soaring food and fuel prices.</w:t>
      </w:r>
      <w:r w:rsidRPr="00635B7A">
        <w:rPr>
          <w:rFonts w:ascii="Times New Roman" w:eastAsia="Times New Roman" w:hAnsi="Times New Roman" w:cs="Times New Roman"/>
          <w:sz w:val="24"/>
          <w:szCs w:val="24"/>
          <w:lang w:val="en-US"/>
        </w:rPr>
        <w:t xml:space="preserve"> Available at:</w:t>
      </w:r>
      <w:hyperlink r:id="rId16"/>
      <w:hyperlink r:id="rId17">
        <w:r w:rsidRPr="00635B7A">
          <w:rPr>
            <w:rFonts w:ascii="Times New Roman" w:eastAsia="Times New Roman" w:hAnsi="Times New Roman" w:cs="Times New Roman"/>
            <w:color w:val="1155CC"/>
            <w:sz w:val="24"/>
            <w:szCs w:val="24"/>
            <w:u w:val="single"/>
            <w:lang w:val="en-US"/>
          </w:rPr>
          <w:t>https://www.theguardian.com/business/2022/aug/17/uk-inflation-cost-of-living-crisis-recession-looms</w:t>
        </w:r>
      </w:hyperlink>
      <w:r w:rsidRPr="00635B7A">
        <w:rPr>
          <w:rFonts w:ascii="Times New Roman" w:eastAsia="Times New Roman" w:hAnsi="Times New Roman" w:cs="Times New Roman"/>
          <w:sz w:val="24"/>
          <w:szCs w:val="24"/>
          <w:lang w:val="en-US"/>
        </w:rPr>
        <w:t xml:space="preserve"> [Accessed 16 April 2024]</w:t>
      </w:r>
    </w:p>
    <w:p w14:paraId="71EE5F7A" w14:textId="77777777" w:rsidR="006A267A" w:rsidRPr="00635B7A" w:rsidRDefault="003477E6"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hAnsi="Times New Roman" w:cs="Times New Roman"/>
          <w:sz w:val="24"/>
        </w:rPr>
        <w:t>I</w:t>
      </w:r>
      <w:r w:rsidR="00522235" w:rsidRPr="00635B7A">
        <w:rPr>
          <w:rFonts w:ascii="Times New Roman" w:hAnsi="Times New Roman" w:cs="Times New Roman"/>
          <w:sz w:val="24"/>
        </w:rPr>
        <w:t>nstituteforgovernment.org.uk</w:t>
      </w:r>
      <w:r w:rsidRPr="00635B7A">
        <w:rPr>
          <w:rFonts w:ascii="Times New Roman" w:eastAsia="Times New Roman" w:hAnsi="Times New Roman" w:cs="Times New Roman"/>
          <w:sz w:val="24"/>
          <w:szCs w:val="24"/>
          <w:lang w:val="en-US"/>
        </w:rPr>
        <w:t>, 2021</w:t>
      </w:r>
      <w:r w:rsidR="006A267A" w:rsidRPr="00635B7A">
        <w:rPr>
          <w:rFonts w:ascii="Times New Roman" w:eastAsia="Times New Roman" w:hAnsi="Times New Roman" w:cs="Times New Roman"/>
          <w:sz w:val="24"/>
          <w:szCs w:val="24"/>
          <w:lang w:val="en-US"/>
        </w:rPr>
        <w:t xml:space="preserve">. </w:t>
      </w:r>
      <w:r w:rsidR="00F8758F" w:rsidRPr="00635B7A">
        <w:rPr>
          <w:rFonts w:ascii="Times New Roman" w:eastAsia="Times New Roman" w:hAnsi="Times New Roman" w:cs="Times New Roman"/>
          <w:i/>
          <w:sz w:val="24"/>
          <w:szCs w:val="24"/>
          <w:lang w:val="en-US"/>
        </w:rPr>
        <w:t>Supply chain problems</w:t>
      </w:r>
      <w:r w:rsidR="006A267A" w:rsidRPr="00635B7A">
        <w:rPr>
          <w:rFonts w:ascii="Times New Roman" w:eastAsia="Times New Roman" w:hAnsi="Times New Roman" w:cs="Times New Roman"/>
          <w:i/>
          <w:sz w:val="24"/>
          <w:szCs w:val="24"/>
          <w:lang w:val="en-US"/>
        </w:rPr>
        <w:t>.</w:t>
      </w:r>
      <w:r w:rsidR="006A267A" w:rsidRPr="00635B7A">
        <w:rPr>
          <w:rFonts w:ascii="Times New Roman" w:eastAsia="Times New Roman" w:hAnsi="Times New Roman" w:cs="Times New Roman"/>
          <w:sz w:val="24"/>
          <w:szCs w:val="24"/>
          <w:lang w:val="en-US"/>
        </w:rPr>
        <w:t xml:space="preserve"> Available at:</w:t>
      </w:r>
      <w:hyperlink r:id="rId18"/>
      <w:r w:rsidR="00F8758F" w:rsidRPr="00635B7A">
        <w:rPr>
          <w:rFonts w:ascii="Times New Roman" w:hAnsi="Times New Roman" w:cs="Times New Roman"/>
          <w:sz w:val="24"/>
        </w:rPr>
        <w:t>https://www.instituteforgovernment.org.uk/explainer/supply-chain-problems</w:t>
      </w:r>
      <w:r w:rsidR="006A267A" w:rsidRPr="00635B7A">
        <w:rPr>
          <w:rFonts w:ascii="Times New Roman" w:eastAsia="Times New Roman" w:hAnsi="Times New Roman" w:cs="Times New Roman"/>
          <w:sz w:val="24"/>
          <w:szCs w:val="24"/>
          <w:lang w:val="en-US"/>
        </w:rPr>
        <w:t>[Accessed 16 April 2024]</w:t>
      </w:r>
    </w:p>
    <w:p w14:paraId="60D1C048" w14:textId="77777777" w:rsidR="00AA3D77" w:rsidRPr="00635B7A" w:rsidRDefault="00843FFB" w:rsidP="004A6B8D">
      <w:pPr>
        <w:pStyle w:val="Normal1"/>
        <w:spacing w:line="360" w:lineRule="auto"/>
        <w:jc w:val="both"/>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Wiggan, J. and Grover, C., 2022. The politics of job retention schemes in Britain: The coronavirus job retention scheme and the temporary short time working compensation scheme. Critical Social Policy, 42(4), pp.716-739.</w:t>
      </w:r>
    </w:p>
    <w:p w14:paraId="69CA78D3" w14:textId="77777777" w:rsidR="00AA3D77" w:rsidRPr="00635B7A" w:rsidRDefault="00843FFB" w:rsidP="00DB063B">
      <w:pPr>
        <w:pStyle w:val="Normal1"/>
        <w:spacing w:line="360" w:lineRule="auto"/>
        <w:jc w:val="both"/>
        <w:rPr>
          <w:rFonts w:ascii="Times New Roman" w:eastAsia="Times New Roman" w:hAnsi="Times New Roman" w:cs="Times New Roman"/>
          <w:b/>
          <w:sz w:val="24"/>
          <w:szCs w:val="24"/>
          <w:lang w:val="en-US"/>
        </w:rPr>
      </w:pPr>
      <w:r w:rsidRPr="00635B7A">
        <w:rPr>
          <w:rFonts w:ascii="Times New Roman" w:hAnsi="Times New Roman" w:cs="Times New Roman"/>
          <w:lang w:val="en-US"/>
        </w:rPr>
        <w:br w:type="page"/>
      </w:r>
    </w:p>
    <w:p w14:paraId="178A1B5C" w14:textId="77777777" w:rsidR="00AA3D77" w:rsidRPr="00635B7A" w:rsidRDefault="00843FFB" w:rsidP="00635B7A">
      <w:pPr>
        <w:pStyle w:val="Heading1"/>
        <w:spacing w:before="0" w:after="0"/>
        <w:rPr>
          <w:rFonts w:cs="Times New Roman"/>
          <w:lang w:val="en-US"/>
        </w:rPr>
      </w:pPr>
      <w:bookmarkStart w:id="1" w:name="_Toc164262179"/>
      <w:r w:rsidRPr="00635B7A">
        <w:rPr>
          <w:rFonts w:cs="Times New Roman"/>
          <w:lang w:val="en-US"/>
        </w:rPr>
        <w:lastRenderedPageBreak/>
        <w:t>Appendices</w:t>
      </w:r>
      <w:bookmarkEnd w:id="1"/>
    </w:p>
    <w:p w14:paraId="284850B2" w14:textId="77777777" w:rsidR="00AA3D77" w:rsidRPr="00635B7A" w:rsidRDefault="00843FFB" w:rsidP="00635B7A">
      <w:pPr>
        <w:pStyle w:val="Heading2"/>
        <w:spacing w:before="0" w:after="0"/>
        <w:rPr>
          <w:rFonts w:cs="Times New Roman"/>
          <w:b w:val="0"/>
          <w:lang w:val="en-US"/>
        </w:rPr>
      </w:pPr>
      <w:bookmarkStart w:id="2" w:name="_Toc164262180"/>
      <w:r w:rsidRPr="00635B7A">
        <w:rPr>
          <w:rFonts w:cs="Times New Roman"/>
          <w:lang w:val="en-US"/>
        </w:rPr>
        <w:t xml:space="preserve">Appendix 1: UK borrowing after </w:t>
      </w:r>
      <w:r w:rsidR="009963E6" w:rsidRPr="00635B7A">
        <w:rPr>
          <w:rFonts w:cs="Times New Roman"/>
          <w:b w:val="0"/>
          <w:lang w:val="en-US"/>
        </w:rPr>
        <w:t>Second World War</w:t>
      </w:r>
      <w:bookmarkEnd w:id="2"/>
    </w:p>
    <w:p w14:paraId="794C7FF2" w14:textId="77777777" w:rsidR="00AA3D77" w:rsidRPr="00635B7A" w:rsidRDefault="00843FFB" w:rsidP="00635B7A">
      <w:pPr>
        <w:pStyle w:val="Normal1"/>
        <w:spacing w:line="360" w:lineRule="auto"/>
        <w:jc w:val="center"/>
        <w:rPr>
          <w:rFonts w:ascii="Times New Roman" w:eastAsia="Times New Roman" w:hAnsi="Times New Roman" w:cs="Times New Roman"/>
          <w:b/>
          <w:sz w:val="24"/>
          <w:szCs w:val="24"/>
          <w:lang w:val="en-US"/>
        </w:rPr>
      </w:pPr>
      <w:r w:rsidRPr="00635B7A">
        <w:rPr>
          <w:rFonts w:ascii="Times New Roman" w:eastAsia="Times New Roman" w:hAnsi="Times New Roman" w:cs="Times New Roman"/>
          <w:b/>
          <w:noProof/>
          <w:sz w:val="24"/>
          <w:szCs w:val="24"/>
          <w:lang w:val="en-US"/>
        </w:rPr>
        <w:drawing>
          <wp:inline distT="114300" distB="114300" distL="114300" distR="114300" wp14:anchorId="2AFDC2D8" wp14:editId="6428AEC9">
            <wp:extent cx="5514975" cy="31242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514975" cy="3124200"/>
                    </a:xfrm>
                    <a:prstGeom prst="rect">
                      <a:avLst/>
                    </a:prstGeom>
                    <a:ln w="25400">
                      <a:solidFill>
                        <a:srgbClr val="000000"/>
                      </a:solidFill>
                      <a:prstDash val="solid"/>
                    </a:ln>
                  </pic:spPr>
                </pic:pic>
              </a:graphicData>
            </a:graphic>
          </wp:inline>
        </w:drawing>
      </w:r>
    </w:p>
    <w:p w14:paraId="06D56B77" w14:textId="77777777" w:rsidR="00AA3D77" w:rsidRPr="00635B7A" w:rsidRDefault="00843FFB" w:rsidP="00635B7A">
      <w:pPr>
        <w:pStyle w:val="Normal1"/>
        <w:spacing w:line="360" w:lineRule="auto"/>
        <w:jc w:val="center"/>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(https://www.statista.com/chart/24328/uk-public-sector-net-borrowing-as-share-of-gdp/)</w:t>
      </w:r>
      <w:r w:rsidRPr="00635B7A">
        <w:rPr>
          <w:rFonts w:ascii="Times New Roman" w:hAnsi="Times New Roman" w:cs="Times New Roman"/>
          <w:lang w:val="en-US"/>
        </w:rPr>
        <w:br w:type="page"/>
      </w:r>
    </w:p>
    <w:p w14:paraId="44887425" w14:textId="77777777" w:rsidR="00AA3D77" w:rsidRPr="00635B7A" w:rsidRDefault="00843FFB" w:rsidP="00635B7A">
      <w:pPr>
        <w:pStyle w:val="Heading2"/>
        <w:spacing w:before="0" w:after="0"/>
        <w:rPr>
          <w:rFonts w:cs="Times New Roman"/>
          <w:lang w:val="en-US"/>
        </w:rPr>
      </w:pPr>
      <w:bookmarkStart w:id="3" w:name="_Toc164262181"/>
      <w:r w:rsidRPr="00635B7A">
        <w:rPr>
          <w:rFonts w:cs="Times New Roman"/>
          <w:lang w:val="en-US"/>
        </w:rPr>
        <w:lastRenderedPageBreak/>
        <w:t>Appendix 2: UK inflation</w:t>
      </w:r>
      <w:bookmarkEnd w:id="3"/>
    </w:p>
    <w:p w14:paraId="41DC86F5" w14:textId="77777777" w:rsidR="00AA3D77" w:rsidRPr="00635B7A" w:rsidRDefault="00843FFB" w:rsidP="00635B7A">
      <w:pPr>
        <w:pStyle w:val="Normal1"/>
        <w:spacing w:line="360" w:lineRule="auto"/>
        <w:jc w:val="center"/>
        <w:rPr>
          <w:rFonts w:ascii="Times New Roman" w:eastAsia="Times New Roman" w:hAnsi="Times New Roman" w:cs="Times New Roman"/>
          <w:b/>
          <w:sz w:val="24"/>
          <w:szCs w:val="24"/>
          <w:lang w:val="en-US"/>
        </w:rPr>
      </w:pPr>
      <w:r w:rsidRPr="00635B7A">
        <w:rPr>
          <w:rFonts w:ascii="Times New Roman" w:eastAsia="Times New Roman" w:hAnsi="Times New Roman" w:cs="Times New Roman"/>
          <w:b/>
          <w:noProof/>
          <w:sz w:val="24"/>
          <w:szCs w:val="24"/>
          <w:lang w:val="en-US"/>
        </w:rPr>
        <w:drawing>
          <wp:inline distT="114300" distB="114300" distL="114300" distR="114300" wp14:anchorId="07C63874" wp14:editId="5A706F0A">
            <wp:extent cx="5543550" cy="355282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543550" cy="3552825"/>
                    </a:xfrm>
                    <a:prstGeom prst="rect">
                      <a:avLst/>
                    </a:prstGeom>
                    <a:ln w="25400">
                      <a:solidFill>
                        <a:srgbClr val="000000"/>
                      </a:solidFill>
                      <a:prstDash val="solid"/>
                    </a:ln>
                  </pic:spPr>
                </pic:pic>
              </a:graphicData>
            </a:graphic>
          </wp:inline>
        </w:drawing>
      </w:r>
    </w:p>
    <w:p w14:paraId="443244D6" w14:textId="77777777" w:rsidR="00AA3D77" w:rsidRPr="00635B7A" w:rsidRDefault="00843FFB" w:rsidP="00635B7A">
      <w:pPr>
        <w:pStyle w:val="Normal1"/>
        <w:spacing w:line="360" w:lineRule="auto"/>
        <w:jc w:val="center"/>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(https://www.theguardian.com/business/2020/oct/21/uk-public-finances-pushed-into-36bn-deficit-as-inflation-rises-covid)</w:t>
      </w:r>
      <w:r w:rsidRPr="00635B7A">
        <w:rPr>
          <w:rFonts w:ascii="Times New Roman" w:hAnsi="Times New Roman" w:cs="Times New Roman"/>
          <w:lang w:val="en-US"/>
        </w:rPr>
        <w:br w:type="page"/>
      </w:r>
    </w:p>
    <w:p w14:paraId="5787ABCB" w14:textId="77777777" w:rsidR="00AA3D77" w:rsidRPr="00635B7A" w:rsidRDefault="00843FFB" w:rsidP="00635B7A">
      <w:pPr>
        <w:pStyle w:val="Heading2"/>
        <w:spacing w:before="0" w:after="0"/>
        <w:rPr>
          <w:rFonts w:cs="Times New Roman"/>
          <w:lang w:val="en-US"/>
        </w:rPr>
      </w:pPr>
      <w:bookmarkStart w:id="4" w:name="_Toc164262182"/>
      <w:r w:rsidRPr="00635B7A">
        <w:rPr>
          <w:rFonts w:cs="Times New Roman"/>
          <w:lang w:val="en-US"/>
        </w:rPr>
        <w:lastRenderedPageBreak/>
        <w:t>Appendix 3: Public Sector Net Borrowing in the UK</w:t>
      </w:r>
      <w:bookmarkEnd w:id="4"/>
    </w:p>
    <w:p w14:paraId="0AD673B9" w14:textId="77777777" w:rsidR="00AA3D77" w:rsidRPr="00635B7A" w:rsidRDefault="00843FFB" w:rsidP="00635B7A">
      <w:pPr>
        <w:pStyle w:val="Normal1"/>
        <w:spacing w:line="360" w:lineRule="auto"/>
        <w:jc w:val="center"/>
        <w:rPr>
          <w:rFonts w:ascii="Times New Roman" w:eastAsia="Times New Roman" w:hAnsi="Times New Roman" w:cs="Times New Roman"/>
          <w:b/>
          <w:sz w:val="24"/>
          <w:szCs w:val="24"/>
          <w:lang w:val="en-US"/>
        </w:rPr>
      </w:pPr>
      <w:r w:rsidRPr="00635B7A">
        <w:rPr>
          <w:rFonts w:ascii="Times New Roman" w:eastAsia="Times New Roman" w:hAnsi="Times New Roman" w:cs="Times New Roman"/>
          <w:b/>
          <w:noProof/>
          <w:sz w:val="24"/>
          <w:szCs w:val="24"/>
          <w:lang w:val="en-US"/>
        </w:rPr>
        <w:drawing>
          <wp:inline distT="114300" distB="114300" distL="114300" distR="114300" wp14:anchorId="2660B59D" wp14:editId="67241FD9">
            <wp:extent cx="5943600" cy="33274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943600" cy="3327400"/>
                    </a:xfrm>
                    <a:prstGeom prst="rect">
                      <a:avLst/>
                    </a:prstGeom>
                    <a:ln w="25400">
                      <a:solidFill>
                        <a:srgbClr val="000000"/>
                      </a:solidFill>
                      <a:prstDash val="solid"/>
                    </a:ln>
                  </pic:spPr>
                </pic:pic>
              </a:graphicData>
            </a:graphic>
          </wp:inline>
        </w:drawing>
      </w:r>
    </w:p>
    <w:p w14:paraId="6022460A" w14:textId="77777777" w:rsidR="00AA3D77" w:rsidRPr="00635B7A" w:rsidRDefault="00843FFB" w:rsidP="00635B7A">
      <w:pPr>
        <w:pStyle w:val="Normal1"/>
        <w:spacing w:line="360" w:lineRule="auto"/>
        <w:jc w:val="center"/>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(https://ifs.org.uk/taxlab/taxlab-key-questions/how-did-covid-affect-government-revenues-spending-borrowing-and-debt)</w:t>
      </w:r>
      <w:r w:rsidRPr="00635B7A">
        <w:rPr>
          <w:rFonts w:ascii="Times New Roman" w:hAnsi="Times New Roman" w:cs="Times New Roman"/>
          <w:lang w:val="en-US"/>
        </w:rPr>
        <w:br w:type="page"/>
      </w:r>
    </w:p>
    <w:p w14:paraId="1DE5D290" w14:textId="77777777" w:rsidR="00AA3D77" w:rsidRPr="00635B7A" w:rsidRDefault="00843FFB" w:rsidP="00635B7A">
      <w:pPr>
        <w:pStyle w:val="Heading2"/>
        <w:spacing w:before="0" w:after="0"/>
        <w:rPr>
          <w:rFonts w:cs="Times New Roman"/>
          <w:lang w:val="en-US"/>
        </w:rPr>
      </w:pPr>
      <w:bookmarkStart w:id="5" w:name="_Toc164262183"/>
      <w:r w:rsidRPr="00635B7A">
        <w:rPr>
          <w:rFonts w:cs="Times New Roman"/>
          <w:lang w:val="en-US"/>
        </w:rPr>
        <w:lastRenderedPageBreak/>
        <w:t xml:space="preserve">Appendix 4: Elastic and </w:t>
      </w:r>
      <w:proofErr w:type="spellStart"/>
      <w:r w:rsidRPr="00635B7A">
        <w:rPr>
          <w:rFonts w:cs="Times New Roman"/>
          <w:lang w:val="en-US"/>
        </w:rPr>
        <w:t>non elastic</w:t>
      </w:r>
      <w:proofErr w:type="spellEnd"/>
      <w:r w:rsidRPr="00635B7A">
        <w:rPr>
          <w:rFonts w:cs="Times New Roman"/>
          <w:lang w:val="en-US"/>
        </w:rPr>
        <w:t xml:space="preserve"> demand</w:t>
      </w:r>
      <w:bookmarkEnd w:id="5"/>
    </w:p>
    <w:p w14:paraId="14CBAB7E" w14:textId="77777777" w:rsidR="00AA3D77" w:rsidRPr="00635B7A" w:rsidRDefault="00843FFB" w:rsidP="00635B7A">
      <w:pPr>
        <w:pStyle w:val="Normal1"/>
        <w:spacing w:line="360" w:lineRule="auto"/>
        <w:jc w:val="center"/>
        <w:rPr>
          <w:rFonts w:ascii="Times New Roman" w:eastAsia="Times New Roman" w:hAnsi="Times New Roman" w:cs="Times New Roman"/>
          <w:sz w:val="24"/>
          <w:szCs w:val="24"/>
          <w:lang w:val="en-US"/>
        </w:rPr>
      </w:pPr>
      <w:r w:rsidRPr="00635B7A">
        <w:rPr>
          <w:rFonts w:ascii="Times New Roman" w:eastAsia="Times New Roman" w:hAnsi="Times New Roman" w:cs="Times New Roman"/>
          <w:noProof/>
          <w:sz w:val="24"/>
          <w:szCs w:val="24"/>
          <w:lang w:val="en-US"/>
        </w:rPr>
        <w:drawing>
          <wp:inline distT="114300" distB="114300" distL="114300" distR="114300" wp14:anchorId="6FE6C389" wp14:editId="02E85AB4">
            <wp:extent cx="5943600" cy="39243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943600" cy="3924300"/>
                    </a:xfrm>
                    <a:prstGeom prst="rect">
                      <a:avLst/>
                    </a:prstGeom>
                    <a:ln w="25400">
                      <a:solidFill>
                        <a:srgbClr val="000000"/>
                      </a:solidFill>
                      <a:prstDash val="solid"/>
                    </a:ln>
                  </pic:spPr>
                </pic:pic>
              </a:graphicData>
            </a:graphic>
          </wp:inline>
        </w:drawing>
      </w:r>
    </w:p>
    <w:p w14:paraId="647EB7B2" w14:textId="77777777" w:rsidR="00AA3D77" w:rsidRPr="00635B7A" w:rsidRDefault="00843FFB" w:rsidP="00635B7A">
      <w:pPr>
        <w:pStyle w:val="Normal1"/>
        <w:spacing w:line="360" w:lineRule="auto"/>
        <w:jc w:val="center"/>
        <w:rPr>
          <w:rFonts w:ascii="Times New Roman" w:eastAsia="Times New Roman" w:hAnsi="Times New Roman" w:cs="Times New Roman"/>
          <w:sz w:val="24"/>
          <w:szCs w:val="24"/>
          <w:lang w:val="en-US"/>
        </w:rPr>
      </w:pPr>
      <w:r w:rsidRPr="00635B7A">
        <w:rPr>
          <w:rFonts w:ascii="Times New Roman" w:eastAsia="Times New Roman" w:hAnsi="Times New Roman" w:cs="Times New Roman"/>
          <w:sz w:val="24"/>
          <w:szCs w:val="24"/>
          <w:lang w:val="en-US"/>
        </w:rPr>
        <w:t>(https://priceva.com/blog/inelastic-vs-elastic-demand)</w:t>
      </w:r>
    </w:p>
    <w:p w14:paraId="6C5A06F8" w14:textId="77777777" w:rsidR="00AA3D77" w:rsidRPr="00635B7A" w:rsidRDefault="00AA3D77" w:rsidP="00635B7A">
      <w:pPr>
        <w:pStyle w:val="Normal1"/>
        <w:spacing w:line="360" w:lineRule="auto"/>
        <w:jc w:val="both"/>
        <w:rPr>
          <w:rFonts w:ascii="Times New Roman" w:eastAsia="Times New Roman" w:hAnsi="Times New Roman" w:cs="Times New Roman"/>
          <w:b/>
          <w:sz w:val="24"/>
          <w:szCs w:val="24"/>
          <w:lang w:val="en-US"/>
        </w:rPr>
      </w:pPr>
    </w:p>
    <w:p w14:paraId="54CA5A18" w14:textId="77777777" w:rsidR="00AA3D77" w:rsidRPr="00635B7A" w:rsidRDefault="00AA3D77" w:rsidP="00635B7A">
      <w:pPr>
        <w:pStyle w:val="Normal1"/>
        <w:spacing w:line="360" w:lineRule="auto"/>
        <w:jc w:val="both"/>
        <w:rPr>
          <w:rFonts w:ascii="Times New Roman" w:eastAsia="Times New Roman" w:hAnsi="Times New Roman" w:cs="Times New Roman"/>
          <w:sz w:val="24"/>
          <w:szCs w:val="24"/>
          <w:lang w:val="en-US"/>
        </w:rPr>
      </w:pPr>
    </w:p>
    <w:p w14:paraId="71EF2A40" w14:textId="77777777" w:rsidR="00AA3D77" w:rsidRPr="00635B7A" w:rsidRDefault="00AA3D77" w:rsidP="00635B7A">
      <w:pPr>
        <w:pStyle w:val="Normal1"/>
        <w:spacing w:line="360" w:lineRule="auto"/>
        <w:jc w:val="both"/>
        <w:rPr>
          <w:rFonts w:ascii="Times New Roman" w:eastAsia="Times New Roman" w:hAnsi="Times New Roman" w:cs="Times New Roman"/>
          <w:sz w:val="24"/>
          <w:szCs w:val="24"/>
          <w:lang w:val="en-US"/>
        </w:rPr>
      </w:pPr>
    </w:p>
    <w:p w14:paraId="7F34C9CA" w14:textId="77777777" w:rsidR="00AA3D77" w:rsidRPr="00635B7A" w:rsidRDefault="00AA3D77" w:rsidP="00635B7A">
      <w:pPr>
        <w:pStyle w:val="Normal1"/>
        <w:spacing w:line="360" w:lineRule="auto"/>
        <w:jc w:val="both"/>
        <w:rPr>
          <w:rFonts w:ascii="Times New Roman" w:eastAsia="Times New Roman" w:hAnsi="Times New Roman" w:cs="Times New Roman"/>
          <w:sz w:val="24"/>
          <w:szCs w:val="24"/>
          <w:lang w:val="en-US"/>
        </w:rPr>
      </w:pPr>
    </w:p>
    <w:p w14:paraId="272E43FE" w14:textId="77777777" w:rsidR="00AA3D77" w:rsidRPr="00635B7A" w:rsidRDefault="00AA3D77" w:rsidP="00635B7A">
      <w:pPr>
        <w:pStyle w:val="Normal1"/>
        <w:shd w:val="clear" w:color="auto" w:fill="FFFFFF"/>
        <w:spacing w:line="335" w:lineRule="auto"/>
        <w:jc w:val="both"/>
        <w:rPr>
          <w:rFonts w:ascii="Times New Roman" w:eastAsia="Georgia" w:hAnsi="Times New Roman" w:cs="Times New Roman"/>
          <w:color w:val="121212"/>
          <w:sz w:val="24"/>
          <w:szCs w:val="24"/>
          <w:lang w:val="en-US"/>
        </w:rPr>
      </w:pPr>
    </w:p>
    <w:p w14:paraId="34F3399F" w14:textId="77777777" w:rsidR="00AA3D77" w:rsidRPr="00635B7A" w:rsidRDefault="00AA3D77" w:rsidP="00635B7A">
      <w:pPr>
        <w:pStyle w:val="Normal1"/>
        <w:spacing w:line="360" w:lineRule="auto"/>
        <w:jc w:val="both"/>
        <w:rPr>
          <w:rFonts w:ascii="Times New Roman" w:eastAsia="Times New Roman" w:hAnsi="Times New Roman" w:cs="Times New Roman"/>
          <w:sz w:val="24"/>
          <w:szCs w:val="24"/>
          <w:lang w:val="en-US"/>
        </w:rPr>
      </w:pPr>
    </w:p>
    <w:p w14:paraId="71F65423" w14:textId="77777777" w:rsidR="00AA3D77" w:rsidRPr="00635B7A" w:rsidRDefault="00AA3D77" w:rsidP="00635B7A">
      <w:pPr>
        <w:pStyle w:val="Normal1"/>
        <w:spacing w:line="360" w:lineRule="auto"/>
        <w:jc w:val="both"/>
        <w:rPr>
          <w:rFonts w:ascii="Times New Roman" w:eastAsia="Times New Roman" w:hAnsi="Times New Roman" w:cs="Times New Roman"/>
          <w:sz w:val="24"/>
          <w:szCs w:val="24"/>
          <w:lang w:val="en-US"/>
        </w:rPr>
      </w:pPr>
    </w:p>
    <w:p w14:paraId="1206B895" w14:textId="77777777" w:rsidR="00AA3D77" w:rsidRPr="00635B7A" w:rsidRDefault="00AA3D77" w:rsidP="00635B7A">
      <w:pPr>
        <w:pStyle w:val="Normal1"/>
        <w:spacing w:line="360" w:lineRule="auto"/>
        <w:jc w:val="both"/>
        <w:rPr>
          <w:rFonts w:ascii="Times New Roman" w:eastAsia="Times New Roman" w:hAnsi="Times New Roman" w:cs="Times New Roman"/>
          <w:b/>
          <w:sz w:val="24"/>
          <w:szCs w:val="24"/>
          <w:lang w:val="en-US"/>
        </w:rPr>
      </w:pPr>
    </w:p>
    <w:sectPr w:rsidR="00AA3D77" w:rsidRPr="00635B7A" w:rsidSect="004A6BBE">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1E7DD" w14:textId="77777777" w:rsidR="004A6BBE" w:rsidRDefault="004A6BBE" w:rsidP="00AE2C98">
      <w:pPr>
        <w:spacing w:line="240" w:lineRule="auto"/>
      </w:pPr>
      <w:r>
        <w:separator/>
      </w:r>
    </w:p>
  </w:endnote>
  <w:endnote w:type="continuationSeparator" w:id="0">
    <w:p w14:paraId="6F3EC256" w14:textId="77777777" w:rsidR="004A6BBE" w:rsidRDefault="004A6BBE" w:rsidP="00AE2C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851313"/>
      <w:docPartObj>
        <w:docPartGallery w:val="Page Numbers (Bottom of Page)"/>
        <w:docPartUnique/>
      </w:docPartObj>
    </w:sdtPr>
    <w:sdtEndPr>
      <w:rPr>
        <w:sz w:val="20"/>
      </w:rPr>
    </w:sdtEndPr>
    <w:sdtContent>
      <w:p w14:paraId="06E8073F" w14:textId="77777777" w:rsidR="00AE2C98" w:rsidRPr="00AE2C98" w:rsidRDefault="00C26BEB">
        <w:pPr>
          <w:pStyle w:val="Footer"/>
          <w:jc w:val="right"/>
          <w:rPr>
            <w:sz w:val="20"/>
          </w:rPr>
        </w:pPr>
        <w:r w:rsidRPr="00AE2C98">
          <w:rPr>
            <w:sz w:val="20"/>
          </w:rPr>
          <w:fldChar w:fldCharType="begin"/>
        </w:r>
        <w:r w:rsidR="00AE2C98" w:rsidRPr="00AE2C98">
          <w:rPr>
            <w:sz w:val="20"/>
          </w:rPr>
          <w:instrText xml:space="preserve"> PAGE   \* MERGEFORMAT </w:instrText>
        </w:r>
        <w:r w:rsidRPr="00AE2C98">
          <w:rPr>
            <w:sz w:val="20"/>
          </w:rPr>
          <w:fldChar w:fldCharType="separate"/>
        </w:r>
        <w:r w:rsidR="00EB2642">
          <w:rPr>
            <w:noProof/>
            <w:sz w:val="20"/>
          </w:rPr>
          <w:t>10</w:t>
        </w:r>
        <w:r w:rsidRPr="00AE2C98">
          <w:rPr>
            <w:sz w:val="20"/>
          </w:rPr>
          <w:fldChar w:fldCharType="end"/>
        </w:r>
      </w:p>
    </w:sdtContent>
  </w:sdt>
  <w:p w14:paraId="0E6A9F7B" w14:textId="77777777" w:rsidR="00AE2C98" w:rsidRDefault="00AE2C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7FF6C" w14:textId="77777777" w:rsidR="004A6BBE" w:rsidRDefault="004A6BBE" w:rsidP="00AE2C98">
      <w:pPr>
        <w:spacing w:line="240" w:lineRule="auto"/>
      </w:pPr>
      <w:r>
        <w:separator/>
      </w:r>
    </w:p>
  </w:footnote>
  <w:footnote w:type="continuationSeparator" w:id="0">
    <w:p w14:paraId="33792BC0" w14:textId="77777777" w:rsidR="004A6BBE" w:rsidRDefault="004A6BBE" w:rsidP="00AE2C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686CCC"/>
    <w:multiLevelType w:val="hybridMultilevel"/>
    <w:tmpl w:val="50EAAC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B54095"/>
    <w:multiLevelType w:val="hybridMultilevel"/>
    <w:tmpl w:val="C71AAF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4C5CE3"/>
    <w:multiLevelType w:val="hybridMultilevel"/>
    <w:tmpl w:val="6B3689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2AF0FA2"/>
    <w:multiLevelType w:val="hybridMultilevel"/>
    <w:tmpl w:val="E47866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576352F"/>
    <w:multiLevelType w:val="hybridMultilevel"/>
    <w:tmpl w:val="25C2E5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FEA3E5B"/>
    <w:multiLevelType w:val="hybridMultilevel"/>
    <w:tmpl w:val="DAB6EF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3D86EE5"/>
    <w:multiLevelType w:val="hybridMultilevel"/>
    <w:tmpl w:val="11ECD2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52998363">
    <w:abstractNumId w:val="5"/>
  </w:num>
  <w:num w:numId="2" w16cid:durableId="170030082">
    <w:abstractNumId w:val="2"/>
  </w:num>
  <w:num w:numId="3" w16cid:durableId="1324239047">
    <w:abstractNumId w:val="3"/>
  </w:num>
  <w:num w:numId="4" w16cid:durableId="882710875">
    <w:abstractNumId w:val="0"/>
  </w:num>
  <w:num w:numId="5" w16cid:durableId="1410231602">
    <w:abstractNumId w:val="1"/>
  </w:num>
  <w:num w:numId="6" w16cid:durableId="3828395">
    <w:abstractNumId w:val="4"/>
  </w:num>
  <w:num w:numId="7" w16cid:durableId="1327201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3D77"/>
    <w:rsid w:val="000213C6"/>
    <w:rsid w:val="00074832"/>
    <w:rsid w:val="00090C19"/>
    <w:rsid w:val="000D6611"/>
    <w:rsid w:val="00111CAF"/>
    <w:rsid w:val="00115B2B"/>
    <w:rsid w:val="00135A91"/>
    <w:rsid w:val="00175CB5"/>
    <w:rsid w:val="0018657A"/>
    <w:rsid w:val="00235C3C"/>
    <w:rsid w:val="00244F80"/>
    <w:rsid w:val="002906B8"/>
    <w:rsid w:val="00297D7E"/>
    <w:rsid w:val="002E3C80"/>
    <w:rsid w:val="003477E6"/>
    <w:rsid w:val="003C6958"/>
    <w:rsid w:val="00464F9D"/>
    <w:rsid w:val="004A6B8D"/>
    <w:rsid w:val="004A6BBE"/>
    <w:rsid w:val="004C5CAD"/>
    <w:rsid w:val="00522235"/>
    <w:rsid w:val="00524F71"/>
    <w:rsid w:val="005C05FC"/>
    <w:rsid w:val="00627CFA"/>
    <w:rsid w:val="00635B7A"/>
    <w:rsid w:val="00647C90"/>
    <w:rsid w:val="00665565"/>
    <w:rsid w:val="006A267A"/>
    <w:rsid w:val="006B0636"/>
    <w:rsid w:val="006C20DA"/>
    <w:rsid w:val="006C5E96"/>
    <w:rsid w:val="006D3318"/>
    <w:rsid w:val="0075082A"/>
    <w:rsid w:val="007B2D00"/>
    <w:rsid w:val="00816C74"/>
    <w:rsid w:val="0082529F"/>
    <w:rsid w:val="00841671"/>
    <w:rsid w:val="00843FFB"/>
    <w:rsid w:val="00853E3D"/>
    <w:rsid w:val="008B31A6"/>
    <w:rsid w:val="008E35E4"/>
    <w:rsid w:val="008F7588"/>
    <w:rsid w:val="0091168A"/>
    <w:rsid w:val="00945159"/>
    <w:rsid w:val="009963E6"/>
    <w:rsid w:val="009A670A"/>
    <w:rsid w:val="009D3FD2"/>
    <w:rsid w:val="009F2C30"/>
    <w:rsid w:val="00AA3D77"/>
    <w:rsid w:val="00AB4D70"/>
    <w:rsid w:val="00AD3966"/>
    <w:rsid w:val="00AE2C98"/>
    <w:rsid w:val="00AE5BFB"/>
    <w:rsid w:val="00B2381F"/>
    <w:rsid w:val="00B26212"/>
    <w:rsid w:val="00B33842"/>
    <w:rsid w:val="00B50996"/>
    <w:rsid w:val="00B84C37"/>
    <w:rsid w:val="00C2334A"/>
    <w:rsid w:val="00C26BEB"/>
    <w:rsid w:val="00C520F8"/>
    <w:rsid w:val="00C74556"/>
    <w:rsid w:val="00C9017E"/>
    <w:rsid w:val="00CB2866"/>
    <w:rsid w:val="00CF7034"/>
    <w:rsid w:val="00D43119"/>
    <w:rsid w:val="00D518B7"/>
    <w:rsid w:val="00D62AD7"/>
    <w:rsid w:val="00DB063B"/>
    <w:rsid w:val="00DC0AD9"/>
    <w:rsid w:val="00DC5761"/>
    <w:rsid w:val="00DC6724"/>
    <w:rsid w:val="00E31E9D"/>
    <w:rsid w:val="00E3422B"/>
    <w:rsid w:val="00E5354C"/>
    <w:rsid w:val="00E73E8F"/>
    <w:rsid w:val="00EB2642"/>
    <w:rsid w:val="00ED0922"/>
    <w:rsid w:val="00ED4138"/>
    <w:rsid w:val="00F00E27"/>
    <w:rsid w:val="00F04170"/>
    <w:rsid w:val="00F13CD3"/>
    <w:rsid w:val="00F2042F"/>
    <w:rsid w:val="00F245EF"/>
    <w:rsid w:val="00F8758F"/>
    <w:rsid w:val="00F911B1"/>
    <w:rsid w:val="00F97FEF"/>
    <w:rsid w:val="00FB29BC"/>
    <w:rsid w:val="00FC1B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69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034"/>
  </w:style>
  <w:style w:type="paragraph" w:styleId="Heading1">
    <w:name w:val="heading 1"/>
    <w:basedOn w:val="Normal1"/>
    <w:next w:val="Normal1"/>
    <w:autoRedefine/>
    <w:rsid w:val="00AE2C98"/>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9963E6"/>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AA3D77"/>
    <w:pPr>
      <w:keepNext/>
      <w:keepLines/>
      <w:spacing w:before="320" w:after="80"/>
      <w:outlineLvl w:val="2"/>
    </w:pPr>
    <w:rPr>
      <w:color w:val="434343"/>
      <w:sz w:val="28"/>
      <w:szCs w:val="28"/>
    </w:rPr>
  </w:style>
  <w:style w:type="paragraph" w:styleId="Heading4">
    <w:name w:val="heading 4"/>
    <w:basedOn w:val="Normal1"/>
    <w:next w:val="Normal1"/>
    <w:rsid w:val="00AA3D77"/>
    <w:pPr>
      <w:keepNext/>
      <w:keepLines/>
      <w:spacing w:before="280" w:after="80"/>
      <w:outlineLvl w:val="3"/>
    </w:pPr>
    <w:rPr>
      <w:color w:val="666666"/>
      <w:sz w:val="24"/>
      <w:szCs w:val="24"/>
    </w:rPr>
  </w:style>
  <w:style w:type="paragraph" w:styleId="Heading5">
    <w:name w:val="heading 5"/>
    <w:basedOn w:val="Normal1"/>
    <w:next w:val="Normal1"/>
    <w:rsid w:val="00AA3D77"/>
    <w:pPr>
      <w:keepNext/>
      <w:keepLines/>
      <w:spacing w:before="240" w:after="80"/>
      <w:outlineLvl w:val="4"/>
    </w:pPr>
    <w:rPr>
      <w:color w:val="666666"/>
    </w:rPr>
  </w:style>
  <w:style w:type="paragraph" w:styleId="Heading6">
    <w:name w:val="heading 6"/>
    <w:basedOn w:val="Normal1"/>
    <w:next w:val="Normal1"/>
    <w:rsid w:val="00AA3D7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A3D77"/>
  </w:style>
  <w:style w:type="paragraph" w:styleId="Title">
    <w:name w:val="Title"/>
    <w:basedOn w:val="Normal1"/>
    <w:next w:val="Normal1"/>
    <w:rsid w:val="00AA3D77"/>
    <w:pPr>
      <w:keepNext/>
      <w:keepLines/>
      <w:spacing w:after="60"/>
    </w:pPr>
    <w:rPr>
      <w:sz w:val="52"/>
      <w:szCs w:val="52"/>
    </w:rPr>
  </w:style>
  <w:style w:type="paragraph" w:styleId="Subtitle">
    <w:name w:val="Subtitle"/>
    <w:basedOn w:val="Normal1"/>
    <w:next w:val="Normal1"/>
    <w:rsid w:val="00AA3D77"/>
    <w:pPr>
      <w:keepNext/>
      <w:keepLines/>
      <w:spacing w:after="320"/>
    </w:pPr>
    <w:rPr>
      <w:color w:val="666666"/>
      <w:sz w:val="30"/>
      <w:szCs w:val="30"/>
    </w:rPr>
  </w:style>
  <w:style w:type="table" w:customStyle="1" w:styleId="a">
    <w:basedOn w:val="TableNormal"/>
    <w:rsid w:val="00AA3D7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AE2C9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E2C98"/>
  </w:style>
  <w:style w:type="paragraph" w:styleId="Footer">
    <w:name w:val="footer"/>
    <w:basedOn w:val="Normal"/>
    <w:link w:val="FooterChar"/>
    <w:uiPriority w:val="99"/>
    <w:unhideWhenUsed/>
    <w:rsid w:val="00AE2C98"/>
    <w:pPr>
      <w:tabs>
        <w:tab w:val="center" w:pos="4680"/>
        <w:tab w:val="right" w:pos="9360"/>
      </w:tabs>
      <w:spacing w:line="240" w:lineRule="auto"/>
    </w:pPr>
  </w:style>
  <w:style w:type="character" w:customStyle="1" w:styleId="FooterChar">
    <w:name w:val="Footer Char"/>
    <w:basedOn w:val="DefaultParagraphFont"/>
    <w:link w:val="Footer"/>
    <w:uiPriority w:val="99"/>
    <w:rsid w:val="00AE2C98"/>
  </w:style>
  <w:style w:type="paragraph" w:styleId="BalloonText">
    <w:name w:val="Balloon Text"/>
    <w:basedOn w:val="Normal"/>
    <w:link w:val="BalloonTextChar"/>
    <w:uiPriority w:val="99"/>
    <w:semiHidden/>
    <w:unhideWhenUsed/>
    <w:rsid w:val="00AE2C9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2C98"/>
    <w:rPr>
      <w:rFonts w:ascii="Tahoma" w:hAnsi="Tahoma" w:cs="Tahoma"/>
      <w:sz w:val="16"/>
      <w:szCs w:val="16"/>
    </w:rPr>
  </w:style>
  <w:style w:type="paragraph" w:styleId="TOCHeading">
    <w:name w:val="TOC Heading"/>
    <w:basedOn w:val="Heading1"/>
    <w:next w:val="Normal"/>
    <w:uiPriority w:val="39"/>
    <w:unhideWhenUsed/>
    <w:qFormat/>
    <w:rsid w:val="009963E6"/>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9963E6"/>
    <w:pPr>
      <w:spacing w:after="100"/>
    </w:pPr>
  </w:style>
  <w:style w:type="paragraph" w:styleId="TOC2">
    <w:name w:val="toc 2"/>
    <w:basedOn w:val="Normal"/>
    <w:next w:val="Normal"/>
    <w:autoRedefine/>
    <w:uiPriority w:val="39"/>
    <w:unhideWhenUsed/>
    <w:rsid w:val="009963E6"/>
    <w:pPr>
      <w:spacing w:after="100"/>
      <w:ind w:left="220"/>
    </w:pPr>
  </w:style>
  <w:style w:type="character" w:styleId="Hyperlink">
    <w:name w:val="Hyperlink"/>
    <w:basedOn w:val="DefaultParagraphFont"/>
    <w:uiPriority w:val="99"/>
    <w:unhideWhenUsed/>
    <w:rsid w:val="009963E6"/>
    <w:rPr>
      <w:color w:val="0000FF" w:themeColor="hyperlink"/>
      <w:u w:val="single"/>
    </w:rPr>
  </w:style>
  <w:style w:type="character" w:styleId="CommentReference">
    <w:name w:val="annotation reference"/>
    <w:basedOn w:val="DefaultParagraphFont"/>
    <w:uiPriority w:val="99"/>
    <w:semiHidden/>
    <w:unhideWhenUsed/>
    <w:rsid w:val="006C20DA"/>
    <w:rPr>
      <w:sz w:val="16"/>
      <w:szCs w:val="16"/>
    </w:rPr>
  </w:style>
  <w:style w:type="paragraph" w:styleId="CommentText">
    <w:name w:val="annotation text"/>
    <w:basedOn w:val="Normal"/>
    <w:link w:val="CommentTextChar"/>
    <w:uiPriority w:val="99"/>
    <w:semiHidden/>
    <w:unhideWhenUsed/>
    <w:rsid w:val="006C20DA"/>
    <w:pPr>
      <w:spacing w:line="240" w:lineRule="auto"/>
    </w:pPr>
    <w:rPr>
      <w:sz w:val="20"/>
      <w:szCs w:val="20"/>
    </w:rPr>
  </w:style>
  <w:style w:type="character" w:customStyle="1" w:styleId="CommentTextChar">
    <w:name w:val="Comment Text Char"/>
    <w:basedOn w:val="DefaultParagraphFont"/>
    <w:link w:val="CommentText"/>
    <w:uiPriority w:val="99"/>
    <w:semiHidden/>
    <w:rsid w:val="006C20DA"/>
    <w:rPr>
      <w:sz w:val="20"/>
      <w:szCs w:val="20"/>
    </w:rPr>
  </w:style>
  <w:style w:type="paragraph" w:styleId="CommentSubject">
    <w:name w:val="annotation subject"/>
    <w:basedOn w:val="CommentText"/>
    <w:next w:val="CommentText"/>
    <w:link w:val="CommentSubjectChar"/>
    <w:uiPriority w:val="99"/>
    <w:semiHidden/>
    <w:unhideWhenUsed/>
    <w:rsid w:val="006C20DA"/>
    <w:rPr>
      <w:b/>
      <w:bCs/>
    </w:rPr>
  </w:style>
  <w:style w:type="character" w:customStyle="1" w:styleId="CommentSubjectChar">
    <w:name w:val="Comment Subject Char"/>
    <w:basedOn w:val="CommentTextChar"/>
    <w:link w:val="CommentSubject"/>
    <w:uiPriority w:val="99"/>
    <w:semiHidden/>
    <w:rsid w:val="006C20D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2821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theguardian.com/business/2022/aug/17/uk-inflation-cost-of-living-crisis-recession-looms" TargetMode="Externa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theguardian.com/business/2022/aug/17/uk-inflation-cost-of-living-crisis-recession-loom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guardian.com/business/2022/aug/17/uk-inflation-cost-of-living-crisis-recession-looms"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business/2022/aug/17/uk-inflation-cost-of-living-crisis-recession-looms" TargetMode="External"/><Relationship Id="rId23"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891323-E6FE-4686-B2B5-F271485CFA63}" type="doc">
      <dgm:prSet loTypeId="urn:microsoft.com/office/officeart/2005/8/layout/hierarchy3" loCatId="hierarchy" qsTypeId="urn:microsoft.com/office/officeart/2005/8/quickstyle/3d2#1" qsCatId="3D" csTypeId="urn:microsoft.com/office/officeart/2005/8/colors/colorful1#1" csCatId="colorful" phldr="1"/>
      <dgm:spPr/>
      <dgm:t>
        <a:bodyPr/>
        <a:lstStyle/>
        <a:p>
          <a:endParaRPr lang="en-US"/>
        </a:p>
      </dgm:t>
    </dgm:pt>
    <dgm:pt modelId="{0FFB97EC-5A99-4D40-8557-5AD1F761049F}">
      <dgm:prSet phldrT="[Text]" custT="1"/>
      <dgm:spPr/>
      <dgm:t>
        <a:bodyPr/>
        <a:lstStyle/>
        <a:p>
          <a:r>
            <a:rPr lang="en-US" sz="1600" b="1" i="1">
              <a:solidFill>
                <a:schemeClr val="tx1"/>
              </a:solidFill>
              <a:latin typeface="Times New Roman" pitchFamily="18" charset="0"/>
              <a:cs typeface="Times New Roman" pitchFamily="18" charset="0"/>
            </a:rPr>
            <a:t>Pricing Startegy</a:t>
          </a:r>
        </a:p>
      </dgm:t>
    </dgm:pt>
    <dgm:pt modelId="{2A3058A6-6567-4E30-B7F9-17BDDD2939CC}" type="parTrans" cxnId="{DEC77C0E-FC42-4571-926B-C819003B2455}">
      <dgm:prSet/>
      <dgm:spPr/>
      <dgm:t>
        <a:bodyPr/>
        <a:lstStyle/>
        <a:p>
          <a:endParaRPr lang="en-US"/>
        </a:p>
      </dgm:t>
    </dgm:pt>
    <dgm:pt modelId="{DA9DB1C1-839D-4364-ADDD-2477BF9CC635}" type="sibTrans" cxnId="{DEC77C0E-FC42-4571-926B-C819003B2455}">
      <dgm:prSet/>
      <dgm:spPr/>
      <dgm:t>
        <a:bodyPr/>
        <a:lstStyle/>
        <a:p>
          <a:endParaRPr lang="en-US"/>
        </a:p>
      </dgm:t>
    </dgm:pt>
    <dgm:pt modelId="{C000B562-4C08-41DB-9138-030A186D7D31}">
      <dgm:prSet phldrT="[Text]" custT="1"/>
      <dgm:spPr/>
      <dgm:t>
        <a:bodyPr/>
        <a:lstStyle/>
        <a:p>
          <a:r>
            <a:rPr lang="en-US" sz="1400" b="0" i="0" u="none">
              <a:latin typeface="Times New Roman" pitchFamily="18" charset="0"/>
              <a:cs typeface="Times New Roman" pitchFamily="18" charset="0"/>
            </a:rPr>
            <a:t>competitive equilibrium</a:t>
          </a:r>
          <a:endParaRPr lang="en-US" sz="1400" b="1" i="1">
            <a:solidFill>
              <a:schemeClr val="tx1"/>
            </a:solidFill>
            <a:latin typeface="Times New Roman" pitchFamily="18" charset="0"/>
            <a:cs typeface="Times New Roman" pitchFamily="18" charset="0"/>
          </a:endParaRPr>
        </a:p>
      </dgm:t>
    </dgm:pt>
    <dgm:pt modelId="{00B6BB4B-964D-4D60-BC58-E0A0F40AC4D7}" type="parTrans" cxnId="{F781C7D3-06D2-4B82-90EE-008AD2C3B776}">
      <dgm:prSet/>
      <dgm:spPr/>
      <dgm:t>
        <a:bodyPr/>
        <a:lstStyle/>
        <a:p>
          <a:endParaRPr lang="en-US"/>
        </a:p>
      </dgm:t>
    </dgm:pt>
    <dgm:pt modelId="{F6A477D2-FEC3-4602-AFC8-B12E513E04DC}" type="sibTrans" cxnId="{F781C7D3-06D2-4B82-90EE-008AD2C3B776}">
      <dgm:prSet/>
      <dgm:spPr/>
      <dgm:t>
        <a:bodyPr/>
        <a:lstStyle/>
        <a:p>
          <a:endParaRPr lang="en-US"/>
        </a:p>
      </dgm:t>
    </dgm:pt>
    <dgm:pt modelId="{28AFE309-104A-4505-BB9E-66D8350AB3CB}">
      <dgm:prSet phldrT="[Text]" custT="1"/>
      <dgm:spPr/>
      <dgm:t>
        <a:bodyPr/>
        <a:lstStyle/>
        <a:p>
          <a:r>
            <a:rPr lang="en-US" sz="1200" b="0" i="0">
              <a:solidFill>
                <a:schemeClr val="tx1"/>
              </a:solidFill>
              <a:latin typeface="Times New Roman" pitchFamily="18" charset="0"/>
              <a:cs typeface="Times New Roman" pitchFamily="18" charset="0"/>
            </a:rPr>
            <a:t>COGS</a:t>
          </a:r>
        </a:p>
      </dgm:t>
    </dgm:pt>
    <dgm:pt modelId="{12F8E046-D99B-47D2-94F6-ECD669C4449B}" type="parTrans" cxnId="{41C12FD9-D9B0-412E-83B4-9C3EF945801F}">
      <dgm:prSet/>
      <dgm:spPr/>
      <dgm:t>
        <a:bodyPr/>
        <a:lstStyle/>
        <a:p>
          <a:endParaRPr lang="en-US"/>
        </a:p>
      </dgm:t>
    </dgm:pt>
    <dgm:pt modelId="{EFB3ED81-05DE-4BDB-8D98-6493C893B10A}" type="sibTrans" cxnId="{41C12FD9-D9B0-412E-83B4-9C3EF945801F}">
      <dgm:prSet/>
      <dgm:spPr/>
      <dgm:t>
        <a:bodyPr/>
        <a:lstStyle/>
        <a:p>
          <a:endParaRPr lang="en-US"/>
        </a:p>
      </dgm:t>
    </dgm:pt>
    <dgm:pt modelId="{E17975E4-422F-4CB2-88AD-158494DAEA51}">
      <dgm:prSet phldrT="[Text]" custT="1"/>
      <dgm:spPr/>
      <dgm:t>
        <a:bodyPr/>
        <a:lstStyle/>
        <a:p>
          <a:r>
            <a:rPr lang="en-US" sz="1600" b="1" i="1">
              <a:solidFill>
                <a:schemeClr val="tx1"/>
              </a:solidFill>
              <a:latin typeface="Times New Roman" pitchFamily="18" charset="0"/>
              <a:cs typeface="Times New Roman" pitchFamily="18" charset="0"/>
            </a:rPr>
            <a:t>Marketing strategy</a:t>
          </a:r>
        </a:p>
      </dgm:t>
    </dgm:pt>
    <dgm:pt modelId="{0D572851-B639-4649-ACA2-4B354331D3E4}" type="parTrans" cxnId="{E1A7397C-546E-4BFB-91B5-2AFA24F0F4AD}">
      <dgm:prSet/>
      <dgm:spPr/>
      <dgm:t>
        <a:bodyPr/>
        <a:lstStyle/>
        <a:p>
          <a:endParaRPr lang="en-US"/>
        </a:p>
      </dgm:t>
    </dgm:pt>
    <dgm:pt modelId="{FCA1A244-4E60-4E5F-8C40-C7A4CA933E87}" type="sibTrans" cxnId="{E1A7397C-546E-4BFB-91B5-2AFA24F0F4AD}">
      <dgm:prSet/>
      <dgm:spPr/>
      <dgm:t>
        <a:bodyPr/>
        <a:lstStyle/>
        <a:p>
          <a:endParaRPr lang="en-US"/>
        </a:p>
      </dgm:t>
    </dgm:pt>
    <dgm:pt modelId="{619A270F-15B3-4249-B7E8-793EB8EEFB01}">
      <dgm:prSet phldrT="[Text]" custT="1"/>
      <dgm:spPr/>
      <dgm:t>
        <a:bodyPr/>
        <a:lstStyle/>
        <a:p>
          <a:r>
            <a:rPr lang="en-US" sz="1200" b="0" i="0">
              <a:solidFill>
                <a:schemeClr val="tx1"/>
              </a:solidFill>
              <a:latin typeface="Times New Roman" pitchFamily="18" charset="0"/>
              <a:cs typeface="Times New Roman" pitchFamily="18" charset="0"/>
            </a:rPr>
            <a:t>TQM</a:t>
          </a:r>
        </a:p>
      </dgm:t>
    </dgm:pt>
    <dgm:pt modelId="{DC874C95-4CA4-4DEE-A714-C7326F130A14}" type="parTrans" cxnId="{20BD8760-1828-40E2-99A4-ECD11CDD49E2}">
      <dgm:prSet/>
      <dgm:spPr/>
      <dgm:t>
        <a:bodyPr/>
        <a:lstStyle/>
        <a:p>
          <a:endParaRPr lang="en-US"/>
        </a:p>
      </dgm:t>
    </dgm:pt>
    <dgm:pt modelId="{13628EF0-5A11-4507-99CF-61D6D3BCA865}" type="sibTrans" cxnId="{20BD8760-1828-40E2-99A4-ECD11CDD49E2}">
      <dgm:prSet/>
      <dgm:spPr/>
      <dgm:t>
        <a:bodyPr/>
        <a:lstStyle/>
        <a:p>
          <a:endParaRPr lang="en-US"/>
        </a:p>
      </dgm:t>
    </dgm:pt>
    <dgm:pt modelId="{9327DFE3-2CAE-4519-99F9-FB99B12849F2}">
      <dgm:prSet phldrT="[Text]" custT="1"/>
      <dgm:spPr/>
      <dgm:t>
        <a:bodyPr/>
        <a:lstStyle/>
        <a:p>
          <a:r>
            <a:rPr lang="en-US" sz="1200" b="0" i="0">
              <a:solidFill>
                <a:schemeClr val="tx1"/>
              </a:solidFill>
              <a:latin typeface="Times New Roman" pitchFamily="18" charset="0"/>
              <a:cs typeface="Times New Roman" pitchFamily="18" charset="0"/>
            </a:rPr>
            <a:t>JIT</a:t>
          </a:r>
        </a:p>
      </dgm:t>
    </dgm:pt>
    <dgm:pt modelId="{F0B18833-8705-46E0-8621-FF48AD37906E}" type="parTrans" cxnId="{7ECBDEE2-E032-4CB8-BDA5-ED585A246B71}">
      <dgm:prSet/>
      <dgm:spPr/>
      <dgm:t>
        <a:bodyPr/>
        <a:lstStyle/>
        <a:p>
          <a:endParaRPr lang="en-US"/>
        </a:p>
      </dgm:t>
    </dgm:pt>
    <dgm:pt modelId="{8097D3CF-2A6E-4483-8E7F-62EAA948EE6C}" type="sibTrans" cxnId="{7ECBDEE2-E032-4CB8-BDA5-ED585A246B71}">
      <dgm:prSet/>
      <dgm:spPr/>
      <dgm:t>
        <a:bodyPr/>
        <a:lstStyle/>
        <a:p>
          <a:endParaRPr lang="en-US"/>
        </a:p>
      </dgm:t>
    </dgm:pt>
    <dgm:pt modelId="{AC40C7CB-D9D2-49DB-BA09-943BEEB2F84D}">
      <dgm:prSet phldrT="[Text]" custT="1"/>
      <dgm:spPr/>
      <dgm:t>
        <a:bodyPr/>
        <a:lstStyle/>
        <a:p>
          <a:r>
            <a:rPr lang="en-US" sz="1800" b="1" i="1">
              <a:solidFill>
                <a:schemeClr val="tx1"/>
              </a:solidFill>
              <a:latin typeface="Times New Roman" pitchFamily="18" charset="0"/>
              <a:cs typeface="Times New Roman" pitchFamily="18" charset="0"/>
            </a:rPr>
            <a:t>Risk management</a:t>
          </a:r>
        </a:p>
      </dgm:t>
    </dgm:pt>
    <dgm:pt modelId="{6E171AED-3429-46AA-A231-91332D41F859}" type="parTrans" cxnId="{258DD0A4-FF29-4D78-9DA1-D330D901B36E}">
      <dgm:prSet/>
      <dgm:spPr/>
      <dgm:t>
        <a:bodyPr/>
        <a:lstStyle/>
        <a:p>
          <a:endParaRPr lang="en-US"/>
        </a:p>
      </dgm:t>
    </dgm:pt>
    <dgm:pt modelId="{C8DB863A-90F0-4AC9-BBB4-94AD5E595931}" type="sibTrans" cxnId="{258DD0A4-FF29-4D78-9DA1-D330D901B36E}">
      <dgm:prSet/>
      <dgm:spPr/>
      <dgm:t>
        <a:bodyPr/>
        <a:lstStyle/>
        <a:p>
          <a:endParaRPr lang="en-US"/>
        </a:p>
      </dgm:t>
    </dgm:pt>
    <dgm:pt modelId="{15E7BC01-5D82-43DA-93E3-8114580F184A}">
      <dgm:prSet phldrT="[Text]" custT="1"/>
      <dgm:spPr/>
      <dgm:t>
        <a:bodyPr/>
        <a:lstStyle/>
        <a:p>
          <a:r>
            <a:rPr lang="en-US" sz="1200" b="0" i="0" u="none">
              <a:latin typeface="Times New Roman" pitchFamily="18" charset="0"/>
              <a:cs typeface="Times New Roman" pitchFamily="18" charset="0"/>
            </a:rPr>
            <a:t>Worker retention</a:t>
          </a:r>
          <a:endParaRPr lang="en-US" sz="1200" b="1" i="1">
            <a:solidFill>
              <a:schemeClr val="tx1"/>
            </a:solidFill>
            <a:latin typeface="Times New Roman" pitchFamily="18" charset="0"/>
            <a:cs typeface="Times New Roman" pitchFamily="18" charset="0"/>
          </a:endParaRPr>
        </a:p>
      </dgm:t>
    </dgm:pt>
    <dgm:pt modelId="{61DAC865-473A-4977-8944-4E1A4757F1CC}" type="parTrans" cxnId="{A4100FFB-8C09-4D52-BB0D-97EDD5099397}">
      <dgm:prSet/>
      <dgm:spPr/>
      <dgm:t>
        <a:bodyPr/>
        <a:lstStyle/>
        <a:p>
          <a:endParaRPr lang="en-US"/>
        </a:p>
      </dgm:t>
    </dgm:pt>
    <dgm:pt modelId="{942AB5D7-55B9-4662-A7AC-83EFDA1D9811}" type="sibTrans" cxnId="{A4100FFB-8C09-4D52-BB0D-97EDD5099397}">
      <dgm:prSet/>
      <dgm:spPr/>
      <dgm:t>
        <a:bodyPr/>
        <a:lstStyle/>
        <a:p>
          <a:endParaRPr lang="en-US"/>
        </a:p>
      </dgm:t>
    </dgm:pt>
    <dgm:pt modelId="{4CC29D4F-29DC-466A-9603-B2DAAC447C6E}">
      <dgm:prSet phldrT="[Text]" custT="1"/>
      <dgm:spPr/>
      <dgm:t>
        <a:bodyPr/>
        <a:lstStyle/>
        <a:p>
          <a:r>
            <a:rPr lang="en-US" sz="1200" b="0" i="0" u="none">
              <a:latin typeface="Times New Roman" pitchFamily="18" charset="0"/>
              <a:cs typeface="Times New Roman" pitchFamily="18" charset="0"/>
            </a:rPr>
            <a:t>CAS </a:t>
          </a:r>
          <a:endParaRPr lang="en-US" sz="1200" b="1" i="1">
            <a:solidFill>
              <a:schemeClr val="tx1"/>
            </a:solidFill>
            <a:latin typeface="Times New Roman" pitchFamily="18" charset="0"/>
            <a:cs typeface="Times New Roman" pitchFamily="18" charset="0"/>
          </a:endParaRPr>
        </a:p>
      </dgm:t>
    </dgm:pt>
    <dgm:pt modelId="{2CB2A9E7-1483-4FD1-9685-958CB37BBEC0}" type="parTrans" cxnId="{3BB427AC-636A-4C5D-B312-27559A318A79}">
      <dgm:prSet/>
      <dgm:spPr/>
      <dgm:t>
        <a:bodyPr/>
        <a:lstStyle/>
        <a:p>
          <a:endParaRPr lang="en-US"/>
        </a:p>
      </dgm:t>
    </dgm:pt>
    <dgm:pt modelId="{C37402A9-6651-4C03-8759-E7A53A540168}" type="sibTrans" cxnId="{3BB427AC-636A-4C5D-B312-27559A318A79}">
      <dgm:prSet/>
      <dgm:spPr/>
      <dgm:t>
        <a:bodyPr/>
        <a:lstStyle/>
        <a:p>
          <a:endParaRPr lang="en-US"/>
        </a:p>
      </dgm:t>
    </dgm:pt>
    <dgm:pt modelId="{A6CEBA38-D274-41A5-8264-E748DF7DF092}" type="pres">
      <dgm:prSet presAssocID="{CF891323-E6FE-4686-B2B5-F271485CFA63}" presName="diagram" presStyleCnt="0">
        <dgm:presLayoutVars>
          <dgm:chPref val="1"/>
          <dgm:dir/>
          <dgm:animOne val="branch"/>
          <dgm:animLvl val="lvl"/>
          <dgm:resizeHandles/>
        </dgm:presLayoutVars>
      </dgm:prSet>
      <dgm:spPr/>
    </dgm:pt>
    <dgm:pt modelId="{5E8E007A-7C9D-440C-BC16-040AC2BFA8FB}" type="pres">
      <dgm:prSet presAssocID="{0FFB97EC-5A99-4D40-8557-5AD1F761049F}" presName="root" presStyleCnt="0"/>
      <dgm:spPr/>
    </dgm:pt>
    <dgm:pt modelId="{CBA3C0AF-B55D-43AF-83F3-9BC9A8E5E3BB}" type="pres">
      <dgm:prSet presAssocID="{0FFB97EC-5A99-4D40-8557-5AD1F761049F}" presName="rootComposite" presStyleCnt="0"/>
      <dgm:spPr/>
    </dgm:pt>
    <dgm:pt modelId="{7EAD57D8-8F05-4A26-A45E-BC2400753987}" type="pres">
      <dgm:prSet presAssocID="{0FFB97EC-5A99-4D40-8557-5AD1F761049F}" presName="rootText" presStyleLbl="node1" presStyleIdx="0" presStyleCnt="3"/>
      <dgm:spPr/>
    </dgm:pt>
    <dgm:pt modelId="{CACC9692-CD2C-48D4-BE21-E0F4F072CC25}" type="pres">
      <dgm:prSet presAssocID="{0FFB97EC-5A99-4D40-8557-5AD1F761049F}" presName="rootConnector" presStyleLbl="node1" presStyleIdx="0" presStyleCnt="3"/>
      <dgm:spPr/>
    </dgm:pt>
    <dgm:pt modelId="{B611595D-DEE1-459E-AA39-28FF3DC12992}" type="pres">
      <dgm:prSet presAssocID="{0FFB97EC-5A99-4D40-8557-5AD1F761049F}" presName="childShape" presStyleCnt="0"/>
      <dgm:spPr/>
    </dgm:pt>
    <dgm:pt modelId="{5240E726-290E-45E1-9151-7A5F7B4F3886}" type="pres">
      <dgm:prSet presAssocID="{00B6BB4B-964D-4D60-BC58-E0A0F40AC4D7}" presName="Name13" presStyleLbl="parChTrans1D2" presStyleIdx="0" presStyleCnt="6"/>
      <dgm:spPr/>
    </dgm:pt>
    <dgm:pt modelId="{DA0C72C6-CC03-489C-A7CC-E7DB5502AD58}" type="pres">
      <dgm:prSet presAssocID="{C000B562-4C08-41DB-9138-030A186D7D31}" presName="childText" presStyleLbl="bgAcc1" presStyleIdx="0" presStyleCnt="6">
        <dgm:presLayoutVars>
          <dgm:bulletEnabled val="1"/>
        </dgm:presLayoutVars>
      </dgm:prSet>
      <dgm:spPr/>
    </dgm:pt>
    <dgm:pt modelId="{E43F5746-3F53-44DB-8380-CA37B04F3158}" type="pres">
      <dgm:prSet presAssocID="{12F8E046-D99B-47D2-94F6-ECD669C4449B}" presName="Name13" presStyleLbl="parChTrans1D2" presStyleIdx="1" presStyleCnt="6"/>
      <dgm:spPr/>
    </dgm:pt>
    <dgm:pt modelId="{A728B653-8B04-434C-8886-C77BD5D67AD9}" type="pres">
      <dgm:prSet presAssocID="{28AFE309-104A-4505-BB9E-66D8350AB3CB}" presName="childText" presStyleLbl="bgAcc1" presStyleIdx="1" presStyleCnt="6">
        <dgm:presLayoutVars>
          <dgm:bulletEnabled val="1"/>
        </dgm:presLayoutVars>
      </dgm:prSet>
      <dgm:spPr/>
    </dgm:pt>
    <dgm:pt modelId="{3051FAB5-7DDA-4A93-9A7D-CA7E7954D0E5}" type="pres">
      <dgm:prSet presAssocID="{E17975E4-422F-4CB2-88AD-158494DAEA51}" presName="root" presStyleCnt="0"/>
      <dgm:spPr/>
    </dgm:pt>
    <dgm:pt modelId="{4EF4F168-6E7C-4915-9078-0D17AFA2F405}" type="pres">
      <dgm:prSet presAssocID="{E17975E4-422F-4CB2-88AD-158494DAEA51}" presName="rootComposite" presStyleCnt="0"/>
      <dgm:spPr/>
    </dgm:pt>
    <dgm:pt modelId="{F887C754-AE92-4624-B11C-AC349AA6D4C1}" type="pres">
      <dgm:prSet presAssocID="{E17975E4-422F-4CB2-88AD-158494DAEA51}" presName="rootText" presStyleLbl="node1" presStyleIdx="1" presStyleCnt="3"/>
      <dgm:spPr/>
    </dgm:pt>
    <dgm:pt modelId="{D65BACBE-F4E3-4A26-95C6-3E5716875FCB}" type="pres">
      <dgm:prSet presAssocID="{E17975E4-422F-4CB2-88AD-158494DAEA51}" presName="rootConnector" presStyleLbl="node1" presStyleIdx="1" presStyleCnt="3"/>
      <dgm:spPr/>
    </dgm:pt>
    <dgm:pt modelId="{0E11D23B-23D6-4E8F-91FF-4D31A09F7129}" type="pres">
      <dgm:prSet presAssocID="{E17975E4-422F-4CB2-88AD-158494DAEA51}" presName="childShape" presStyleCnt="0"/>
      <dgm:spPr/>
    </dgm:pt>
    <dgm:pt modelId="{3FC23316-FAD6-4E39-BC4F-E62F5F0CD0D7}" type="pres">
      <dgm:prSet presAssocID="{DC874C95-4CA4-4DEE-A714-C7326F130A14}" presName="Name13" presStyleLbl="parChTrans1D2" presStyleIdx="2" presStyleCnt="6"/>
      <dgm:spPr/>
    </dgm:pt>
    <dgm:pt modelId="{AED29E3C-711D-4BA8-A299-CA7C5B649C75}" type="pres">
      <dgm:prSet presAssocID="{619A270F-15B3-4249-B7E8-793EB8EEFB01}" presName="childText" presStyleLbl="bgAcc1" presStyleIdx="2" presStyleCnt="6">
        <dgm:presLayoutVars>
          <dgm:bulletEnabled val="1"/>
        </dgm:presLayoutVars>
      </dgm:prSet>
      <dgm:spPr/>
    </dgm:pt>
    <dgm:pt modelId="{878EB638-2B7B-481C-979C-696CBA5FC4A7}" type="pres">
      <dgm:prSet presAssocID="{F0B18833-8705-46E0-8621-FF48AD37906E}" presName="Name13" presStyleLbl="parChTrans1D2" presStyleIdx="3" presStyleCnt="6"/>
      <dgm:spPr/>
    </dgm:pt>
    <dgm:pt modelId="{DADF2460-F8E3-4398-90D0-066E50320959}" type="pres">
      <dgm:prSet presAssocID="{9327DFE3-2CAE-4519-99F9-FB99B12849F2}" presName="childText" presStyleLbl="bgAcc1" presStyleIdx="3" presStyleCnt="6">
        <dgm:presLayoutVars>
          <dgm:bulletEnabled val="1"/>
        </dgm:presLayoutVars>
      </dgm:prSet>
      <dgm:spPr/>
    </dgm:pt>
    <dgm:pt modelId="{58986428-95F4-4568-82FA-327F56B09AE5}" type="pres">
      <dgm:prSet presAssocID="{AC40C7CB-D9D2-49DB-BA09-943BEEB2F84D}" presName="root" presStyleCnt="0"/>
      <dgm:spPr/>
    </dgm:pt>
    <dgm:pt modelId="{2D583E51-17E9-4434-9204-47070DC69BDA}" type="pres">
      <dgm:prSet presAssocID="{AC40C7CB-D9D2-49DB-BA09-943BEEB2F84D}" presName="rootComposite" presStyleCnt="0"/>
      <dgm:spPr/>
    </dgm:pt>
    <dgm:pt modelId="{32E0F69D-8BD3-4B6E-8841-A226240A0162}" type="pres">
      <dgm:prSet presAssocID="{AC40C7CB-D9D2-49DB-BA09-943BEEB2F84D}" presName="rootText" presStyleLbl="node1" presStyleIdx="2" presStyleCnt="3"/>
      <dgm:spPr/>
    </dgm:pt>
    <dgm:pt modelId="{3F41E6FB-51A7-4245-A4FB-D075A0B85014}" type="pres">
      <dgm:prSet presAssocID="{AC40C7CB-D9D2-49DB-BA09-943BEEB2F84D}" presName="rootConnector" presStyleLbl="node1" presStyleIdx="2" presStyleCnt="3"/>
      <dgm:spPr/>
    </dgm:pt>
    <dgm:pt modelId="{E208D2F2-CA49-4FD8-B237-15612B166598}" type="pres">
      <dgm:prSet presAssocID="{AC40C7CB-D9D2-49DB-BA09-943BEEB2F84D}" presName="childShape" presStyleCnt="0"/>
      <dgm:spPr/>
    </dgm:pt>
    <dgm:pt modelId="{A7F01629-8A11-4D5E-B6E2-C34E243F7C1E}" type="pres">
      <dgm:prSet presAssocID="{61DAC865-473A-4977-8944-4E1A4757F1CC}" presName="Name13" presStyleLbl="parChTrans1D2" presStyleIdx="4" presStyleCnt="6"/>
      <dgm:spPr/>
    </dgm:pt>
    <dgm:pt modelId="{D2C9D379-3814-4756-B836-B9259EAEC417}" type="pres">
      <dgm:prSet presAssocID="{15E7BC01-5D82-43DA-93E3-8114580F184A}" presName="childText" presStyleLbl="bgAcc1" presStyleIdx="4" presStyleCnt="6">
        <dgm:presLayoutVars>
          <dgm:bulletEnabled val="1"/>
        </dgm:presLayoutVars>
      </dgm:prSet>
      <dgm:spPr/>
    </dgm:pt>
    <dgm:pt modelId="{BB7649EA-F28F-459A-A884-CF588C15554E}" type="pres">
      <dgm:prSet presAssocID="{2CB2A9E7-1483-4FD1-9685-958CB37BBEC0}" presName="Name13" presStyleLbl="parChTrans1D2" presStyleIdx="5" presStyleCnt="6"/>
      <dgm:spPr/>
    </dgm:pt>
    <dgm:pt modelId="{778FA8FB-EF1A-4A5E-8F52-52923797969B}" type="pres">
      <dgm:prSet presAssocID="{4CC29D4F-29DC-466A-9603-B2DAAC447C6E}" presName="childText" presStyleLbl="bgAcc1" presStyleIdx="5" presStyleCnt="6">
        <dgm:presLayoutVars>
          <dgm:bulletEnabled val="1"/>
        </dgm:presLayoutVars>
      </dgm:prSet>
      <dgm:spPr/>
    </dgm:pt>
  </dgm:ptLst>
  <dgm:cxnLst>
    <dgm:cxn modelId="{6D0CCE00-2A6F-40EE-9ABD-5E9834F836CD}" type="presOf" srcId="{0FFB97EC-5A99-4D40-8557-5AD1F761049F}" destId="{CACC9692-CD2C-48D4-BE21-E0F4F072CC25}" srcOrd="1" destOrd="0" presId="urn:microsoft.com/office/officeart/2005/8/layout/hierarchy3"/>
    <dgm:cxn modelId="{B4DA080E-F394-4714-B4B7-AA7F17C49817}" type="presOf" srcId="{12F8E046-D99B-47D2-94F6-ECD669C4449B}" destId="{E43F5746-3F53-44DB-8380-CA37B04F3158}" srcOrd="0" destOrd="0" presId="urn:microsoft.com/office/officeart/2005/8/layout/hierarchy3"/>
    <dgm:cxn modelId="{DEC77C0E-FC42-4571-926B-C819003B2455}" srcId="{CF891323-E6FE-4686-B2B5-F271485CFA63}" destId="{0FFB97EC-5A99-4D40-8557-5AD1F761049F}" srcOrd="0" destOrd="0" parTransId="{2A3058A6-6567-4E30-B7F9-17BDDD2939CC}" sibTransId="{DA9DB1C1-839D-4364-ADDD-2477BF9CC635}"/>
    <dgm:cxn modelId="{C33E3310-08CF-48EB-BD70-B0438A06E9BD}" type="presOf" srcId="{CF891323-E6FE-4686-B2B5-F271485CFA63}" destId="{A6CEBA38-D274-41A5-8264-E748DF7DF092}" srcOrd="0" destOrd="0" presId="urn:microsoft.com/office/officeart/2005/8/layout/hierarchy3"/>
    <dgm:cxn modelId="{743C331A-488E-4E44-BB3E-4B67C67EE9C9}" type="presOf" srcId="{61DAC865-473A-4977-8944-4E1A4757F1CC}" destId="{A7F01629-8A11-4D5E-B6E2-C34E243F7C1E}" srcOrd="0" destOrd="0" presId="urn:microsoft.com/office/officeart/2005/8/layout/hierarchy3"/>
    <dgm:cxn modelId="{F9459B32-E245-4391-9F1A-1B9A9B9B9C88}" type="presOf" srcId="{9327DFE3-2CAE-4519-99F9-FB99B12849F2}" destId="{DADF2460-F8E3-4398-90D0-066E50320959}" srcOrd="0" destOrd="0" presId="urn:microsoft.com/office/officeart/2005/8/layout/hierarchy3"/>
    <dgm:cxn modelId="{95546036-5278-4502-999D-D4CE66F97C8C}" type="presOf" srcId="{4CC29D4F-29DC-466A-9603-B2DAAC447C6E}" destId="{778FA8FB-EF1A-4A5E-8F52-52923797969B}" srcOrd="0" destOrd="0" presId="urn:microsoft.com/office/officeart/2005/8/layout/hierarchy3"/>
    <dgm:cxn modelId="{382E943D-1B66-41DB-8B70-610EC4E4CFA3}" type="presOf" srcId="{0FFB97EC-5A99-4D40-8557-5AD1F761049F}" destId="{7EAD57D8-8F05-4A26-A45E-BC2400753987}" srcOrd="0" destOrd="0" presId="urn:microsoft.com/office/officeart/2005/8/layout/hierarchy3"/>
    <dgm:cxn modelId="{AC74CA3D-878E-49DE-8D0E-0926D447970A}" type="presOf" srcId="{AC40C7CB-D9D2-49DB-BA09-943BEEB2F84D}" destId="{3F41E6FB-51A7-4245-A4FB-D075A0B85014}" srcOrd="1" destOrd="0" presId="urn:microsoft.com/office/officeart/2005/8/layout/hierarchy3"/>
    <dgm:cxn modelId="{4A8D2D5C-00F9-4014-8A6B-02736BA692FA}" type="presOf" srcId="{DC874C95-4CA4-4DEE-A714-C7326F130A14}" destId="{3FC23316-FAD6-4E39-BC4F-E62F5F0CD0D7}" srcOrd="0" destOrd="0" presId="urn:microsoft.com/office/officeart/2005/8/layout/hierarchy3"/>
    <dgm:cxn modelId="{20BD8760-1828-40E2-99A4-ECD11CDD49E2}" srcId="{E17975E4-422F-4CB2-88AD-158494DAEA51}" destId="{619A270F-15B3-4249-B7E8-793EB8EEFB01}" srcOrd="0" destOrd="0" parTransId="{DC874C95-4CA4-4DEE-A714-C7326F130A14}" sibTransId="{13628EF0-5A11-4507-99CF-61D6D3BCA865}"/>
    <dgm:cxn modelId="{99676062-C969-4F66-8A95-49CD225FC2E0}" type="presOf" srcId="{28AFE309-104A-4505-BB9E-66D8350AB3CB}" destId="{A728B653-8B04-434C-8886-C77BD5D67AD9}" srcOrd="0" destOrd="0" presId="urn:microsoft.com/office/officeart/2005/8/layout/hierarchy3"/>
    <dgm:cxn modelId="{88C4764B-75A1-4729-B564-7095D1E72402}" type="presOf" srcId="{00B6BB4B-964D-4D60-BC58-E0A0F40AC4D7}" destId="{5240E726-290E-45E1-9151-7A5F7B4F3886}" srcOrd="0" destOrd="0" presId="urn:microsoft.com/office/officeart/2005/8/layout/hierarchy3"/>
    <dgm:cxn modelId="{FC8B2E4E-8DC2-45D0-ABB1-8A70A1E55D66}" type="presOf" srcId="{C000B562-4C08-41DB-9138-030A186D7D31}" destId="{DA0C72C6-CC03-489C-A7CC-E7DB5502AD58}" srcOrd="0" destOrd="0" presId="urn:microsoft.com/office/officeart/2005/8/layout/hierarchy3"/>
    <dgm:cxn modelId="{DCCCB957-61D6-40EE-9BCE-F945084C4A91}" type="presOf" srcId="{E17975E4-422F-4CB2-88AD-158494DAEA51}" destId="{D65BACBE-F4E3-4A26-95C6-3E5716875FCB}" srcOrd="1" destOrd="0" presId="urn:microsoft.com/office/officeart/2005/8/layout/hierarchy3"/>
    <dgm:cxn modelId="{8705F379-5CBC-4462-900D-72BF73D779B2}" type="presOf" srcId="{619A270F-15B3-4249-B7E8-793EB8EEFB01}" destId="{AED29E3C-711D-4BA8-A299-CA7C5B649C75}" srcOrd="0" destOrd="0" presId="urn:microsoft.com/office/officeart/2005/8/layout/hierarchy3"/>
    <dgm:cxn modelId="{E1A7397C-546E-4BFB-91B5-2AFA24F0F4AD}" srcId="{CF891323-E6FE-4686-B2B5-F271485CFA63}" destId="{E17975E4-422F-4CB2-88AD-158494DAEA51}" srcOrd="1" destOrd="0" parTransId="{0D572851-B639-4649-ACA2-4B354331D3E4}" sibTransId="{FCA1A244-4E60-4E5F-8C40-C7A4CA933E87}"/>
    <dgm:cxn modelId="{C63AF783-94A7-48FD-856B-468C999AAE6E}" type="presOf" srcId="{E17975E4-422F-4CB2-88AD-158494DAEA51}" destId="{F887C754-AE92-4624-B11C-AC349AA6D4C1}" srcOrd="0" destOrd="0" presId="urn:microsoft.com/office/officeart/2005/8/layout/hierarchy3"/>
    <dgm:cxn modelId="{0249448E-B359-4C34-BBD0-2C53881850EB}" type="presOf" srcId="{2CB2A9E7-1483-4FD1-9685-958CB37BBEC0}" destId="{BB7649EA-F28F-459A-A884-CF588C15554E}" srcOrd="0" destOrd="0" presId="urn:microsoft.com/office/officeart/2005/8/layout/hierarchy3"/>
    <dgm:cxn modelId="{AF7DAB96-B3A2-4430-B0FA-AC22BEC11F89}" type="presOf" srcId="{F0B18833-8705-46E0-8621-FF48AD37906E}" destId="{878EB638-2B7B-481C-979C-696CBA5FC4A7}" srcOrd="0" destOrd="0" presId="urn:microsoft.com/office/officeart/2005/8/layout/hierarchy3"/>
    <dgm:cxn modelId="{258DD0A4-FF29-4D78-9DA1-D330D901B36E}" srcId="{CF891323-E6FE-4686-B2B5-F271485CFA63}" destId="{AC40C7CB-D9D2-49DB-BA09-943BEEB2F84D}" srcOrd="2" destOrd="0" parTransId="{6E171AED-3429-46AA-A231-91332D41F859}" sibTransId="{C8DB863A-90F0-4AC9-BBB4-94AD5E595931}"/>
    <dgm:cxn modelId="{3BB427AC-636A-4C5D-B312-27559A318A79}" srcId="{AC40C7CB-D9D2-49DB-BA09-943BEEB2F84D}" destId="{4CC29D4F-29DC-466A-9603-B2DAAC447C6E}" srcOrd="1" destOrd="0" parTransId="{2CB2A9E7-1483-4FD1-9685-958CB37BBEC0}" sibTransId="{C37402A9-6651-4C03-8759-E7A53A540168}"/>
    <dgm:cxn modelId="{E6E84BB9-B578-4428-B5FB-2EF8986E8F52}" type="presOf" srcId="{AC40C7CB-D9D2-49DB-BA09-943BEEB2F84D}" destId="{32E0F69D-8BD3-4B6E-8841-A226240A0162}" srcOrd="0" destOrd="0" presId="urn:microsoft.com/office/officeart/2005/8/layout/hierarchy3"/>
    <dgm:cxn modelId="{63A4EBC9-DE0C-4F7E-B88A-AD156371EF75}" type="presOf" srcId="{15E7BC01-5D82-43DA-93E3-8114580F184A}" destId="{D2C9D379-3814-4756-B836-B9259EAEC417}" srcOrd="0" destOrd="0" presId="urn:microsoft.com/office/officeart/2005/8/layout/hierarchy3"/>
    <dgm:cxn modelId="{F781C7D3-06D2-4B82-90EE-008AD2C3B776}" srcId="{0FFB97EC-5A99-4D40-8557-5AD1F761049F}" destId="{C000B562-4C08-41DB-9138-030A186D7D31}" srcOrd="0" destOrd="0" parTransId="{00B6BB4B-964D-4D60-BC58-E0A0F40AC4D7}" sibTransId="{F6A477D2-FEC3-4602-AFC8-B12E513E04DC}"/>
    <dgm:cxn modelId="{41C12FD9-D9B0-412E-83B4-9C3EF945801F}" srcId="{0FFB97EC-5A99-4D40-8557-5AD1F761049F}" destId="{28AFE309-104A-4505-BB9E-66D8350AB3CB}" srcOrd="1" destOrd="0" parTransId="{12F8E046-D99B-47D2-94F6-ECD669C4449B}" sibTransId="{EFB3ED81-05DE-4BDB-8D98-6493C893B10A}"/>
    <dgm:cxn modelId="{7ECBDEE2-E032-4CB8-BDA5-ED585A246B71}" srcId="{E17975E4-422F-4CB2-88AD-158494DAEA51}" destId="{9327DFE3-2CAE-4519-99F9-FB99B12849F2}" srcOrd="1" destOrd="0" parTransId="{F0B18833-8705-46E0-8621-FF48AD37906E}" sibTransId="{8097D3CF-2A6E-4483-8E7F-62EAA948EE6C}"/>
    <dgm:cxn modelId="{A4100FFB-8C09-4D52-BB0D-97EDD5099397}" srcId="{AC40C7CB-D9D2-49DB-BA09-943BEEB2F84D}" destId="{15E7BC01-5D82-43DA-93E3-8114580F184A}" srcOrd="0" destOrd="0" parTransId="{61DAC865-473A-4977-8944-4E1A4757F1CC}" sibTransId="{942AB5D7-55B9-4662-A7AC-83EFDA1D9811}"/>
    <dgm:cxn modelId="{C7E64AD4-2EE8-42F2-A08E-7BB51ECD5296}" type="presParOf" srcId="{A6CEBA38-D274-41A5-8264-E748DF7DF092}" destId="{5E8E007A-7C9D-440C-BC16-040AC2BFA8FB}" srcOrd="0" destOrd="0" presId="urn:microsoft.com/office/officeart/2005/8/layout/hierarchy3"/>
    <dgm:cxn modelId="{6FE5C787-EC84-463A-AE35-CEC29FD8E466}" type="presParOf" srcId="{5E8E007A-7C9D-440C-BC16-040AC2BFA8FB}" destId="{CBA3C0AF-B55D-43AF-83F3-9BC9A8E5E3BB}" srcOrd="0" destOrd="0" presId="urn:microsoft.com/office/officeart/2005/8/layout/hierarchy3"/>
    <dgm:cxn modelId="{E15A3786-F075-4116-92C2-4B1405212568}" type="presParOf" srcId="{CBA3C0AF-B55D-43AF-83F3-9BC9A8E5E3BB}" destId="{7EAD57D8-8F05-4A26-A45E-BC2400753987}" srcOrd="0" destOrd="0" presId="urn:microsoft.com/office/officeart/2005/8/layout/hierarchy3"/>
    <dgm:cxn modelId="{3C1393F7-68AC-4E4B-AC64-9117109E978F}" type="presParOf" srcId="{CBA3C0AF-B55D-43AF-83F3-9BC9A8E5E3BB}" destId="{CACC9692-CD2C-48D4-BE21-E0F4F072CC25}" srcOrd="1" destOrd="0" presId="urn:microsoft.com/office/officeart/2005/8/layout/hierarchy3"/>
    <dgm:cxn modelId="{18766467-EE00-4E67-BF16-501D8A867E60}" type="presParOf" srcId="{5E8E007A-7C9D-440C-BC16-040AC2BFA8FB}" destId="{B611595D-DEE1-459E-AA39-28FF3DC12992}" srcOrd="1" destOrd="0" presId="urn:microsoft.com/office/officeart/2005/8/layout/hierarchy3"/>
    <dgm:cxn modelId="{0EE47DC8-CD74-4706-8646-4486D31D8B47}" type="presParOf" srcId="{B611595D-DEE1-459E-AA39-28FF3DC12992}" destId="{5240E726-290E-45E1-9151-7A5F7B4F3886}" srcOrd="0" destOrd="0" presId="urn:microsoft.com/office/officeart/2005/8/layout/hierarchy3"/>
    <dgm:cxn modelId="{7AE51D0F-DB2F-4240-A8CE-4FC5F8CE2033}" type="presParOf" srcId="{B611595D-DEE1-459E-AA39-28FF3DC12992}" destId="{DA0C72C6-CC03-489C-A7CC-E7DB5502AD58}" srcOrd="1" destOrd="0" presId="urn:microsoft.com/office/officeart/2005/8/layout/hierarchy3"/>
    <dgm:cxn modelId="{A730F4E3-CBA7-4143-B480-72A143C45390}" type="presParOf" srcId="{B611595D-DEE1-459E-AA39-28FF3DC12992}" destId="{E43F5746-3F53-44DB-8380-CA37B04F3158}" srcOrd="2" destOrd="0" presId="urn:microsoft.com/office/officeart/2005/8/layout/hierarchy3"/>
    <dgm:cxn modelId="{751EAC35-EBB1-4DDB-AEBB-94C50C00312A}" type="presParOf" srcId="{B611595D-DEE1-459E-AA39-28FF3DC12992}" destId="{A728B653-8B04-434C-8886-C77BD5D67AD9}" srcOrd="3" destOrd="0" presId="urn:microsoft.com/office/officeart/2005/8/layout/hierarchy3"/>
    <dgm:cxn modelId="{78706CD8-AF69-4307-A663-591A4D8984A5}" type="presParOf" srcId="{A6CEBA38-D274-41A5-8264-E748DF7DF092}" destId="{3051FAB5-7DDA-4A93-9A7D-CA7E7954D0E5}" srcOrd="1" destOrd="0" presId="urn:microsoft.com/office/officeart/2005/8/layout/hierarchy3"/>
    <dgm:cxn modelId="{C5710DF0-3B26-4774-8B6F-7B9E81791CE4}" type="presParOf" srcId="{3051FAB5-7DDA-4A93-9A7D-CA7E7954D0E5}" destId="{4EF4F168-6E7C-4915-9078-0D17AFA2F405}" srcOrd="0" destOrd="0" presId="urn:microsoft.com/office/officeart/2005/8/layout/hierarchy3"/>
    <dgm:cxn modelId="{3F1BC6D5-ACCD-46DF-B80F-0D3EB09C525E}" type="presParOf" srcId="{4EF4F168-6E7C-4915-9078-0D17AFA2F405}" destId="{F887C754-AE92-4624-B11C-AC349AA6D4C1}" srcOrd="0" destOrd="0" presId="urn:microsoft.com/office/officeart/2005/8/layout/hierarchy3"/>
    <dgm:cxn modelId="{4E49E3F3-E6AD-4EEA-AD79-99177FDF82B9}" type="presParOf" srcId="{4EF4F168-6E7C-4915-9078-0D17AFA2F405}" destId="{D65BACBE-F4E3-4A26-95C6-3E5716875FCB}" srcOrd="1" destOrd="0" presId="urn:microsoft.com/office/officeart/2005/8/layout/hierarchy3"/>
    <dgm:cxn modelId="{874AFE0F-D80D-4A2A-BDF9-E3316CB22313}" type="presParOf" srcId="{3051FAB5-7DDA-4A93-9A7D-CA7E7954D0E5}" destId="{0E11D23B-23D6-4E8F-91FF-4D31A09F7129}" srcOrd="1" destOrd="0" presId="urn:microsoft.com/office/officeart/2005/8/layout/hierarchy3"/>
    <dgm:cxn modelId="{5C0223C5-9C5E-4E57-9BFE-3C5B7517808F}" type="presParOf" srcId="{0E11D23B-23D6-4E8F-91FF-4D31A09F7129}" destId="{3FC23316-FAD6-4E39-BC4F-E62F5F0CD0D7}" srcOrd="0" destOrd="0" presId="urn:microsoft.com/office/officeart/2005/8/layout/hierarchy3"/>
    <dgm:cxn modelId="{65DB9998-2845-463E-849F-AD2318F78A3C}" type="presParOf" srcId="{0E11D23B-23D6-4E8F-91FF-4D31A09F7129}" destId="{AED29E3C-711D-4BA8-A299-CA7C5B649C75}" srcOrd="1" destOrd="0" presId="urn:microsoft.com/office/officeart/2005/8/layout/hierarchy3"/>
    <dgm:cxn modelId="{74A12700-AA28-4AD8-A3B5-D7AE0854F427}" type="presParOf" srcId="{0E11D23B-23D6-4E8F-91FF-4D31A09F7129}" destId="{878EB638-2B7B-481C-979C-696CBA5FC4A7}" srcOrd="2" destOrd="0" presId="urn:microsoft.com/office/officeart/2005/8/layout/hierarchy3"/>
    <dgm:cxn modelId="{964CEE20-DAD3-43B1-A305-11945EDDA521}" type="presParOf" srcId="{0E11D23B-23D6-4E8F-91FF-4D31A09F7129}" destId="{DADF2460-F8E3-4398-90D0-066E50320959}" srcOrd="3" destOrd="0" presId="urn:microsoft.com/office/officeart/2005/8/layout/hierarchy3"/>
    <dgm:cxn modelId="{4E426F7D-A502-4EA0-87D0-7C8018DBC167}" type="presParOf" srcId="{A6CEBA38-D274-41A5-8264-E748DF7DF092}" destId="{58986428-95F4-4568-82FA-327F56B09AE5}" srcOrd="2" destOrd="0" presId="urn:microsoft.com/office/officeart/2005/8/layout/hierarchy3"/>
    <dgm:cxn modelId="{451D5A47-66A2-4FA1-B697-0187D24B0C81}" type="presParOf" srcId="{58986428-95F4-4568-82FA-327F56B09AE5}" destId="{2D583E51-17E9-4434-9204-47070DC69BDA}" srcOrd="0" destOrd="0" presId="urn:microsoft.com/office/officeart/2005/8/layout/hierarchy3"/>
    <dgm:cxn modelId="{0A676D70-3F60-46DD-9D73-714759AB3CFE}" type="presParOf" srcId="{2D583E51-17E9-4434-9204-47070DC69BDA}" destId="{32E0F69D-8BD3-4B6E-8841-A226240A0162}" srcOrd="0" destOrd="0" presId="urn:microsoft.com/office/officeart/2005/8/layout/hierarchy3"/>
    <dgm:cxn modelId="{829EC147-EFC6-4C7C-9DBF-9B9249E0D6C4}" type="presParOf" srcId="{2D583E51-17E9-4434-9204-47070DC69BDA}" destId="{3F41E6FB-51A7-4245-A4FB-D075A0B85014}" srcOrd="1" destOrd="0" presId="urn:microsoft.com/office/officeart/2005/8/layout/hierarchy3"/>
    <dgm:cxn modelId="{DCB9C225-76A4-45CF-89EC-C11EC4555D95}" type="presParOf" srcId="{58986428-95F4-4568-82FA-327F56B09AE5}" destId="{E208D2F2-CA49-4FD8-B237-15612B166598}" srcOrd="1" destOrd="0" presId="urn:microsoft.com/office/officeart/2005/8/layout/hierarchy3"/>
    <dgm:cxn modelId="{59A2FC59-FE2A-4EF1-8F55-DA5BDA804B28}" type="presParOf" srcId="{E208D2F2-CA49-4FD8-B237-15612B166598}" destId="{A7F01629-8A11-4D5E-B6E2-C34E243F7C1E}" srcOrd="0" destOrd="0" presId="urn:microsoft.com/office/officeart/2005/8/layout/hierarchy3"/>
    <dgm:cxn modelId="{546F8853-036D-4BA1-8E5D-F57CD5ADCE0B}" type="presParOf" srcId="{E208D2F2-CA49-4FD8-B237-15612B166598}" destId="{D2C9D379-3814-4756-B836-B9259EAEC417}" srcOrd="1" destOrd="0" presId="urn:microsoft.com/office/officeart/2005/8/layout/hierarchy3"/>
    <dgm:cxn modelId="{4C79B836-2F33-4A18-A20C-AB0908B76CFD}" type="presParOf" srcId="{E208D2F2-CA49-4FD8-B237-15612B166598}" destId="{BB7649EA-F28F-459A-A884-CF588C15554E}" srcOrd="2" destOrd="0" presId="urn:microsoft.com/office/officeart/2005/8/layout/hierarchy3"/>
    <dgm:cxn modelId="{AEF75670-9291-4BC9-8C01-6F33EE8AFD7F}" type="presParOf" srcId="{E208D2F2-CA49-4FD8-B237-15612B166598}" destId="{778FA8FB-EF1A-4A5E-8F52-52923797969B}" srcOrd="3" destOrd="0" presId="urn:microsoft.com/office/officeart/2005/8/layout/hierarchy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AD57D8-8F05-4A26-A45E-BC2400753987}">
      <dsp:nvSpPr>
        <dsp:cNvPr id="0" name=""/>
        <dsp:cNvSpPr/>
      </dsp:nvSpPr>
      <dsp:spPr>
        <a:xfrm>
          <a:off x="669" y="228934"/>
          <a:ext cx="1567160" cy="783580"/>
        </a:xfrm>
        <a:prstGeom prst="roundRect">
          <a:avLst>
            <a:gd name="adj" fmla="val 100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20320" rIns="30480" bIns="20320" numCol="1" spcCol="1270" anchor="ctr" anchorCtr="0">
          <a:noAutofit/>
        </a:bodyPr>
        <a:lstStyle/>
        <a:p>
          <a:pPr marL="0" lvl="0" indent="0" algn="ctr" defTabSz="711200">
            <a:lnSpc>
              <a:spcPct val="90000"/>
            </a:lnSpc>
            <a:spcBef>
              <a:spcPct val="0"/>
            </a:spcBef>
            <a:spcAft>
              <a:spcPct val="35000"/>
            </a:spcAft>
            <a:buNone/>
          </a:pPr>
          <a:r>
            <a:rPr lang="en-US" sz="1600" b="1" i="1" kern="1200">
              <a:solidFill>
                <a:schemeClr val="tx1"/>
              </a:solidFill>
              <a:latin typeface="Times New Roman" pitchFamily="18" charset="0"/>
              <a:cs typeface="Times New Roman" pitchFamily="18" charset="0"/>
            </a:rPr>
            <a:t>Pricing Startegy</a:t>
          </a:r>
        </a:p>
      </dsp:txBody>
      <dsp:txXfrm>
        <a:off x="23619" y="251884"/>
        <a:ext cx="1521260" cy="737680"/>
      </dsp:txXfrm>
    </dsp:sp>
    <dsp:sp modelId="{5240E726-290E-45E1-9151-7A5F7B4F3886}">
      <dsp:nvSpPr>
        <dsp:cNvPr id="0" name=""/>
        <dsp:cNvSpPr/>
      </dsp:nvSpPr>
      <dsp:spPr>
        <a:xfrm>
          <a:off x="157385" y="1012514"/>
          <a:ext cx="156716" cy="587685"/>
        </a:xfrm>
        <a:custGeom>
          <a:avLst/>
          <a:gdLst/>
          <a:ahLst/>
          <a:cxnLst/>
          <a:rect l="0" t="0" r="0" b="0"/>
          <a:pathLst>
            <a:path>
              <a:moveTo>
                <a:pt x="0" y="0"/>
              </a:moveTo>
              <a:lnTo>
                <a:pt x="0" y="587685"/>
              </a:lnTo>
              <a:lnTo>
                <a:pt x="156716" y="587685"/>
              </a:lnTo>
            </a:path>
          </a:pathLst>
        </a:custGeom>
        <a:noFill/>
        <a:ln w="25400"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A0C72C6-CC03-489C-A7CC-E7DB5502AD58}">
      <dsp:nvSpPr>
        <dsp:cNvPr id="0" name=""/>
        <dsp:cNvSpPr/>
      </dsp:nvSpPr>
      <dsp:spPr>
        <a:xfrm>
          <a:off x="314101" y="1208409"/>
          <a:ext cx="1253728" cy="78358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0" i="0" u="none" kern="1200">
              <a:latin typeface="Times New Roman" pitchFamily="18" charset="0"/>
              <a:cs typeface="Times New Roman" pitchFamily="18" charset="0"/>
            </a:rPr>
            <a:t>competitive equilibrium</a:t>
          </a:r>
          <a:endParaRPr lang="en-US" sz="1400" b="1" i="1" kern="1200">
            <a:solidFill>
              <a:schemeClr val="tx1"/>
            </a:solidFill>
            <a:latin typeface="Times New Roman" pitchFamily="18" charset="0"/>
            <a:cs typeface="Times New Roman" pitchFamily="18" charset="0"/>
          </a:endParaRPr>
        </a:p>
      </dsp:txBody>
      <dsp:txXfrm>
        <a:off x="337051" y="1231359"/>
        <a:ext cx="1207828" cy="737680"/>
      </dsp:txXfrm>
    </dsp:sp>
    <dsp:sp modelId="{E43F5746-3F53-44DB-8380-CA37B04F3158}">
      <dsp:nvSpPr>
        <dsp:cNvPr id="0" name=""/>
        <dsp:cNvSpPr/>
      </dsp:nvSpPr>
      <dsp:spPr>
        <a:xfrm>
          <a:off x="157385" y="1012514"/>
          <a:ext cx="156716" cy="1567160"/>
        </a:xfrm>
        <a:custGeom>
          <a:avLst/>
          <a:gdLst/>
          <a:ahLst/>
          <a:cxnLst/>
          <a:rect l="0" t="0" r="0" b="0"/>
          <a:pathLst>
            <a:path>
              <a:moveTo>
                <a:pt x="0" y="0"/>
              </a:moveTo>
              <a:lnTo>
                <a:pt x="0" y="1567160"/>
              </a:lnTo>
              <a:lnTo>
                <a:pt x="156716" y="1567160"/>
              </a:lnTo>
            </a:path>
          </a:pathLst>
        </a:custGeom>
        <a:noFill/>
        <a:ln w="25400"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728B653-8B04-434C-8886-C77BD5D67AD9}">
      <dsp:nvSpPr>
        <dsp:cNvPr id="0" name=""/>
        <dsp:cNvSpPr/>
      </dsp:nvSpPr>
      <dsp:spPr>
        <a:xfrm>
          <a:off x="314101" y="2187885"/>
          <a:ext cx="1253728" cy="78358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i="0" kern="1200">
              <a:solidFill>
                <a:schemeClr val="tx1"/>
              </a:solidFill>
              <a:latin typeface="Times New Roman" pitchFamily="18" charset="0"/>
              <a:cs typeface="Times New Roman" pitchFamily="18" charset="0"/>
            </a:rPr>
            <a:t>COGS</a:t>
          </a:r>
        </a:p>
      </dsp:txBody>
      <dsp:txXfrm>
        <a:off x="337051" y="2210835"/>
        <a:ext cx="1207828" cy="737680"/>
      </dsp:txXfrm>
    </dsp:sp>
    <dsp:sp modelId="{F887C754-AE92-4624-B11C-AC349AA6D4C1}">
      <dsp:nvSpPr>
        <dsp:cNvPr id="0" name=""/>
        <dsp:cNvSpPr/>
      </dsp:nvSpPr>
      <dsp:spPr>
        <a:xfrm>
          <a:off x="1959619" y="228934"/>
          <a:ext cx="1567160" cy="783580"/>
        </a:xfrm>
        <a:prstGeom prst="roundRect">
          <a:avLst>
            <a:gd name="adj" fmla="val 1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20320" rIns="30480" bIns="20320" numCol="1" spcCol="1270" anchor="ctr" anchorCtr="0">
          <a:noAutofit/>
        </a:bodyPr>
        <a:lstStyle/>
        <a:p>
          <a:pPr marL="0" lvl="0" indent="0" algn="ctr" defTabSz="711200">
            <a:lnSpc>
              <a:spcPct val="90000"/>
            </a:lnSpc>
            <a:spcBef>
              <a:spcPct val="0"/>
            </a:spcBef>
            <a:spcAft>
              <a:spcPct val="35000"/>
            </a:spcAft>
            <a:buNone/>
          </a:pPr>
          <a:r>
            <a:rPr lang="en-US" sz="1600" b="1" i="1" kern="1200">
              <a:solidFill>
                <a:schemeClr val="tx1"/>
              </a:solidFill>
              <a:latin typeface="Times New Roman" pitchFamily="18" charset="0"/>
              <a:cs typeface="Times New Roman" pitchFamily="18" charset="0"/>
            </a:rPr>
            <a:t>Marketing strategy</a:t>
          </a:r>
        </a:p>
      </dsp:txBody>
      <dsp:txXfrm>
        <a:off x="1982569" y="251884"/>
        <a:ext cx="1521260" cy="737680"/>
      </dsp:txXfrm>
    </dsp:sp>
    <dsp:sp modelId="{3FC23316-FAD6-4E39-BC4F-E62F5F0CD0D7}">
      <dsp:nvSpPr>
        <dsp:cNvPr id="0" name=""/>
        <dsp:cNvSpPr/>
      </dsp:nvSpPr>
      <dsp:spPr>
        <a:xfrm>
          <a:off x="2116335" y="1012514"/>
          <a:ext cx="156716" cy="587685"/>
        </a:xfrm>
        <a:custGeom>
          <a:avLst/>
          <a:gdLst/>
          <a:ahLst/>
          <a:cxnLst/>
          <a:rect l="0" t="0" r="0" b="0"/>
          <a:pathLst>
            <a:path>
              <a:moveTo>
                <a:pt x="0" y="0"/>
              </a:moveTo>
              <a:lnTo>
                <a:pt x="0" y="587685"/>
              </a:lnTo>
              <a:lnTo>
                <a:pt x="156716" y="587685"/>
              </a:lnTo>
            </a:path>
          </a:pathLst>
        </a:custGeom>
        <a:noFill/>
        <a:ln w="25400"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ED29E3C-711D-4BA8-A299-CA7C5B649C75}">
      <dsp:nvSpPr>
        <dsp:cNvPr id="0" name=""/>
        <dsp:cNvSpPr/>
      </dsp:nvSpPr>
      <dsp:spPr>
        <a:xfrm>
          <a:off x="2273051" y="1208409"/>
          <a:ext cx="1253728" cy="783580"/>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i="0" kern="1200">
              <a:solidFill>
                <a:schemeClr val="tx1"/>
              </a:solidFill>
              <a:latin typeface="Times New Roman" pitchFamily="18" charset="0"/>
              <a:cs typeface="Times New Roman" pitchFamily="18" charset="0"/>
            </a:rPr>
            <a:t>TQM</a:t>
          </a:r>
        </a:p>
      </dsp:txBody>
      <dsp:txXfrm>
        <a:off x="2296001" y="1231359"/>
        <a:ext cx="1207828" cy="737680"/>
      </dsp:txXfrm>
    </dsp:sp>
    <dsp:sp modelId="{878EB638-2B7B-481C-979C-696CBA5FC4A7}">
      <dsp:nvSpPr>
        <dsp:cNvPr id="0" name=""/>
        <dsp:cNvSpPr/>
      </dsp:nvSpPr>
      <dsp:spPr>
        <a:xfrm>
          <a:off x="2116335" y="1012514"/>
          <a:ext cx="156716" cy="1567160"/>
        </a:xfrm>
        <a:custGeom>
          <a:avLst/>
          <a:gdLst/>
          <a:ahLst/>
          <a:cxnLst/>
          <a:rect l="0" t="0" r="0" b="0"/>
          <a:pathLst>
            <a:path>
              <a:moveTo>
                <a:pt x="0" y="0"/>
              </a:moveTo>
              <a:lnTo>
                <a:pt x="0" y="1567160"/>
              </a:lnTo>
              <a:lnTo>
                <a:pt x="156716" y="1567160"/>
              </a:lnTo>
            </a:path>
          </a:pathLst>
        </a:custGeom>
        <a:noFill/>
        <a:ln w="25400"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ADF2460-F8E3-4398-90D0-066E50320959}">
      <dsp:nvSpPr>
        <dsp:cNvPr id="0" name=""/>
        <dsp:cNvSpPr/>
      </dsp:nvSpPr>
      <dsp:spPr>
        <a:xfrm>
          <a:off x="2273051" y="2187885"/>
          <a:ext cx="1253728" cy="783580"/>
        </a:xfrm>
        <a:prstGeom prst="roundRect">
          <a:avLst>
            <a:gd name="adj" fmla="val 10000"/>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i="0" kern="1200">
              <a:solidFill>
                <a:schemeClr val="tx1"/>
              </a:solidFill>
              <a:latin typeface="Times New Roman" pitchFamily="18" charset="0"/>
              <a:cs typeface="Times New Roman" pitchFamily="18" charset="0"/>
            </a:rPr>
            <a:t>JIT</a:t>
          </a:r>
        </a:p>
      </dsp:txBody>
      <dsp:txXfrm>
        <a:off x="2296001" y="2210835"/>
        <a:ext cx="1207828" cy="737680"/>
      </dsp:txXfrm>
    </dsp:sp>
    <dsp:sp modelId="{32E0F69D-8BD3-4B6E-8841-A226240A0162}">
      <dsp:nvSpPr>
        <dsp:cNvPr id="0" name=""/>
        <dsp:cNvSpPr/>
      </dsp:nvSpPr>
      <dsp:spPr>
        <a:xfrm>
          <a:off x="3918570" y="228934"/>
          <a:ext cx="1567160" cy="783580"/>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US" sz="1800" b="1" i="1" kern="1200">
              <a:solidFill>
                <a:schemeClr val="tx1"/>
              </a:solidFill>
              <a:latin typeface="Times New Roman" pitchFamily="18" charset="0"/>
              <a:cs typeface="Times New Roman" pitchFamily="18" charset="0"/>
            </a:rPr>
            <a:t>Risk management</a:t>
          </a:r>
        </a:p>
      </dsp:txBody>
      <dsp:txXfrm>
        <a:off x="3941520" y="251884"/>
        <a:ext cx="1521260" cy="737680"/>
      </dsp:txXfrm>
    </dsp:sp>
    <dsp:sp modelId="{A7F01629-8A11-4D5E-B6E2-C34E243F7C1E}">
      <dsp:nvSpPr>
        <dsp:cNvPr id="0" name=""/>
        <dsp:cNvSpPr/>
      </dsp:nvSpPr>
      <dsp:spPr>
        <a:xfrm>
          <a:off x="4075286" y="1012514"/>
          <a:ext cx="156716" cy="587685"/>
        </a:xfrm>
        <a:custGeom>
          <a:avLst/>
          <a:gdLst/>
          <a:ahLst/>
          <a:cxnLst/>
          <a:rect l="0" t="0" r="0" b="0"/>
          <a:pathLst>
            <a:path>
              <a:moveTo>
                <a:pt x="0" y="0"/>
              </a:moveTo>
              <a:lnTo>
                <a:pt x="0" y="587685"/>
              </a:lnTo>
              <a:lnTo>
                <a:pt x="156716" y="587685"/>
              </a:lnTo>
            </a:path>
          </a:pathLst>
        </a:custGeom>
        <a:noFill/>
        <a:ln w="25400"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2C9D379-3814-4756-B836-B9259EAEC417}">
      <dsp:nvSpPr>
        <dsp:cNvPr id="0" name=""/>
        <dsp:cNvSpPr/>
      </dsp:nvSpPr>
      <dsp:spPr>
        <a:xfrm>
          <a:off x="4232002" y="1208409"/>
          <a:ext cx="1253728" cy="783580"/>
        </a:xfrm>
        <a:prstGeom prst="roundRect">
          <a:avLst>
            <a:gd name="adj" fmla="val 10000"/>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i="0" u="none" kern="1200">
              <a:latin typeface="Times New Roman" pitchFamily="18" charset="0"/>
              <a:cs typeface="Times New Roman" pitchFamily="18" charset="0"/>
            </a:rPr>
            <a:t>Worker retention</a:t>
          </a:r>
          <a:endParaRPr lang="en-US" sz="1200" b="1" i="1" kern="1200">
            <a:solidFill>
              <a:schemeClr val="tx1"/>
            </a:solidFill>
            <a:latin typeface="Times New Roman" pitchFamily="18" charset="0"/>
            <a:cs typeface="Times New Roman" pitchFamily="18" charset="0"/>
          </a:endParaRPr>
        </a:p>
      </dsp:txBody>
      <dsp:txXfrm>
        <a:off x="4254952" y="1231359"/>
        <a:ext cx="1207828" cy="737680"/>
      </dsp:txXfrm>
    </dsp:sp>
    <dsp:sp modelId="{BB7649EA-F28F-459A-A884-CF588C15554E}">
      <dsp:nvSpPr>
        <dsp:cNvPr id="0" name=""/>
        <dsp:cNvSpPr/>
      </dsp:nvSpPr>
      <dsp:spPr>
        <a:xfrm>
          <a:off x="4075286" y="1012514"/>
          <a:ext cx="156716" cy="1567160"/>
        </a:xfrm>
        <a:custGeom>
          <a:avLst/>
          <a:gdLst/>
          <a:ahLst/>
          <a:cxnLst/>
          <a:rect l="0" t="0" r="0" b="0"/>
          <a:pathLst>
            <a:path>
              <a:moveTo>
                <a:pt x="0" y="0"/>
              </a:moveTo>
              <a:lnTo>
                <a:pt x="0" y="1567160"/>
              </a:lnTo>
              <a:lnTo>
                <a:pt x="156716" y="1567160"/>
              </a:lnTo>
            </a:path>
          </a:pathLst>
        </a:custGeom>
        <a:noFill/>
        <a:ln w="25400"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78FA8FB-EF1A-4A5E-8F52-52923797969B}">
      <dsp:nvSpPr>
        <dsp:cNvPr id="0" name=""/>
        <dsp:cNvSpPr/>
      </dsp:nvSpPr>
      <dsp:spPr>
        <a:xfrm>
          <a:off x="4232002" y="2187885"/>
          <a:ext cx="1253728" cy="78358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i="0" u="none" kern="1200">
              <a:latin typeface="Times New Roman" pitchFamily="18" charset="0"/>
              <a:cs typeface="Times New Roman" pitchFamily="18" charset="0"/>
            </a:rPr>
            <a:t>CAS </a:t>
          </a:r>
          <a:endParaRPr lang="en-US" sz="1200" b="1" i="1" kern="1200">
            <a:solidFill>
              <a:schemeClr val="tx1"/>
            </a:solidFill>
            <a:latin typeface="Times New Roman" pitchFamily="18" charset="0"/>
            <a:cs typeface="Times New Roman" pitchFamily="18" charset="0"/>
          </a:endParaRPr>
        </a:p>
      </dsp:txBody>
      <dsp:txXfrm>
        <a:off x="4254952" y="2210835"/>
        <a:ext cx="1207828" cy="73768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A2DFBC-17FE-9E45-A01B-6EA65C244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2925</Words>
  <Characters>16674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19560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2024-04-30T09:39:00Z</dcterms:created>
  <dcterms:modified xsi:type="dcterms:W3CDTF">2024-04-30T09:59:00Z</dcterms:modified>
</cp:coreProperties>
</file>