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FD53F" w14:textId="79C118B1" w:rsidR="2A4EFF56" w:rsidRDefault="2A4EFF56" w:rsidP="0FC8327A">
      <w:pPr>
        <w:spacing w:line="278" w:lineRule="auto"/>
        <w:jc w:val="center"/>
      </w:pPr>
      <w:r w:rsidRPr="0FC8327A">
        <w:rPr>
          <w:rFonts w:ascii="Aptos" w:eastAsia="Aptos" w:hAnsi="Aptos" w:cs="Aptos"/>
          <w:b/>
          <w:bCs/>
          <w:color w:val="000000" w:themeColor="text1"/>
        </w:rPr>
        <w:t>Language and Literacy in the Digital Age</w:t>
      </w:r>
    </w:p>
    <w:p w14:paraId="4344F5C2" w14:textId="3762DBF1" w:rsidR="2A4EFF56" w:rsidRDefault="2A4EFF56" w:rsidP="0FC8327A">
      <w:pPr>
        <w:spacing w:line="278" w:lineRule="auto"/>
      </w:pPr>
      <w:r w:rsidRPr="0FC8327A">
        <w:rPr>
          <w:rFonts w:ascii="Aptos" w:eastAsia="Aptos" w:hAnsi="Aptos" w:cs="Aptos"/>
          <w:b/>
          <w:bCs/>
          <w:color w:val="000000" w:themeColor="text1"/>
        </w:rPr>
        <w:t>Introduction</w:t>
      </w:r>
    </w:p>
    <w:p w14:paraId="6417F516" w14:textId="012CF810" w:rsidR="2A4EFF56" w:rsidRDefault="2A4EFF56" w:rsidP="0FC8327A">
      <w:pPr>
        <w:spacing w:line="360" w:lineRule="auto"/>
      </w:pPr>
      <w:r w:rsidRPr="0FC8327A">
        <w:rPr>
          <w:rFonts w:ascii="Aptos" w:eastAsia="Aptos" w:hAnsi="Aptos" w:cs="Aptos"/>
          <w:color w:val="000000" w:themeColor="text1"/>
          <w:sz w:val="18"/>
          <w:szCs w:val="18"/>
        </w:rPr>
        <w:t>Storytelling is a powerful tool to support child development that has been used for centuries. The myths and legends of ancestors and the community you were born into were shared through storytelling before a child’s literacy development was considered as important as it is today. According to Bruner (1990), oral storytelling is considered an activity that may be innately embedded in us, with narrative serving as the "organising principle" through which we interpret our experiences and make sense of the social world. The connections between caregiver and infant encourage communication of gestures and sounds as language development advances, while supporting the holistic development of the child (Bowlby 1965; DfE 2024).</w:t>
      </w:r>
    </w:p>
    <w:p w14:paraId="2A2F4117" w14:textId="2194F823" w:rsidR="2A4EFF56" w:rsidRDefault="2A4EFF56" w:rsidP="0FC8327A">
      <w:pPr>
        <w:spacing w:line="360" w:lineRule="auto"/>
      </w:pPr>
      <w:r w:rsidRPr="0FC8327A">
        <w:rPr>
          <w:rFonts w:ascii="Aptos" w:eastAsia="Aptos" w:hAnsi="Aptos" w:cs="Aptos"/>
          <w:color w:val="000000" w:themeColor="text1"/>
          <w:sz w:val="18"/>
          <w:szCs w:val="18"/>
        </w:rPr>
        <w:t>Storytelling is an effective means of development for children, supporting both traditional literacy and digital literacy in important ways. When children engage with stories, they build foundational literacy skills that are essential for reading, writing, and effective communication. Furthermore, in today’s digital world, storytelling also fosters critical digital literacy skills, preparing children to understand, navigate, and contribute to multimedia and online spaces. Digital literacy, as shared by NHS England (no date) is the skill of understanding and utilising digital information and technology to engage effectively in a digital society.</w:t>
      </w:r>
    </w:p>
    <w:p w14:paraId="5F3D24D8" w14:textId="4EB3111B" w:rsidR="2A4EFF56" w:rsidRDefault="2A4EFF56" w:rsidP="0FC8327A">
      <w:pPr>
        <w:spacing w:before="240" w:after="240" w:line="360" w:lineRule="auto"/>
      </w:pPr>
      <w:r w:rsidRPr="0FC8327A">
        <w:rPr>
          <w:rFonts w:ascii="Aptos" w:eastAsia="Aptos" w:hAnsi="Aptos" w:cs="Aptos"/>
          <w:color w:val="000000" w:themeColor="text1"/>
          <w:sz w:val="18"/>
          <w:szCs w:val="18"/>
        </w:rPr>
        <w:t>Storytelling provides children with language exposure, vocabulary expansion, and an understanding of narrative structure. Listening to stories helps children build comprehension skills, and telling their own stories boosts language production and confidence. These experiences are essential for pre-reading skills, phonemic awareness, and the overall ability to decode and make sense of written language (Israel 2007).</w:t>
      </w:r>
    </w:p>
    <w:p w14:paraId="1B616BAF" w14:textId="1175DECE" w:rsidR="2A4EFF56" w:rsidRDefault="2A4EFF56" w:rsidP="0FC8327A">
      <w:pPr>
        <w:spacing w:before="240" w:after="240" w:line="360" w:lineRule="auto"/>
      </w:pPr>
      <w:r w:rsidRPr="0FC8327A">
        <w:rPr>
          <w:rFonts w:ascii="Aptos" w:eastAsia="Aptos" w:hAnsi="Aptos" w:cs="Aptos"/>
          <w:color w:val="000000" w:themeColor="text1"/>
          <w:sz w:val="18"/>
          <w:szCs w:val="18"/>
        </w:rPr>
        <w:t>Storytelling also translates into digital literacy development by exposing children to multimedia narratives and interactive storytelling platforms. Through digital storytelling, children learn to navigate digital interfaces, interpret multimedia content, and critically analyse information. This prepares them to engage with digital media thoughtfully and responsibly, essential skills in today’s tech-driven society. Digital literacy plays a crucial role in various areas of life, from education to the workplace. It can enhance students' academic effectiveness, increase their employability, and support the integration of innovative teaching practices. Hays and Kammer (2023) discus that today, a digitally literate student is someone who can select the appropriate technology for a task, effectively use that technology, and then ethically share, communicate, or repurpose the information created with it. This is the student who is being created with early years experiences, particularly digital storytelling.</w:t>
      </w:r>
    </w:p>
    <w:p w14:paraId="399642EE" w14:textId="0E14067B" w:rsidR="2A4EFF56" w:rsidRDefault="2A4EFF56" w:rsidP="0FC8327A">
      <w:pPr>
        <w:spacing w:before="240" w:after="240" w:line="360" w:lineRule="auto"/>
      </w:pPr>
      <w:r w:rsidRPr="0FC8327A">
        <w:rPr>
          <w:rFonts w:ascii="Aptos" w:eastAsia="Aptos" w:hAnsi="Aptos" w:cs="Aptos"/>
          <w:color w:val="000000" w:themeColor="text1"/>
          <w:sz w:val="18"/>
          <w:szCs w:val="18"/>
        </w:rPr>
        <w:t>Storytelling supports a comprehensive literacy foundation that benefits both traditional and digital literacy, helping children grow as readers, thinkers, and communicators in both print and digital worlds.</w:t>
      </w:r>
    </w:p>
    <w:p w14:paraId="0DD22DAE" w14:textId="04EB1467" w:rsidR="00CE7A63" w:rsidRDefault="2A4EFF56" w:rsidP="0FC8327A">
      <w:pPr>
        <w:spacing w:before="240" w:after="240" w:line="278" w:lineRule="auto"/>
      </w:pPr>
      <w:r w:rsidRPr="0FC8327A">
        <w:rPr>
          <w:rFonts w:ascii="Aptos" w:eastAsia="Aptos" w:hAnsi="Aptos" w:cs="Aptos"/>
          <w:b/>
          <w:bCs/>
          <w:color w:val="000000" w:themeColor="text1"/>
          <w:sz w:val="18"/>
          <w:szCs w:val="18"/>
        </w:rPr>
        <w:t xml:space="preserve"> </w:t>
      </w:r>
    </w:p>
    <w:p w14:paraId="3EB37A2F" w14:textId="77777777" w:rsidR="00CE7A63" w:rsidRDefault="00CE7A63">
      <w:r>
        <w:br w:type="page"/>
      </w:r>
    </w:p>
    <w:p w14:paraId="2E2F1A62" w14:textId="1D56FAC4" w:rsidR="2A4EFF56" w:rsidRDefault="2A4EFF56" w:rsidP="0FC8327A">
      <w:pPr>
        <w:spacing w:before="240" w:after="240" w:line="278" w:lineRule="auto"/>
        <w:rPr>
          <w:rFonts w:ascii="Aptos" w:eastAsia="Aptos" w:hAnsi="Aptos" w:cs="Aptos"/>
          <w:b/>
          <w:bCs/>
          <w:color w:val="000000" w:themeColor="text1"/>
          <w:sz w:val="20"/>
          <w:szCs w:val="20"/>
        </w:rPr>
      </w:pPr>
      <w:r w:rsidRPr="0FC8327A">
        <w:rPr>
          <w:rFonts w:ascii="Aptos" w:eastAsia="Aptos" w:hAnsi="Aptos" w:cs="Aptos"/>
          <w:b/>
          <w:bCs/>
          <w:color w:val="000000" w:themeColor="text1"/>
          <w:sz w:val="22"/>
          <w:szCs w:val="22"/>
        </w:rPr>
        <w:t>Analyse</w:t>
      </w:r>
    </w:p>
    <w:p w14:paraId="2CDA5C3B" w14:textId="543898D3" w:rsidR="2A4EFF56" w:rsidRDefault="2A4EFF56" w:rsidP="0FC8327A">
      <w:pPr>
        <w:spacing w:before="240" w:after="240" w:line="360" w:lineRule="auto"/>
      </w:pPr>
      <w:r w:rsidRPr="0FC8327A">
        <w:rPr>
          <w:rFonts w:ascii="Aptos" w:eastAsia="Aptos" w:hAnsi="Aptos" w:cs="Aptos"/>
          <w:color w:val="000000" w:themeColor="text1"/>
          <w:sz w:val="18"/>
          <w:szCs w:val="18"/>
        </w:rPr>
        <w:t xml:space="preserve">When choosing the examples of storytelling to showcase, it was necessary to consider the theory behind how the stories were written and the performance of the storyteller to highlight the benefits to the child’s overall development as well as literacy development. Both stories chosen were written through the medium of rhyme, incorporating repetition throughout. Early literacy involves understanding sounds, words, and language and as shared by Birth to 5 Matters (no date) is promoted by engaging in activities such as talking, reading books, singing songs, and playing/singing rhymes. Reading stories and singing rhymes with young children promotes their preverbal development and as Laing and </w:t>
      </w:r>
      <w:proofErr w:type="spellStart"/>
      <w:r w:rsidRPr="0FC8327A">
        <w:rPr>
          <w:rFonts w:ascii="Aptos" w:eastAsia="Aptos" w:hAnsi="Aptos" w:cs="Aptos"/>
          <w:color w:val="000000" w:themeColor="text1"/>
          <w:sz w:val="18"/>
          <w:szCs w:val="18"/>
        </w:rPr>
        <w:t>Bergelson</w:t>
      </w:r>
      <w:proofErr w:type="spellEnd"/>
      <w:r w:rsidRPr="0FC8327A">
        <w:rPr>
          <w:rFonts w:ascii="Aptos" w:eastAsia="Aptos" w:hAnsi="Aptos" w:cs="Aptos"/>
          <w:color w:val="000000" w:themeColor="text1"/>
          <w:sz w:val="18"/>
          <w:szCs w:val="18"/>
        </w:rPr>
        <w:t xml:space="preserve"> (2020) share this early babbling of the infants enables them to participate in proto conversations with caregivers, even before they can articulate meaningful words. Additionally, these practiced babbling sounds act as a perceptual "filter," directing infants’ attention to words that resemble the sounds they can consistently produce. Byers-Heinlein et al. (2021) describe infant babbling in relation to infant-directed speech (IDS). When caregivers communicate with infants, they often use IDS, a speech register with distinct features. Caregivers across various linguistic and cultural backgrounds employ IDS, typically characterized by a slow, melodic, high-pitched, and exaggerated rhythm.</w:t>
      </w:r>
    </w:p>
    <w:p w14:paraId="6495150D" w14:textId="6D0320B3" w:rsidR="2A4EFF56" w:rsidRDefault="2A4EFF56" w:rsidP="0FC8327A">
      <w:pPr>
        <w:spacing w:before="240" w:after="240" w:line="360" w:lineRule="auto"/>
      </w:pPr>
      <w:proofErr w:type="spellStart"/>
      <w:r w:rsidRPr="0FC8327A">
        <w:rPr>
          <w:rFonts w:ascii="Aptos" w:eastAsia="Aptos" w:hAnsi="Aptos" w:cs="Aptos"/>
          <w:color w:val="000000" w:themeColor="text1"/>
          <w:sz w:val="18"/>
          <w:szCs w:val="18"/>
        </w:rPr>
        <w:t>Hibbin</w:t>
      </w:r>
      <w:proofErr w:type="spellEnd"/>
      <w:r w:rsidRPr="0FC8327A">
        <w:rPr>
          <w:rFonts w:ascii="Aptos" w:eastAsia="Aptos" w:hAnsi="Aptos" w:cs="Aptos"/>
          <w:color w:val="000000" w:themeColor="text1"/>
          <w:sz w:val="18"/>
          <w:szCs w:val="18"/>
        </w:rPr>
        <w:t xml:space="preserve"> (2016) conducted a comprehensive study that examined the numerous benefits of oral storytelling within the context of a primary school environment. The findings revealed that the children involved in the study experienced a notable boost in self-confidence </w:t>
      </w:r>
      <w:proofErr w:type="gramStart"/>
      <w:r w:rsidRPr="0FC8327A">
        <w:rPr>
          <w:rFonts w:ascii="Aptos" w:eastAsia="Aptos" w:hAnsi="Aptos" w:cs="Aptos"/>
          <w:color w:val="000000" w:themeColor="text1"/>
          <w:sz w:val="18"/>
          <w:szCs w:val="18"/>
        </w:rPr>
        <w:t>as a result of</w:t>
      </w:r>
      <w:proofErr w:type="gramEnd"/>
      <w:r w:rsidRPr="0FC8327A">
        <w:rPr>
          <w:rFonts w:ascii="Aptos" w:eastAsia="Aptos" w:hAnsi="Aptos" w:cs="Aptos"/>
          <w:color w:val="000000" w:themeColor="text1"/>
          <w:sz w:val="18"/>
          <w:szCs w:val="18"/>
        </w:rPr>
        <w:t xml:space="preserve"> engaging in storytelling activities. Furthermore, these activities facilitated the children’s ability to better represent and understand themselves, fostering a deeper sense of self-awareness. They also gained valuable insights into the perspectives and experiences of others, achieved through both intra-psychological processes—where children reflect on their own thoughts and feelings—and inter-psychological processes, which involve the social interactions and exchanges that occur with their peers. </w:t>
      </w:r>
    </w:p>
    <w:p w14:paraId="1526B305" w14:textId="6CD9CD09" w:rsidR="2A4EFF56" w:rsidRDefault="2A4EFF56" w:rsidP="0FC8327A">
      <w:pPr>
        <w:spacing w:before="240" w:after="240" w:line="360" w:lineRule="auto"/>
      </w:pPr>
      <w:r w:rsidRPr="0FC8327A">
        <w:rPr>
          <w:rFonts w:ascii="Aptos" w:eastAsia="Aptos" w:hAnsi="Aptos" w:cs="Aptos"/>
          <w:color w:val="000000" w:themeColor="text1"/>
          <w:sz w:val="18"/>
          <w:szCs w:val="18"/>
        </w:rPr>
        <w:t>Moreover, the act of storytelling in a group setting encouraged collaboration among the children, allowing them to work together and share ideas, thus enhancing their social skills and teamwork abilities. This notion is further supported by the research conducted by Brown (2014), who emphasizes the importance of effective early literacy instruction. Brown asserts that such instruction provides preschool children with a variety of suitable environments, resources, experiences, and social support. These elements are crucial for promoting the development of early reading and writing skills, which are foundational in helping children gradually transform their initial literacy experiences into conventional literacy skills. The cumulative effects of these practices underscore the vital role that storytelling and supportive literacy instruction play in fostering a positive and enriching learning environment for young children.</w:t>
      </w:r>
    </w:p>
    <w:p w14:paraId="06233C3D" w14:textId="4B006A88" w:rsidR="2A4EFF56" w:rsidRDefault="2A4EFF56" w:rsidP="0FC8327A">
      <w:pPr>
        <w:spacing w:before="240" w:after="240" w:line="360" w:lineRule="auto"/>
      </w:pPr>
      <w:r w:rsidRPr="0FC8327A">
        <w:rPr>
          <w:rFonts w:ascii="Aptos" w:eastAsia="Aptos" w:hAnsi="Aptos" w:cs="Aptos"/>
          <w:color w:val="000000" w:themeColor="text1"/>
          <w:sz w:val="18"/>
          <w:szCs w:val="18"/>
        </w:rPr>
        <w:t>Julia Donaldson’s story, The Gruffalo was chosen as a family favourite and because of the endearing character of the small mouse outsmarting the larger characters through the story. Donaldson is an excellent example of a children's author who fosters literacy development in early childhood. Her memorable characters help children enhance their early language and rhyming skills. The collaboration between her and Axel Scheffler has produced distinctive illustrations that make storytelling enjoyable for children and adults alike. Donaldson noted that performing stories is easier than merely talking (Teachwire.net, 2024), acknowledging that interactive learning can be more effective. This approach not only encourages expression and enhances understanding but also boosts confidence; often, the most skilled performers are not necessarily the strongest readers. The potential to perform the voices and characters of this story was also a factor in choosing this book.</w:t>
      </w:r>
    </w:p>
    <w:p w14:paraId="2B74C07E" w14:textId="4262C712" w:rsidR="2A4EFF56" w:rsidRDefault="2A4EFF56" w:rsidP="0FC8327A">
      <w:pPr>
        <w:spacing w:before="240" w:after="240" w:line="360" w:lineRule="auto"/>
      </w:pP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 books also serve as a valuable tool for promoting early literacy. Some of his books align well with memory formation research, helping children learn and retain new vocabulary. Exposure to </w:t>
      </w: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Seuss’s playful language can benefit children even if they do not fully understand it, preparing them to grasp informal English before learning its more formal rules. As a trailblazer, Seuss demonstrated through his sixty children's books that reading is crucial for children's happiness and success. His books are celebrated for their humour and lively spirit but also convey moral lessons and incorporate strategies that support reading skill development (Cleveland, 2016). The availability of digital interactive resources from Dr Seuss also made this choice easier. According to Shorewood Library (2021), </w:t>
      </w: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 respected children’s intelligence and innate love for play, inspiring generations of young readers and transforming the world of children’s literature. However, it is also important to recognise that </w:t>
      </w: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 held racist beliefs earlier in his life. Later, he expressed significant regret for these views and acknowledged the harm they had caused. This led to calls for </w:t>
      </w: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Seuss’s work to be cancelled, prompting </w:t>
      </w: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 Enterprises to cease printing certain titles and acknowledge that some works portrayed people in a hurtful and inappropriate manner. This controversy caused the author to reconsider using the selected story. However, the value of </w:t>
      </w:r>
      <w:proofErr w:type="spellStart"/>
      <w:r w:rsidRPr="0FC8327A">
        <w:rPr>
          <w:rFonts w:ascii="Aptos" w:eastAsia="Aptos" w:hAnsi="Aptos" w:cs="Aptos"/>
          <w:color w:val="000000" w:themeColor="text1"/>
          <w:sz w:val="18"/>
          <w:szCs w:val="18"/>
        </w:rPr>
        <w:t>Dr.</w:t>
      </w:r>
      <w:proofErr w:type="spellEnd"/>
      <w:r w:rsidRPr="0FC8327A">
        <w:rPr>
          <w:rFonts w:ascii="Aptos" w:eastAsia="Aptos" w:hAnsi="Aptos" w:cs="Aptos"/>
          <w:color w:val="000000" w:themeColor="text1"/>
          <w:sz w:val="18"/>
          <w:szCs w:val="18"/>
        </w:rPr>
        <w:t xml:space="preserve"> Seuss’s writing style for supporting literacy development warranted further consideration, especially given his remorse for earlier beliefs expressed during his lifetime. Such stories as The Lorax and Th Grinch had been used by this author with their own children when they were little. The interactive element when the book was being read or allowing the device to read the story, promoted the touching of images or words and the word being repeated and highlighted allowing for more independence especially when accessed through solo play. In addition, the added sounds enhanced the experiences with added emotion being portrayed through music.</w:t>
      </w:r>
    </w:p>
    <w:p w14:paraId="364E7967" w14:textId="11C2F476" w:rsidR="2A4EFF56" w:rsidRDefault="2A4EFF56" w:rsidP="0FC8327A">
      <w:pPr>
        <w:spacing w:line="360" w:lineRule="auto"/>
      </w:pPr>
      <w:r w:rsidRPr="0FC8327A">
        <w:rPr>
          <w:rFonts w:ascii="Aptos" w:eastAsia="Aptos" w:hAnsi="Aptos" w:cs="Aptos"/>
          <w:color w:val="000000" w:themeColor="text1"/>
          <w:sz w:val="18"/>
          <w:szCs w:val="18"/>
        </w:rPr>
        <w:t xml:space="preserve">The use of touch screen tablets among young children is on the rise both at home and in early childhood environments. The intuitive tactile interface and finger-based features of tablets may help preschoolers effectively engage with educational apps and promote their development in areas such as literacy (Neumann and Neumann, 2014). Evidence indicates that tablets can enhance emergent literacy skills, including alphabet knowledge, print concepts, and early writing abilities. However, the effectiveness of tablets for early literacy learning may depend on the type of support provided by parents or teachers, as well as the quality and availability of literacy-focused tablet applications. </w:t>
      </w:r>
    </w:p>
    <w:p w14:paraId="33C09EE5" w14:textId="57F4033E" w:rsidR="2A4EFF56" w:rsidRDefault="2A4EFF56" w:rsidP="0FC8327A">
      <w:pPr>
        <w:spacing w:line="360" w:lineRule="auto"/>
      </w:pPr>
      <w:r w:rsidRPr="0FC8327A">
        <w:rPr>
          <w:rFonts w:ascii="Aptos" w:eastAsia="Aptos" w:hAnsi="Aptos" w:cs="Aptos"/>
          <w:color w:val="000000" w:themeColor="text1"/>
          <w:sz w:val="18"/>
          <w:szCs w:val="18"/>
        </w:rPr>
        <w:t>Multimedia storybooks incorporate not only static images and written text but also features like oral narration, animations, sounds, zoom functions, and scaffolds designed to enhance comprehension. These elements are transforming how young children engage with text and offer technology-based support for struggling readers. Research highlighted by Bus and Neuman (2014) shows that these new media dimensions enhance young children's understanding of stories and their ability to read texts independently. Exposure to digital storytelling enables educators and parents to introduce children to various elements of digital competencies, as emphasized by the Curriculum for Wales (2024). This approach encourages the evaluation of sources, familiarity with software, and the recognition of key terms for searching and exploring text and images.</w:t>
      </w:r>
    </w:p>
    <w:p w14:paraId="16EBBD8F" w14:textId="1EF969EB" w:rsidR="2A4EFF56" w:rsidRDefault="2A4EFF56" w:rsidP="0FC8327A">
      <w:pPr>
        <w:spacing w:before="240" w:after="240" w:line="360" w:lineRule="auto"/>
      </w:pPr>
      <w:r w:rsidRPr="0FC8327A">
        <w:rPr>
          <w:rFonts w:ascii="Aptos" w:eastAsia="Aptos" w:hAnsi="Aptos" w:cs="Aptos"/>
          <w:color w:val="000000" w:themeColor="text1"/>
          <w:sz w:val="18"/>
          <w:szCs w:val="18"/>
        </w:rPr>
        <w:t>There is theory in pointing, questioning, pausing and expression. Gestures are more effective for some participants to understand role-played scenarios. Words can often be misleading, which is why skilled storytellers rely on non-verbal cues to provide hints and subtly convey information without explicitly stating it. In their 2020 study, Katakana and Göksun found that children exposed to iconic gestures during storytelling remembered event details better than those who experienced other techniques. While children's language abilities were linked to their recall performance, working memory was not. Notably, children with stronger expressive language skills gained the most from observing iconic gestures. Keeping this in mind, the author employed receptive language while delivering both variations of storytelling. They varied their intonation to convey the characters' feelings and emotions, using prosodic features like pauses for emphasis and incorporating paralinguistic elements such as arm and hand gestures.</w:t>
      </w:r>
    </w:p>
    <w:p w14:paraId="72EBB257" w14:textId="0AC24263" w:rsidR="2A4EFF56" w:rsidRDefault="2A4EFF56" w:rsidP="0FC8327A">
      <w:pPr>
        <w:spacing w:before="240" w:after="240" w:line="360" w:lineRule="auto"/>
      </w:pPr>
      <w:r w:rsidRPr="0FC8327A">
        <w:rPr>
          <w:rFonts w:ascii="Aptos" w:eastAsia="Aptos" w:hAnsi="Aptos" w:cs="Aptos"/>
          <w:color w:val="000000" w:themeColor="text1"/>
          <w:sz w:val="18"/>
          <w:szCs w:val="18"/>
        </w:rPr>
        <w:t>In their study, Speaker, Taylor, and Kamen (2004) aimed to evaluate the qualitative changes in verbal fluency, such as vocabulary, grammar, length of utterance, and sentence formation, among three, four, and five-year-olds actively participating in an intensive storytelling preschool program. Each of the five children involved in the pilot study showed improved language skills following the implementation of the four-week storytelling program. Additionally, an increase in elaboration and the use of complex sentences was evident in the post-intervention phase. This further highlights the benefit of storytelling for child development including literacy development.</w:t>
      </w:r>
    </w:p>
    <w:p w14:paraId="32358ADE" w14:textId="5BEE818B" w:rsidR="2A4EFF56" w:rsidRDefault="2A4EFF56" w:rsidP="0FC8327A">
      <w:pPr>
        <w:pStyle w:val="Heading3"/>
        <w:spacing w:before="281" w:after="281" w:line="278" w:lineRule="auto"/>
        <w:rPr>
          <w:rFonts w:ascii="Aptos" w:eastAsia="Aptos" w:hAnsi="Aptos" w:cs="Aptos"/>
          <w:b/>
          <w:bCs/>
          <w:color w:val="auto"/>
          <w:sz w:val="20"/>
          <w:szCs w:val="20"/>
        </w:rPr>
      </w:pPr>
      <w:r w:rsidRPr="0FC8327A">
        <w:rPr>
          <w:rFonts w:ascii="Aptos" w:eastAsia="Aptos" w:hAnsi="Aptos" w:cs="Aptos"/>
          <w:b/>
          <w:bCs/>
          <w:color w:val="auto"/>
          <w:sz w:val="22"/>
          <w:szCs w:val="22"/>
        </w:rPr>
        <w:t>Personal Reflection</w:t>
      </w:r>
    </w:p>
    <w:p w14:paraId="39D85B71" w14:textId="03207604" w:rsidR="2A4EFF56" w:rsidRDefault="2A4EFF56" w:rsidP="0FC8327A">
      <w:pPr>
        <w:spacing w:before="240" w:after="240" w:line="360" w:lineRule="auto"/>
      </w:pPr>
      <w:r w:rsidRPr="0FC8327A">
        <w:rPr>
          <w:rFonts w:ascii="Aptos" w:eastAsia="Aptos" w:hAnsi="Aptos" w:cs="Aptos"/>
          <w:sz w:val="18"/>
          <w:szCs w:val="18"/>
        </w:rPr>
        <w:t>Reflecting on the profound impact of storytelling in child development and literacy, I am increasingly convinced of its essential role in shaping not only academic skills but also emotional and social competencies. The stories I shared serve as gateways to understanding complex ideas, cultures, and emotions. As an advocate for early literacy, I appreciate how storytelling fosters a love of language and reading, encouraging children to explore their creativity and imagination.</w:t>
      </w:r>
    </w:p>
    <w:p w14:paraId="54C9743D" w14:textId="16B5E95F" w:rsidR="2A4EFF56" w:rsidRDefault="2A4EFF56" w:rsidP="0FC8327A">
      <w:pPr>
        <w:spacing w:before="240" w:after="240" w:line="360" w:lineRule="auto"/>
      </w:pPr>
      <w:r w:rsidRPr="0FC8327A">
        <w:rPr>
          <w:rFonts w:ascii="Aptos" w:eastAsia="Aptos" w:hAnsi="Aptos" w:cs="Aptos"/>
          <w:sz w:val="18"/>
          <w:szCs w:val="18"/>
        </w:rPr>
        <w:t>Additionally, the integration of digital storytelling tools enhances this experience, providing children with innovative ways to engage with content. The observations of children’s reactions to stories, their eyes lighting up with excitement, how they participate in discussions, and express themselves, is reminiscent of the intrinsic value of storytelling in building connections. It not only enriches their vocabulary and comprehension skills but also nurtures their ability to empathise with others and develop critical thinking skills.</w:t>
      </w:r>
    </w:p>
    <w:p w14:paraId="5D631DF3" w14:textId="7C7871D6" w:rsidR="2A4EFF56" w:rsidRDefault="2A4EFF56" w:rsidP="0FC8327A">
      <w:pPr>
        <w:spacing w:before="240" w:after="240" w:line="360" w:lineRule="auto"/>
      </w:pPr>
      <w:r w:rsidRPr="0FC8327A">
        <w:rPr>
          <w:rFonts w:ascii="Aptos" w:eastAsia="Aptos" w:hAnsi="Aptos" w:cs="Aptos"/>
          <w:sz w:val="18"/>
          <w:szCs w:val="18"/>
        </w:rPr>
        <w:t>In this digital age the timeless art of storytelling remains a powerful vehicle for learning and personal growth. Educators, caregivers, and parents, must continue to embrace and promote storytelling as a fundamental aspect of literacy development, ensuring that children grow up as confident, curious, and compassionate communicators in both print and digital worlds.</w:t>
      </w:r>
    </w:p>
    <w:p w14:paraId="0BFB4506" w14:textId="1D1BE586" w:rsidR="0FC8327A" w:rsidRDefault="0FC8327A">
      <w:r>
        <w:br w:type="page"/>
      </w:r>
    </w:p>
    <w:p w14:paraId="780A273C" w14:textId="1D13D7A9" w:rsidR="50FC98CD" w:rsidRDefault="50FC98CD" w:rsidP="0FC8327A">
      <w:pPr>
        <w:spacing w:line="360" w:lineRule="auto"/>
        <w:rPr>
          <w:rFonts w:ascii="Aptos" w:eastAsia="Aptos" w:hAnsi="Aptos" w:cs="Aptos"/>
          <w:color w:val="000000" w:themeColor="text1"/>
        </w:rPr>
      </w:pPr>
      <w:r w:rsidRPr="0FC8327A">
        <w:rPr>
          <w:rFonts w:ascii="Aptos" w:eastAsia="Aptos" w:hAnsi="Aptos" w:cs="Aptos"/>
          <w:b/>
          <w:bCs/>
          <w:color w:val="000000" w:themeColor="text1"/>
          <w:lang w:val="en-US"/>
        </w:rPr>
        <w:t>Reference List</w:t>
      </w:r>
    </w:p>
    <w:p w14:paraId="68222698" w14:textId="31B8AD7E"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Birth to 5 Matters, (no date) </w:t>
      </w:r>
      <w:r w:rsidRPr="0FC8327A">
        <w:rPr>
          <w:rFonts w:ascii="Aptos" w:eastAsia="Aptos" w:hAnsi="Aptos" w:cs="Aptos"/>
          <w:i/>
          <w:iCs/>
          <w:color w:val="000000" w:themeColor="text1"/>
          <w:sz w:val="18"/>
          <w:szCs w:val="18"/>
          <w:lang w:val="en-US"/>
        </w:rPr>
        <w:t>Guidance by the Sector, for the Sector</w:t>
      </w:r>
      <w:r w:rsidRPr="0FC8327A">
        <w:rPr>
          <w:rFonts w:ascii="Aptos" w:eastAsia="Aptos" w:hAnsi="Aptos" w:cs="Aptos"/>
          <w:color w:val="000000" w:themeColor="text1"/>
          <w:sz w:val="18"/>
          <w:szCs w:val="18"/>
          <w:lang w:val="en-US"/>
        </w:rPr>
        <w:t xml:space="preserve">. Specific Areas. Available at </w:t>
      </w:r>
      <w:hyperlink r:id="rId7">
        <w:r w:rsidRPr="0FC8327A">
          <w:rPr>
            <w:rStyle w:val="Hyperlink"/>
            <w:rFonts w:ascii="Aptos" w:eastAsia="Aptos" w:hAnsi="Aptos" w:cs="Aptos"/>
            <w:sz w:val="18"/>
            <w:szCs w:val="18"/>
            <w:lang w:val="en-US"/>
          </w:rPr>
          <w:t>https://birthto5matters.org.uk/specific-areas-of-learning-and-development-provide-children-with-knowledge-and-skills-to-flourish-in-society/</w:t>
        </w:r>
      </w:hyperlink>
      <w:r w:rsidRPr="0FC8327A">
        <w:rPr>
          <w:rFonts w:ascii="Aptos" w:eastAsia="Aptos" w:hAnsi="Aptos" w:cs="Aptos"/>
          <w:color w:val="000000" w:themeColor="text1"/>
          <w:sz w:val="18"/>
          <w:szCs w:val="18"/>
          <w:lang w:val="en-US"/>
        </w:rPr>
        <w:t xml:space="preserve"> (Accessed 27</w:t>
      </w:r>
      <w:r w:rsidRPr="0FC8327A">
        <w:rPr>
          <w:rFonts w:ascii="Aptos" w:eastAsia="Aptos" w:hAnsi="Aptos" w:cs="Aptos"/>
          <w:color w:val="000000" w:themeColor="text1"/>
          <w:sz w:val="18"/>
          <w:szCs w:val="18"/>
          <w:vertAlign w:val="superscript"/>
          <w:lang w:val="en-US"/>
        </w:rPr>
        <w:t>th</w:t>
      </w:r>
      <w:r w:rsidRPr="0FC8327A">
        <w:rPr>
          <w:rFonts w:ascii="Aptos" w:eastAsia="Aptos" w:hAnsi="Aptos" w:cs="Aptos"/>
          <w:color w:val="000000" w:themeColor="text1"/>
          <w:sz w:val="18"/>
          <w:szCs w:val="18"/>
          <w:lang w:val="en-US"/>
        </w:rPr>
        <w:t xml:space="preserve"> October 2024)</w:t>
      </w:r>
    </w:p>
    <w:p w14:paraId="02ECB417" w14:textId="5FD12567" w:rsidR="0FC8327A" w:rsidRDefault="0FC8327A" w:rsidP="0FC8327A">
      <w:pPr>
        <w:spacing w:after="0" w:line="360" w:lineRule="auto"/>
        <w:rPr>
          <w:rFonts w:ascii="Aptos" w:eastAsia="Aptos" w:hAnsi="Aptos" w:cs="Aptos"/>
          <w:color w:val="000000" w:themeColor="text1"/>
          <w:sz w:val="18"/>
          <w:szCs w:val="18"/>
        </w:rPr>
      </w:pPr>
    </w:p>
    <w:p w14:paraId="5AF2C554" w14:textId="75A83B2C"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Bowlby, J. (1965). </w:t>
      </w:r>
      <w:r w:rsidRPr="0FC8327A">
        <w:rPr>
          <w:rFonts w:ascii="Aptos" w:eastAsia="Aptos" w:hAnsi="Aptos" w:cs="Aptos"/>
          <w:i/>
          <w:iCs/>
          <w:color w:val="000000" w:themeColor="text1"/>
          <w:sz w:val="18"/>
          <w:szCs w:val="18"/>
          <w:lang w:val="en-US"/>
        </w:rPr>
        <w:t xml:space="preserve">Childcare and the growth of love. </w:t>
      </w:r>
      <w:r w:rsidRPr="0FC8327A">
        <w:rPr>
          <w:rFonts w:ascii="Aptos" w:eastAsia="Aptos" w:hAnsi="Aptos" w:cs="Aptos"/>
          <w:color w:val="000000" w:themeColor="text1"/>
          <w:sz w:val="18"/>
          <w:szCs w:val="18"/>
          <w:lang w:val="en-US"/>
        </w:rPr>
        <w:t>Harmondsworth: Penguin.</w:t>
      </w:r>
    </w:p>
    <w:p w14:paraId="23526672" w14:textId="4E9669C4" w:rsidR="0FC8327A" w:rsidRDefault="0FC8327A" w:rsidP="0FC8327A">
      <w:pPr>
        <w:spacing w:after="0" w:line="360" w:lineRule="auto"/>
        <w:rPr>
          <w:rFonts w:ascii="Aptos" w:eastAsia="Aptos" w:hAnsi="Aptos" w:cs="Aptos"/>
          <w:color w:val="000000" w:themeColor="text1"/>
          <w:sz w:val="18"/>
          <w:szCs w:val="18"/>
        </w:rPr>
      </w:pPr>
    </w:p>
    <w:p w14:paraId="17205FC3" w14:textId="66BB2DB3" w:rsidR="50FC98CD" w:rsidRDefault="50FC98CD" w:rsidP="0FC8327A">
      <w:pPr>
        <w:spacing w:after="0" w:line="360" w:lineRule="auto"/>
        <w:rPr>
          <w:rFonts w:ascii="Aptos" w:eastAsia="Aptos" w:hAnsi="Aptos" w:cs="Aptos"/>
          <w:color w:val="222222"/>
          <w:sz w:val="18"/>
          <w:szCs w:val="18"/>
        </w:rPr>
      </w:pPr>
      <w:r w:rsidRPr="0FC8327A">
        <w:rPr>
          <w:rFonts w:ascii="Aptos" w:eastAsia="Aptos" w:hAnsi="Aptos" w:cs="Aptos"/>
          <w:color w:val="222222"/>
          <w:sz w:val="18"/>
          <w:szCs w:val="18"/>
          <w:lang w:val="en-US"/>
        </w:rPr>
        <w:t xml:space="preserve">Brown, C.S., (2014). Language and literacy development in the early years: Foundational skills that support emergent readers. </w:t>
      </w:r>
      <w:r w:rsidRPr="0FC8327A">
        <w:rPr>
          <w:rFonts w:ascii="Aptos" w:eastAsia="Aptos" w:hAnsi="Aptos" w:cs="Aptos"/>
          <w:i/>
          <w:iCs/>
          <w:color w:val="222222"/>
          <w:sz w:val="18"/>
          <w:szCs w:val="18"/>
          <w:lang w:val="en-US"/>
        </w:rPr>
        <w:t>Language and Literacy Spectrum</w:t>
      </w:r>
      <w:r w:rsidRPr="0FC8327A">
        <w:rPr>
          <w:rFonts w:ascii="Aptos" w:eastAsia="Aptos" w:hAnsi="Aptos" w:cs="Aptos"/>
          <w:color w:val="222222"/>
          <w:sz w:val="18"/>
          <w:szCs w:val="18"/>
          <w:lang w:val="en-US"/>
        </w:rPr>
        <w:t xml:space="preserve">, </w:t>
      </w:r>
      <w:r w:rsidRPr="0FC8327A">
        <w:rPr>
          <w:rFonts w:ascii="Aptos" w:eastAsia="Aptos" w:hAnsi="Aptos" w:cs="Aptos"/>
          <w:i/>
          <w:iCs/>
          <w:color w:val="222222"/>
          <w:sz w:val="18"/>
          <w:szCs w:val="18"/>
          <w:lang w:val="en-US"/>
        </w:rPr>
        <w:t>24</w:t>
      </w:r>
      <w:r w:rsidRPr="0FC8327A">
        <w:rPr>
          <w:rFonts w:ascii="Aptos" w:eastAsia="Aptos" w:hAnsi="Aptos" w:cs="Aptos"/>
          <w:color w:val="222222"/>
          <w:sz w:val="18"/>
          <w:szCs w:val="18"/>
          <w:lang w:val="en-US"/>
        </w:rPr>
        <w:t xml:space="preserve">, pp.35-49. Available at </w:t>
      </w:r>
      <w:hyperlink r:id="rId8">
        <w:r w:rsidRPr="0FC8327A">
          <w:rPr>
            <w:rStyle w:val="Hyperlink"/>
            <w:rFonts w:ascii="Aptos" w:eastAsia="Aptos" w:hAnsi="Aptos" w:cs="Aptos"/>
            <w:sz w:val="18"/>
            <w:szCs w:val="18"/>
            <w:lang w:val="en-US"/>
          </w:rPr>
          <w:t>https://files.eric.ed.gov/fulltext/EJ1034914.pdf</w:t>
        </w:r>
      </w:hyperlink>
      <w:r w:rsidRPr="0FC8327A">
        <w:rPr>
          <w:rFonts w:ascii="Aptos" w:eastAsia="Aptos" w:hAnsi="Aptos" w:cs="Aptos"/>
          <w:color w:val="222222"/>
          <w:sz w:val="18"/>
          <w:szCs w:val="18"/>
          <w:lang w:val="en-US"/>
        </w:rPr>
        <w:t xml:space="preserve"> (Accessed 26</w:t>
      </w:r>
      <w:r w:rsidRPr="0FC8327A">
        <w:rPr>
          <w:rFonts w:ascii="Aptos" w:eastAsia="Aptos" w:hAnsi="Aptos" w:cs="Aptos"/>
          <w:color w:val="222222"/>
          <w:sz w:val="18"/>
          <w:szCs w:val="18"/>
          <w:vertAlign w:val="superscript"/>
          <w:lang w:val="en-US"/>
        </w:rPr>
        <w:t>th</w:t>
      </w:r>
      <w:r w:rsidRPr="0FC8327A">
        <w:rPr>
          <w:rFonts w:ascii="Aptos" w:eastAsia="Aptos" w:hAnsi="Aptos" w:cs="Aptos"/>
          <w:color w:val="222222"/>
          <w:sz w:val="18"/>
          <w:szCs w:val="18"/>
          <w:lang w:val="en-US"/>
        </w:rPr>
        <w:t xml:space="preserve"> October 2024)</w:t>
      </w:r>
    </w:p>
    <w:p w14:paraId="11F863F0" w14:textId="04E8AAFD" w:rsidR="0FC8327A" w:rsidRDefault="0FC8327A" w:rsidP="0FC8327A">
      <w:pPr>
        <w:spacing w:after="0" w:line="360" w:lineRule="auto"/>
        <w:rPr>
          <w:rFonts w:ascii="Aptos" w:eastAsia="Aptos" w:hAnsi="Aptos" w:cs="Aptos"/>
          <w:color w:val="222222"/>
          <w:sz w:val="18"/>
          <w:szCs w:val="18"/>
        </w:rPr>
      </w:pPr>
    </w:p>
    <w:p w14:paraId="086E8D27" w14:textId="4025B3C0"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Bruner, J. S. (1990). Acts of meaning. London: Harvard University Press.</w:t>
      </w:r>
    </w:p>
    <w:p w14:paraId="39056D77" w14:textId="7A2259E5" w:rsidR="0FC8327A" w:rsidRDefault="0FC8327A" w:rsidP="0FC8327A">
      <w:pPr>
        <w:spacing w:after="0" w:line="360" w:lineRule="auto"/>
        <w:rPr>
          <w:rFonts w:ascii="Aptos" w:eastAsia="Aptos" w:hAnsi="Aptos" w:cs="Aptos"/>
          <w:color w:val="222222"/>
          <w:sz w:val="18"/>
          <w:szCs w:val="18"/>
        </w:rPr>
      </w:pPr>
    </w:p>
    <w:p w14:paraId="6FF05CD4" w14:textId="4A2B35D7" w:rsidR="50FC98CD" w:rsidRDefault="50FC98CD" w:rsidP="0FC8327A">
      <w:pPr>
        <w:spacing w:after="0" w:line="360" w:lineRule="auto"/>
        <w:rPr>
          <w:rFonts w:ascii="Aptos" w:eastAsia="Aptos" w:hAnsi="Aptos" w:cs="Aptos"/>
          <w:color w:val="222222"/>
          <w:sz w:val="18"/>
          <w:szCs w:val="18"/>
        </w:rPr>
      </w:pPr>
      <w:r w:rsidRPr="0FC8327A">
        <w:rPr>
          <w:rFonts w:ascii="Aptos" w:eastAsia="Aptos" w:hAnsi="Aptos" w:cs="Aptos"/>
          <w:color w:val="222222"/>
          <w:sz w:val="18"/>
          <w:szCs w:val="18"/>
          <w:lang w:val="en-US"/>
        </w:rPr>
        <w:t xml:space="preserve">Bus, A.G. and Neuman, S.B., (2014). </w:t>
      </w:r>
      <w:r w:rsidRPr="0FC8327A">
        <w:rPr>
          <w:rFonts w:ascii="Aptos" w:eastAsia="Aptos" w:hAnsi="Aptos" w:cs="Aptos"/>
          <w:i/>
          <w:iCs/>
          <w:color w:val="222222"/>
          <w:sz w:val="18"/>
          <w:szCs w:val="18"/>
          <w:lang w:val="en-US"/>
        </w:rPr>
        <w:t>Multimedia and literacy development: Improving achievement for young learners</w:t>
      </w:r>
      <w:r w:rsidRPr="0FC8327A">
        <w:rPr>
          <w:rFonts w:ascii="Aptos" w:eastAsia="Aptos" w:hAnsi="Aptos" w:cs="Aptos"/>
          <w:color w:val="222222"/>
          <w:sz w:val="18"/>
          <w:szCs w:val="18"/>
          <w:lang w:val="en-US"/>
        </w:rPr>
        <w:t>. Routledge.</w:t>
      </w:r>
    </w:p>
    <w:p w14:paraId="6C77D47E" w14:textId="60C3777A" w:rsidR="0FC8327A" w:rsidRDefault="0FC8327A" w:rsidP="0FC8327A">
      <w:pPr>
        <w:spacing w:after="0" w:line="360" w:lineRule="auto"/>
        <w:rPr>
          <w:rFonts w:ascii="Aptos" w:eastAsia="Aptos" w:hAnsi="Aptos" w:cs="Aptos"/>
          <w:color w:val="222222"/>
          <w:sz w:val="18"/>
          <w:szCs w:val="18"/>
        </w:rPr>
      </w:pPr>
    </w:p>
    <w:p w14:paraId="0DF9F5E0" w14:textId="18EC9D3D"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Byers-Heinlein, K. </w:t>
      </w:r>
      <w:r w:rsidRPr="0FC8327A">
        <w:rPr>
          <w:rFonts w:ascii="Aptos" w:eastAsia="Aptos" w:hAnsi="Aptos" w:cs="Aptos"/>
          <w:i/>
          <w:iCs/>
          <w:color w:val="000000" w:themeColor="text1"/>
          <w:sz w:val="18"/>
          <w:szCs w:val="18"/>
          <w:lang w:val="en-US"/>
        </w:rPr>
        <w:t>et al.</w:t>
      </w:r>
      <w:r w:rsidRPr="0FC8327A">
        <w:rPr>
          <w:rFonts w:ascii="Aptos" w:eastAsia="Aptos" w:hAnsi="Aptos" w:cs="Aptos"/>
          <w:color w:val="000000" w:themeColor="text1"/>
          <w:sz w:val="18"/>
          <w:szCs w:val="18"/>
          <w:lang w:val="en-US"/>
        </w:rPr>
        <w:t xml:space="preserve"> (2021) A </w:t>
      </w:r>
      <w:proofErr w:type="spellStart"/>
      <w:r w:rsidRPr="0FC8327A">
        <w:rPr>
          <w:rFonts w:ascii="Aptos" w:eastAsia="Aptos" w:hAnsi="Aptos" w:cs="Aptos"/>
          <w:color w:val="000000" w:themeColor="text1"/>
          <w:sz w:val="18"/>
          <w:szCs w:val="18"/>
          <w:lang w:val="en-US"/>
        </w:rPr>
        <w:t>Multilab</w:t>
      </w:r>
      <w:proofErr w:type="spellEnd"/>
      <w:r w:rsidRPr="0FC8327A">
        <w:rPr>
          <w:rFonts w:ascii="Aptos" w:eastAsia="Aptos" w:hAnsi="Aptos" w:cs="Aptos"/>
          <w:color w:val="000000" w:themeColor="text1"/>
          <w:sz w:val="18"/>
          <w:szCs w:val="18"/>
          <w:lang w:val="en-US"/>
        </w:rPr>
        <w:t xml:space="preserve"> Study of Bilingual Infants: Exploring the Preference for Infant-Directed Speech’, </w:t>
      </w:r>
      <w:r w:rsidRPr="0FC8327A">
        <w:rPr>
          <w:rFonts w:ascii="Aptos" w:eastAsia="Aptos" w:hAnsi="Aptos" w:cs="Aptos"/>
          <w:i/>
          <w:iCs/>
          <w:color w:val="000000" w:themeColor="text1"/>
          <w:sz w:val="18"/>
          <w:szCs w:val="18"/>
          <w:lang w:val="en-US"/>
        </w:rPr>
        <w:t>Advances in methods and practices in psychological science</w:t>
      </w:r>
      <w:r w:rsidRPr="0FC8327A">
        <w:rPr>
          <w:rFonts w:ascii="Aptos" w:eastAsia="Aptos" w:hAnsi="Aptos" w:cs="Aptos"/>
          <w:color w:val="000000" w:themeColor="text1"/>
          <w:sz w:val="18"/>
          <w:szCs w:val="18"/>
          <w:lang w:val="en-US"/>
        </w:rPr>
        <w:t xml:space="preserve">, 4(1). Available at: </w:t>
      </w:r>
      <w:hyperlink r:id="rId9">
        <w:r w:rsidRPr="0FC8327A">
          <w:rPr>
            <w:rStyle w:val="Hyperlink"/>
            <w:rFonts w:ascii="Aptos" w:eastAsia="Aptos" w:hAnsi="Aptos" w:cs="Aptos"/>
            <w:sz w:val="18"/>
            <w:szCs w:val="18"/>
            <w:lang w:val="en-US"/>
          </w:rPr>
          <w:t>https://doi.org/10.1177/2515245920974622</w:t>
        </w:r>
      </w:hyperlink>
      <w:r w:rsidRPr="0FC8327A">
        <w:rPr>
          <w:rFonts w:ascii="Aptos" w:eastAsia="Aptos" w:hAnsi="Aptos" w:cs="Aptos"/>
          <w:color w:val="000000" w:themeColor="text1"/>
          <w:sz w:val="18"/>
          <w:szCs w:val="18"/>
          <w:lang w:val="en-US"/>
        </w:rPr>
        <w:t>.</w:t>
      </w:r>
    </w:p>
    <w:p w14:paraId="74163566" w14:textId="00C4B0BF" w:rsidR="0FC8327A" w:rsidRDefault="0FC8327A" w:rsidP="0FC8327A">
      <w:pPr>
        <w:spacing w:after="0" w:line="360" w:lineRule="auto"/>
        <w:rPr>
          <w:rFonts w:ascii="Aptos" w:eastAsia="Aptos" w:hAnsi="Aptos" w:cs="Aptos"/>
          <w:color w:val="222222"/>
          <w:sz w:val="18"/>
          <w:szCs w:val="18"/>
        </w:rPr>
      </w:pPr>
    </w:p>
    <w:p w14:paraId="79865B03" w14:textId="6C90FFBA"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3A3A3A" w:themeColor="background2" w:themeShade="40"/>
          <w:sz w:val="18"/>
          <w:szCs w:val="18"/>
          <w:lang w:val="en-US"/>
        </w:rPr>
        <w:t>Cleveland, H. (2016). ‘Why reading matters, according to Dr Seuss.’</w:t>
      </w:r>
      <w:r w:rsidRPr="0FC8327A">
        <w:rPr>
          <w:rFonts w:ascii="Aptos" w:eastAsia="Aptos" w:hAnsi="Aptos" w:cs="Aptos"/>
          <w:i/>
          <w:iCs/>
          <w:color w:val="3A3A3A" w:themeColor="background2" w:themeShade="40"/>
          <w:sz w:val="18"/>
          <w:szCs w:val="18"/>
          <w:lang w:val="en-US"/>
        </w:rPr>
        <w:t xml:space="preserve"> - Readingpartners.org. </w:t>
      </w:r>
      <w:r w:rsidRPr="0FC8327A">
        <w:rPr>
          <w:rFonts w:ascii="Aptos" w:eastAsia="Aptos" w:hAnsi="Aptos" w:cs="Aptos"/>
          <w:color w:val="3A3A3A" w:themeColor="background2" w:themeShade="40"/>
          <w:sz w:val="18"/>
          <w:szCs w:val="18"/>
          <w:lang w:val="en-US"/>
        </w:rPr>
        <w:t xml:space="preserve">Available at </w:t>
      </w:r>
      <w:hyperlink r:id="rId10">
        <w:r w:rsidRPr="0FC8327A">
          <w:rPr>
            <w:rStyle w:val="Hyperlink"/>
            <w:rFonts w:ascii="Aptos" w:eastAsia="Aptos" w:hAnsi="Aptos" w:cs="Aptos"/>
            <w:sz w:val="18"/>
            <w:szCs w:val="18"/>
            <w:lang w:val="en-US"/>
          </w:rPr>
          <w:t>https://readingpartners.org/blog/why-reading-matters-according-to-dr-seuss</w:t>
        </w:r>
      </w:hyperlink>
      <w:r w:rsidRPr="0FC8327A">
        <w:rPr>
          <w:rFonts w:ascii="Aptos" w:eastAsia="Aptos" w:hAnsi="Aptos" w:cs="Aptos"/>
          <w:color w:val="000000" w:themeColor="text1"/>
          <w:sz w:val="18"/>
          <w:szCs w:val="18"/>
          <w:lang w:val="en-US"/>
        </w:rPr>
        <w:t xml:space="preserve"> (Accessed 24</w:t>
      </w:r>
      <w:r w:rsidRPr="0FC8327A">
        <w:rPr>
          <w:rFonts w:ascii="Aptos" w:eastAsia="Aptos" w:hAnsi="Aptos" w:cs="Aptos"/>
          <w:color w:val="000000" w:themeColor="text1"/>
          <w:sz w:val="18"/>
          <w:szCs w:val="18"/>
          <w:vertAlign w:val="superscript"/>
          <w:lang w:val="en-US"/>
        </w:rPr>
        <w:t>th</w:t>
      </w:r>
      <w:r w:rsidRPr="0FC8327A">
        <w:rPr>
          <w:rFonts w:ascii="Aptos" w:eastAsia="Aptos" w:hAnsi="Aptos" w:cs="Aptos"/>
          <w:color w:val="000000" w:themeColor="text1"/>
          <w:sz w:val="18"/>
          <w:szCs w:val="18"/>
          <w:lang w:val="en-US"/>
        </w:rPr>
        <w:t xml:space="preserve"> October 2024)</w:t>
      </w:r>
    </w:p>
    <w:p w14:paraId="3FE37ABD" w14:textId="78D55745" w:rsidR="0FC8327A" w:rsidRDefault="0FC8327A" w:rsidP="0FC8327A">
      <w:pPr>
        <w:spacing w:line="360" w:lineRule="auto"/>
        <w:rPr>
          <w:rFonts w:ascii="Aptos" w:eastAsia="Aptos" w:hAnsi="Aptos" w:cs="Aptos"/>
          <w:color w:val="222222"/>
          <w:sz w:val="18"/>
          <w:szCs w:val="18"/>
        </w:rPr>
      </w:pPr>
    </w:p>
    <w:p w14:paraId="7D1C0FA3" w14:textId="4F0C1D76" w:rsidR="50FC98CD" w:rsidRDefault="50FC98CD" w:rsidP="0FC8327A">
      <w:pPr>
        <w:spacing w:line="360" w:lineRule="auto"/>
        <w:rPr>
          <w:rFonts w:ascii="Aptos" w:eastAsia="Aptos" w:hAnsi="Aptos" w:cs="Aptos"/>
          <w:color w:val="222222"/>
          <w:sz w:val="18"/>
          <w:szCs w:val="18"/>
        </w:rPr>
      </w:pPr>
      <w:r w:rsidRPr="0FC8327A">
        <w:rPr>
          <w:rFonts w:ascii="Aptos" w:eastAsia="Aptos" w:hAnsi="Aptos" w:cs="Aptos"/>
          <w:color w:val="222222"/>
          <w:sz w:val="18"/>
          <w:szCs w:val="18"/>
          <w:lang w:val="en-US"/>
        </w:rPr>
        <w:t xml:space="preserve">Egan, D. and Grigg, R., 2017. Professional learning for teachers in Wales. </w:t>
      </w:r>
      <w:r w:rsidRPr="0FC8327A">
        <w:rPr>
          <w:rFonts w:ascii="Aptos" w:eastAsia="Aptos" w:hAnsi="Aptos" w:cs="Aptos"/>
          <w:i/>
          <w:iCs/>
          <w:color w:val="222222"/>
          <w:sz w:val="18"/>
          <w:szCs w:val="18"/>
          <w:lang w:val="en-US"/>
        </w:rPr>
        <w:t>Wales Journal of Education</w:t>
      </w:r>
      <w:r w:rsidRPr="0FC8327A">
        <w:rPr>
          <w:rFonts w:ascii="Aptos" w:eastAsia="Aptos" w:hAnsi="Aptos" w:cs="Aptos"/>
          <w:color w:val="222222"/>
          <w:sz w:val="18"/>
          <w:szCs w:val="18"/>
          <w:lang w:val="en-US"/>
        </w:rPr>
        <w:t xml:space="preserve">, </w:t>
      </w:r>
      <w:r w:rsidRPr="0FC8327A">
        <w:rPr>
          <w:rFonts w:ascii="Aptos" w:eastAsia="Aptos" w:hAnsi="Aptos" w:cs="Aptos"/>
          <w:i/>
          <w:iCs/>
          <w:color w:val="222222"/>
          <w:sz w:val="18"/>
          <w:szCs w:val="18"/>
          <w:lang w:val="en-US"/>
        </w:rPr>
        <w:t>19</w:t>
      </w:r>
      <w:r w:rsidRPr="0FC8327A">
        <w:rPr>
          <w:rFonts w:ascii="Aptos" w:eastAsia="Aptos" w:hAnsi="Aptos" w:cs="Aptos"/>
          <w:color w:val="222222"/>
          <w:sz w:val="18"/>
          <w:szCs w:val="18"/>
          <w:lang w:val="en-US"/>
        </w:rPr>
        <w:t>(1)</w:t>
      </w:r>
    </w:p>
    <w:p w14:paraId="731273BE" w14:textId="74992A87" w:rsidR="0FC8327A" w:rsidRDefault="0FC8327A" w:rsidP="0FC8327A">
      <w:pPr>
        <w:spacing w:line="360" w:lineRule="auto"/>
        <w:rPr>
          <w:rFonts w:ascii="Aptos" w:eastAsia="Aptos" w:hAnsi="Aptos" w:cs="Aptos"/>
          <w:color w:val="222222"/>
          <w:sz w:val="18"/>
          <w:szCs w:val="18"/>
        </w:rPr>
      </w:pPr>
    </w:p>
    <w:p w14:paraId="5D7220F6" w14:textId="5C125E03"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222222"/>
          <w:sz w:val="18"/>
          <w:szCs w:val="18"/>
          <w:lang w:val="en-US"/>
        </w:rPr>
        <w:t xml:space="preserve">Hays, L. and Kammer, J. (2023). </w:t>
      </w:r>
      <w:r w:rsidRPr="0FC8327A">
        <w:rPr>
          <w:rFonts w:ascii="Aptos" w:eastAsia="Aptos" w:hAnsi="Aptos" w:cs="Aptos"/>
          <w:i/>
          <w:iCs/>
          <w:color w:val="222222"/>
          <w:sz w:val="18"/>
          <w:szCs w:val="18"/>
          <w:lang w:val="en-US"/>
        </w:rPr>
        <w:t>Integrating digital literacy in the disciplines</w:t>
      </w:r>
      <w:r w:rsidRPr="0FC8327A">
        <w:rPr>
          <w:rFonts w:ascii="Aptos" w:eastAsia="Aptos" w:hAnsi="Aptos" w:cs="Aptos"/>
          <w:color w:val="222222"/>
          <w:sz w:val="18"/>
          <w:szCs w:val="18"/>
          <w:lang w:val="en-US"/>
        </w:rPr>
        <w:t xml:space="preserve">. Taylor &amp; Francis. Available at </w:t>
      </w:r>
      <w:hyperlink r:id="rId11">
        <w:r w:rsidRPr="0FC8327A">
          <w:rPr>
            <w:rStyle w:val="Hyperlink"/>
            <w:rFonts w:ascii="Aptos" w:eastAsia="Aptos" w:hAnsi="Aptos" w:cs="Aptos"/>
            <w:sz w:val="18"/>
            <w:szCs w:val="18"/>
            <w:lang w:val="en-US"/>
          </w:rPr>
          <w:t>https://www.google.co.uk/books/edition/Integrating_Digital_Literacy_in_the_Disc/vg_JEAAAQBAJ?hl=en&amp;gbpv=0</w:t>
        </w:r>
      </w:hyperlink>
    </w:p>
    <w:p w14:paraId="6BD59A4E" w14:textId="40590BB3" w:rsidR="0FC8327A" w:rsidRDefault="0FC8327A" w:rsidP="0FC8327A">
      <w:pPr>
        <w:spacing w:line="360" w:lineRule="auto"/>
        <w:rPr>
          <w:rFonts w:ascii="Aptos" w:eastAsia="Aptos" w:hAnsi="Aptos" w:cs="Aptos"/>
          <w:color w:val="222222"/>
          <w:sz w:val="18"/>
          <w:szCs w:val="18"/>
        </w:rPr>
      </w:pPr>
    </w:p>
    <w:p w14:paraId="5826A335" w14:textId="47CAF029" w:rsidR="50FC98CD" w:rsidRDefault="50FC98CD" w:rsidP="0FC8327A">
      <w:pPr>
        <w:spacing w:after="0" w:line="360" w:lineRule="auto"/>
        <w:rPr>
          <w:rFonts w:ascii="Aptos" w:eastAsia="Aptos" w:hAnsi="Aptos" w:cs="Aptos"/>
          <w:color w:val="000000" w:themeColor="text1"/>
          <w:sz w:val="18"/>
          <w:szCs w:val="18"/>
        </w:rPr>
      </w:pPr>
      <w:proofErr w:type="spellStart"/>
      <w:r w:rsidRPr="0FC8327A">
        <w:rPr>
          <w:rFonts w:ascii="Aptos" w:eastAsia="Aptos" w:hAnsi="Aptos" w:cs="Aptos"/>
          <w:color w:val="000000" w:themeColor="text1"/>
          <w:sz w:val="18"/>
          <w:szCs w:val="18"/>
          <w:lang w:val="en-US"/>
        </w:rPr>
        <w:t>Hibbin</w:t>
      </w:r>
      <w:proofErr w:type="spellEnd"/>
      <w:r w:rsidRPr="0FC8327A">
        <w:rPr>
          <w:rFonts w:ascii="Aptos" w:eastAsia="Aptos" w:hAnsi="Aptos" w:cs="Aptos"/>
          <w:color w:val="000000" w:themeColor="text1"/>
          <w:sz w:val="18"/>
          <w:szCs w:val="18"/>
          <w:lang w:val="en-US"/>
        </w:rPr>
        <w:t xml:space="preserve">, R. (2016) ‘The psychosocial benefits of oral storytelling in school: developing identity and empathy through narrative’, </w:t>
      </w:r>
      <w:r w:rsidRPr="0FC8327A">
        <w:rPr>
          <w:rFonts w:ascii="Aptos" w:eastAsia="Aptos" w:hAnsi="Aptos" w:cs="Aptos"/>
          <w:i/>
          <w:iCs/>
          <w:color w:val="000000" w:themeColor="text1"/>
          <w:sz w:val="18"/>
          <w:szCs w:val="18"/>
          <w:lang w:val="en-US"/>
        </w:rPr>
        <w:t>Pastoral care in education</w:t>
      </w:r>
      <w:r w:rsidRPr="0FC8327A">
        <w:rPr>
          <w:rFonts w:ascii="Aptos" w:eastAsia="Aptos" w:hAnsi="Aptos" w:cs="Aptos"/>
          <w:color w:val="000000" w:themeColor="text1"/>
          <w:sz w:val="18"/>
          <w:szCs w:val="18"/>
          <w:lang w:val="en-US"/>
        </w:rPr>
        <w:t xml:space="preserve">, 34(4), pp. 218–231. Available at: </w:t>
      </w:r>
      <w:hyperlink r:id="rId12">
        <w:r w:rsidRPr="0FC8327A">
          <w:rPr>
            <w:rStyle w:val="Hyperlink"/>
            <w:rFonts w:ascii="Aptos" w:eastAsia="Aptos" w:hAnsi="Aptos" w:cs="Aptos"/>
            <w:sz w:val="18"/>
            <w:szCs w:val="18"/>
            <w:lang w:val="en-US"/>
          </w:rPr>
          <w:t>https://doi.org/10.1080/02643944.2016.1225315</w:t>
        </w:r>
      </w:hyperlink>
      <w:r w:rsidRPr="0FC8327A">
        <w:rPr>
          <w:rFonts w:ascii="Aptos" w:eastAsia="Aptos" w:hAnsi="Aptos" w:cs="Aptos"/>
          <w:color w:val="000000" w:themeColor="text1"/>
          <w:sz w:val="18"/>
          <w:szCs w:val="18"/>
          <w:lang w:val="en-US"/>
        </w:rPr>
        <w:t>.</w:t>
      </w:r>
    </w:p>
    <w:p w14:paraId="0AE02696" w14:textId="58A7478A" w:rsidR="0FC8327A" w:rsidRDefault="0FC8327A" w:rsidP="0FC8327A">
      <w:pPr>
        <w:spacing w:after="0" w:line="360" w:lineRule="auto"/>
        <w:rPr>
          <w:rFonts w:ascii="Aptos" w:eastAsia="Aptos" w:hAnsi="Aptos" w:cs="Aptos"/>
          <w:color w:val="000000" w:themeColor="text1"/>
          <w:sz w:val="18"/>
          <w:szCs w:val="18"/>
        </w:rPr>
      </w:pPr>
    </w:p>
    <w:p w14:paraId="7DE32756" w14:textId="4AE9A581"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HM Government. Department for Education (2024). </w:t>
      </w:r>
      <w:r w:rsidRPr="0FC8327A">
        <w:rPr>
          <w:rFonts w:ascii="Aptos" w:eastAsia="Aptos" w:hAnsi="Aptos" w:cs="Aptos"/>
          <w:i/>
          <w:iCs/>
          <w:color w:val="000000" w:themeColor="text1"/>
          <w:sz w:val="18"/>
          <w:szCs w:val="18"/>
          <w:lang w:val="en-US"/>
        </w:rPr>
        <w:t xml:space="preserve">Relationships. </w:t>
      </w:r>
      <w:r w:rsidRPr="0FC8327A">
        <w:rPr>
          <w:rFonts w:ascii="Aptos" w:eastAsia="Aptos" w:hAnsi="Aptos" w:cs="Aptos"/>
          <w:color w:val="000000" w:themeColor="text1"/>
          <w:sz w:val="18"/>
          <w:szCs w:val="18"/>
          <w:lang w:val="en-US"/>
        </w:rPr>
        <w:t xml:space="preserve">Available at </w:t>
      </w:r>
      <w:hyperlink r:id="rId13">
        <w:r w:rsidRPr="0FC8327A">
          <w:rPr>
            <w:rStyle w:val="Hyperlink"/>
            <w:rFonts w:ascii="Aptos" w:eastAsia="Aptos" w:hAnsi="Aptos" w:cs="Aptos"/>
            <w:sz w:val="18"/>
            <w:szCs w:val="18"/>
            <w:lang w:val="en-US"/>
          </w:rPr>
          <w:t>https://help-for-early-years-providers.education.gov.uk/personal-social-and-emotional-development/relationships</w:t>
        </w:r>
      </w:hyperlink>
      <w:r w:rsidRPr="0FC8327A">
        <w:rPr>
          <w:rFonts w:ascii="Aptos" w:eastAsia="Aptos" w:hAnsi="Aptos" w:cs="Aptos"/>
          <w:color w:val="000000" w:themeColor="text1"/>
          <w:sz w:val="18"/>
          <w:szCs w:val="18"/>
          <w:lang w:val="en-US"/>
        </w:rPr>
        <w:t xml:space="preserve"> (Accessed 26</w:t>
      </w:r>
      <w:r w:rsidRPr="0FC8327A">
        <w:rPr>
          <w:rFonts w:ascii="Aptos" w:eastAsia="Aptos" w:hAnsi="Aptos" w:cs="Aptos"/>
          <w:color w:val="000000" w:themeColor="text1"/>
          <w:sz w:val="18"/>
          <w:szCs w:val="18"/>
          <w:vertAlign w:val="superscript"/>
          <w:lang w:val="en-US"/>
        </w:rPr>
        <w:t>th</w:t>
      </w:r>
      <w:r w:rsidRPr="0FC8327A">
        <w:rPr>
          <w:rFonts w:ascii="Aptos" w:eastAsia="Aptos" w:hAnsi="Aptos" w:cs="Aptos"/>
          <w:color w:val="000000" w:themeColor="text1"/>
          <w:sz w:val="18"/>
          <w:szCs w:val="18"/>
          <w:lang w:val="en-US"/>
        </w:rPr>
        <w:t xml:space="preserve"> October 2024)</w:t>
      </w:r>
    </w:p>
    <w:p w14:paraId="526F3FE2" w14:textId="03F8211B" w:rsidR="0FC8327A" w:rsidRDefault="0FC8327A" w:rsidP="0FC8327A">
      <w:pPr>
        <w:spacing w:line="360" w:lineRule="auto"/>
        <w:rPr>
          <w:rFonts w:ascii="Aptos" w:eastAsia="Aptos" w:hAnsi="Aptos" w:cs="Aptos"/>
          <w:color w:val="222222"/>
          <w:sz w:val="18"/>
          <w:szCs w:val="18"/>
        </w:rPr>
      </w:pPr>
    </w:p>
    <w:p w14:paraId="44A7294E" w14:textId="4F7DE85B" w:rsidR="50FC98CD" w:rsidRDefault="50FC98CD" w:rsidP="0FC8327A">
      <w:pPr>
        <w:spacing w:after="0" w:line="360" w:lineRule="auto"/>
        <w:rPr>
          <w:rFonts w:ascii="Aptos" w:eastAsia="Aptos" w:hAnsi="Aptos" w:cs="Aptos"/>
          <w:color w:val="222222"/>
          <w:sz w:val="18"/>
          <w:szCs w:val="18"/>
        </w:rPr>
      </w:pPr>
      <w:r w:rsidRPr="0FC8327A">
        <w:rPr>
          <w:rFonts w:ascii="Aptos" w:eastAsia="Aptos" w:hAnsi="Aptos" w:cs="Aptos"/>
          <w:color w:val="222222"/>
          <w:sz w:val="18"/>
          <w:szCs w:val="18"/>
          <w:lang w:val="en-US"/>
        </w:rPr>
        <w:t xml:space="preserve">Israel, S.E. (2007). </w:t>
      </w:r>
      <w:r w:rsidRPr="0FC8327A">
        <w:rPr>
          <w:rFonts w:ascii="Aptos" w:eastAsia="Aptos" w:hAnsi="Aptos" w:cs="Aptos"/>
          <w:i/>
          <w:iCs/>
          <w:color w:val="222222"/>
          <w:sz w:val="18"/>
          <w:szCs w:val="18"/>
          <w:lang w:val="en-US"/>
        </w:rPr>
        <w:t>Early reading first and beyond: A guide to building early literacy skills</w:t>
      </w:r>
      <w:r w:rsidRPr="0FC8327A">
        <w:rPr>
          <w:rFonts w:ascii="Aptos" w:eastAsia="Aptos" w:hAnsi="Aptos" w:cs="Aptos"/>
          <w:color w:val="222222"/>
          <w:sz w:val="18"/>
          <w:szCs w:val="18"/>
          <w:lang w:val="en-US"/>
        </w:rPr>
        <w:t>. Corwin Press.</w:t>
      </w:r>
    </w:p>
    <w:p w14:paraId="4835C7DD" w14:textId="0945A2CC" w:rsidR="0FC8327A" w:rsidRDefault="0FC8327A" w:rsidP="0FC8327A">
      <w:pPr>
        <w:spacing w:line="360" w:lineRule="auto"/>
        <w:rPr>
          <w:rFonts w:ascii="Aptos" w:eastAsia="Aptos" w:hAnsi="Aptos" w:cs="Aptos"/>
          <w:color w:val="222222"/>
          <w:sz w:val="18"/>
          <w:szCs w:val="18"/>
        </w:rPr>
      </w:pPr>
    </w:p>
    <w:p w14:paraId="22EB31FF" w14:textId="38B1310B" w:rsidR="50FC98CD" w:rsidRDefault="50FC98CD" w:rsidP="0FC8327A">
      <w:pPr>
        <w:spacing w:after="0" w:line="360" w:lineRule="auto"/>
        <w:rPr>
          <w:rFonts w:ascii="Aptos" w:eastAsia="Aptos" w:hAnsi="Aptos" w:cs="Aptos"/>
          <w:color w:val="3A3A3A" w:themeColor="background2" w:themeShade="40"/>
          <w:sz w:val="18"/>
          <w:szCs w:val="18"/>
        </w:rPr>
      </w:pPr>
      <w:proofErr w:type="spellStart"/>
      <w:r w:rsidRPr="0FC8327A">
        <w:rPr>
          <w:rFonts w:ascii="Aptos" w:eastAsia="Aptos" w:hAnsi="Aptos" w:cs="Aptos"/>
          <w:color w:val="3A3A3A" w:themeColor="background2" w:themeShade="40"/>
          <w:sz w:val="18"/>
          <w:szCs w:val="18"/>
          <w:lang w:val="en-US"/>
        </w:rPr>
        <w:t>Kartalkanat</w:t>
      </w:r>
      <w:proofErr w:type="spellEnd"/>
      <w:r w:rsidRPr="0FC8327A">
        <w:rPr>
          <w:rFonts w:ascii="Aptos" w:eastAsia="Aptos" w:hAnsi="Aptos" w:cs="Aptos"/>
          <w:color w:val="3A3A3A" w:themeColor="background2" w:themeShade="40"/>
          <w:sz w:val="18"/>
          <w:szCs w:val="18"/>
          <w:lang w:val="en-US"/>
        </w:rPr>
        <w:t xml:space="preserve">, H. and Göksun, T. (2020) ‘The effects of observing different gestures during storytelling on the recall of path and event information in 5-year-olds and adults’, </w:t>
      </w:r>
      <w:r w:rsidRPr="0FC8327A">
        <w:rPr>
          <w:rFonts w:ascii="Aptos" w:eastAsia="Aptos" w:hAnsi="Aptos" w:cs="Aptos"/>
          <w:i/>
          <w:iCs/>
          <w:color w:val="3A3A3A" w:themeColor="background2" w:themeShade="40"/>
          <w:sz w:val="18"/>
          <w:szCs w:val="18"/>
          <w:lang w:val="en-US"/>
        </w:rPr>
        <w:t>Journal of experimental child psychology</w:t>
      </w:r>
      <w:r w:rsidRPr="0FC8327A">
        <w:rPr>
          <w:rFonts w:ascii="Aptos" w:eastAsia="Aptos" w:hAnsi="Aptos" w:cs="Aptos"/>
          <w:color w:val="3A3A3A" w:themeColor="background2" w:themeShade="40"/>
          <w:sz w:val="18"/>
          <w:szCs w:val="18"/>
          <w:lang w:val="en-US"/>
        </w:rPr>
        <w:t xml:space="preserve">, 189, pp. 104725–104725. Available at: </w:t>
      </w:r>
      <w:hyperlink r:id="rId14">
        <w:r w:rsidRPr="0FC8327A">
          <w:rPr>
            <w:rStyle w:val="Hyperlink"/>
            <w:rFonts w:ascii="Aptos" w:eastAsia="Aptos" w:hAnsi="Aptos" w:cs="Aptos"/>
            <w:sz w:val="18"/>
            <w:szCs w:val="18"/>
            <w:lang w:val="en-US"/>
          </w:rPr>
          <w:t>https://doi.org/10.1016/j.jecp.2019.104725</w:t>
        </w:r>
      </w:hyperlink>
      <w:r w:rsidRPr="0FC8327A">
        <w:rPr>
          <w:rFonts w:ascii="Aptos" w:eastAsia="Aptos" w:hAnsi="Aptos" w:cs="Aptos"/>
          <w:color w:val="3A3A3A" w:themeColor="background2" w:themeShade="40"/>
          <w:sz w:val="18"/>
          <w:szCs w:val="18"/>
          <w:lang w:val="en-US"/>
        </w:rPr>
        <w:t>.</w:t>
      </w:r>
    </w:p>
    <w:p w14:paraId="2B019D45" w14:textId="12B4D356" w:rsidR="0FC8327A" w:rsidRDefault="0FC8327A" w:rsidP="0FC8327A">
      <w:pPr>
        <w:spacing w:after="0" w:line="360" w:lineRule="auto"/>
        <w:rPr>
          <w:rFonts w:ascii="Aptos" w:eastAsia="Aptos" w:hAnsi="Aptos" w:cs="Aptos"/>
          <w:color w:val="3A3A3A" w:themeColor="background2" w:themeShade="40"/>
          <w:sz w:val="18"/>
          <w:szCs w:val="18"/>
        </w:rPr>
      </w:pPr>
    </w:p>
    <w:p w14:paraId="3F9214A0" w14:textId="019759FE"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Laing, C. and </w:t>
      </w:r>
      <w:proofErr w:type="spellStart"/>
      <w:r w:rsidRPr="0FC8327A">
        <w:rPr>
          <w:rFonts w:ascii="Aptos" w:eastAsia="Aptos" w:hAnsi="Aptos" w:cs="Aptos"/>
          <w:color w:val="000000" w:themeColor="text1"/>
          <w:sz w:val="18"/>
          <w:szCs w:val="18"/>
          <w:lang w:val="en-US"/>
        </w:rPr>
        <w:t>Bergelson</w:t>
      </w:r>
      <w:proofErr w:type="spellEnd"/>
      <w:r w:rsidRPr="0FC8327A">
        <w:rPr>
          <w:rFonts w:ascii="Aptos" w:eastAsia="Aptos" w:hAnsi="Aptos" w:cs="Aptos"/>
          <w:color w:val="000000" w:themeColor="text1"/>
          <w:sz w:val="18"/>
          <w:szCs w:val="18"/>
          <w:lang w:val="en-US"/>
        </w:rPr>
        <w:t xml:space="preserve">, E. (2020) ‘From babble to words: Infants’ early productions match words and objects in their environment’, </w:t>
      </w:r>
      <w:r w:rsidRPr="0FC8327A">
        <w:rPr>
          <w:rFonts w:ascii="Aptos" w:eastAsia="Aptos" w:hAnsi="Aptos" w:cs="Aptos"/>
          <w:i/>
          <w:iCs/>
          <w:color w:val="000000" w:themeColor="text1"/>
          <w:sz w:val="18"/>
          <w:szCs w:val="18"/>
          <w:lang w:val="en-US"/>
        </w:rPr>
        <w:t>Cognitive psychology</w:t>
      </w:r>
      <w:r w:rsidRPr="0FC8327A">
        <w:rPr>
          <w:rFonts w:ascii="Aptos" w:eastAsia="Aptos" w:hAnsi="Aptos" w:cs="Aptos"/>
          <w:color w:val="000000" w:themeColor="text1"/>
          <w:sz w:val="18"/>
          <w:szCs w:val="18"/>
          <w:lang w:val="en-US"/>
        </w:rPr>
        <w:t xml:space="preserve">, 122, pp. 101308–101308. Available at: </w:t>
      </w:r>
      <w:hyperlink r:id="rId15">
        <w:r w:rsidRPr="0FC8327A">
          <w:rPr>
            <w:rStyle w:val="Hyperlink"/>
            <w:rFonts w:ascii="Aptos" w:eastAsia="Aptos" w:hAnsi="Aptos" w:cs="Aptos"/>
            <w:sz w:val="18"/>
            <w:szCs w:val="18"/>
            <w:lang w:val="en-US"/>
          </w:rPr>
          <w:t>https://doi.org/10.1016/j.cogpsych.2020.101308</w:t>
        </w:r>
      </w:hyperlink>
      <w:r w:rsidRPr="0FC8327A">
        <w:rPr>
          <w:rFonts w:ascii="Aptos" w:eastAsia="Aptos" w:hAnsi="Aptos" w:cs="Aptos"/>
          <w:color w:val="000000" w:themeColor="text1"/>
          <w:sz w:val="18"/>
          <w:szCs w:val="18"/>
          <w:lang w:val="en-US"/>
        </w:rPr>
        <w:t>.</w:t>
      </w:r>
    </w:p>
    <w:p w14:paraId="53A39D33" w14:textId="09AA2A73" w:rsidR="0FC8327A" w:rsidRDefault="0FC8327A" w:rsidP="0FC8327A">
      <w:pPr>
        <w:spacing w:after="0" w:line="360" w:lineRule="auto"/>
        <w:rPr>
          <w:rFonts w:ascii="Aptos" w:eastAsia="Aptos" w:hAnsi="Aptos" w:cs="Aptos"/>
          <w:color w:val="3A3A3A" w:themeColor="background2" w:themeShade="40"/>
          <w:sz w:val="18"/>
          <w:szCs w:val="18"/>
        </w:rPr>
      </w:pPr>
    </w:p>
    <w:p w14:paraId="24E1E689" w14:textId="15873260"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Neumann, M.M. and Neumann, D.L. (2014) ‘Touch Screen Tablets and Emergent Literacy’, </w:t>
      </w:r>
      <w:r w:rsidRPr="0FC8327A">
        <w:rPr>
          <w:rFonts w:ascii="Aptos" w:eastAsia="Aptos" w:hAnsi="Aptos" w:cs="Aptos"/>
          <w:i/>
          <w:iCs/>
          <w:color w:val="000000" w:themeColor="text1"/>
          <w:sz w:val="18"/>
          <w:szCs w:val="18"/>
          <w:lang w:val="en-US"/>
        </w:rPr>
        <w:t>Early childhood education journal</w:t>
      </w:r>
      <w:r w:rsidRPr="0FC8327A">
        <w:rPr>
          <w:rFonts w:ascii="Aptos" w:eastAsia="Aptos" w:hAnsi="Aptos" w:cs="Aptos"/>
          <w:color w:val="000000" w:themeColor="text1"/>
          <w:sz w:val="18"/>
          <w:szCs w:val="18"/>
          <w:lang w:val="en-US"/>
        </w:rPr>
        <w:t xml:space="preserve">, 42(4), pp. 231–239. Available at: </w:t>
      </w:r>
      <w:hyperlink r:id="rId16">
        <w:r w:rsidRPr="0FC8327A">
          <w:rPr>
            <w:rStyle w:val="Hyperlink"/>
            <w:rFonts w:ascii="Aptos" w:eastAsia="Aptos" w:hAnsi="Aptos" w:cs="Aptos"/>
            <w:sz w:val="18"/>
            <w:szCs w:val="18"/>
            <w:lang w:val="en-US"/>
          </w:rPr>
          <w:t>https://doi.org/10.1007/s10643-013-0608-3</w:t>
        </w:r>
      </w:hyperlink>
      <w:r w:rsidRPr="0FC8327A">
        <w:rPr>
          <w:rFonts w:ascii="Aptos" w:eastAsia="Aptos" w:hAnsi="Aptos" w:cs="Aptos"/>
          <w:color w:val="000000" w:themeColor="text1"/>
          <w:sz w:val="18"/>
          <w:szCs w:val="18"/>
          <w:lang w:val="en-US"/>
        </w:rPr>
        <w:t>.</w:t>
      </w:r>
    </w:p>
    <w:p w14:paraId="43B19EEF" w14:textId="781F07A6" w:rsidR="0FC8327A" w:rsidRDefault="0FC8327A" w:rsidP="0FC8327A">
      <w:pPr>
        <w:spacing w:after="0" w:line="360" w:lineRule="auto"/>
        <w:rPr>
          <w:rFonts w:ascii="Aptos" w:eastAsia="Aptos" w:hAnsi="Aptos" w:cs="Aptos"/>
          <w:color w:val="3A3A3A" w:themeColor="background2" w:themeShade="40"/>
          <w:sz w:val="18"/>
          <w:szCs w:val="18"/>
        </w:rPr>
      </w:pPr>
    </w:p>
    <w:p w14:paraId="238D9EF5" w14:textId="7C60338F"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NHS England (No date). </w:t>
      </w:r>
      <w:r w:rsidRPr="0FC8327A">
        <w:rPr>
          <w:rFonts w:ascii="Aptos" w:eastAsia="Aptos" w:hAnsi="Aptos" w:cs="Aptos"/>
          <w:i/>
          <w:iCs/>
          <w:color w:val="000000" w:themeColor="text1"/>
          <w:sz w:val="18"/>
          <w:szCs w:val="18"/>
          <w:lang w:val="en-US"/>
        </w:rPr>
        <w:t>Workforce, Training and Education.</w:t>
      </w:r>
      <w:r w:rsidRPr="0FC8327A">
        <w:rPr>
          <w:rFonts w:ascii="Aptos" w:eastAsia="Aptos" w:hAnsi="Aptos" w:cs="Aptos"/>
          <w:color w:val="000000" w:themeColor="text1"/>
          <w:sz w:val="18"/>
          <w:szCs w:val="18"/>
          <w:lang w:val="en-US"/>
        </w:rPr>
        <w:t xml:space="preserve"> Available at </w:t>
      </w:r>
      <w:hyperlink r:id="rId17">
        <w:r w:rsidRPr="0FC8327A">
          <w:rPr>
            <w:rStyle w:val="Hyperlink"/>
            <w:rFonts w:ascii="Aptos" w:eastAsia="Aptos" w:hAnsi="Aptos" w:cs="Aptos"/>
            <w:sz w:val="18"/>
            <w:szCs w:val="18"/>
            <w:lang w:val="en-US"/>
          </w:rPr>
          <w:t>https://digital-transformation.hee.nhs.uk/building-a-digital-workforce/digital-literacy/what-is-digital-literacy</w:t>
        </w:r>
      </w:hyperlink>
      <w:r w:rsidRPr="0FC8327A">
        <w:rPr>
          <w:rFonts w:ascii="Aptos" w:eastAsia="Aptos" w:hAnsi="Aptos" w:cs="Aptos"/>
          <w:color w:val="000000" w:themeColor="text1"/>
          <w:sz w:val="18"/>
          <w:szCs w:val="18"/>
          <w:lang w:val="en-US"/>
        </w:rPr>
        <w:t xml:space="preserve"> (Accessed 26</w:t>
      </w:r>
      <w:r w:rsidRPr="0FC8327A">
        <w:rPr>
          <w:rFonts w:ascii="Aptos" w:eastAsia="Aptos" w:hAnsi="Aptos" w:cs="Aptos"/>
          <w:color w:val="000000" w:themeColor="text1"/>
          <w:sz w:val="18"/>
          <w:szCs w:val="18"/>
          <w:vertAlign w:val="superscript"/>
          <w:lang w:val="en-US"/>
        </w:rPr>
        <w:t>th</w:t>
      </w:r>
      <w:r w:rsidRPr="0FC8327A">
        <w:rPr>
          <w:rFonts w:ascii="Aptos" w:eastAsia="Aptos" w:hAnsi="Aptos" w:cs="Aptos"/>
          <w:color w:val="000000" w:themeColor="text1"/>
          <w:sz w:val="18"/>
          <w:szCs w:val="18"/>
          <w:lang w:val="en-US"/>
        </w:rPr>
        <w:t xml:space="preserve"> October 2024)</w:t>
      </w:r>
    </w:p>
    <w:p w14:paraId="7D007A1F" w14:textId="1481B6F7" w:rsidR="0FC8327A" w:rsidRDefault="0FC8327A" w:rsidP="0FC8327A">
      <w:pPr>
        <w:spacing w:line="360" w:lineRule="auto"/>
        <w:rPr>
          <w:rFonts w:ascii="Aptos" w:eastAsia="Aptos" w:hAnsi="Aptos" w:cs="Aptos"/>
          <w:color w:val="222222"/>
          <w:sz w:val="18"/>
          <w:szCs w:val="18"/>
        </w:rPr>
      </w:pPr>
    </w:p>
    <w:p w14:paraId="648D80E2" w14:textId="2B15532C"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Shorewood Public Library, (2021). </w:t>
      </w:r>
      <w:r w:rsidRPr="0FC8327A">
        <w:rPr>
          <w:rFonts w:ascii="Aptos" w:eastAsia="Aptos" w:hAnsi="Aptos" w:cs="Aptos"/>
          <w:i/>
          <w:iCs/>
          <w:color w:val="000000" w:themeColor="text1"/>
          <w:sz w:val="18"/>
          <w:szCs w:val="18"/>
          <w:lang w:val="en-US"/>
        </w:rPr>
        <w:t xml:space="preserve">The Two Sides of Seuss. </w:t>
      </w:r>
      <w:r w:rsidRPr="0FC8327A">
        <w:rPr>
          <w:rFonts w:ascii="Aptos" w:eastAsia="Aptos" w:hAnsi="Aptos" w:cs="Aptos"/>
          <w:color w:val="000000" w:themeColor="text1"/>
          <w:sz w:val="18"/>
          <w:szCs w:val="18"/>
          <w:lang w:val="en-US"/>
        </w:rPr>
        <w:t xml:space="preserve">Available at </w:t>
      </w:r>
      <w:hyperlink r:id="rId18">
        <w:r w:rsidRPr="0FC8327A">
          <w:rPr>
            <w:rStyle w:val="Hyperlink"/>
            <w:rFonts w:ascii="Aptos" w:eastAsia="Aptos" w:hAnsi="Aptos" w:cs="Aptos"/>
            <w:sz w:val="18"/>
            <w:szCs w:val="18"/>
            <w:lang w:val="en-US"/>
          </w:rPr>
          <w:t>https://www.shorewoodlibrary.org/blog/kids/the-two-sides-of-dr-seuss</w:t>
        </w:r>
      </w:hyperlink>
      <w:r w:rsidRPr="0FC8327A">
        <w:rPr>
          <w:rFonts w:ascii="Aptos" w:eastAsia="Aptos" w:hAnsi="Aptos" w:cs="Aptos"/>
          <w:color w:val="000000" w:themeColor="text1"/>
          <w:sz w:val="18"/>
          <w:szCs w:val="18"/>
          <w:lang w:val="en-US"/>
        </w:rPr>
        <w:t xml:space="preserve"> (Accessed 24</w:t>
      </w:r>
      <w:r w:rsidRPr="0FC8327A">
        <w:rPr>
          <w:rFonts w:ascii="Aptos" w:eastAsia="Aptos" w:hAnsi="Aptos" w:cs="Aptos"/>
          <w:color w:val="000000" w:themeColor="text1"/>
          <w:sz w:val="18"/>
          <w:szCs w:val="18"/>
          <w:vertAlign w:val="superscript"/>
          <w:lang w:val="en-US"/>
        </w:rPr>
        <w:t>th</w:t>
      </w:r>
      <w:r w:rsidRPr="0FC8327A">
        <w:rPr>
          <w:rFonts w:ascii="Aptos" w:eastAsia="Aptos" w:hAnsi="Aptos" w:cs="Aptos"/>
          <w:color w:val="000000" w:themeColor="text1"/>
          <w:sz w:val="18"/>
          <w:szCs w:val="18"/>
          <w:lang w:val="en-US"/>
        </w:rPr>
        <w:t xml:space="preserve"> October 2024)</w:t>
      </w:r>
    </w:p>
    <w:p w14:paraId="44CDD57D" w14:textId="7EE55DDE" w:rsidR="0FC8327A" w:rsidRDefault="0FC8327A" w:rsidP="0FC8327A">
      <w:pPr>
        <w:spacing w:line="360" w:lineRule="auto"/>
        <w:rPr>
          <w:rFonts w:ascii="Aptos" w:eastAsia="Aptos" w:hAnsi="Aptos" w:cs="Aptos"/>
          <w:color w:val="222222"/>
          <w:sz w:val="18"/>
          <w:szCs w:val="18"/>
        </w:rPr>
      </w:pPr>
    </w:p>
    <w:p w14:paraId="20B9AFFB" w14:textId="059F1113"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Speaker, K.M., Taylor, D. and Kamen, R. (2004) ‘Storytelling: Enhancing Language Acquisition in Young Children’, </w:t>
      </w:r>
      <w:r w:rsidRPr="0FC8327A">
        <w:rPr>
          <w:rFonts w:ascii="Aptos" w:eastAsia="Aptos" w:hAnsi="Aptos" w:cs="Aptos"/>
          <w:i/>
          <w:iCs/>
          <w:color w:val="000000" w:themeColor="text1"/>
          <w:sz w:val="18"/>
          <w:szCs w:val="18"/>
          <w:lang w:val="en-US"/>
        </w:rPr>
        <w:t>Education (Chula Vista)</w:t>
      </w:r>
      <w:r w:rsidRPr="0FC8327A">
        <w:rPr>
          <w:rFonts w:ascii="Aptos" w:eastAsia="Aptos" w:hAnsi="Aptos" w:cs="Aptos"/>
          <w:color w:val="000000" w:themeColor="text1"/>
          <w:sz w:val="18"/>
          <w:szCs w:val="18"/>
          <w:lang w:val="en-US"/>
        </w:rPr>
        <w:t>, 125(1), pp. 3–14.</w:t>
      </w:r>
    </w:p>
    <w:p w14:paraId="2897C639" w14:textId="50626BEF" w:rsidR="0FC8327A" w:rsidRDefault="0FC8327A" w:rsidP="0FC8327A">
      <w:pPr>
        <w:spacing w:after="0" w:line="360" w:lineRule="auto"/>
        <w:rPr>
          <w:rFonts w:ascii="Aptos" w:eastAsia="Aptos" w:hAnsi="Aptos" w:cs="Aptos"/>
          <w:color w:val="000000" w:themeColor="text1"/>
          <w:sz w:val="18"/>
          <w:szCs w:val="18"/>
        </w:rPr>
      </w:pPr>
    </w:p>
    <w:p w14:paraId="0E91F5A4" w14:textId="05B1A94C"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Teachwire.net (2024). </w:t>
      </w:r>
      <w:r w:rsidRPr="0FC8327A">
        <w:rPr>
          <w:rFonts w:ascii="Aptos" w:eastAsia="Aptos" w:hAnsi="Aptos" w:cs="Aptos"/>
          <w:i/>
          <w:iCs/>
          <w:color w:val="000000" w:themeColor="text1"/>
          <w:sz w:val="18"/>
          <w:szCs w:val="18"/>
          <w:lang w:val="en-US"/>
        </w:rPr>
        <w:t xml:space="preserve">The best performers aren’t always the strongest readers – Julia Donaldson. </w:t>
      </w:r>
      <w:r w:rsidRPr="0FC8327A">
        <w:rPr>
          <w:rFonts w:ascii="Aptos" w:eastAsia="Aptos" w:hAnsi="Aptos" w:cs="Aptos"/>
          <w:color w:val="000000" w:themeColor="text1"/>
          <w:sz w:val="18"/>
          <w:szCs w:val="18"/>
          <w:lang w:val="en-US"/>
        </w:rPr>
        <w:t xml:space="preserve"> Available at </w:t>
      </w:r>
      <w:hyperlink r:id="rId19">
        <w:r w:rsidRPr="0FC8327A">
          <w:rPr>
            <w:rStyle w:val="Hyperlink"/>
            <w:rFonts w:ascii="Aptos" w:eastAsia="Aptos" w:hAnsi="Aptos" w:cs="Aptos"/>
            <w:sz w:val="18"/>
            <w:szCs w:val="18"/>
            <w:lang w:val="en-US"/>
          </w:rPr>
          <w:t>https://www.teachwire.net/news/why-former-childrens-laureate-julia-donaldson-prefers-acting-out-stories-for-children-than-just-reading-them/</w:t>
        </w:r>
      </w:hyperlink>
    </w:p>
    <w:p w14:paraId="7074FFB8" w14:textId="7873611E" w:rsidR="50FC98CD" w:rsidRDefault="50FC98CD" w:rsidP="0FC8327A">
      <w:pPr>
        <w:spacing w:after="0" w:line="360" w:lineRule="auto"/>
        <w:rPr>
          <w:rFonts w:ascii="Aptos" w:eastAsia="Aptos" w:hAnsi="Aptos" w:cs="Aptos"/>
          <w:color w:val="000000" w:themeColor="text1"/>
          <w:sz w:val="18"/>
          <w:szCs w:val="18"/>
        </w:rPr>
      </w:pPr>
      <w:r w:rsidRPr="0FC8327A">
        <w:rPr>
          <w:rFonts w:ascii="Aptos" w:eastAsia="Aptos" w:hAnsi="Aptos" w:cs="Aptos"/>
          <w:color w:val="000000" w:themeColor="text1"/>
          <w:sz w:val="18"/>
          <w:szCs w:val="18"/>
          <w:lang w:val="en-US"/>
        </w:rPr>
        <w:t xml:space="preserve"> (Accessed 26</w:t>
      </w:r>
      <w:r w:rsidRPr="0FC8327A">
        <w:rPr>
          <w:rFonts w:ascii="Aptos" w:eastAsia="Aptos" w:hAnsi="Aptos" w:cs="Aptos"/>
          <w:color w:val="000000" w:themeColor="text1"/>
          <w:sz w:val="18"/>
          <w:szCs w:val="18"/>
          <w:vertAlign w:val="superscript"/>
          <w:lang w:val="en-US"/>
        </w:rPr>
        <w:t>th</w:t>
      </w:r>
      <w:r w:rsidRPr="0FC8327A">
        <w:rPr>
          <w:rFonts w:ascii="Aptos" w:eastAsia="Aptos" w:hAnsi="Aptos" w:cs="Aptos"/>
          <w:color w:val="000000" w:themeColor="text1"/>
          <w:sz w:val="18"/>
          <w:szCs w:val="18"/>
          <w:lang w:val="en-US"/>
        </w:rPr>
        <w:t xml:space="preserve"> October 2024)</w:t>
      </w:r>
    </w:p>
    <w:p w14:paraId="51408AC3" w14:textId="5284548F" w:rsidR="0FC8327A" w:rsidRDefault="0FC8327A" w:rsidP="0FC8327A">
      <w:pPr>
        <w:spacing w:after="0" w:line="360" w:lineRule="auto"/>
        <w:rPr>
          <w:rFonts w:ascii="Aptos" w:eastAsia="Aptos" w:hAnsi="Aptos" w:cs="Aptos"/>
          <w:color w:val="000000" w:themeColor="text1"/>
          <w:sz w:val="18"/>
          <w:szCs w:val="18"/>
        </w:rPr>
      </w:pPr>
    </w:p>
    <w:p w14:paraId="51658E81" w14:textId="0D7E8B46" w:rsidR="0FC8327A" w:rsidRDefault="0FC8327A" w:rsidP="0FC8327A">
      <w:pPr>
        <w:spacing w:line="360" w:lineRule="auto"/>
        <w:rPr>
          <w:rFonts w:ascii="Aptos" w:eastAsia="Aptos" w:hAnsi="Aptos" w:cs="Aptos"/>
          <w:color w:val="222222"/>
          <w:sz w:val="18"/>
          <w:szCs w:val="18"/>
        </w:rPr>
      </w:pPr>
    </w:p>
    <w:p w14:paraId="05C9D301" w14:textId="765D56A1" w:rsidR="50FC98CD" w:rsidRDefault="50FC98CD" w:rsidP="0FC8327A">
      <w:pPr>
        <w:spacing w:line="360" w:lineRule="auto"/>
        <w:rPr>
          <w:rFonts w:ascii="Aptos" w:eastAsia="Aptos" w:hAnsi="Aptos" w:cs="Aptos"/>
          <w:color w:val="000000" w:themeColor="text1"/>
        </w:rPr>
      </w:pPr>
      <w:r w:rsidRPr="0FC8327A">
        <w:rPr>
          <w:rFonts w:ascii="Aptos" w:eastAsia="Aptos" w:hAnsi="Aptos" w:cs="Aptos"/>
          <w:color w:val="000000" w:themeColor="text1"/>
          <w:sz w:val="18"/>
          <w:szCs w:val="18"/>
          <w:lang w:val="en-US"/>
        </w:rPr>
        <w:t xml:space="preserve">Welsh Government (2024). </w:t>
      </w:r>
      <w:r w:rsidRPr="0FC8327A">
        <w:rPr>
          <w:rFonts w:ascii="Aptos" w:eastAsia="Aptos" w:hAnsi="Aptos" w:cs="Aptos"/>
          <w:i/>
          <w:iCs/>
          <w:color w:val="000000" w:themeColor="text1"/>
          <w:sz w:val="18"/>
          <w:szCs w:val="18"/>
          <w:lang w:val="en-US"/>
        </w:rPr>
        <w:t xml:space="preserve">Curriculum for Wales – Digital Competency Framework. </w:t>
      </w:r>
      <w:r w:rsidRPr="0FC8327A">
        <w:rPr>
          <w:rFonts w:ascii="Aptos" w:eastAsia="Aptos" w:hAnsi="Aptos" w:cs="Aptos"/>
          <w:color w:val="000000" w:themeColor="text1"/>
          <w:sz w:val="18"/>
          <w:szCs w:val="18"/>
          <w:lang w:val="en-US"/>
        </w:rPr>
        <w:t xml:space="preserve">Available at </w:t>
      </w:r>
      <w:hyperlink r:id="rId20">
        <w:r w:rsidRPr="0FC8327A">
          <w:rPr>
            <w:rStyle w:val="Hyperlink"/>
            <w:rFonts w:ascii="Aptos" w:eastAsia="Aptos" w:hAnsi="Aptos" w:cs="Aptos"/>
            <w:sz w:val="18"/>
            <w:szCs w:val="18"/>
            <w:lang w:val="en-US"/>
          </w:rPr>
          <w:t>https://hwb.gov.wales/curriculum-for-wales/cross-curricular-skills-frameworks/digital-competence-framework/</w:t>
        </w:r>
      </w:hyperlink>
      <w:r w:rsidRPr="0FC8327A">
        <w:rPr>
          <w:rFonts w:ascii="Aptos" w:eastAsia="Aptos" w:hAnsi="Aptos" w:cs="Aptos"/>
          <w:color w:val="222222"/>
          <w:sz w:val="18"/>
          <w:szCs w:val="18"/>
          <w:lang w:val="en-US"/>
        </w:rPr>
        <w:t xml:space="preserve"> (Accessed 26</w:t>
      </w:r>
      <w:r w:rsidRPr="0FC8327A">
        <w:rPr>
          <w:rFonts w:ascii="Aptos" w:eastAsia="Aptos" w:hAnsi="Aptos" w:cs="Aptos"/>
          <w:color w:val="222222"/>
          <w:sz w:val="18"/>
          <w:szCs w:val="18"/>
          <w:vertAlign w:val="superscript"/>
          <w:lang w:val="en-US"/>
        </w:rPr>
        <w:t>th</w:t>
      </w:r>
      <w:r w:rsidRPr="0FC8327A">
        <w:rPr>
          <w:rFonts w:ascii="Aptos" w:eastAsia="Aptos" w:hAnsi="Aptos" w:cs="Aptos"/>
          <w:color w:val="222222"/>
          <w:sz w:val="18"/>
          <w:szCs w:val="18"/>
          <w:lang w:val="en-US"/>
        </w:rPr>
        <w:t xml:space="preserve"> October 2024)</w:t>
      </w:r>
    </w:p>
    <w:p w14:paraId="3AE6329F" w14:textId="725B5021" w:rsidR="2A4EFF56" w:rsidRDefault="2A4EFF56" w:rsidP="0FC8327A">
      <w:pPr>
        <w:spacing w:line="278" w:lineRule="auto"/>
      </w:pPr>
      <w:r w:rsidRPr="0FC8327A">
        <w:rPr>
          <w:rFonts w:ascii="Aptos" w:eastAsia="Aptos" w:hAnsi="Aptos" w:cs="Aptos"/>
          <w:color w:val="000000" w:themeColor="text1"/>
        </w:rPr>
        <w:t xml:space="preserve"> </w:t>
      </w:r>
    </w:p>
    <w:p w14:paraId="4F29E8D1" w14:textId="5F42E662" w:rsidR="2A4EFF56" w:rsidRDefault="2A4EFF56" w:rsidP="0FC8327A">
      <w:pPr>
        <w:spacing w:line="278" w:lineRule="auto"/>
      </w:pPr>
      <w:r w:rsidRPr="0FC8327A">
        <w:rPr>
          <w:rFonts w:ascii="Aptos" w:eastAsia="Aptos" w:hAnsi="Aptos" w:cs="Aptos"/>
          <w:color w:val="000000" w:themeColor="text1"/>
          <w:sz w:val="20"/>
          <w:szCs w:val="20"/>
        </w:rPr>
        <w:t xml:space="preserve"> </w:t>
      </w:r>
    </w:p>
    <w:p w14:paraId="463C5862" w14:textId="106CA475" w:rsidR="2A4EFF56" w:rsidRDefault="2A4EFF56" w:rsidP="0FC8327A">
      <w:pPr>
        <w:spacing w:before="240" w:after="240" w:line="278" w:lineRule="auto"/>
      </w:pPr>
      <w:r w:rsidRPr="0FC8327A">
        <w:rPr>
          <w:rFonts w:ascii="Aptos" w:eastAsia="Aptos" w:hAnsi="Aptos" w:cs="Aptos"/>
          <w:b/>
          <w:bCs/>
          <w:color w:val="000000" w:themeColor="text1"/>
          <w:sz w:val="18"/>
          <w:szCs w:val="18"/>
        </w:rPr>
        <w:t xml:space="preserve"> </w:t>
      </w:r>
    </w:p>
    <w:p w14:paraId="036C434A" w14:textId="6FCE300E" w:rsidR="2A4EFF56" w:rsidRDefault="2A4EFF56" w:rsidP="0FC8327A">
      <w:pPr>
        <w:spacing w:before="240" w:after="240" w:line="278" w:lineRule="auto"/>
      </w:pPr>
      <w:r w:rsidRPr="0FC8327A">
        <w:rPr>
          <w:rFonts w:ascii="Aptos" w:eastAsia="Aptos" w:hAnsi="Aptos" w:cs="Aptos"/>
          <w:color w:val="000000" w:themeColor="text1"/>
          <w:sz w:val="18"/>
          <w:szCs w:val="18"/>
          <w:lang w:val="en-US"/>
        </w:rPr>
        <w:t xml:space="preserve"> </w:t>
      </w:r>
    </w:p>
    <w:p w14:paraId="785DFCEE" w14:textId="172742EC" w:rsidR="2A4EFF56" w:rsidRDefault="2A4EFF56" w:rsidP="0FC8327A">
      <w:pPr>
        <w:spacing w:line="278" w:lineRule="auto"/>
      </w:pPr>
      <w:r w:rsidRPr="0FC8327A">
        <w:rPr>
          <w:rFonts w:ascii="Aptos" w:eastAsia="Aptos" w:hAnsi="Aptos" w:cs="Aptos"/>
          <w:color w:val="000000" w:themeColor="text1"/>
          <w:sz w:val="18"/>
          <w:szCs w:val="18"/>
          <w:lang w:val="en-US"/>
        </w:rPr>
        <w:t xml:space="preserve"> </w:t>
      </w:r>
    </w:p>
    <w:p w14:paraId="2EA280DD" w14:textId="55B3E2BF" w:rsidR="0FC8327A" w:rsidRDefault="0FC8327A" w:rsidP="0FC8327A">
      <w:pPr>
        <w:spacing w:line="278" w:lineRule="auto"/>
        <w:rPr>
          <w:rFonts w:ascii="Aptos" w:eastAsia="Aptos" w:hAnsi="Aptos" w:cs="Aptos"/>
        </w:rPr>
      </w:pPr>
    </w:p>
    <w:p w14:paraId="012239C7" w14:textId="4AF68A64" w:rsidR="0FC8327A" w:rsidRDefault="0FC8327A" w:rsidP="0FC8327A">
      <w:pPr>
        <w:spacing w:before="240" w:after="240"/>
        <w:rPr>
          <w:rFonts w:ascii="Aptos" w:eastAsia="Aptos" w:hAnsi="Aptos" w:cs="Aptos"/>
          <w:sz w:val="18"/>
          <w:szCs w:val="18"/>
        </w:rPr>
      </w:pPr>
    </w:p>
    <w:p w14:paraId="440AE8F8" w14:textId="41A4A463" w:rsidR="0FC8327A" w:rsidRDefault="0FC8327A" w:rsidP="0FC8327A">
      <w:pPr>
        <w:spacing w:before="240" w:after="240"/>
        <w:rPr>
          <w:rFonts w:ascii="Aptos" w:eastAsia="Aptos" w:hAnsi="Aptos" w:cs="Aptos"/>
          <w:sz w:val="18"/>
          <w:szCs w:val="18"/>
        </w:rPr>
      </w:pPr>
    </w:p>
    <w:p w14:paraId="673A76E1" w14:textId="3179A915" w:rsidR="0FC8327A" w:rsidRDefault="0FC8327A" w:rsidP="0FC8327A">
      <w:pPr>
        <w:spacing w:before="240" w:after="240"/>
        <w:rPr>
          <w:rFonts w:ascii="Aptos" w:eastAsia="Aptos" w:hAnsi="Aptos" w:cs="Aptos"/>
          <w:sz w:val="18"/>
          <w:szCs w:val="18"/>
        </w:rPr>
      </w:pPr>
    </w:p>
    <w:sectPr w:rsidR="0FC8327A">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7065D0" w14:textId="77777777" w:rsidR="00CE7A63" w:rsidRDefault="00CE7A63">
      <w:pPr>
        <w:spacing w:after="0" w:line="240" w:lineRule="auto"/>
      </w:pPr>
      <w:r>
        <w:separator/>
      </w:r>
    </w:p>
  </w:endnote>
  <w:endnote w:type="continuationSeparator" w:id="0">
    <w:p w14:paraId="2AE67BA5" w14:textId="77777777" w:rsidR="00CE7A63" w:rsidRDefault="00CE7A63">
      <w:pPr>
        <w:spacing w:after="0" w:line="240" w:lineRule="auto"/>
      </w:pPr>
      <w:r>
        <w:continuationSeparator/>
      </w:r>
    </w:p>
  </w:endnote>
  <w:endnote w:type="continuationNotice" w:id="1">
    <w:p w14:paraId="7B27448A" w14:textId="77777777" w:rsidR="00D84BAE" w:rsidRDefault="00D84B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F1617B8" w14:paraId="5038ACA0" w14:textId="77777777" w:rsidTr="0FC8327A">
      <w:trPr>
        <w:trHeight w:val="300"/>
      </w:trPr>
      <w:tc>
        <w:tcPr>
          <w:tcW w:w="3120" w:type="dxa"/>
        </w:tcPr>
        <w:p w14:paraId="4026BF33" w14:textId="5C725F99" w:rsidR="3F1617B8" w:rsidRDefault="3F1617B8" w:rsidP="3F1617B8">
          <w:pPr>
            <w:pStyle w:val="Header"/>
            <w:ind w:left="-115"/>
          </w:pPr>
        </w:p>
      </w:tc>
      <w:tc>
        <w:tcPr>
          <w:tcW w:w="3120" w:type="dxa"/>
        </w:tcPr>
        <w:p w14:paraId="4133EE4D" w14:textId="4A7AE461" w:rsidR="3F1617B8" w:rsidRDefault="3F1617B8" w:rsidP="3F1617B8">
          <w:pPr>
            <w:pStyle w:val="Header"/>
            <w:jc w:val="center"/>
          </w:pPr>
        </w:p>
      </w:tc>
      <w:tc>
        <w:tcPr>
          <w:tcW w:w="3120" w:type="dxa"/>
        </w:tcPr>
        <w:p w14:paraId="6B72B086" w14:textId="5E873DAF" w:rsidR="3F1617B8" w:rsidRDefault="3F1617B8" w:rsidP="3F1617B8">
          <w:pPr>
            <w:pStyle w:val="Header"/>
            <w:ind w:right="-115"/>
            <w:jc w:val="right"/>
          </w:pPr>
        </w:p>
      </w:tc>
    </w:tr>
  </w:tbl>
  <w:p w14:paraId="3A1FA0BE" w14:textId="2AF61B57" w:rsidR="3F1617B8" w:rsidRDefault="3F1617B8" w:rsidP="3F161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B93E8B" w14:textId="77777777" w:rsidR="00CE7A63" w:rsidRDefault="00CE7A63">
      <w:pPr>
        <w:spacing w:after="0" w:line="240" w:lineRule="auto"/>
      </w:pPr>
      <w:r>
        <w:separator/>
      </w:r>
    </w:p>
  </w:footnote>
  <w:footnote w:type="continuationSeparator" w:id="0">
    <w:p w14:paraId="12A8CC9A" w14:textId="77777777" w:rsidR="00CE7A63" w:rsidRDefault="00CE7A63">
      <w:pPr>
        <w:spacing w:after="0" w:line="240" w:lineRule="auto"/>
      </w:pPr>
      <w:r>
        <w:continuationSeparator/>
      </w:r>
    </w:p>
  </w:footnote>
  <w:footnote w:type="continuationNotice" w:id="1">
    <w:p w14:paraId="57724811" w14:textId="77777777" w:rsidR="00D84BAE" w:rsidRDefault="00D84BA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F1617B8" w14:paraId="6438A20D" w14:textId="77777777" w:rsidTr="0FC8327A">
      <w:trPr>
        <w:trHeight w:val="300"/>
      </w:trPr>
      <w:tc>
        <w:tcPr>
          <w:tcW w:w="3120" w:type="dxa"/>
        </w:tcPr>
        <w:p w14:paraId="61E827D1" w14:textId="76864B94" w:rsidR="3F1617B8" w:rsidRDefault="0FC8327A" w:rsidP="0FC8327A">
          <w:pPr>
            <w:pStyle w:val="Header"/>
            <w:ind w:left="-115"/>
            <w:rPr>
              <w:sz w:val="22"/>
              <w:szCs w:val="22"/>
              <w:lang w:val="en-US"/>
            </w:rPr>
          </w:pPr>
          <w:r w:rsidRPr="0FC8327A">
            <w:rPr>
              <w:color w:val="000000" w:themeColor="text1"/>
              <w:sz w:val="18"/>
              <w:szCs w:val="18"/>
            </w:rPr>
            <w:t>I confirm I have not used AI tools in the creation of this assignment</w:t>
          </w:r>
          <w:r w:rsidRPr="0FC8327A">
            <w:rPr>
              <w:color w:val="000000" w:themeColor="text1"/>
              <w:sz w:val="22"/>
              <w:szCs w:val="22"/>
            </w:rPr>
            <w:t>.</w:t>
          </w:r>
        </w:p>
        <w:p w14:paraId="32909283" w14:textId="2A1CACC5" w:rsidR="3F1617B8" w:rsidRDefault="3F1617B8" w:rsidP="0FC8327A">
          <w:pPr>
            <w:pStyle w:val="Header"/>
            <w:ind w:left="-115"/>
            <w:rPr>
              <w:sz w:val="22"/>
              <w:szCs w:val="22"/>
            </w:rPr>
          </w:pPr>
        </w:p>
      </w:tc>
      <w:tc>
        <w:tcPr>
          <w:tcW w:w="3120" w:type="dxa"/>
        </w:tcPr>
        <w:p w14:paraId="33BFC2FC" w14:textId="75573394" w:rsidR="3F1617B8" w:rsidRDefault="3F1617B8" w:rsidP="0FC8327A">
          <w:pPr>
            <w:pStyle w:val="Header"/>
            <w:jc w:val="center"/>
            <w:rPr>
              <w:sz w:val="22"/>
              <w:szCs w:val="22"/>
            </w:rPr>
          </w:pPr>
        </w:p>
      </w:tc>
      <w:tc>
        <w:tcPr>
          <w:tcW w:w="3120" w:type="dxa"/>
        </w:tcPr>
        <w:p w14:paraId="31BD5539" w14:textId="4F15CC1E" w:rsidR="3F1617B8" w:rsidRDefault="0FC8327A" w:rsidP="0FC8327A">
          <w:pPr>
            <w:pStyle w:val="Header"/>
            <w:ind w:right="-115"/>
            <w:jc w:val="right"/>
            <w:rPr>
              <w:sz w:val="20"/>
              <w:szCs w:val="20"/>
            </w:rPr>
          </w:pPr>
          <w:r w:rsidRPr="0FC8327A">
            <w:rPr>
              <w:sz w:val="22"/>
              <w:szCs w:val="22"/>
            </w:rPr>
            <w:t>2306990</w:t>
          </w:r>
        </w:p>
        <w:p w14:paraId="2A371D20" w14:textId="62E7CD07" w:rsidR="3F1617B8" w:rsidRDefault="0FC8327A" w:rsidP="0FC8327A">
          <w:pPr>
            <w:pStyle w:val="Header"/>
            <w:ind w:right="-115"/>
            <w:jc w:val="right"/>
            <w:rPr>
              <w:sz w:val="20"/>
              <w:szCs w:val="20"/>
            </w:rPr>
          </w:pPr>
          <w:r w:rsidRPr="0FC8327A">
            <w:rPr>
              <w:sz w:val="22"/>
              <w:szCs w:val="22"/>
            </w:rPr>
            <w:t>ECEY 5004</w:t>
          </w:r>
        </w:p>
        <w:p w14:paraId="2A9D15CE" w14:textId="36FA34D3" w:rsidR="3F1617B8" w:rsidRDefault="0FC8327A" w:rsidP="0FC8327A">
          <w:pPr>
            <w:pStyle w:val="Header"/>
            <w:ind w:right="-115"/>
            <w:jc w:val="right"/>
            <w:rPr>
              <w:sz w:val="20"/>
              <w:szCs w:val="20"/>
            </w:rPr>
          </w:pPr>
          <w:r w:rsidRPr="0FC8327A">
            <w:rPr>
              <w:sz w:val="22"/>
              <w:szCs w:val="22"/>
            </w:rPr>
            <w:t xml:space="preserve">Word count: 1974 </w:t>
          </w:r>
        </w:p>
      </w:tc>
    </w:tr>
  </w:tbl>
  <w:p w14:paraId="7C63072D" w14:textId="16744326" w:rsidR="3F1617B8" w:rsidRDefault="3F1617B8" w:rsidP="0FC8327A">
    <w:pPr>
      <w:pStyle w:val="Header"/>
      <w:rPr>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19C705"/>
    <w:rsid w:val="00256044"/>
    <w:rsid w:val="00401006"/>
    <w:rsid w:val="00810C9D"/>
    <w:rsid w:val="00A154E3"/>
    <w:rsid w:val="00B91BBC"/>
    <w:rsid w:val="00CB58A5"/>
    <w:rsid w:val="00CE7A63"/>
    <w:rsid w:val="00D00BE6"/>
    <w:rsid w:val="00D84BAE"/>
    <w:rsid w:val="00E71AF7"/>
    <w:rsid w:val="031461C3"/>
    <w:rsid w:val="08998C16"/>
    <w:rsid w:val="09DA8E3C"/>
    <w:rsid w:val="0B454AA8"/>
    <w:rsid w:val="0C5CEC7E"/>
    <w:rsid w:val="0D307349"/>
    <w:rsid w:val="0DB3F3DD"/>
    <w:rsid w:val="0FC8327A"/>
    <w:rsid w:val="102B0AD3"/>
    <w:rsid w:val="10736D35"/>
    <w:rsid w:val="1114CFD3"/>
    <w:rsid w:val="11F5CF3A"/>
    <w:rsid w:val="19CFB8F9"/>
    <w:rsid w:val="1AB0D26C"/>
    <w:rsid w:val="1B1158A5"/>
    <w:rsid w:val="1DAD7826"/>
    <w:rsid w:val="1E6F086C"/>
    <w:rsid w:val="215F34DD"/>
    <w:rsid w:val="219F82B6"/>
    <w:rsid w:val="2213719F"/>
    <w:rsid w:val="23208FD8"/>
    <w:rsid w:val="237F4FE1"/>
    <w:rsid w:val="24A0323A"/>
    <w:rsid w:val="268A8A02"/>
    <w:rsid w:val="290826FB"/>
    <w:rsid w:val="2A4EFF56"/>
    <w:rsid w:val="2C1C130A"/>
    <w:rsid w:val="2F9D16D4"/>
    <w:rsid w:val="3319C705"/>
    <w:rsid w:val="336E4FE9"/>
    <w:rsid w:val="356888CF"/>
    <w:rsid w:val="358B5E3B"/>
    <w:rsid w:val="36F22FAC"/>
    <w:rsid w:val="38A01DDE"/>
    <w:rsid w:val="38F6EEE0"/>
    <w:rsid w:val="3CD9486A"/>
    <w:rsid w:val="3F1617B8"/>
    <w:rsid w:val="409C415B"/>
    <w:rsid w:val="4134CC10"/>
    <w:rsid w:val="449D9EFB"/>
    <w:rsid w:val="45F2C6A1"/>
    <w:rsid w:val="4D1FAE27"/>
    <w:rsid w:val="4EB2D6D0"/>
    <w:rsid w:val="503B226E"/>
    <w:rsid w:val="50FC98CD"/>
    <w:rsid w:val="511EACCE"/>
    <w:rsid w:val="520A39CC"/>
    <w:rsid w:val="53874BC8"/>
    <w:rsid w:val="54431009"/>
    <w:rsid w:val="554588B1"/>
    <w:rsid w:val="5799A0CE"/>
    <w:rsid w:val="5B64C696"/>
    <w:rsid w:val="5E21DD00"/>
    <w:rsid w:val="5F05E73B"/>
    <w:rsid w:val="5F44AC08"/>
    <w:rsid w:val="6688C348"/>
    <w:rsid w:val="67E161A6"/>
    <w:rsid w:val="6888ADAE"/>
    <w:rsid w:val="6F8DF2A6"/>
    <w:rsid w:val="71D6F8F2"/>
    <w:rsid w:val="71E217A2"/>
    <w:rsid w:val="7550312E"/>
    <w:rsid w:val="7584DE53"/>
    <w:rsid w:val="76233A07"/>
    <w:rsid w:val="789B568C"/>
    <w:rsid w:val="7AC95DF0"/>
    <w:rsid w:val="7EDC1A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9C705"/>
  <w15:chartTrackingRefBased/>
  <w15:docId w15:val="{91D746BF-437D-4784-AA3E-73F096BCA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FC8327A"/>
    <w:rPr>
      <w:lang w:val="en-GB"/>
    </w:rPr>
  </w:style>
  <w:style w:type="paragraph" w:styleId="Heading1">
    <w:name w:val="heading 1"/>
    <w:basedOn w:val="Normal"/>
    <w:next w:val="Normal"/>
    <w:link w:val="Heading1Char"/>
    <w:uiPriority w:val="9"/>
    <w:qFormat/>
    <w:rsid w:val="0FC832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FC832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FC832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FC832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FC832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FC832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FC832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FC8327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FC8327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FC8327A"/>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FC8327A"/>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FC8327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FC832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FC8327A"/>
    <w:pPr>
      <w:tabs>
        <w:tab w:val="center" w:pos="4680"/>
        <w:tab w:val="right" w:pos="9360"/>
      </w:tabs>
      <w:spacing w:after="0" w:line="240" w:lineRule="auto"/>
    </w:pPr>
  </w:style>
  <w:style w:type="paragraph" w:styleId="Footer">
    <w:name w:val="footer"/>
    <w:basedOn w:val="Normal"/>
    <w:uiPriority w:val="99"/>
    <w:unhideWhenUsed/>
    <w:rsid w:val="0FC8327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FC8327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034914.pdf" TargetMode="External"/><Relationship Id="rId13" Type="http://schemas.openxmlformats.org/officeDocument/2006/relationships/hyperlink" Target="https://help-for-early-years-providers.education.gov.uk/personal-social-and-emotional-development/relationships" TargetMode="External"/><Relationship Id="rId18" Type="http://schemas.openxmlformats.org/officeDocument/2006/relationships/hyperlink" Target="https://www.shorewoodlibrary.org/blog/kids/the-two-sides-of-dr-seus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birthto5matters.org.uk/specific-areas-of-learning-and-development-provide-children-with-knowledge-and-skills-to-flourish-in-society/" TargetMode="External"/><Relationship Id="rId12" Type="http://schemas.openxmlformats.org/officeDocument/2006/relationships/hyperlink" Target="https://doi.org/10.1080/02643944.2016.1225315" TargetMode="External"/><Relationship Id="rId17" Type="http://schemas.openxmlformats.org/officeDocument/2006/relationships/hyperlink" Target="https://digital-transformation.hee.nhs.uk/building-a-digital-workforce/digital-literacy/what-is-digital-literacy" TargetMode="External"/><Relationship Id="rId2" Type="http://schemas.openxmlformats.org/officeDocument/2006/relationships/styles" Target="styles.xml"/><Relationship Id="rId16" Type="http://schemas.openxmlformats.org/officeDocument/2006/relationships/hyperlink" Target="https://doi.org/10.1007/s10643-013-0608-3" TargetMode="External"/><Relationship Id="rId20" Type="http://schemas.openxmlformats.org/officeDocument/2006/relationships/hyperlink" Target="https://hwb.gov.wales/curriculum-for-wales/cross-curricular-skills-frameworks/digital-competence-frame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books/edition/Integrating_Digital_Literacy_in_the_Disc/vg_JEAAAQBAJ?hl=en&amp;gbpv=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cogpsych.2020.101308" TargetMode="External"/><Relationship Id="rId23" Type="http://schemas.openxmlformats.org/officeDocument/2006/relationships/fontTable" Target="fontTable.xml"/><Relationship Id="rId10" Type="http://schemas.openxmlformats.org/officeDocument/2006/relationships/hyperlink" Target="https://readingpartners.org/blog/why-reading-matters-according-to-dr-seuss" TargetMode="External"/><Relationship Id="rId19" Type="http://schemas.openxmlformats.org/officeDocument/2006/relationships/hyperlink" Target="https://www.teachwire.net/news/why-former-childrens-laureate-julia-donaldson-prefers-acting-out-stories-for-children-than-just-reading-them/" TargetMode="External"/><Relationship Id="rId4" Type="http://schemas.openxmlformats.org/officeDocument/2006/relationships/webSettings" Target="webSettings.xml"/><Relationship Id="rId9" Type="http://schemas.openxmlformats.org/officeDocument/2006/relationships/hyperlink" Target="https://doi.org/10.1177/2515245920974622" TargetMode="External"/><Relationship Id="rId14" Type="http://schemas.openxmlformats.org/officeDocument/2006/relationships/hyperlink" Target="https://doi.org/10.1016/j.jecp.2019.10472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2885</Words>
  <Characters>16447</Characters>
  <Application>Microsoft Office Word</Application>
  <DocSecurity>4</DocSecurity>
  <Lines>137</Lines>
  <Paragraphs>38</Paragraphs>
  <ScaleCrop>false</ScaleCrop>
  <Company/>
  <LinksUpToDate>false</LinksUpToDate>
  <CharactersWithSpaces>19294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3</cp:revision>
  <dcterms:created xsi:type="dcterms:W3CDTF">2024-10-20T21:21:00Z</dcterms:created>
  <dcterms:modified xsi:type="dcterms:W3CDTF">2024-10-27T21:24:00Z</dcterms:modified>
</cp:coreProperties>
</file>