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outlineLvl w:val="9"/>
        <w:rPr>
          <w:rFonts w:hint="default" w:ascii="Times New Roman" w:hAnsi="Times New Roman" w:eastAsia="宋体" w:cs="Times New Roman"/>
          <w:b/>
          <w:bCs/>
          <w:color w:val="FF0000"/>
          <w:sz w:val="28"/>
          <w:szCs w:val="28"/>
        </w:rPr>
      </w:pPr>
    </w:p>
    <w:p>
      <w:pPr>
        <w:bidi w:val="0"/>
        <w:jc w:val="center"/>
        <w:outlineLvl w:val="9"/>
        <w:rPr>
          <w:rFonts w:hint="default" w:ascii="Times New Roman" w:hAnsi="Times New Roman" w:eastAsia="宋体" w:cs="Times New Roman"/>
          <w:b/>
          <w:bCs/>
          <w:color w:val="FF0000"/>
          <w:sz w:val="28"/>
          <w:szCs w:val="28"/>
        </w:rPr>
      </w:pPr>
      <w:r>
        <w:rPr>
          <w:rFonts w:hint="default" w:ascii="Times New Roman" w:hAnsi="Times New Roman" w:eastAsia="宋体" w:cs="Times New Roman"/>
          <w:b/>
          <w:bCs/>
          <w:color w:val="FF0000"/>
          <w:sz w:val="28"/>
          <w:szCs w:val="28"/>
        </w:rPr>
        <w:t>Analysis of New Marketing Strategy of IKEA in Chinese Market</w:t>
      </w:r>
    </w:p>
    <w:p>
      <w:pPr>
        <w:rPr>
          <w:rFonts w:ascii="Calibri" w:hAnsi="Calibri" w:eastAsia="宋体" w:cs="Times New Roman"/>
          <w:szCs w:val="24"/>
        </w:rPr>
      </w:pPr>
    </w:p>
    <w:p>
      <w:pPr>
        <w:jc w:val="center"/>
        <w:rPr>
          <w:rFonts w:ascii="Calibri" w:hAnsi="Calibri" w:eastAsia="宋体" w:cs="Times New Roman"/>
          <w:szCs w:val="24"/>
        </w:rPr>
      </w:pPr>
      <w:r>
        <w:rPr>
          <w:rFonts w:ascii="Calibri" w:hAnsi="Calibri" w:eastAsia="宋体" w:cs="Times New Roman"/>
          <w:szCs w:val="24"/>
        </w:rPr>
        <w:drawing>
          <wp:inline distT="0" distB="0" distL="114300" distR="114300">
            <wp:extent cx="5239385" cy="3065780"/>
            <wp:effectExtent l="0" t="0" r="18415" b="1270"/>
            <wp:docPr id="7" name="Content Placeholder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pic:cNvPicPr>
                      <a:picLocks noChangeAspect="1"/>
                    </pic:cNvPicPr>
                  </pic:nvPicPr>
                  <pic:blipFill>
                    <a:blip r:embed="rId5"/>
                    <a:srcRect t="10236" b="34766"/>
                    <a:stretch>
                      <a:fillRect/>
                    </a:stretch>
                  </pic:blipFill>
                  <pic:spPr>
                    <a:xfrm>
                      <a:off x="0" y="0"/>
                      <a:ext cx="5239385" cy="3065780"/>
                    </a:xfrm>
                    <a:prstGeom prst="rect">
                      <a:avLst/>
                    </a:prstGeom>
                  </pic:spPr>
                </pic:pic>
              </a:graphicData>
            </a:graphic>
          </wp:inline>
        </w:drawing>
      </w:r>
    </w:p>
    <w:p>
      <w:pPr>
        <w:bidi w:val="0"/>
        <w:jc w:val="center"/>
        <w:rPr>
          <w:rFonts w:hint="default" w:ascii="Times New Roman" w:hAnsi="Times New Roman" w:eastAsia="宋体" w:cs="Times New Roman"/>
          <w:b/>
          <w:bCs/>
          <w:color w:val="FF0000"/>
          <w:sz w:val="28"/>
          <w:szCs w:val="28"/>
          <w:lang w:val="en-US" w:eastAsia="zh-CN"/>
        </w:rPr>
      </w:pPr>
      <w:r>
        <w:rPr>
          <w:rFonts w:hint="default" w:ascii="Times New Roman" w:hAnsi="Times New Roman" w:eastAsia="宋体" w:cs="Times New Roman"/>
          <w:b/>
          <w:bCs/>
          <w:color w:val="FF0000"/>
          <w:sz w:val="28"/>
          <w:szCs w:val="28"/>
          <w:lang w:val="en-US" w:eastAsia="zh-CN"/>
        </w:rPr>
        <w:t>December 2022</w:t>
      </w:r>
    </w:p>
    <w:p>
      <w:pPr>
        <w:rPr>
          <w:rFonts w:hint="eastAsia" w:ascii="Times New Roman" w:hAnsi="Times New Roman" w:eastAsia="宋体" w:cs="Times New Roman"/>
          <w:szCs w:val="24"/>
          <w:lang w:val="en-US" w:eastAsia="zh-CN"/>
        </w:rPr>
      </w:pPr>
    </w:p>
    <w:p>
      <w:pPr>
        <w:rPr>
          <w:rFonts w:hint="eastAsia" w:ascii="Times New Roman" w:hAnsi="Times New Roman" w:eastAsia="宋体" w:cs="Times New Roman"/>
          <w:szCs w:val="24"/>
          <w:lang w:val="en-US" w:eastAsia="zh-CN"/>
        </w:rPr>
      </w:pPr>
    </w:p>
    <w:p>
      <w:pPr>
        <w:rPr>
          <w:rFonts w:hint="eastAsia" w:ascii="Times New Roman" w:hAnsi="Times New Roman" w:eastAsia="宋体" w:cs="Times New Roman"/>
          <w:szCs w:val="24"/>
          <w:lang w:val="en-US" w:eastAsia="zh-CN"/>
        </w:rPr>
      </w:pPr>
    </w:p>
    <w:p>
      <w:pPr>
        <w:rPr>
          <w:rFonts w:hint="eastAsia" w:ascii="Times New Roman" w:hAnsi="Times New Roman" w:eastAsia="宋体" w:cs="Times New Roman"/>
          <w:szCs w:val="24"/>
          <w:lang w:val="en-US" w:eastAsia="zh-CN"/>
        </w:rPr>
      </w:pPr>
    </w:p>
    <w:p>
      <w:pPr>
        <w:rPr>
          <w:rFonts w:hint="eastAsia" w:ascii="Times New Roman" w:hAnsi="Times New Roman" w:eastAsia="宋体" w:cs="Times New Roman"/>
          <w:szCs w:val="24"/>
          <w:lang w:val="en-US" w:eastAsia="zh-CN"/>
        </w:rPr>
      </w:pPr>
    </w:p>
    <w:p>
      <w:pPr>
        <w:rPr>
          <w:rFonts w:hint="eastAsia" w:ascii="Times New Roman" w:hAnsi="Times New Roman" w:eastAsia="宋体" w:cs="Times New Roman"/>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b/>
          <w:bCs/>
          <w:color w:val="FF0000"/>
          <w:sz w:val="24"/>
          <w:szCs w:val="24"/>
          <w:lang w:val="en-US" w:eastAsia="zh-CN"/>
        </w:rPr>
      </w:pPr>
      <w:r>
        <w:rPr>
          <w:rFonts w:hint="eastAsia" w:ascii="Times New Roman" w:hAnsi="Times New Roman" w:eastAsia="宋体" w:cs="Times New Roman"/>
          <w:b/>
          <w:bCs/>
          <w:sz w:val="24"/>
          <w:szCs w:val="24"/>
          <w:lang w:val="en-US" w:eastAsia="zh-CN"/>
        </w:rPr>
        <w:t xml:space="preserve">MODULE NAME：  </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b/>
          <w:bCs/>
          <w:color w:val="FF0000"/>
          <w:sz w:val="24"/>
          <w:szCs w:val="24"/>
          <w:lang w:val="en-US" w:eastAsia="zh-CN"/>
        </w:rPr>
        <w:t>Marketing Management(BMMB7012)</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 xml:space="preserve">NAME:      </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b/>
          <w:bCs/>
          <w:sz w:val="24"/>
          <w:szCs w:val="24"/>
          <w:lang w:val="en-US" w:eastAsia="zh-CN"/>
        </w:rPr>
        <w:t xml:space="preserve">   </w:t>
      </w:r>
      <w:r>
        <w:rPr>
          <w:rFonts w:hint="eastAsia" w:ascii="Times New Roman" w:hAnsi="Times New Roman" w:eastAsia="宋体" w:cs="Times New Roman"/>
          <w:b/>
          <w:bCs/>
          <w:color w:val="FF0000"/>
          <w:sz w:val="24"/>
          <w:szCs w:val="24"/>
          <w:lang w:val="en-US" w:eastAsia="zh-CN"/>
        </w:rPr>
        <w:t xml:space="preserve"> Tian Gan</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eastAsia="宋体" w:cs="Times New Roman"/>
          <w:b/>
          <w:bCs/>
          <w:color w:val="FF0000"/>
          <w:sz w:val="24"/>
          <w:szCs w:val="24"/>
          <w:lang w:val="en-US" w:eastAsia="zh-CN"/>
        </w:rPr>
      </w:pPr>
      <w:r>
        <w:rPr>
          <w:rFonts w:hint="eastAsia" w:ascii="Times New Roman" w:hAnsi="Times New Roman" w:eastAsia="宋体" w:cs="Times New Roman"/>
          <w:b/>
          <w:bCs/>
          <w:sz w:val="24"/>
          <w:szCs w:val="24"/>
          <w:lang w:val="en-US" w:eastAsia="zh-CN"/>
        </w:rPr>
        <w:t xml:space="preserve">STUDENT NUMBER:  </w:t>
      </w:r>
      <w:r>
        <w:rPr>
          <w:rFonts w:hint="eastAsia" w:ascii="Times New Roman" w:hAnsi="Times New Roman" w:eastAsia="宋体" w:cs="Times New Roman"/>
          <w:color w:val="FF0000"/>
          <w:sz w:val="24"/>
          <w:szCs w:val="24"/>
          <w:lang w:val="en-US" w:eastAsia="zh-CN"/>
        </w:rPr>
        <w:t xml:space="preserve"> </w:t>
      </w:r>
      <w:r>
        <w:rPr>
          <w:rFonts w:hint="eastAsia" w:ascii="Times New Roman" w:hAnsi="Times New Roman" w:eastAsia="宋体" w:cs="Times New Roman"/>
          <w:b/>
          <w:bCs/>
          <w:color w:val="FF0000"/>
          <w:sz w:val="24"/>
          <w:szCs w:val="24"/>
          <w:lang w:val="en-US" w:eastAsia="zh-CN"/>
        </w:rPr>
        <w:t>2206225</w:t>
      </w:r>
    </w:p>
    <w:p>
      <w:pPr>
        <w:rPr>
          <w:rFonts w:hint="eastAsia" w:ascii="Times New Roman" w:hAnsi="Times New Roman" w:eastAsia="宋体" w:cs="Times New Roman"/>
          <w:color w:val="FF0000"/>
          <w:sz w:val="21"/>
          <w:szCs w:val="21"/>
          <w:lang w:val="en-US" w:eastAsia="zh-CN"/>
        </w:rPr>
      </w:pPr>
    </w:p>
    <w:p>
      <w:pPr>
        <w:rPr>
          <w:rFonts w:hint="eastAsia" w:ascii="Times New Roman" w:hAnsi="Times New Roman" w:eastAsia="宋体" w:cs="Times New Roman"/>
          <w:color w:val="FF0000"/>
          <w:sz w:val="21"/>
          <w:szCs w:val="21"/>
          <w:lang w:val="en-US" w:eastAsia="zh-CN"/>
        </w:rPr>
      </w:pPr>
    </w:p>
    <w:p>
      <w:pPr>
        <w:rPr>
          <w:rFonts w:hint="eastAsia" w:ascii="Times New Roman" w:hAnsi="Times New Roman" w:eastAsia="宋体" w:cs="Times New Roman"/>
          <w:color w:val="FF0000"/>
          <w:sz w:val="21"/>
          <w:szCs w:val="21"/>
          <w:lang w:val="en-US" w:eastAsia="zh-CN"/>
        </w:rPr>
      </w:pPr>
    </w:p>
    <w:p>
      <w:pPr>
        <w:rPr>
          <w:rFonts w:hint="eastAsia" w:ascii="Times New Roman" w:hAnsi="Times New Roman" w:eastAsia="宋体" w:cs="Times New Roman"/>
          <w:color w:val="FF0000"/>
          <w:sz w:val="21"/>
          <w:szCs w:val="21"/>
          <w:lang w:val="en-US" w:eastAsia="zh-CN"/>
        </w:rPr>
      </w:pPr>
    </w:p>
    <w:p>
      <w:pPr>
        <w:rPr>
          <w:rFonts w:hint="eastAsia" w:ascii="Times New Roman" w:hAnsi="Times New Roman" w:eastAsia="宋体" w:cs="Times New Roman"/>
          <w:color w:val="FF0000"/>
          <w:sz w:val="21"/>
          <w:szCs w:val="21"/>
          <w:lang w:val="en-US" w:eastAsia="zh-CN"/>
        </w:rPr>
      </w:pPr>
    </w:p>
    <w:p>
      <w:pPr>
        <w:rPr>
          <w:rFonts w:hint="eastAsia" w:ascii="Times New Roman" w:hAnsi="Times New Roman" w:eastAsia="宋体" w:cs="Times New Roman"/>
          <w:color w:val="FF0000"/>
          <w:sz w:val="21"/>
          <w:szCs w:val="21"/>
          <w:lang w:val="en-US" w:eastAsia="zh-CN"/>
        </w:rPr>
      </w:pPr>
    </w:p>
    <w:p>
      <w:pPr>
        <w:rPr>
          <w:rFonts w:hint="eastAsia" w:ascii="Times New Roman" w:hAnsi="Times New Roman" w:eastAsia="宋体" w:cs="Times New Roman"/>
          <w:color w:val="FF0000"/>
          <w:sz w:val="21"/>
          <w:szCs w:val="21"/>
          <w:lang w:val="en-US" w:eastAsia="zh-CN"/>
        </w:rPr>
      </w:pPr>
    </w:p>
    <w:p>
      <w:pPr>
        <w:rPr>
          <w:rFonts w:hint="eastAsia" w:ascii="Times New Roman" w:hAnsi="Times New Roman" w:eastAsia="宋体" w:cs="Times New Roman"/>
          <w:color w:val="FF0000"/>
          <w:sz w:val="21"/>
          <w:szCs w:val="21"/>
          <w:lang w:val="en-US" w:eastAsia="zh-CN"/>
        </w:rPr>
      </w:pPr>
    </w:p>
    <w:p>
      <w:pPr>
        <w:rPr>
          <w:rFonts w:hint="eastAsia" w:ascii="Times New Roman" w:hAnsi="Times New Roman" w:eastAsia="宋体" w:cs="Times New Roman"/>
          <w:color w:val="FF0000"/>
          <w:sz w:val="21"/>
          <w:szCs w:val="21"/>
          <w:lang w:val="en-US" w:eastAsia="zh-CN"/>
        </w:rPr>
      </w:pPr>
    </w:p>
    <w:p>
      <w:pPr>
        <w:jc w:val="center"/>
        <w:outlineLvl w:val="9"/>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b/>
          <w:bCs/>
          <w:color w:val="000000"/>
          <w:sz w:val="24"/>
          <w:szCs w:val="24"/>
          <w:lang w:val="en-US" w:eastAsia="zh-CN"/>
        </w:rPr>
        <w:t>Table of Contents</w:t>
      </w:r>
    </w:p>
    <w:sdt>
      <w:sdtPr>
        <w:rPr>
          <w:rFonts w:ascii="宋体" w:hAnsi="宋体" w:eastAsia="宋体" w:cstheme="minorBidi"/>
          <w:kern w:val="2"/>
          <w:sz w:val="21"/>
          <w:szCs w:val="22"/>
          <w:lang w:val="en-US" w:eastAsia="zh-CN" w:bidi="ar-SA"/>
        </w:rPr>
        <w:id w:val="147471833"/>
        <w15:color w:val="DBDBDB"/>
        <w:docPartObj>
          <w:docPartGallery w:val="Table of Contents"/>
          <w:docPartUnique/>
        </w:docPartObj>
      </w:sdtPr>
      <w:sdtEndPr>
        <w:rPr>
          <w:rFonts w:hint="eastAsia" w:ascii="Times New Roman" w:hAnsi="Times New Roman" w:cs="Times New Roman" w:eastAsiaTheme="minorEastAsia"/>
          <w:b/>
          <w:bCs/>
          <w:kern w:val="2"/>
          <w:sz w:val="21"/>
          <w:szCs w:val="40"/>
          <w:lang w:val="en-US" w:eastAsia="zh-CN" w:bidi="ar-SA"/>
        </w:rPr>
      </w:sdtEndPr>
      <w:sdtContent>
        <w:p>
          <w:pPr>
            <w:spacing w:before="0" w:beforeLines="0" w:after="0" w:afterLines="0" w:line="240" w:lineRule="auto"/>
            <w:ind w:left="0" w:leftChars="0" w:right="0" w:rightChars="0" w:firstLine="0" w:firstLineChars="0"/>
            <w:jc w:val="center"/>
          </w:pP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TOC \o "1-2" \h \u </w:instrText>
          </w:r>
          <w:r>
            <w:rPr>
              <w:rFonts w:hint="default" w:ascii="Times New Roman" w:hAnsi="Times New Roman" w:cs="Times New Roman"/>
              <w:b/>
              <w:bCs/>
              <w:sz w:val="24"/>
              <w:szCs w:val="24"/>
            </w:rPr>
            <w:fldChar w:fldCharType="separate"/>
          </w: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_Toc2954 </w:instrText>
          </w:r>
          <w:r>
            <w:rPr>
              <w:rFonts w:hint="default" w:ascii="Times New Roman" w:hAnsi="Times New Roman" w:cs="Times New Roman"/>
              <w:bCs/>
              <w:sz w:val="24"/>
              <w:szCs w:val="24"/>
            </w:rPr>
            <w:fldChar w:fldCharType="separate"/>
          </w:r>
          <w:r>
            <w:rPr>
              <w:rFonts w:hint="default" w:ascii="Times New Roman" w:hAnsi="Times New Roman" w:cs="Times New Roman" w:eastAsiaTheme="majorEastAsia"/>
              <w:bCs/>
              <w:kern w:val="0"/>
              <w:sz w:val="24"/>
              <w:szCs w:val="24"/>
              <w:lang w:eastAsia="en-US"/>
            </w:rPr>
            <w:t>Executive Summary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_Toc2954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_Toc603 </w:instrText>
          </w:r>
          <w:r>
            <w:rPr>
              <w:rFonts w:hint="default" w:ascii="Times New Roman" w:hAnsi="Times New Roman" w:cs="Times New Roman"/>
              <w:bCs/>
              <w:sz w:val="24"/>
              <w:szCs w:val="24"/>
            </w:rPr>
            <w:fldChar w:fldCharType="separate"/>
          </w:r>
          <w:r>
            <w:rPr>
              <w:rFonts w:hint="default" w:ascii="Times New Roman" w:hAnsi="Times New Roman" w:cs="Times New Roman" w:eastAsiaTheme="majorEastAsia"/>
              <w:bCs/>
              <w:kern w:val="0"/>
              <w:sz w:val="24"/>
              <w:szCs w:val="24"/>
              <w:lang w:eastAsia="en-US"/>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_Toc603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_Toc24301 </w:instrText>
          </w:r>
          <w:r>
            <w:rPr>
              <w:rFonts w:hint="default" w:ascii="Times New Roman" w:hAnsi="Times New Roman" w:cs="Times New Roman"/>
              <w:bCs/>
              <w:sz w:val="24"/>
              <w:szCs w:val="24"/>
            </w:rPr>
            <w:fldChar w:fldCharType="separate"/>
          </w:r>
          <w:r>
            <w:rPr>
              <w:rFonts w:hint="default" w:ascii="Times New Roman" w:hAnsi="Times New Roman" w:cs="Times New Roman" w:eastAsiaTheme="majorEastAsia"/>
              <w:bCs/>
              <w:kern w:val="0"/>
              <w:sz w:val="24"/>
              <w:szCs w:val="24"/>
              <w:lang w:val="en-US" w:eastAsia="zh-CN"/>
            </w:rPr>
            <w:t>A</w:t>
          </w:r>
          <w:r>
            <w:rPr>
              <w:rFonts w:hint="default" w:ascii="Times New Roman" w:hAnsi="Times New Roman" w:cs="Times New Roman" w:eastAsiaTheme="majorEastAsia"/>
              <w:bCs/>
              <w:kern w:val="0"/>
              <w:sz w:val="24"/>
              <w:szCs w:val="24"/>
              <w:lang w:eastAsia="en-US"/>
            </w:rPr>
            <w:t>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_Toc24301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_Toc6359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IKEA(CHINA)'s marketing strategy analysis: short video marketing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_Toc6359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_Toc1063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Target consumer positioning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_Toc1063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_Toc8001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Topic marketing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_Toc8001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_Toc32320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Joint marketing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_Toc32320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_Toc14855 </w:instrText>
          </w:r>
          <w:r>
            <w:rPr>
              <w:rFonts w:hint="default" w:ascii="Times New Roman" w:hAnsi="Times New Roman" w:cs="Times New Roman"/>
              <w:bCs/>
              <w:sz w:val="24"/>
              <w:szCs w:val="24"/>
            </w:rPr>
            <w:fldChar w:fldCharType="separate"/>
          </w:r>
          <w:r>
            <w:rPr>
              <w:rFonts w:hint="default" w:ascii="Times New Roman" w:hAnsi="Times New Roman" w:cs="Times New Roman" w:eastAsiaTheme="majorEastAsia"/>
              <w:bCs/>
              <w:kern w:val="0"/>
              <w:sz w:val="24"/>
              <w:szCs w:val="24"/>
              <w:lang w:eastAsia="en-US"/>
            </w:rPr>
            <w:t>Deficiencies and challenges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_Toc14855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_Toc32599 </w:instrText>
          </w:r>
          <w:r>
            <w:rPr>
              <w:rFonts w:hint="default" w:ascii="Times New Roman" w:hAnsi="Times New Roman" w:cs="Times New Roman"/>
              <w:bCs/>
              <w:sz w:val="24"/>
              <w:szCs w:val="24"/>
            </w:rPr>
            <w:fldChar w:fldCharType="separate"/>
          </w:r>
          <w:r>
            <w:rPr>
              <w:rFonts w:hint="default" w:ascii="Times New Roman" w:hAnsi="Times New Roman" w:cs="Times New Roman" w:eastAsiaTheme="majorEastAsia"/>
              <w:bCs/>
              <w:kern w:val="0"/>
              <w:sz w:val="24"/>
              <w:szCs w:val="24"/>
              <w:lang w:eastAsia="en-US"/>
            </w:rPr>
            <w:t>Countermeasures and suggestions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_Toc32599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_Toc31916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rPr>
            <w:t>Enrich online marketing channels and methods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_Toc31916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_Toc14160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rPr>
            <w:t>link integration of online and offline brand communication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_Toc14160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_Toc24616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rPr>
            <w:t>pay more attention to the connotation of the brand</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_Toc24616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ind w:firstLine="480" w:firstLineChars="200"/>
            <w:jc w:val="center"/>
            <w:rPr>
              <w:rFonts w:hint="eastAsia" w:ascii="Times New Roman" w:hAnsi="Times New Roman" w:cs="Times New Roman"/>
              <w:b/>
              <w:bCs/>
              <w:sz w:val="36"/>
              <w:szCs w:val="40"/>
            </w:rPr>
          </w:pPr>
          <w:r>
            <w:rPr>
              <w:rFonts w:hint="default" w:ascii="Times New Roman" w:hAnsi="Times New Roman" w:cs="Times New Roman"/>
              <w:bCs/>
              <w:sz w:val="24"/>
              <w:szCs w:val="24"/>
            </w:rPr>
            <w:fldChar w:fldCharType="end"/>
          </w:r>
        </w:p>
      </w:sdtContent>
    </w:sdt>
    <w:p>
      <w:pPr>
        <w:ind w:firstLine="720" w:firstLineChars="200"/>
        <w:jc w:val="center"/>
        <w:rPr>
          <w:rFonts w:hint="eastAsia" w:ascii="Times New Roman" w:hAnsi="Times New Roman" w:cs="Times New Roman"/>
          <w:b/>
          <w:bCs/>
          <w:sz w:val="36"/>
          <w:szCs w:val="40"/>
        </w:rPr>
      </w:pPr>
    </w:p>
    <w:p>
      <w:pPr>
        <w:ind w:firstLine="720" w:firstLineChars="200"/>
        <w:jc w:val="center"/>
        <w:rPr>
          <w:rFonts w:hint="eastAsia" w:ascii="Times New Roman" w:hAnsi="Times New Roman" w:cs="Times New Roman"/>
          <w:b/>
          <w:bCs/>
          <w:sz w:val="36"/>
          <w:szCs w:val="40"/>
        </w:rPr>
      </w:pPr>
    </w:p>
    <w:p>
      <w:pPr>
        <w:ind w:firstLine="720" w:firstLineChars="200"/>
        <w:jc w:val="center"/>
        <w:rPr>
          <w:rFonts w:hint="eastAsia" w:ascii="Times New Roman" w:hAnsi="Times New Roman" w:cs="Times New Roman"/>
          <w:b/>
          <w:bCs/>
          <w:sz w:val="36"/>
          <w:szCs w:val="40"/>
        </w:rPr>
      </w:pPr>
    </w:p>
    <w:p>
      <w:pPr>
        <w:ind w:firstLine="720" w:firstLineChars="200"/>
        <w:jc w:val="center"/>
        <w:rPr>
          <w:rFonts w:hint="eastAsia" w:ascii="Times New Roman" w:hAnsi="Times New Roman" w:cs="Times New Roman"/>
          <w:b/>
          <w:bCs/>
          <w:sz w:val="36"/>
          <w:szCs w:val="40"/>
        </w:rPr>
      </w:pPr>
    </w:p>
    <w:p>
      <w:pPr>
        <w:ind w:firstLine="720" w:firstLineChars="200"/>
        <w:jc w:val="center"/>
        <w:rPr>
          <w:rFonts w:hint="eastAsia" w:ascii="Times New Roman" w:hAnsi="Times New Roman" w:cs="Times New Roman"/>
          <w:b/>
          <w:bCs/>
          <w:sz w:val="36"/>
          <w:szCs w:val="40"/>
        </w:rPr>
      </w:pPr>
    </w:p>
    <w:p>
      <w:pPr>
        <w:ind w:firstLine="720" w:firstLineChars="200"/>
        <w:jc w:val="center"/>
        <w:rPr>
          <w:rFonts w:hint="eastAsia" w:ascii="Times New Roman" w:hAnsi="Times New Roman" w:cs="Times New Roman"/>
          <w:b/>
          <w:bCs/>
          <w:sz w:val="36"/>
          <w:szCs w:val="40"/>
        </w:rPr>
      </w:pPr>
    </w:p>
    <w:p>
      <w:pPr>
        <w:ind w:firstLine="720" w:firstLineChars="200"/>
        <w:jc w:val="center"/>
        <w:rPr>
          <w:rFonts w:hint="eastAsia" w:ascii="Times New Roman" w:hAnsi="Times New Roman" w:cs="Times New Roman"/>
          <w:b/>
          <w:bCs/>
          <w:sz w:val="36"/>
          <w:szCs w:val="40"/>
        </w:rPr>
      </w:pPr>
    </w:p>
    <w:p>
      <w:pPr>
        <w:ind w:firstLine="720" w:firstLineChars="200"/>
        <w:jc w:val="center"/>
        <w:rPr>
          <w:rFonts w:hint="eastAsia" w:ascii="Times New Roman" w:hAnsi="Times New Roman" w:cs="Times New Roman"/>
          <w:b/>
          <w:bCs/>
          <w:sz w:val="36"/>
          <w:szCs w:val="40"/>
        </w:rPr>
      </w:pPr>
    </w:p>
    <w:p>
      <w:pPr>
        <w:ind w:firstLine="720" w:firstLineChars="200"/>
        <w:jc w:val="center"/>
        <w:rPr>
          <w:rFonts w:hint="eastAsia" w:ascii="Times New Roman" w:hAnsi="Times New Roman" w:cs="Times New Roman"/>
          <w:b/>
          <w:bCs/>
          <w:sz w:val="36"/>
          <w:szCs w:val="40"/>
        </w:rPr>
      </w:pPr>
    </w:p>
    <w:p>
      <w:pPr>
        <w:ind w:firstLine="720" w:firstLineChars="200"/>
        <w:jc w:val="center"/>
        <w:rPr>
          <w:rFonts w:hint="eastAsia" w:ascii="Times New Roman" w:hAnsi="Times New Roman" w:cs="Times New Roman"/>
          <w:b/>
          <w:bCs/>
          <w:sz w:val="36"/>
          <w:szCs w:val="40"/>
        </w:rPr>
      </w:pPr>
    </w:p>
    <w:p>
      <w:pPr>
        <w:ind w:firstLine="720" w:firstLineChars="200"/>
        <w:jc w:val="center"/>
        <w:rPr>
          <w:rFonts w:hint="eastAsia" w:ascii="Times New Roman" w:hAnsi="Times New Roman" w:cs="Times New Roman"/>
          <w:b/>
          <w:bCs/>
          <w:sz w:val="36"/>
          <w:szCs w:val="40"/>
        </w:rPr>
      </w:pPr>
    </w:p>
    <w:p>
      <w:pPr>
        <w:ind w:firstLine="720" w:firstLineChars="200"/>
        <w:jc w:val="center"/>
        <w:rPr>
          <w:rFonts w:hint="eastAsia" w:ascii="Times New Roman" w:hAnsi="Times New Roman" w:cs="Times New Roman"/>
          <w:b/>
          <w:bCs/>
          <w:sz w:val="36"/>
          <w:szCs w:val="40"/>
        </w:rPr>
      </w:pPr>
    </w:p>
    <w:p>
      <w:pPr>
        <w:ind w:firstLine="720" w:firstLineChars="200"/>
        <w:jc w:val="center"/>
        <w:rPr>
          <w:rFonts w:hint="eastAsia" w:ascii="Times New Roman" w:hAnsi="Times New Roman" w:cs="Times New Roman"/>
          <w:b/>
          <w:bCs/>
          <w:sz w:val="36"/>
          <w:szCs w:val="40"/>
        </w:rPr>
      </w:pPr>
    </w:p>
    <w:p>
      <w:pPr>
        <w:ind w:firstLine="720" w:firstLineChars="200"/>
        <w:jc w:val="center"/>
        <w:rPr>
          <w:rFonts w:hint="eastAsia" w:ascii="Times New Roman" w:hAnsi="Times New Roman" w:cs="Times New Roman"/>
          <w:b/>
          <w:bCs/>
          <w:sz w:val="36"/>
          <w:szCs w:val="40"/>
        </w:rPr>
      </w:pPr>
    </w:p>
    <w:p>
      <w:pPr>
        <w:pStyle w:val="2"/>
        <w:widowControl/>
        <w:spacing w:before="240" w:beforeLines="-2147483648" w:beforeAutospacing="0" w:after="0" w:afterLines="-2147483648" w:afterAutospacing="0" w:line="480" w:lineRule="auto"/>
        <w:jc w:val="left"/>
        <w:rPr>
          <w:rFonts w:hint="eastAsia" w:eastAsiaTheme="minorEastAsia"/>
          <w:lang w:val="en-US" w:eastAsia="zh-CN"/>
        </w:rPr>
      </w:pPr>
      <w:bookmarkStart w:id="0" w:name="_Toc2954"/>
      <w:r>
        <w:rPr>
          <w:rFonts w:hint="eastAsia" w:ascii="Times New Roman" w:hAnsi="Times New Roman" w:cs="Times New Roman" w:eastAsiaTheme="majorEastAsia"/>
          <w:b/>
          <w:bCs/>
          <w:color w:val="auto"/>
          <w:kern w:val="0"/>
          <w:sz w:val="24"/>
          <w:szCs w:val="24"/>
          <w:lang w:eastAsia="en-US"/>
        </w:rPr>
        <w:t>Executive Summary</w:t>
      </w:r>
      <w:bookmarkEnd w:id="0"/>
    </w:p>
    <w:p>
      <w:pPr>
        <w:widowControl/>
        <w:spacing w:after="160" w:line="480" w:lineRule="auto"/>
        <w:ind w:firstLine="720"/>
        <w:jc w:val="both"/>
        <w:rPr>
          <w:rFonts w:hint="eastAsia" w:ascii="Times New Roman" w:hAnsi="Times New Roman" w:cs="Times New Roman" w:eastAsiaTheme="minorHAnsi"/>
          <w:kern w:val="0"/>
          <w:sz w:val="24"/>
          <w:szCs w:val="24"/>
          <w:lang w:eastAsia="en-US"/>
        </w:rPr>
      </w:pPr>
      <w:r>
        <w:rPr>
          <w:rFonts w:hint="eastAsia" w:ascii="Times New Roman" w:hAnsi="Times New Roman" w:cs="Times New Roman" w:eastAsiaTheme="minorHAnsi"/>
          <w:kern w:val="0"/>
          <w:sz w:val="24"/>
          <w:szCs w:val="24"/>
          <w:lang w:eastAsia="en-US"/>
        </w:rPr>
        <w:t xml:space="preserve">New media is becoming more and more crucial to marketing as Internet technology advances. </w:t>
      </w:r>
      <w:r>
        <w:rPr>
          <w:rFonts w:hint="eastAsia" w:ascii="Times New Roman" w:hAnsi="Times New Roman" w:cs="Times New Roman" w:eastAsiaTheme="minorHAnsi"/>
          <w:kern w:val="0"/>
          <w:sz w:val="24"/>
          <w:szCs w:val="24"/>
          <w:lang w:val="en-US" w:eastAsia="zh-CN"/>
        </w:rPr>
        <w:t>B</w:t>
      </w:r>
      <w:r>
        <w:rPr>
          <w:rFonts w:hint="eastAsia" w:ascii="Times New Roman" w:hAnsi="Times New Roman" w:cs="Times New Roman" w:eastAsiaTheme="minorHAnsi"/>
          <w:kern w:val="0"/>
          <w:sz w:val="24"/>
          <w:szCs w:val="24"/>
          <w:lang w:eastAsia="en-US"/>
        </w:rPr>
        <w:t>y analyzing the current state of KOL and short video marketing in C</w:t>
      </w:r>
      <w:r>
        <w:rPr>
          <w:rFonts w:hint="eastAsia" w:ascii="Times New Roman" w:hAnsi="Times New Roman" w:cs="Times New Roman" w:eastAsiaTheme="minorHAnsi"/>
          <w:kern w:val="0"/>
          <w:sz w:val="24"/>
          <w:szCs w:val="24"/>
          <w:lang w:val="en-US" w:eastAsia="zh-CN"/>
        </w:rPr>
        <w:t>hina</w:t>
      </w:r>
      <w:bookmarkStart w:id="19" w:name="_GoBack"/>
      <w:bookmarkEnd w:id="19"/>
      <w:r>
        <w:rPr>
          <w:rFonts w:hint="eastAsia" w:ascii="Times New Roman" w:hAnsi="Times New Roman" w:cs="Times New Roman" w:eastAsiaTheme="minorHAnsi"/>
          <w:kern w:val="0"/>
          <w:sz w:val="24"/>
          <w:szCs w:val="24"/>
          <w:lang w:eastAsia="en-US"/>
        </w:rPr>
        <w:t xml:space="preserve"> and combining it with the company's current marketing issues</w:t>
      </w:r>
      <w:r>
        <w:rPr>
          <w:rFonts w:hint="eastAsia" w:ascii="Times New Roman" w:hAnsi="Times New Roman" w:cs="Times New Roman" w:eastAsiaTheme="minorHAnsi"/>
          <w:kern w:val="0"/>
          <w:sz w:val="24"/>
          <w:szCs w:val="24"/>
          <w:lang w:val="en-US" w:eastAsia="zh-CN"/>
        </w:rPr>
        <w:t>, this report</w:t>
      </w:r>
      <w:r>
        <w:rPr>
          <w:rFonts w:hint="eastAsia" w:ascii="Times New Roman" w:hAnsi="Times New Roman" w:cs="Times New Roman" w:eastAsiaTheme="minorHAnsi"/>
          <w:kern w:val="0"/>
          <w:sz w:val="24"/>
          <w:szCs w:val="24"/>
          <w:lang w:eastAsia="en-US"/>
        </w:rPr>
        <w:t xml:space="preserve"> suggests that IKEA (CHINA) should diversify its marketing strategies, combine online and offline modes, and tell brand stories to aid in the brand's growth.</w:t>
      </w:r>
      <w:r>
        <w:rPr>
          <w:rFonts w:hint="eastAsia" w:ascii="Times New Roman" w:hAnsi="Times New Roman" w:cs="Times New Roman" w:eastAsiaTheme="minorHAnsi"/>
          <w:kern w:val="0"/>
          <w:sz w:val="24"/>
          <w:szCs w:val="24"/>
          <w:lang w:val="en-US" w:eastAsia="zh-CN"/>
        </w:rPr>
        <w:t xml:space="preserve"> </w:t>
      </w:r>
    </w:p>
    <w:p>
      <w:pPr>
        <w:ind w:firstLine="720" w:firstLineChars="200"/>
        <w:jc w:val="center"/>
        <w:rPr>
          <w:rFonts w:ascii="Times New Roman" w:hAnsi="Times New Roman" w:cs="Times New Roman"/>
          <w:b/>
          <w:bCs/>
          <w:sz w:val="36"/>
          <w:szCs w:val="40"/>
        </w:rPr>
      </w:pPr>
    </w:p>
    <w:p>
      <w:pPr>
        <w:ind w:firstLine="720" w:firstLineChars="200"/>
        <w:jc w:val="center"/>
        <w:rPr>
          <w:rFonts w:ascii="Times New Roman" w:hAnsi="Times New Roman" w:cs="Times New Roman"/>
          <w:b/>
          <w:bCs/>
          <w:sz w:val="36"/>
          <w:szCs w:val="40"/>
        </w:rPr>
      </w:pPr>
    </w:p>
    <w:p>
      <w:pPr>
        <w:ind w:firstLine="720" w:firstLineChars="200"/>
        <w:jc w:val="center"/>
        <w:rPr>
          <w:rFonts w:ascii="Times New Roman" w:hAnsi="Times New Roman" w:cs="Times New Roman"/>
          <w:b/>
          <w:bCs/>
          <w:sz w:val="36"/>
          <w:szCs w:val="40"/>
        </w:rPr>
      </w:pPr>
    </w:p>
    <w:p>
      <w:pPr>
        <w:ind w:firstLine="720" w:firstLineChars="200"/>
        <w:jc w:val="center"/>
        <w:rPr>
          <w:rFonts w:ascii="Times New Roman" w:hAnsi="Times New Roman" w:cs="Times New Roman"/>
          <w:b/>
          <w:bCs/>
          <w:sz w:val="36"/>
          <w:szCs w:val="40"/>
        </w:rPr>
      </w:pPr>
    </w:p>
    <w:p>
      <w:pPr>
        <w:ind w:firstLine="720" w:firstLineChars="200"/>
        <w:jc w:val="center"/>
        <w:rPr>
          <w:rFonts w:ascii="Times New Roman" w:hAnsi="Times New Roman" w:cs="Times New Roman"/>
          <w:b/>
          <w:bCs/>
          <w:sz w:val="36"/>
          <w:szCs w:val="40"/>
        </w:rPr>
      </w:pPr>
    </w:p>
    <w:p>
      <w:pPr>
        <w:ind w:firstLine="720" w:firstLineChars="200"/>
        <w:jc w:val="center"/>
        <w:rPr>
          <w:rFonts w:ascii="Times New Roman" w:hAnsi="Times New Roman" w:cs="Times New Roman"/>
          <w:b/>
          <w:bCs/>
          <w:sz w:val="36"/>
          <w:szCs w:val="40"/>
        </w:rPr>
      </w:pPr>
    </w:p>
    <w:p>
      <w:pPr>
        <w:ind w:firstLine="720" w:firstLineChars="200"/>
        <w:jc w:val="center"/>
        <w:rPr>
          <w:rFonts w:ascii="Times New Roman" w:hAnsi="Times New Roman" w:cs="Times New Roman"/>
          <w:b/>
          <w:bCs/>
          <w:sz w:val="36"/>
          <w:szCs w:val="40"/>
        </w:rPr>
      </w:pPr>
    </w:p>
    <w:p>
      <w:pPr>
        <w:ind w:firstLine="720" w:firstLineChars="200"/>
        <w:jc w:val="center"/>
        <w:rPr>
          <w:rFonts w:ascii="Times New Roman" w:hAnsi="Times New Roman" w:cs="Times New Roman"/>
          <w:b/>
          <w:bCs/>
          <w:sz w:val="36"/>
          <w:szCs w:val="40"/>
        </w:rPr>
      </w:pPr>
    </w:p>
    <w:p>
      <w:pPr>
        <w:ind w:firstLine="720" w:firstLineChars="200"/>
        <w:jc w:val="center"/>
        <w:rPr>
          <w:rFonts w:ascii="Times New Roman" w:hAnsi="Times New Roman" w:cs="Times New Roman"/>
          <w:b/>
          <w:bCs/>
          <w:sz w:val="36"/>
          <w:szCs w:val="40"/>
        </w:rPr>
      </w:pPr>
    </w:p>
    <w:p>
      <w:pPr>
        <w:ind w:firstLine="720" w:firstLineChars="200"/>
        <w:jc w:val="center"/>
        <w:rPr>
          <w:rFonts w:ascii="Times New Roman" w:hAnsi="Times New Roman" w:cs="Times New Roman"/>
          <w:b/>
          <w:bCs/>
          <w:sz w:val="36"/>
          <w:szCs w:val="40"/>
        </w:rPr>
      </w:pPr>
    </w:p>
    <w:p>
      <w:pPr>
        <w:ind w:firstLine="720" w:firstLineChars="200"/>
        <w:jc w:val="center"/>
        <w:rPr>
          <w:rFonts w:ascii="Times New Roman" w:hAnsi="Times New Roman" w:cs="Times New Roman"/>
          <w:b/>
          <w:bCs/>
          <w:sz w:val="36"/>
          <w:szCs w:val="40"/>
        </w:rPr>
      </w:pPr>
    </w:p>
    <w:p>
      <w:pPr>
        <w:ind w:firstLine="720" w:firstLineChars="200"/>
        <w:jc w:val="center"/>
        <w:rPr>
          <w:rFonts w:ascii="Times New Roman" w:hAnsi="Times New Roman" w:cs="Times New Roman"/>
          <w:b/>
          <w:bCs/>
          <w:sz w:val="36"/>
          <w:szCs w:val="40"/>
        </w:rPr>
      </w:pPr>
    </w:p>
    <w:p>
      <w:pPr>
        <w:ind w:firstLine="720" w:firstLineChars="200"/>
        <w:jc w:val="center"/>
        <w:rPr>
          <w:rFonts w:ascii="Times New Roman" w:hAnsi="Times New Roman" w:cs="Times New Roman"/>
          <w:b/>
          <w:bCs/>
          <w:sz w:val="36"/>
          <w:szCs w:val="40"/>
        </w:rPr>
      </w:pPr>
    </w:p>
    <w:p>
      <w:pPr>
        <w:ind w:firstLine="720" w:firstLineChars="200"/>
        <w:jc w:val="center"/>
        <w:rPr>
          <w:rFonts w:ascii="Times New Roman" w:hAnsi="Times New Roman" w:cs="Times New Roman"/>
          <w:b/>
          <w:bCs/>
          <w:sz w:val="36"/>
          <w:szCs w:val="40"/>
        </w:rPr>
      </w:pPr>
    </w:p>
    <w:p>
      <w:pPr>
        <w:ind w:firstLine="720" w:firstLineChars="200"/>
        <w:jc w:val="center"/>
        <w:rPr>
          <w:rFonts w:ascii="Times New Roman" w:hAnsi="Times New Roman" w:cs="Times New Roman"/>
          <w:b/>
          <w:bCs/>
          <w:sz w:val="36"/>
          <w:szCs w:val="40"/>
        </w:rPr>
      </w:pPr>
    </w:p>
    <w:p>
      <w:pPr>
        <w:pStyle w:val="2"/>
        <w:widowControl/>
        <w:spacing w:before="240" w:beforeLines="-2147483648" w:beforeAutospacing="0" w:after="0" w:afterLines="-2147483648" w:afterAutospacing="0" w:line="480" w:lineRule="auto"/>
        <w:jc w:val="both"/>
        <w:rPr>
          <w:rFonts w:ascii="Times New Roman" w:hAnsi="Times New Roman" w:cs="Times New Roman" w:eastAsiaTheme="majorEastAsia"/>
          <w:b/>
          <w:bCs/>
          <w:color w:val="auto"/>
          <w:kern w:val="0"/>
          <w:sz w:val="24"/>
          <w:szCs w:val="24"/>
          <w:lang w:eastAsia="en-US"/>
        </w:rPr>
      </w:pPr>
      <w:bookmarkStart w:id="1" w:name="_Toc603"/>
      <w:r>
        <w:rPr>
          <w:rFonts w:ascii="Times New Roman" w:hAnsi="Times New Roman" w:cs="Times New Roman" w:eastAsiaTheme="majorEastAsia"/>
          <w:b/>
          <w:bCs/>
          <w:color w:val="auto"/>
          <w:kern w:val="0"/>
          <w:sz w:val="24"/>
          <w:szCs w:val="24"/>
          <w:lang w:eastAsia="en-US"/>
        </w:rPr>
        <w:t>Introduction</w:t>
      </w:r>
      <w:bookmarkEnd w:id="1"/>
    </w:p>
    <w:p>
      <w:pPr>
        <w:widowControl/>
        <w:spacing w:after="160" w:line="480" w:lineRule="auto"/>
        <w:ind w:firstLine="720"/>
        <w:jc w:val="both"/>
        <w:rPr>
          <w:rFonts w:ascii="Times New Roman" w:hAnsi="Times New Roman" w:cs="Times New Roman" w:eastAsiaTheme="minorHAnsi"/>
          <w:kern w:val="0"/>
          <w:sz w:val="24"/>
          <w:szCs w:val="24"/>
          <w:lang w:eastAsia="en-US"/>
        </w:rPr>
      </w:pPr>
      <w:r>
        <w:rPr>
          <w:rFonts w:ascii="Times New Roman" w:hAnsi="Times New Roman" w:cs="Times New Roman" w:eastAsiaTheme="minorHAnsi"/>
          <w:kern w:val="0"/>
          <w:sz w:val="24"/>
          <w:szCs w:val="24"/>
          <w:lang w:eastAsia="en-US"/>
        </w:rPr>
        <w:t>T</w:t>
      </w:r>
      <w:r>
        <w:rPr>
          <w:rFonts w:hint="eastAsia" w:ascii="Times New Roman" w:hAnsi="Times New Roman" w:cs="Times New Roman" w:eastAsiaTheme="minorHAnsi"/>
          <w:kern w:val="0"/>
          <w:sz w:val="24"/>
          <w:szCs w:val="24"/>
          <w:lang w:eastAsia="en-US"/>
        </w:rPr>
        <w:t>ill</w:t>
      </w:r>
      <w:r>
        <w:rPr>
          <w:rFonts w:ascii="Times New Roman" w:hAnsi="Times New Roman" w:cs="Times New Roman" w:eastAsiaTheme="minorHAnsi"/>
          <w:kern w:val="0"/>
          <w:sz w:val="24"/>
          <w:szCs w:val="24"/>
          <w:lang w:eastAsia="en-US"/>
        </w:rPr>
        <w:t xml:space="preserve"> December 2021, the number of short video users in China has reached 934 million, accounting for 90.5% of Internet users (CNNIC, 2022). Short video new media is also imperceptibly changing the current media environment and business environment with its huge high-quality traffic. Short video marketing is showing a booming trend in the social media environment. All kinds of mobile social short video platforms have also built a platform for differentiated communication for enterprises and brands, and become one of the main battlefields of current enterprise and brand marketing. According to the survey data of Ai Media, in just five years, the market size of short video marketing has grown from 200 million yuan in 2015 to 140.83 billion yuan in 2020, maintaining a high growth trend (CNNIC, 2022). At the same time, many new marketing models have emerged on the short video platform, such as KOL marketing (Key Opinion Leader), relationship marketing, content marketing, etc. These new marketing models have brought shining opportunities for many domestic time-honored brands and domestic emerging brands. In addition, the purpose of consumption is gradually shifting from consumption of objects to consumption of symbolic meanings, which also brings about the climax of "Home Furnishing economy". In the past, </w:t>
      </w:r>
      <w:r>
        <w:rPr>
          <w:rFonts w:hint="eastAsia" w:ascii="Times New Roman" w:hAnsi="Times New Roman" w:cs="Times New Roman" w:eastAsiaTheme="minorHAnsi"/>
          <w:kern w:val="0"/>
          <w:sz w:val="24"/>
          <w:szCs w:val="24"/>
          <w:lang w:val="en-US" w:eastAsia="zh-CN"/>
        </w:rPr>
        <w:t>Chinese</w:t>
      </w:r>
      <w:r>
        <w:rPr>
          <w:rFonts w:ascii="Times New Roman" w:hAnsi="Times New Roman" w:cs="Times New Roman" w:eastAsiaTheme="minorHAnsi"/>
          <w:kern w:val="0"/>
          <w:sz w:val="24"/>
          <w:szCs w:val="24"/>
          <w:lang w:eastAsia="en-US"/>
        </w:rPr>
        <w:t xml:space="preserve"> Home Furnishing brands were labeled as poor quality and low-grade, making them unknown all the time, while imported Home Furnishing brands took the lead. In recent years, the trust and support of young people to domestic brands are rising. At the same time, with the help of social media marketing, especially short video marketing, domestic Home Furnishing brands have rapidly increased their market share, accounting for more than 50%, and their user awareness and goodwill have increased (Bai et al, 2019). Domestic Home Furnishing brands took the lead in discovering the key points of communication with users in social media platforms, especially short video social media platforms, and successfully opened their popularity with the help of short video marketing, laying the foundation for further expanding brand influence.</w:t>
      </w:r>
    </w:p>
    <w:p>
      <w:pPr>
        <w:widowControl/>
        <w:spacing w:after="160" w:line="480" w:lineRule="auto"/>
        <w:ind w:firstLine="720"/>
        <w:jc w:val="both"/>
        <w:rPr>
          <w:rFonts w:ascii="Times New Roman" w:hAnsi="Times New Roman" w:cs="Times New Roman" w:eastAsiaTheme="minorHAnsi"/>
          <w:kern w:val="0"/>
          <w:sz w:val="24"/>
          <w:szCs w:val="24"/>
          <w:lang w:eastAsia="en-US"/>
        </w:rPr>
      </w:pPr>
      <w:r>
        <w:rPr>
          <w:rFonts w:ascii="Times New Roman" w:hAnsi="Times New Roman" w:cs="Times New Roman" w:eastAsiaTheme="minorHAnsi"/>
          <w:kern w:val="0"/>
          <w:sz w:val="24"/>
          <w:szCs w:val="24"/>
          <w:lang w:eastAsia="en-US"/>
        </w:rPr>
        <w:t>In recent years, many new models have emerged for IKEA(CHINA)'s brand communication in the short video field. For example, under the product marketing mode led by KOL, IKEA(China) choose KOL at all levels to promote or evaluate products; Community marketing mode triggered by topic. The brand side issues topic discussion via short videos to form a brand topic community; Short video becomes the live broadcast entrance, through which users can enter the brand or KOL's live broadcast room for purchase and interaction; Online and offline linkage marketing, brands use short videos to forecast offline activities; Fan migration marketing mode, the brand invites the popular idol as the spokesman in the short video advertisement, and the brand cooperates with the brand. wait. IKEA(CHINA)'s brand communication practice actually reflects the importance of interaction, interaction and connectivity in the relationship between brands and consumers, and also brings new ideas to the research of domestic Home Furnishing brand communication. This paper analyzes IKEA(CHINA)'s marketing strategy, including background analysis, marketing channels, difficulties and challenges facing the current impact strategy, and further development suggestions.</w:t>
      </w:r>
    </w:p>
    <w:p>
      <w:pPr>
        <w:pStyle w:val="2"/>
        <w:widowControl/>
        <w:spacing w:before="240" w:beforeLines="-2147483648" w:beforeAutospacing="0" w:after="0" w:afterLines="-2147483648" w:afterAutospacing="0" w:line="480" w:lineRule="auto"/>
        <w:jc w:val="both"/>
        <w:rPr>
          <w:lang w:eastAsia="en-US"/>
        </w:rPr>
      </w:pPr>
      <w:bookmarkStart w:id="2" w:name="_Toc24301"/>
      <w:r>
        <w:rPr>
          <w:rFonts w:hint="eastAsia" w:ascii="Times New Roman" w:hAnsi="Times New Roman" w:cs="Times New Roman" w:eastAsiaTheme="majorEastAsia"/>
          <w:b/>
          <w:bCs/>
          <w:color w:val="auto"/>
          <w:kern w:val="0"/>
          <w:sz w:val="24"/>
          <w:szCs w:val="24"/>
          <w:lang w:val="en-US" w:eastAsia="zh-CN"/>
        </w:rPr>
        <w:t>A</w:t>
      </w:r>
      <w:r>
        <w:rPr>
          <w:rFonts w:hint="eastAsia" w:ascii="Times New Roman" w:hAnsi="Times New Roman" w:cs="Times New Roman" w:eastAsiaTheme="majorEastAsia"/>
          <w:b/>
          <w:bCs/>
          <w:color w:val="auto"/>
          <w:kern w:val="0"/>
          <w:sz w:val="24"/>
          <w:szCs w:val="24"/>
          <w:lang w:eastAsia="en-US"/>
        </w:rPr>
        <w:t>nalysis</w:t>
      </w:r>
      <w:bookmarkEnd w:id="2"/>
    </w:p>
    <w:p>
      <w:pPr>
        <w:pStyle w:val="3"/>
        <w:bidi w:val="0"/>
        <w:rPr>
          <w:rFonts w:hint="default" w:ascii="Times New Roman" w:hAnsi="Times New Roman" w:cs="Times New Roman"/>
          <w:sz w:val="24"/>
          <w:szCs w:val="24"/>
        </w:rPr>
      </w:pPr>
      <w:bookmarkStart w:id="3" w:name="_Toc6359"/>
      <w:r>
        <w:rPr>
          <w:rFonts w:hint="default" w:ascii="Times New Roman" w:hAnsi="Times New Roman" w:cs="Times New Roman"/>
          <w:sz w:val="24"/>
          <w:szCs w:val="24"/>
        </w:rPr>
        <w:t>IKEA(CHINA)'s marketing strategy analysis: short video marketing</w:t>
      </w:r>
      <w:bookmarkEnd w:id="3"/>
    </w:p>
    <w:p>
      <w:pPr>
        <w:widowControl/>
        <w:spacing w:after="160" w:line="480" w:lineRule="auto"/>
        <w:ind w:firstLine="720"/>
        <w:jc w:val="both"/>
        <w:rPr>
          <w:rFonts w:ascii="Times New Roman" w:hAnsi="Times New Roman" w:cs="Times New Roman" w:eastAsiaTheme="minorHAnsi"/>
          <w:kern w:val="0"/>
          <w:sz w:val="24"/>
          <w:szCs w:val="24"/>
          <w:lang w:eastAsia="en-US"/>
        </w:rPr>
      </w:pPr>
      <w:r>
        <w:rPr>
          <w:rFonts w:ascii="Times New Roman" w:hAnsi="Times New Roman" w:cs="Times New Roman" w:eastAsiaTheme="minorHAnsi"/>
          <w:kern w:val="0"/>
          <w:sz w:val="24"/>
          <w:szCs w:val="24"/>
          <w:lang w:eastAsia="en-US"/>
        </w:rPr>
        <w:t>IKEA(CHINA) rapidly expanded its popularity with the help of social media marketing. IKEA(CHINA) is positioned as a cost-effective Home Furnishing brand for young couples or one-person households of the new generation (Bing, 2018). It takes "</w:t>
      </w:r>
      <w:r>
        <w:rPr>
          <w:rFonts w:hint="eastAsia" w:ascii="Times New Roman" w:hAnsi="Times New Roman" w:cs="Times New Roman" w:eastAsiaTheme="minorHAnsi"/>
          <w:kern w:val="0"/>
          <w:sz w:val="24"/>
          <w:szCs w:val="24"/>
          <w:lang w:eastAsia="en-US"/>
        </w:rPr>
        <w:t>Create a better life for ordinary people</w:t>
      </w:r>
      <w:r>
        <w:rPr>
          <w:rFonts w:ascii="Times New Roman" w:hAnsi="Times New Roman" w:cs="Times New Roman" w:eastAsiaTheme="minorHAnsi"/>
          <w:kern w:val="0"/>
          <w:sz w:val="24"/>
          <w:szCs w:val="24"/>
          <w:lang w:eastAsia="en-US"/>
        </w:rPr>
        <w:t>" as its own brand concept, advocates that young people get rid of the labels given by the outside world, constantly pursue their own meaning, constantly explore the diversity of life, and become better themselves. IKEA(CHINA) brand has formed a large scale since its inception. With its flexible marketing methods and excellent product quality, it has formed a good reputation and popularity among the new generation of young couples or one-person households.</w:t>
      </w:r>
    </w:p>
    <w:p>
      <w:pPr>
        <w:widowControl/>
        <w:spacing w:after="160" w:line="480" w:lineRule="auto"/>
        <w:ind w:firstLine="720"/>
        <w:jc w:val="both"/>
        <w:rPr>
          <w:rFonts w:ascii="Times New Roman" w:hAnsi="Times New Roman" w:cs="Times New Roman" w:eastAsiaTheme="minorHAnsi"/>
          <w:kern w:val="0"/>
          <w:sz w:val="24"/>
          <w:szCs w:val="24"/>
          <w:lang w:eastAsia="en-US"/>
        </w:rPr>
      </w:pPr>
      <w:r>
        <w:rPr>
          <w:rFonts w:ascii="Times New Roman" w:hAnsi="Times New Roman" w:cs="Times New Roman" w:eastAsiaTheme="minorHAnsi"/>
          <w:kern w:val="0"/>
          <w:sz w:val="24"/>
          <w:szCs w:val="24"/>
          <w:lang w:eastAsia="en-US"/>
        </w:rPr>
        <w:t>Although the current domestic Home Furnishing products have great price advantages, they have large defects in product quality and product packaging design, which do not meet the demands of young couples or one-person households on cosmetics. However, the price of foreign Home Furnishing brands is generally high, so domestic Home Furnishing consumers are in a dilemma. In the current competition of Home Furnishing brands at home and abroad, IKEA(CHINA</w:t>
      </w:r>
      <w:r>
        <w:rPr>
          <w:rFonts w:hint="eastAsia" w:ascii="Times New Roman" w:hAnsi="Times New Roman" w:cs="Times New Roman" w:eastAsiaTheme="minorHAnsi"/>
          <w:kern w:val="0"/>
          <w:sz w:val="24"/>
          <w:szCs w:val="24"/>
          <w:lang w:val="en-US" w:eastAsia="zh-CN"/>
        </w:rPr>
        <w:t xml:space="preserve">) </w:t>
      </w:r>
      <w:r>
        <w:rPr>
          <w:rFonts w:ascii="Times New Roman" w:hAnsi="Times New Roman" w:cs="Times New Roman" w:eastAsiaTheme="minorHAnsi"/>
          <w:kern w:val="0"/>
          <w:sz w:val="24"/>
          <w:szCs w:val="24"/>
          <w:lang w:eastAsia="en-US"/>
        </w:rPr>
        <w:t xml:space="preserve">has accurately grasped the pain points of consumers and positioned its products at high quality, high Home Furnishing value and low price based on the product design principle of high cost performance and high Home Furnishing value. In terms of quality control, IKEA(CHINA) chooses to cooperate with the world's leading </w:t>
      </w:r>
      <w:r>
        <w:rPr>
          <w:rFonts w:hint="eastAsia" w:ascii="Times New Roman" w:hAnsi="Times New Roman" w:cs="Times New Roman" w:eastAsiaTheme="minorHAnsi"/>
          <w:kern w:val="0"/>
          <w:sz w:val="24"/>
          <w:szCs w:val="24"/>
          <w:lang w:val="en-US" w:eastAsia="zh-CN"/>
        </w:rPr>
        <w:t>m</w:t>
      </w:r>
      <w:r>
        <w:rPr>
          <w:rFonts w:hint="eastAsia" w:ascii="Times New Roman" w:hAnsi="Times New Roman" w:cs="Times New Roman" w:eastAsiaTheme="minorHAnsi"/>
          <w:kern w:val="0"/>
          <w:sz w:val="24"/>
          <w:szCs w:val="24"/>
          <w:lang w:eastAsia="en-US"/>
        </w:rPr>
        <w:t>aterial</w:t>
      </w:r>
      <w:r>
        <w:rPr>
          <w:rFonts w:ascii="Times New Roman" w:hAnsi="Times New Roman" w:cs="Times New Roman" w:eastAsiaTheme="minorHAnsi"/>
          <w:kern w:val="0"/>
          <w:sz w:val="24"/>
          <w:szCs w:val="24"/>
          <w:lang w:eastAsia="en-US"/>
        </w:rPr>
        <w:t xml:space="preserve"> suppliers (Bolton et al, 2019). </w:t>
      </w:r>
    </w:p>
    <w:p>
      <w:pPr>
        <w:pStyle w:val="3"/>
        <w:bidi w:val="0"/>
        <w:outlineLvl w:val="0"/>
        <w:rPr>
          <w:rFonts w:hint="default" w:ascii="Times New Roman" w:hAnsi="Times New Roman" w:cs="Times New Roman"/>
          <w:b/>
          <w:sz w:val="24"/>
          <w:szCs w:val="24"/>
        </w:rPr>
      </w:pPr>
      <w:bookmarkStart w:id="4" w:name="_Toc1063"/>
      <w:r>
        <w:rPr>
          <w:rFonts w:hint="default" w:ascii="Times New Roman" w:hAnsi="Times New Roman" w:cs="Times New Roman"/>
          <w:b/>
          <w:sz w:val="24"/>
          <w:szCs w:val="24"/>
        </w:rPr>
        <w:t>Target consumer positioning</w:t>
      </w:r>
      <w:bookmarkEnd w:id="4"/>
    </w:p>
    <w:p>
      <w:pPr>
        <w:widowControl/>
        <w:spacing w:after="160" w:line="480" w:lineRule="auto"/>
        <w:ind w:firstLine="720"/>
        <w:jc w:val="both"/>
        <w:rPr>
          <w:rFonts w:ascii="Times New Roman" w:hAnsi="Times New Roman" w:cs="Times New Roman" w:eastAsiaTheme="minorHAnsi"/>
          <w:kern w:val="0"/>
          <w:sz w:val="24"/>
          <w:szCs w:val="24"/>
          <w:lang w:eastAsia="en-US"/>
        </w:rPr>
      </w:pPr>
      <w:r>
        <w:rPr>
          <w:rFonts w:ascii="Times New Roman" w:hAnsi="Times New Roman" w:cs="Times New Roman" w:eastAsiaTheme="minorHAnsi"/>
          <w:kern w:val="0"/>
          <w:sz w:val="24"/>
          <w:szCs w:val="24"/>
          <w:lang w:eastAsia="en-US"/>
        </w:rPr>
        <w:t xml:space="preserve">IKEA(CHINA) also has a keen consumer insight into this. When the brand was founded, it targeted the target consumer group at the new generation of young couples or one-person households aged 18-28. Young people of this age group have different pursuits for brands. They emphasize the value that the brand brings to them, pursue individuality and uniqueness. At the same time, their pursuit of "Home Furnishing value" makes them not only consider the quality of products, but also pay attention to the appearance of products when choosing Home Furnishing products. "Laziness" is also a major feature of this group, so they will choose </w:t>
      </w:r>
      <w:r>
        <w:rPr>
          <w:rFonts w:hint="eastAsia" w:ascii="Times New Roman" w:hAnsi="Times New Roman" w:cs="Times New Roman" w:eastAsiaTheme="minorHAnsi"/>
          <w:kern w:val="0"/>
          <w:sz w:val="24"/>
          <w:szCs w:val="24"/>
          <w:lang w:val="en-US" w:eastAsia="zh-CN"/>
        </w:rPr>
        <w:t>h</w:t>
      </w:r>
      <w:r>
        <w:rPr>
          <w:rFonts w:hint="eastAsia" w:ascii="Times New Roman" w:hAnsi="Times New Roman" w:cs="Times New Roman" w:eastAsiaTheme="minorHAnsi"/>
          <w:kern w:val="0"/>
          <w:sz w:val="24"/>
          <w:szCs w:val="24"/>
          <w:lang w:eastAsia="en-US"/>
        </w:rPr>
        <w:t xml:space="preserve">ousehold </w:t>
      </w:r>
      <w:r>
        <w:rPr>
          <w:rFonts w:hint="eastAsia" w:ascii="Times New Roman" w:hAnsi="Times New Roman" w:cs="Times New Roman" w:eastAsiaTheme="minorHAnsi"/>
          <w:kern w:val="0"/>
          <w:sz w:val="24"/>
          <w:szCs w:val="24"/>
          <w:lang w:val="en-US" w:eastAsia="zh-CN"/>
        </w:rPr>
        <w:t>p</w:t>
      </w:r>
      <w:r>
        <w:rPr>
          <w:rFonts w:hint="eastAsia" w:ascii="Times New Roman" w:hAnsi="Times New Roman" w:cs="Times New Roman" w:eastAsiaTheme="minorHAnsi"/>
          <w:kern w:val="0"/>
          <w:sz w:val="24"/>
          <w:szCs w:val="24"/>
          <w:lang w:eastAsia="en-US"/>
        </w:rPr>
        <w:t>roducts</w:t>
      </w:r>
      <w:r>
        <w:rPr>
          <w:rFonts w:ascii="Times New Roman" w:hAnsi="Times New Roman" w:cs="Times New Roman" w:eastAsiaTheme="minorHAnsi"/>
          <w:kern w:val="0"/>
          <w:sz w:val="24"/>
          <w:szCs w:val="24"/>
          <w:lang w:eastAsia="en-US"/>
        </w:rPr>
        <w:t xml:space="preserve"> that are easier to learn and use. In view of the characteristics of this group, IKEA(CHINA), based on their demand for Home Furnishing products, designed and developed Home Furnishing products that are more in line with the material, spiritual and value of this group.</w:t>
      </w:r>
    </w:p>
    <w:p>
      <w:pPr>
        <w:widowControl/>
        <w:spacing w:after="160" w:line="480" w:lineRule="auto"/>
        <w:ind w:firstLine="720"/>
        <w:jc w:val="both"/>
        <w:rPr>
          <w:rFonts w:ascii="Times New Roman" w:hAnsi="Times New Roman" w:cs="Times New Roman" w:eastAsiaTheme="minorHAnsi"/>
          <w:kern w:val="0"/>
          <w:sz w:val="24"/>
          <w:szCs w:val="24"/>
          <w:lang w:eastAsia="en-US"/>
        </w:rPr>
      </w:pPr>
      <w:r>
        <w:rPr>
          <w:rFonts w:ascii="Times New Roman" w:hAnsi="Times New Roman" w:cs="Times New Roman" w:eastAsiaTheme="minorHAnsi"/>
          <w:kern w:val="0"/>
          <w:sz w:val="24"/>
          <w:szCs w:val="24"/>
          <w:lang w:eastAsia="en-US"/>
        </w:rPr>
        <w:t>At present, the short videos sent by KOL mainly have the following content presentation modes. The first is short video of product recommendation. KOL will introduce IKEA(CHINA)'s products in the short video intermediary through direct decoration use and recommend them to fans. This kind of short video has a strong sense of advertising boundaries, so it has a large fan base. Star KOL or Home Furnishing KOL that has won more fans' trust will use this mode to construct short video content. The second is short video of product evaluation. The difference between such videos and recommended videos is that KOL usually evaluates the advantages and disadvantages of brands or products from a more objective and neutral perspective (Bronner and Hong, 2010</w:t>
      </w:r>
      <w:r>
        <w:rPr>
          <w:rFonts w:hint="eastAsia" w:ascii="Times New Roman" w:hAnsi="Times New Roman" w:cs="Times New Roman" w:eastAsiaTheme="minorHAnsi"/>
          <w:kern w:val="0"/>
          <w:sz w:val="24"/>
          <w:szCs w:val="24"/>
          <w:lang w:val="en-US" w:eastAsia="zh-CN"/>
        </w:rPr>
        <w:t>)</w:t>
      </w:r>
      <w:r>
        <w:rPr>
          <w:rFonts w:ascii="Times New Roman" w:hAnsi="Times New Roman" w:cs="Times New Roman" w:eastAsiaTheme="minorHAnsi"/>
          <w:kern w:val="0"/>
          <w:sz w:val="24"/>
          <w:szCs w:val="24"/>
          <w:lang w:eastAsia="en-US"/>
        </w:rPr>
        <w:t xml:space="preserve">. Most videos do not contain product links, which reflects KOL's sense of fairness and reduces the sense of boundaries of advertising. Due to the strong professionalism of the evaluation short videos, this kind of video content mode is mainly adopted by </w:t>
      </w:r>
      <w:r>
        <w:rPr>
          <w:rFonts w:hint="eastAsia" w:ascii="Times New Roman" w:hAnsi="Times New Roman" w:cs="Times New Roman" w:eastAsiaTheme="minorHAnsi"/>
          <w:kern w:val="0"/>
          <w:sz w:val="24"/>
          <w:szCs w:val="24"/>
          <w:lang w:val="en-US" w:eastAsia="zh-CN"/>
        </w:rPr>
        <w:t>h</w:t>
      </w:r>
      <w:r>
        <w:rPr>
          <w:rFonts w:hint="eastAsia" w:ascii="Times New Roman" w:hAnsi="Times New Roman" w:cs="Times New Roman" w:eastAsiaTheme="minorHAnsi"/>
          <w:kern w:val="0"/>
          <w:sz w:val="24"/>
          <w:szCs w:val="24"/>
          <w:lang w:eastAsia="en-US"/>
        </w:rPr>
        <w:t xml:space="preserve">ome furnishing </w:t>
      </w:r>
      <w:r>
        <w:rPr>
          <w:rFonts w:ascii="Times New Roman" w:hAnsi="Times New Roman" w:cs="Times New Roman" w:eastAsiaTheme="minorHAnsi"/>
          <w:kern w:val="0"/>
          <w:sz w:val="24"/>
          <w:szCs w:val="24"/>
          <w:lang w:eastAsia="en-US"/>
        </w:rPr>
        <w:t>KOL.</w:t>
      </w:r>
    </w:p>
    <w:p>
      <w:pPr>
        <w:pStyle w:val="3"/>
        <w:bidi w:val="0"/>
        <w:outlineLvl w:val="0"/>
        <w:rPr>
          <w:rFonts w:hint="default" w:ascii="Times New Roman" w:hAnsi="Times New Roman" w:cs="Times New Roman"/>
          <w:b/>
          <w:sz w:val="24"/>
          <w:szCs w:val="24"/>
        </w:rPr>
      </w:pPr>
      <w:bookmarkStart w:id="5" w:name="_Toc8001"/>
      <w:r>
        <w:rPr>
          <w:rFonts w:hint="default" w:ascii="Times New Roman" w:hAnsi="Times New Roman" w:cs="Times New Roman"/>
          <w:b/>
          <w:sz w:val="24"/>
          <w:szCs w:val="24"/>
        </w:rPr>
        <w:t>Topic marketing</w:t>
      </w:r>
      <w:bookmarkEnd w:id="5"/>
    </w:p>
    <w:p>
      <w:pPr>
        <w:widowControl/>
        <w:spacing w:after="160" w:line="480" w:lineRule="auto"/>
        <w:ind w:firstLine="720"/>
        <w:jc w:val="both"/>
        <w:rPr>
          <w:rFonts w:ascii="Times New Roman" w:hAnsi="Times New Roman" w:cs="Times New Roman" w:eastAsiaTheme="minorHAnsi"/>
          <w:kern w:val="0"/>
          <w:sz w:val="24"/>
          <w:szCs w:val="24"/>
          <w:lang w:eastAsia="en-US"/>
        </w:rPr>
      </w:pPr>
      <w:r>
        <w:rPr>
          <w:rFonts w:ascii="Times New Roman" w:hAnsi="Times New Roman" w:cs="Times New Roman" w:eastAsiaTheme="minorHAnsi"/>
          <w:kern w:val="0"/>
          <w:sz w:val="24"/>
          <w:szCs w:val="24"/>
          <w:lang w:eastAsia="en-US"/>
        </w:rPr>
        <w:t>Topic marketing is more suitable for various current social media platforms. Its advantage is that the brand can use a public pain point to quickly open the flow channel and ignite hot spots. At present, not only microblog, but also short video social media platform also sets up topic discussion area to meet the demand of short video brand communication for topic marketing.</w:t>
      </w:r>
    </w:p>
    <w:p>
      <w:pPr>
        <w:pStyle w:val="3"/>
        <w:bidi w:val="0"/>
        <w:outlineLvl w:val="0"/>
        <w:rPr>
          <w:rFonts w:hint="default" w:ascii="Times New Roman" w:hAnsi="Times New Roman" w:cs="Times New Roman"/>
          <w:b/>
          <w:sz w:val="24"/>
          <w:szCs w:val="24"/>
        </w:rPr>
      </w:pPr>
      <w:bookmarkStart w:id="6" w:name="_Toc32320"/>
      <w:r>
        <w:rPr>
          <w:rFonts w:hint="default" w:ascii="Times New Roman" w:hAnsi="Times New Roman" w:cs="Times New Roman"/>
          <w:b/>
          <w:sz w:val="24"/>
          <w:szCs w:val="24"/>
        </w:rPr>
        <w:t>Joint marketing strategy</w:t>
      </w:r>
      <w:bookmarkEnd w:id="6"/>
    </w:p>
    <w:p>
      <w:pPr>
        <w:widowControl/>
        <w:spacing w:after="160" w:line="480" w:lineRule="auto"/>
        <w:ind w:firstLine="720"/>
        <w:jc w:val="both"/>
        <w:rPr>
          <w:rFonts w:ascii="Times New Roman" w:hAnsi="Times New Roman" w:cs="Times New Roman" w:eastAsiaTheme="minorHAnsi"/>
          <w:kern w:val="0"/>
          <w:sz w:val="24"/>
          <w:szCs w:val="24"/>
          <w:lang w:eastAsia="en-US"/>
        </w:rPr>
      </w:pPr>
      <w:r>
        <w:rPr>
          <w:rFonts w:ascii="Times New Roman" w:hAnsi="Times New Roman" w:cs="Times New Roman" w:eastAsiaTheme="minorHAnsi"/>
          <w:kern w:val="0"/>
          <w:sz w:val="24"/>
          <w:szCs w:val="24"/>
          <w:lang w:eastAsia="en-US"/>
        </w:rPr>
        <w:t>As a carrier of brand communication, short video has the advantages of rich content and complete audio-visual expression. When brands implement cross-border joint marketing, the short video communication form can better play the role of brand communication. IKEA(CHINA) has a very rich application in cross-border joint marketing. At the same time, with the help of short videos, it has achieved good communication effects on social media platforms.</w:t>
      </w:r>
    </w:p>
    <w:p>
      <w:pPr>
        <w:widowControl/>
        <w:spacing w:after="160" w:line="480" w:lineRule="auto"/>
        <w:ind w:firstLine="720"/>
        <w:jc w:val="both"/>
        <w:rPr>
          <w:rFonts w:ascii="Times New Roman" w:hAnsi="Times New Roman" w:cs="Times New Roman" w:eastAsiaTheme="minorHAnsi"/>
          <w:kern w:val="0"/>
          <w:sz w:val="24"/>
          <w:szCs w:val="24"/>
          <w:lang w:eastAsia="en-US"/>
        </w:rPr>
      </w:pPr>
    </w:p>
    <w:p>
      <w:pPr>
        <w:pStyle w:val="2"/>
        <w:widowControl/>
        <w:spacing w:before="240" w:beforeLines="-2147483648" w:beforeAutospacing="0" w:after="0" w:afterLines="-2147483648" w:afterAutospacing="0" w:line="480" w:lineRule="auto"/>
        <w:jc w:val="both"/>
        <w:rPr>
          <w:rFonts w:ascii="Times New Roman" w:hAnsi="Times New Roman" w:cs="Times New Roman" w:eastAsiaTheme="majorEastAsia"/>
          <w:b/>
          <w:bCs/>
          <w:color w:val="auto"/>
          <w:kern w:val="0"/>
          <w:sz w:val="24"/>
          <w:szCs w:val="24"/>
          <w:lang w:eastAsia="en-US"/>
        </w:rPr>
      </w:pPr>
      <w:bookmarkStart w:id="7" w:name="_Toc14855"/>
      <w:r>
        <w:rPr>
          <w:rFonts w:ascii="Times New Roman" w:hAnsi="Times New Roman" w:cs="Times New Roman" w:eastAsiaTheme="majorEastAsia"/>
          <w:b/>
          <w:bCs/>
          <w:color w:val="auto"/>
          <w:kern w:val="0"/>
          <w:sz w:val="24"/>
          <w:szCs w:val="24"/>
          <w:lang w:eastAsia="en-US"/>
        </w:rPr>
        <w:t>Deficiencies and challenges</w:t>
      </w:r>
      <w:bookmarkEnd w:id="7"/>
    </w:p>
    <w:p>
      <w:pPr>
        <w:widowControl/>
        <w:spacing w:after="160" w:line="480" w:lineRule="auto"/>
        <w:ind w:firstLine="720"/>
        <w:jc w:val="both"/>
        <w:rPr>
          <w:rFonts w:ascii="Times New Roman" w:hAnsi="Times New Roman" w:cs="Times New Roman" w:eastAsiaTheme="minorHAnsi"/>
          <w:kern w:val="0"/>
          <w:sz w:val="24"/>
          <w:szCs w:val="24"/>
          <w:lang w:eastAsia="en-US"/>
        </w:rPr>
      </w:pPr>
      <w:r>
        <w:rPr>
          <w:rFonts w:ascii="Times New Roman" w:hAnsi="Times New Roman" w:cs="Times New Roman" w:eastAsiaTheme="minorHAnsi"/>
          <w:kern w:val="0"/>
          <w:sz w:val="24"/>
          <w:szCs w:val="24"/>
          <w:lang w:eastAsia="en-US"/>
        </w:rPr>
        <w:t>The biggest challenge facing IKEA</w:t>
      </w:r>
      <w:r>
        <w:rPr>
          <w:rFonts w:hint="eastAsia" w:ascii="Times New Roman" w:hAnsi="Times New Roman" w:cs="Times New Roman" w:eastAsiaTheme="minorHAnsi"/>
          <w:kern w:val="0"/>
          <w:sz w:val="24"/>
          <w:szCs w:val="24"/>
          <w:lang w:val="en-US" w:eastAsia="zh-CN"/>
        </w:rPr>
        <w:t xml:space="preserve"> </w:t>
      </w:r>
      <w:r>
        <w:rPr>
          <w:rFonts w:ascii="Times New Roman" w:hAnsi="Times New Roman" w:cs="Times New Roman" w:eastAsiaTheme="minorHAnsi"/>
          <w:kern w:val="0"/>
          <w:sz w:val="24"/>
          <w:szCs w:val="24"/>
          <w:lang w:eastAsia="en-US"/>
        </w:rPr>
        <w:t xml:space="preserve">is that the product design has not formed a sense of series. Due to the </w:t>
      </w:r>
      <w:r>
        <w:rPr>
          <w:rFonts w:hint="eastAsia" w:ascii="Times New Roman" w:hAnsi="Times New Roman" w:cs="Times New Roman" w:eastAsiaTheme="minorHAnsi"/>
          <w:kern w:val="0"/>
          <w:sz w:val="24"/>
          <w:szCs w:val="24"/>
          <w:lang w:val="en-US" w:eastAsia="zh-CN"/>
        </w:rPr>
        <w:t>new</w:t>
      </w:r>
      <w:r>
        <w:rPr>
          <w:rFonts w:ascii="Times New Roman" w:hAnsi="Times New Roman" w:cs="Times New Roman" w:eastAsiaTheme="minorHAnsi"/>
          <w:kern w:val="0"/>
          <w:sz w:val="24"/>
          <w:szCs w:val="24"/>
          <w:lang w:eastAsia="en-US"/>
        </w:rPr>
        <w:t xml:space="preserve"> mode of IKEA(CHINA), the development time of new products has been shortened to about 6 months. On the one hand, IKEA(CHINA) has been closely linked to the hot topics and Home Furnishing trends in the fashion industry, and has been able to successfully seize the consumer's first choice to pursue the trend every time (Liao, 2020). On the other hand, due to rapid R&amp;D and production, the time for repeated polishing and testing of products has been reduced, inevitably reducing the quality of products, resulting in insufficient product power, which has been criticized by external public opinion, thus also playing a reverse role in consumer purchase decisions. From the above regression analysis, it can be seen that IKEA(CHINA)'s product appearance is not strongly related to consumers' purchase decisions. However, due to IKEA(CHINA)'s excessive pursuit of trends, it has not formed a sense of series in product appearance design. Each new product is just to cater to the current aesthetic of consumption, resulting in no positive effect on consumers' purchase and the formation of brand symbols.</w:t>
      </w:r>
    </w:p>
    <w:p>
      <w:pPr>
        <w:widowControl/>
        <w:spacing w:after="160" w:line="480" w:lineRule="auto"/>
        <w:ind w:firstLine="720"/>
        <w:jc w:val="both"/>
        <w:rPr>
          <w:rFonts w:ascii="Times New Roman" w:hAnsi="Times New Roman" w:cs="Times New Roman" w:eastAsiaTheme="minorHAnsi"/>
          <w:kern w:val="0"/>
          <w:sz w:val="24"/>
          <w:szCs w:val="24"/>
          <w:lang w:eastAsia="en-US"/>
        </w:rPr>
      </w:pPr>
      <w:r>
        <w:rPr>
          <w:rFonts w:ascii="Times New Roman" w:hAnsi="Times New Roman" w:cs="Times New Roman" w:eastAsiaTheme="minorHAnsi"/>
          <w:kern w:val="0"/>
          <w:sz w:val="24"/>
          <w:szCs w:val="24"/>
          <w:lang w:eastAsia="en-US"/>
        </w:rPr>
        <w:t xml:space="preserve">The target group of IKEA(CHINA) </w:t>
      </w:r>
      <w:r>
        <w:rPr>
          <w:rFonts w:hint="eastAsia" w:ascii="Times New Roman" w:hAnsi="Times New Roman" w:cs="Times New Roman" w:eastAsiaTheme="minorHAnsi"/>
          <w:kern w:val="0"/>
          <w:sz w:val="24"/>
          <w:szCs w:val="24"/>
          <w:lang w:val="en-US" w:eastAsia="zh-CN"/>
        </w:rPr>
        <w:t xml:space="preserve">are </w:t>
      </w:r>
      <w:r>
        <w:rPr>
          <w:rFonts w:hint="eastAsia" w:ascii="Times New Roman" w:hAnsi="Times New Roman" w:cs="Times New Roman" w:eastAsiaTheme="minorHAnsi"/>
          <w:kern w:val="0"/>
          <w:sz w:val="24"/>
          <w:szCs w:val="24"/>
          <w:lang w:eastAsia="en-US"/>
        </w:rPr>
        <w:t>young couples or one-person households of the new generation</w:t>
      </w:r>
      <w:r>
        <w:rPr>
          <w:rFonts w:ascii="Times New Roman" w:hAnsi="Times New Roman" w:cs="Times New Roman" w:eastAsiaTheme="minorHAnsi"/>
          <w:kern w:val="0"/>
          <w:sz w:val="24"/>
          <w:szCs w:val="24"/>
          <w:lang w:eastAsia="en-US"/>
        </w:rPr>
        <w:t>, who compete with international famous brands by low price strategy. Moreover, IKEA(CHINA) relies excessively on KOL promotion (Litvin et al, 2018). IKEA(CHINA)'s online brand promotion is limited to such traffic purchasing promotion as talent cooperation, information flow promotion, live broadcast, etc., which will lead to overly accurate delineation of interested groups, and will not allow the corresponding brand or product information to be transmitted to new groups. It is difficult to break the traffic circle. Instead, it can only continue to carry out "brainwashing" promotion among the original consumer groups, causing the marketing problem that the traffic cost continues to rise and the conversion rate decreases. In addition, the brand value of IKEA(CHINA) also needs to be further improved. At the beginning, IKEA(CHINA) entered the consumers' vision as a big brand "flat replacement". For a long time, consumers will imperceptibly believe that IKEA(CHINA) is an affordable and low-grade brand. When consumers use IKEA(CHINA), they will not have a sense of brand pride and show off consumption.</w:t>
      </w:r>
    </w:p>
    <w:p>
      <w:pPr>
        <w:widowControl/>
        <w:spacing w:after="160" w:line="480" w:lineRule="auto"/>
        <w:ind w:firstLine="720"/>
        <w:jc w:val="both"/>
        <w:rPr>
          <w:rFonts w:ascii="Times New Roman" w:hAnsi="Times New Roman" w:cs="Times New Roman" w:eastAsiaTheme="minorHAnsi"/>
          <w:kern w:val="0"/>
          <w:sz w:val="24"/>
          <w:szCs w:val="24"/>
          <w:lang w:eastAsia="en-US"/>
        </w:rPr>
      </w:pPr>
    </w:p>
    <w:p>
      <w:pPr>
        <w:pStyle w:val="2"/>
        <w:bidi w:val="0"/>
      </w:pPr>
      <w:bookmarkStart w:id="8" w:name="_Toc32599"/>
      <w:r>
        <w:rPr>
          <w:rFonts w:ascii="Times New Roman" w:hAnsi="Times New Roman" w:cs="Times New Roman" w:eastAsiaTheme="majorEastAsia"/>
          <w:b/>
          <w:bCs/>
          <w:color w:val="auto"/>
          <w:kern w:val="0"/>
          <w:sz w:val="24"/>
          <w:szCs w:val="24"/>
          <w:lang w:eastAsia="en-US"/>
        </w:rPr>
        <w:t>Countermeasures and suggestions</w:t>
      </w:r>
      <w:bookmarkEnd w:id="8"/>
    </w:p>
    <w:p>
      <w:pPr>
        <w:widowControl/>
        <w:spacing w:after="160" w:line="480" w:lineRule="auto"/>
        <w:ind w:firstLine="720"/>
        <w:jc w:val="both"/>
        <w:rPr>
          <w:rFonts w:ascii="Times New Roman" w:hAnsi="Times New Roman" w:cs="Times New Roman" w:eastAsiaTheme="minorHAnsi"/>
          <w:kern w:val="0"/>
          <w:sz w:val="24"/>
          <w:szCs w:val="24"/>
          <w:lang w:eastAsia="en-US"/>
        </w:rPr>
      </w:pPr>
      <w:r>
        <w:rPr>
          <w:rFonts w:ascii="Times New Roman" w:hAnsi="Times New Roman" w:cs="Times New Roman" w:eastAsiaTheme="minorHAnsi"/>
          <w:kern w:val="0"/>
          <w:sz w:val="24"/>
          <w:szCs w:val="24"/>
          <w:lang w:eastAsia="en-US"/>
        </w:rPr>
        <w:t>IKEA(CHINA) should spread brand information such as products more quickly and efficiently through more information communication channels, content and methods.</w:t>
      </w:r>
    </w:p>
    <w:p>
      <w:pPr>
        <w:pStyle w:val="3"/>
        <w:bidi w:val="0"/>
        <w:rPr>
          <w:rFonts w:hint="default" w:ascii="Times New Roman" w:hAnsi="Times New Roman" w:cs="Times New Roman"/>
          <w:b w:val="0"/>
          <w:bCs/>
          <w:sz w:val="24"/>
          <w:szCs w:val="24"/>
        </w:rPr>
      </w:pPr>
      <w:bookmarkStart w:id="9" w:name="_Toc31916"/>
      <w:r>
        <w:rPr>
          <w:rFonts w:hint="default" w:ascii="Times New Roman" w:hAnsi="Times New Roman" w:cs="Times New Roman"/>
          <w:b w:val="0"/>
          <w:bCs/>
          <w:sz w:val="24"/>
          <w:szCs w:val="24"/>
        </w:rPr>
        <w:t>Enrich online marketing channels and methods</w:t>
      </w:r>
      <w:bookmarkEnd w:id="9"/>
    </w:p>
    <w:p>
      <w:pPr>
        <w:widowControl/>
        <w:spacing w:after="160" w:line="480" w:lineRule="auto"/>
        <w:ind w:firstLine="720"/>
        <w:jc w:val="both"/>
        <w:rPr>
          <w:rFonts w:ascii="Times New Roman" w:hAnsi="Times New Roman" w:cs="Times New Roman" w:eastAsiaTheme="minorHAnsi"/>
          <w:kern w:val="0"/>
          <w:sz w:val="24"/>
          <w:szCs w:val="24"/>
          <w:lang w:eastAsia="en-US"/>
        </w:rPr>
      </w:pPr>
      <w:r>
        <w:rPr>
          <w:rFonts w:ascii="Times New Roman" w:hAnsi="Times New Roman" w:cs="Times New Roman" w:eastAsiaTheme="minorHAnsi"/>
          <w:kern w:val="0"/>
          <w:sz w:val="24"/>
          <w:szCs w:val="24"/>
          <w:lang w:eastAsia="en-US"/>
        </w:rPr>
        <w:t xml:space="preserve">For the consumer groups aged 19-24 and 25-30 years old in the core target market of IKEA(CHINA), the marketing advertisements launched by IKEA(CHINA) in Little Red Book, Weibo, WeChat and TikTok have basically reached many times. The brand needs to expand more cognitive and interested groups, so it is necessary to develop new marketing channels. Among them, Station B is one of the interest oriented social platforms with a high concentration of "Generation Z". According to the data announced by Station B, one in five young people is a deep user of Station B. In the marketing conference of Station B in 2021, the platform also launched a series of commercialization plans, which will be implemented step by step in 2022. This will provide a link of "marketing grass planting - promotion harvesting" for the brand side. At the same time, the relevant data of the platform can also provide guidance for the brand's subsequent marketing strategies, such as crowd labels and consumption preferences of young consumers. IKEA(CHINA) can also implant and title variety shows or short TV dramas on some video websites, bring the product into the use scene through frequent brand exposure and star use promotion, enhance the influence of consumers on IKEA(CHINA), and improve the brand voice. </w:t>
      </w:r>
    </w:p>
    <w:p>
      <w:pPr>
        <w:pStyle w:val="3"/>
        <w:bidi w:val="0"/>
        <w:rPr>
          <w:rFonts w:hint="default" w:ascii="Times New Roman" w:hAnsi="Times New Roman" w:cs="Times New Roman"/>
          <w:b w:val="0"/>
          <w:bCs/>
          <w:sz w:val="24"/>
          <w:szCs w:val="24"/>
        </w:rPr>
      </w:pPr>
      <w:bookmarkStart w:id="10" w:name="_Toc14160"/>
      <w:r>
        <w:rPr>
          <w:rFonts w:hint="default" w:ascii="Times New Roman" w:hAnsi="Times New Roman" w:cs="Times New Roman"/>
          <w:b w:val="0"/>
          <w:bCs/>
          <w:sz w:val="24"/>
          <w:szCs w:val="24"/>
        </w:rPr>
        <w:t>link integration of online and offline brand communication</w:t>
      </w:r>
      <w:bookmarkEnd w:id="10"/>
    </w:p>
    <w:p>
      <w:pPr>
        <w:widowControl/>
        <w:spacing w:after="160" w:line="480" w:lineRule="auto"/>
        <w:ind w:firstLine="720"/>
        <w:jc w:val="both"/>
        <w:rPr>
          <w:rFonts w:ascii="Times New Roman" w:hAnsi="Times New Roman" w:cs="Times New Roman" w:eastAsiaTheme="minorHAnsi"/>
          <w:kern w:val="0"/>
          <w:sz w:val="24"/>
          <w:szCs w:val="24"/>
          <w:lang w:eastAsia="en-US"/>
        </w:rPr>
      </w:pPr>
      <w:r>
        <w:rPr>
          <w:rFonts w:ascii="Times New Roman" w:hAnsi="Times New Roman" w:cs="Times New Roman" w:eastAsiaTheme="minorHAnsi"/>
          <w:kern w:val="0"/>
          <w:sz w:val="24"/>
          <w:szCs w:val="24"/>
          <w:lang w:eastAsia="en-US"/>
        </w:rPr>
        <w:t>IKEA(CHINA) also needs full link integration of online and offline brand communication. The advantage of online brand communication lies in the low cost of reaching consumers for information transmission and the fact that users' data can be returned for analysis and utilization; The advantage of offline brand communication lies in the ability to establish a brand image and expand the cognitive population. If you want to have both, you need to conduct full link integrated marketing through data connection and backflow to form "viral" communication online and offline. For IKEA(CHINA), online marketing is relatively mature, and the lack of offline communication needs to be supplemented. The media ads of elevators and large screen ads of cinemas are just the communication methods that fit the target market. The placement of elevator media ads can be accurate to different levels of cities, communities with different average prices, and different time periods. In addition, large screen advertising in cinemas is also an important channel to improve the brand height. Because watching movies has gradually become one of the important ways for young people to enjoy their lives (Oliver, 2018). In order to avoid missing movie titles, most audiences will take seats in advance and mute their mobile phones to wait for the movie to play. In this time when there is no interference from other information, a high-quality advertising blockbuster must attract the attention of all the audience before the film is broadcast, and the brand will realize the complete transmission of information by watching the complete advertisement.</w:t>
      </w:r>
    </w:p>
    <w:p>
      <w:pPr>
        <w:pStyle w:val="3"/>
        <w:bidi w:val="0"/>
        <w:rPr>
          <w:rFonts w:hint="default" w:ascii="Times New Roman" w:hAnsi="Times New Roman" w:cs="Times New Roman"/>
          <w:b w:val="0"/>
          <w:bCs/>
          <w:sz w:val="24"/>
          <w:szCs w:val="24"/>
        </w:rPr>
      </w:pPr>
      <w:bookmarkStart w:id="11" w:name="_Toc24616"/>
      <w:r>
        <w:rPr>
          <w:rFonts w:hint="default" w:ascii="Times New Roman" w:hAnsi="Times New Roman" w:cs="Times New Roman"/>
          <w:b w:val="0"/>
          <w:bCs/>
          <w:sz w:val="24"/>
          <w:szCs w:val="24"/>
        </w:rPr>
        <w:t>pay more attention to the connotation of the brand</w:t>
      </w:r>
      <w:bookmarkEnd w:id="11"/>
    </w:p>
    <w:p>
      <w:pPr>
        <w:widowControl/>
        <w:spacing w:after="160" w:line="480" w:lineRule="auto"/>
        <w:ind w:firstLine="720"/>
        <w:jc w:val="both"/>
        <w:rPr>
          <w:rFonts w:ascii="Times New Roman" w:hAnsi="Times New Roman" w:cs="Times New Roman" w:eastAsiaTheme="minorHAnsi"/>
          <w:kern w:val="0"/>
          <w:sz w:val="24"/>
          <w:szCs w:val="24"/>
          <w:lang w:eastAsia="en-US"/>
        </w:rPr>
      </w:pPr>
      <w:r>
        <w:rPr>
          <w:rFonts w:ascii="Times New Roman" w:hAnsi="Times New Roman" w:cs="Times New Roman" w:eastAsiaTheme="minorHAnsi"/>
          <w:kern w:val="0"/>
          <w:sz w:val="24"/>
          <w:szCs w:val="24"/>
          <w:lang w:eastAsia="en-US"/>
        </w:rPr>
        <w:t>IKEA(CHINA)'s marketing strategy also needs to pay more attention to the connotation of the brand, and help stabilize the connection between the brand and users through brand humanity. The cross-border co branding marketing strategy adopted by IKEA(CHINA) reflects the brand intelligence of IKEA(CHINA) by presenting co branded products through co branded object selection and short video creativity. Most users think that IKEA(CHINA)'s marketing short videos are innovative, but the average score is lower than the short videos' visual quality, and the short videos' creative expression only affects the cognitive effect (Mattila, 2021). This shows that the short video marketing strategy adopted by IKEA(CHINA) is more formalized when using short video as a form of communication to express brand intelligence (Young, 2021). Users receive more innovative expressions of the brand from the senses, so it can only produce effects at the cognitive level of users; Four short video marketing strategies adopted by IKEA(CHINA) can reflect brand values, among which topic marketing strategy and cross-border joint marketing strategy can more directly express brand values. According to the effect research, most users believe that IKEA(CHINA)'s short video marketing has the effect of transmitting emotions and values, which proves that IKEA(CHINA)'s short video marketing strategy is effective in displaying brand values and arousing users' resonance; The topic marketing strategy adopted by IKEA(CHINA) can reflect the brand communication ability. The effect study shows that most users believe that IKEA(CHINA)'s short marketing videos are interactive, which proves that IKEA(CHINA) can demonstrate good brand communication ability through short video marketing strategies. From the perspective of communication effect, IKEA(CHINA) brand has a good performance in terms of cognition, attitude and effect, which is also related to the brand humanity created by IKEA(CHINA) (Ning et al, 2021). After the transformation of user path, how to stabilize the interconnection with users requires brand humanity to play a role. The relationship between a humanized brand and users is more flesh and blood, more vivid, and allows users to be willing to maintain long-term connectivity with it.</w:t>
      </w:r>
    </w:p>
    <w:p>
      <w:pPr>
        <w:widowControl/>
        <w:spacing w:after="160" w:line="480" w:lineRule="auto"/>
        <w:ind w:firstLine="720"/>
        <w:jc w:val="both"/>
        <w:rPr>
          <w:rFonts w:ascii="Times New Roman" w:hAnsi="Times New Roman" w:cs="Times New Roman" w:eastAsiaTheme="minorHAnsi"/>
          <w:kern w:val="0"/>
          <w:sz w:val="24"/>
          <w:szCs w:val="24"/>
          <w:lang w:eastAsia="en-US"/>
        </w:rPr>
      </w:pPr>
      <w:r>
        <w:rPr>
          <w:rFonts w:ascii="Times New Roman" w:hAnsi="Times New Roman" w:cs="Times New Roman" w:eastAsiaTheme="minorHAnsi"/>
          <w:kern w:val="0"/>
          <w:sz w:val="24"/>
          <w:szCs w:val="24"/>
          <w:lang w:eastAsia="en-US"/>
        </w:rPr>
        <w:t>IKEA(CHINA)'s marketing needs to further grasp the core needs of users' needs. From the short video marketing strategy adopted by IKEA(CHINA), the application and embodiment of emotional factors such as emotion and values in the strategy and the resulting communication effect are obvious (Zhang et al, 2021). In the IKEA(CHINA) short video marketing strategy, the brand tries to explore the emotional needs and value expression of the target consumer group young couples or one-person households. For domestic Home Furnishing brands, if they want to gain a place in the Home Furnishing industry with fierce competition, they should not only pursue the brand voice obtained through social media, but also dig deeply into the emotional "pain points" of target consumers, and effectively convey this emotion in the form of short video brand broadcasting, so as to arouse the emotional resonance of target consumers; In terms of value output, the brand should achieve dual harmony in content and expression. The brand should have universal values, and use an equal and implicit way to explain to the target users, so as to promote users to form deeper emotional ties with the brand. In terms of strategy selection and implementation, if KOL marketing is used, KOL that is consistent with the brand's tonality should be selected, which can better meet the brand's expectations in terms of emotional transmission; If we use topic marketing, we need to find the deep relationship with the target users from the hot topics, and internalize this emotion in the short videos of brand communication.</w:t>
      </w:r>
    </w:p>
    <w:p>
      <w:pPr>
        <w:widowControl/>
        <w:spacing w:after="160" w:line="480" w:lineRule="auto"/>
        <w:ind w:firstLine="720"/>
        <w:jc w:val="both"/>
        <w:rPr>
          <w:rFonts w:ascii="Times New Roman" w:hAnsi="Times New Roman" w:cs="Times New Roman" w:eastAsiaTheme="minorHAnsi"/>
          <w:kern w:val="0"/>
          <w:sz w:val="24"/>
          <w:szCs w:val="24"/>
          <w:lang w:eastAsia="en-US"/>
        </w:rPr>
      </w:pPr>
    </w:p>
    <w:p>
      <w:pPr>
        <w:widowControl/>
        <w:spacing w:after="160" w:line="480" w:lineRule="auto"/>
        <w:ind w:firstLine="720"/>
        <w:jc w:val="both"/>
        <w:rPr>
          <w:rFonts w:ascii="Times New Roman" w:hAnsi="Times New Roman" w:cs="Times New Roman" w:eastAsiaTheme="minorHAnsi"/>
          <w:kern w:val="0"/>
          <w:sz w:val="24"/>
          <w:szCs w:val="24"/>
          <w:lang w:eastAsia="en-US"/>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pStyle w:val="2"/>
        <w:bidi w:val="0"/>
        <w:rPr>
          <w:rFonts w:hint="default" w:ascii="Times New Roman" w:hAnsi="Times New Roman" w:cs="Times New Roman"/>
          <w:sz w:val="24"/>
          <w:szCs w:val="24"/>
        </w:rPr>
      </w:pPr>
      <w:r>
        <w:rPr>
          <w:rFonts w:hint="default" w:ascii="Times New Roman" w:hAnsi="Times New Roman" w:cs="Times New Roman"/>
          <w:sz w:val="24"/>
          <w:szCs w:val="24"/>
        </w:rPr>
        <w:t>Reference: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ascii="Times New Roman" w:hAnsi="Times New Roman" w:cs="Times New Roman"/>
          <w:sz w:val="24"/>
          <w:szCs w:val="24"/>
        </w:rPr>
        <w:t xml:space="preserve">CNNIC, (2022). </w:t>
      </w:r>
      <w:r>
        <w:rPr>
          <w:rFonts w:ascii="Times New Roman" w:hAnsi="Times New Roman" w:cs="Times New Roman"/>
          <w:i/>
          <w:iCs/>
          <w:sz w:val="24"/>
          <w:szCs w:val="24"/>
        </w:rPr>
        <w:t>China Internet Information Platform Database</w:t>
      </w:r>
      <w:r>
        <w:rPr>
          <w:rFonts w:ascii="Times New Roman" w:hAnsi="Times New Roman" w:cs="Times New Roman"/>
          <w:sz w:val="24"/>
          <w:szCs w:val="24"/>
        </w:rPr>
        <w:t xml:space="preserve">. Retrieved online on December 14, 2022, from: </w:t>
      </w:r>
      <w:r>
        <w:rPr>
          <w:sz w:val="24"/>
          <w:szCs w:val="24"/>
        </w:rPr>
        <w:fldChar w:fldCharType="begin"/>
      </w:r>
      <w:r>
        <w:rPr>
          <w:sz w:val="24"/>
          <w:szCs w:val="24"/>
        </w:rPr>
        <w:instrText xml:space="preserve"> HYPERLINK "http://www.cnnic.net.cn/" </w:instrText>
      </w:r>
      <w:r>
        <w:rPr>
          <w:sz w:val="24"/>
          <w:szCs w:val="24"/>
        </w:rPr>
        <w:fldChar w:fldCharType="separate"/>
      </w:r>
      <w:r>
        <w:rPr>
          <w:rStyle w:val="10"/>
          <w:rFonts w:ascii="Times New Roman" w:hAnsi="Times New Roman" w:cs="Times New Roman"/>
          <w:sz w:val="24"/>
          <w:szCs w:val="24"/>
        </w:rPr>
        <w:t>http://www.cnnic.net.cn/</w:t>
      </w:r>
      <w:r>
        <w:rPr>
          <w:rStyle w:val="10"/>
          <w:rFonts w:ascii="Times New Roman" w:hAnsi="Times New Roman" w:cs="Times New Roman"/>
          <w:sz w:val="24"/>
          <w:szCs w:val="24"/>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ascii="Times New Roman" w:hAnsi="Times New Roman" w:cs="Times New Roman"/>
          <w:sz w:val="24"/>
          <w:szCs w:val="24"/>
        </w:rPr>
        <w:t>Bai, M., Khong, K., &amp; Chong, A. (2019). Determinants of negative word-of- mouth communication using social networking sites.</w:t>
      </w:r>
      <w:r>
        <w:rPr>
          <w:rFonts w:ascii="Times New Roman" w:hAnsi="Times New Roman" w:cs="Times New Roman"/>
          <w:i/>
          <w:iCs/>
          <w:sz w:val="24"/>
          <w:szCs w:val="24"/>
        </w:rPr>
        <w:t xml:space="preserve"> Information &amp; Management, </w:t>
      </w:r>
      <w:r>
        <w:rPr>
          <w:rFonts w:ascii="Times New Roman" w:hAnsi="Times New Roman" w:cs="Times New Roman"/>
          <w:sz w:val="24"/>
          <w:szCs w:val="24"/>
        </w:rPr>
        <w:t>53 4 528–540.</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ascii="Times New Roman" w:hAnsi="Times New Roman" w:cs="Times New Roman"/>
          <w:sz w:val="24"/>
          <w:szCs w:val="24"/>
        </w:rPr>
        <w:t>Bing, S., Maton, K., &amp; Kervin, L. (2018). The ‘digital natives’ debate: A critical review of the evidence.</w:t>
      </w:r>
      <w:r>
        <w:rPr>
          <w:rFonts w:ascii="Times New Roman" w:hAnsi="Times New Roman" w:cs="Times New Roman"/>
          <w:i/>
          <w:iCs/>
          <w:sz w:val="24"/>
          <w:szCs w:val="24"/>
        </w:rPr>
        <w:t xml:space="preserve"> British Journal of Educational Technology,</w:t>
      </w:r>
      <w:r>
        <w:rPr>
          <w:rFonts w:ascii="Times New Roman" w:hAnsi="Times New Roman" w:cs="Times New Roman"/>
          <w:sz w:val="24"/>
          <w:szCs w:val="24"/>
        </w:rPr>
        <w:t xml:space="preserve"> 39 5 775–786.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ascii="Times New Roman" w:hAnsi="Times New Roman" w:cs="Times New Roman"/>
          <w:sz w:val="24"/>
          <w:szCs w:val="24"/>
        </w:rPr>
        <w:t xml:space="preserve">Bolton, R., Parasuraman, A., Hoefnagels, A., Migchels, N., Kabadayi, S., Gruber, T., et al). (2019). Understanding generation Y and their use of social media: A review and research agenda. </w:t>
      </w:r>
      <w:r>
        <w:rPr>
          <w:rFonts w:ascii="Times New Roman" w:hAnsi="Times New Roman" w:cs="Times New Roman"/>
          <w:i/>
          <w:iCs/>
          <w:sz w:val="24"/>
          <w:szCs w:val="24"/>
        </w:rPr>
        <w:t>Journal of Service Management</w:t>
      </w:r>
      <w:r>
        <w:rPr>
          <w:rFonts w:ascii="Times New Roman" w:hAnsi="Times New Roman" w:cs="Times New Roman"/>
          <w:sz w:val="24"/>
          <w:szCs w:val="24"/>
        </w:rPr>
        <w:t xml:space="preserve">, 24 3 245–267.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bookmarkStart w:id="12" w:name="_Hlk122094197"/>
      <w:r>
        <w:rPr>
          <w:rFonts w:ascii="Times New Roman" w:hAnsi="Times New Roman" w:cs="Times New Roman"/>
          <w:sz w:val="24"/>
          <w:szCs w:val="24"/>
        </w:rPr>
        <w:t>Bronner</w:t>
      </w:r>
      <w:bookmarkEnd w:id="12"/>
      <w:r>
        <w:rPr>
          <w:rFonts w:ascii="Times New Roman" w:hAnsi="Times New Roman" w:cs="Times New Roman"/>
          <w:sz w:val="24"/>
          <w:szCs w:val="24"/>
        </w:rPr>
        <w:t xml:space="preserve">, F., &amp; de Hoog, R. (2010). Vacationers and eWOM: Who posts, and why, where, and what? </w:t>
      </w:r>
      <w:r>
        <w:rPr>
          <w:rFonts w:ascii="Times New Roman" w:hAnsi="Times New Roman" w:cs="Times New Roman"/>
          <w:i/>
          <w:iCs/>
          <w:sz w:val="24"/>
          <w:szCs w:val="24"/>
        </w:rPr>
        <w:t>Journal of Travel Research,</w:t>
      </w:r>
      <w:r>
        <w:rPr>
          <w:rFonts w:ascii="Times New Roman" w:hAnsi="Times New Roman" w:cs="Times New Roman"/>
          <w:sz w:val="24"/>
          <w:szCs w:val="24"/>
        </w:rPr>
        <w:t xml:space="preserve"> 50 1 15–26.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ascii="Times New Roman" w:hAnsi="Times New Roman" w:cs="Times New Roman"/>
          <w:sz w:val="24"/>
          <w:szCs w:val="24"/>
        </w:rPr>
        <w:t xml:space="preserve">Buhrmester, M., Kwang, T., &amp; Gosling, S. (2011). Amazon's mechanical turk: A new source of inexpensive, yet high-quality data? </w:t>
      </w:r>
      <w:r>
        <w:rPr>
          <w:rFonts w:ascii="Times New Roman" w:hAnsi="Times New Roman" w:cs="Times New Roman"/>
          <w:i/>
          <w:iCs/>
          <w:sz w:val="24"/>
          <w:szCs w:val="24"/>
        </w:rPr>
        <w:t>Perspectives on Psychological Science</w:t>
      </w:r>
      <w:r>
        <w:rPr>
          <w:rFonts w:ascii="Times New Roman" w:hAnsi="Times New Roman" w:cs="Times New Roman"/>
          <w:sz w:val="24"/>
          <w:szCs w:val="24"/>
        </w:rPr>
        <w:t>, 6 1 3–5.</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ascii="Times New Roman" w:hAnsi="Times New Roman" w:cs="Times New Roman"/>
          <w:sz w:val="24"/>
          <w:szCs w:val="24"/>
        </w:rPr>
        <w:t xml:space="preserve">Ben Aissa, S., Goaied, M., (2016). Determinants of tourism hotel market efficiency. </w:t>
      </w:r>
      <w:r>
        <w:rPr>
          <w:rFonts w:ascii="Times New Roman" w:hAnsi="Times New Roman" w:cs="Times New Roman"/>
          <w:i/>
          <w:iCs/>
          <w:sz w:val="24"/>
          <w:szCs w:val="24"/>
        </w:rPr>
        <w:t>Int. J. Cult. Tour. Hosp. Res.</w:t>
      </w:r>
      <w:r>
        <w:rPr>
          <w:rFonts w:ascii="Times New Roman" w:hAnsi="Times New Roman" w:cs="Times New Roman"/>
          <w:sz w:val="24"/>
          <w:szCs w:val="24"/>
        </w:rPr>
        <w:t xml:space="preserve"> 10 2 173–190.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ascii="Times New Roman" w:hAnsi="Times New Roman" w:cs="Times New Roman"/>
          <w:sz w:val="24"/>
          <w:szCs w:val="24"/>
        </w:rPr>
        <w:t xml:space="preserve">Altin, M., Koseoglu, M.A., Yu, X., Riasi, A., (2018). Performance measurement and management research in the hospitality and tourism industry. </w:t>
      </w:r>
      <w:r>
        <w:rPr>
          <w:rFonts w:ascii="Times New Roman" w:hAnsi="Times New Roman" w:cs="Times New Roman"/>
          <w:i/>
          <w:iCs/>
          <w:sz w:val="24"/>
          <w:szCs w:val="24"/>
        </w:rPr>
        <w:t>Int. J. Contemp. Hosp. Manage</w:t>
      </w:r>
      <w:r>
        <w:rPr>
          <w:rFonts w:ascii="Times New Roman" w:hAnsi="Times New Roman" w:cs="Times New Roman"/>
          <w:sz w:val="24"/>
          <w:szCs w:val="24"/>
        </w:rPr>
        <w:t xml:space="preserve">. 30 2 1172–1189.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ascii="Times New Roman" w:hAnsi="Times New Roman" w:cs="Times New Roman"/>
          <w:sz w:val="24"/>
          <w:szCs w:val="24"/>
        </w:rPr>
        <w:t xml:space="preserve">Hsiao, C., Yeh, S., &amp; Tsai, C. (2013) The impact of self-complexity on attitudes toward online marketing and buying intentions: Using the Internet addiction as a moderator. </w:t>
      </w:r>
      <w:r>
        <w:rPr>
          <w:rFonts w:ascii="Times New Roman" w:hAnsi="Times New Roman" w:cs="Times New Roman"/>
          <w:i/>
          <w:iCs/>
          <w:sz w:val="24"/>
          <w:szCs w:val="24"/>
        </w:rPr>
        <w:t>The Marketing Review,</w:t>
      </w:r>
      <w:r>
        <w:rPr>
          <w:rFonts w:ascii="Times New Roman" w:hAnsi="Times New Roman" w:cs="Times New Roman"/>
          <w:sz w:val="24"/>
          <w:szCs w:val="24"/>
        </w:rPr>
        <w:t xml:space="preserve"> 10 1 79–102.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ascii="Times New Roman" w:hAnsi="Times New Roman" w:cs="Times New Roman"/>
          <w:sz w:val="24"/>
          <w:szCs w:val="24"/>
        </w:rPr>
        <w:t>Israeli, A., Lee, S., &amp; Karpinski, A. (2017). Investigating the dynamics and the content of social media reporting after a restaurant service failure.</w:t>
      </w:r>
      <w:r>
        <w:rPr>
          <w:rFonts w:ascii="Times New Roman" w:hAnsi="Times New Roman" w:cs="Times New Roman"/>
          <w:i/>
          <w:iCs/>
          <w:sz w:val="24"/>
          <w:szCs w:val="24"/>
        </w:rPr>
        <w:t xml:space="preserve"> Journal of Hospitality Marketing &amp; Management, </w:t>
      </w:r>
      <w:r>
        <w:rPr>
          <w:rFonts w:ascii="Times New Roman" w:hAnsi="Times New Roman" w:cs="Times New Roman"/>
          <w:sz w:val="24"/>
          <w:szCs w:val="24"/>
        </w:rPr>
        <w:t xml:space="preserve">1–21.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ascii="Times New Roman" w:hAnsi="Times New Roman" w:cs="Times New Roman"/>
          <w:sz w:val="24"/>
          <w:szCs w:val="24"/>
        </w:rPr>
        <w:t>Kircaburun, K., Demetrovics, Z., &amp; Tosuntaş, Ş. (2018). Analyzing the links between problematic social media use, dark triad traits, and self-esteem. I</w:t>
      </w:r>
      <w:r>
        <w:rPr>
          <w:rFonts w:ascii="Times New Roman" w:hAnsi="Times New Roman" w:cs="Times New Roman"/>
          <w:i/>
          <w:iCs/>
          <w:sz w:val="24"/>
          <w:szCs w:val="24"/>
        </w:rPr>
        <w:t>nternational Journal of Mental Health and Addiction</w:t>
      </w:r>
      <w:r>
        <w:rPr>
          <w:rFonts w:ascii="Times New Roman" w:hAnsi="Times New Roman" w:cs="Times New Roman"/>
          <w:sz w:val="24"/>
          <w:szCs w:val="24"/>
        </w:rPr>
        <w:t xml:space="preserve">, 1–12.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bookmarkStart w:id="13" w:name="_Hlk122094215"/>
      <w:r>
        <w:rPr>
          <w:rFonts w:ascii="Times New Roman" w:hAnsi="Times New Roman" w:cs="Times New Roman"/>
          <w:sz w:val="24"/>
          <w:szCs w:val="24"/>
        </w:rPr>
        <w:t>Liao</w:t>
      </w:r>
      <w:bookmarkEnd w:id="13"/>
      <w:r>
        <w:rPr>
          <w:rFonts w:ascii="Times New Roman" w:hAnsi="Times New Roman" w:cs="Times New Roman"/>
          <w:sz w:val="24"/>
          <w:szCs w:val="24"/>
        </w:rPr>
        <w:t>, H. (2020). Do it right this time: The role of employee service recovery performance in customer-perceived justice and customer loyalty after service failures.</w:t>
      </w:r>
      <w:r>
        <w:rPr>
          <w:rFonts w:ascii="Times New Roman" w:hAnsi="Times New Roman" w:cs="Times New Roman"/>
          <w:i/>
          <w:iCs/>
          <w:sz w:val="24"/>
          <w:szCs w:val="24"/>
        </w:rPr>
        <w:t xml:space="preserve"> Journal of Applied Psychology</w:t>
      </w:r>
      <w:r>
        <w:rPr>
          <w:rFonts w:ascii="Times New Roman" w:hAnsi="Times New Roman" w:cs="Times New Roman"/>
          <w:sz w:val="24"/>
          <w:szCs w:val="24"/>
        </w:rPr>
        <w:t xml:space="preserve">, 92 2 475–489.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bookmarkStart w:id="14" w:name="_Hlk122094225"/>
      <w:r>
        <w:rPr>
          <w:rFonts w:ascii="Times New Roman" w:hAnsi="Times New Roman" w:cs="Times New Roman"/>
          <w:sz w:val="24"/>
          <w:szCs w:val="24"/>
        </w:rPr>
        <w:t>Litvin</w:t>
      </w:r>
      <w:bookmarkEnd w:id="14"/>
      <w:r>
        <w:rPr>
          <w:rFonts w:ascii="Times New Roman" w:hAnsi="Times New Roman" w:cs="Times New Roman"/>
          <w:sz w:val="24"/>
          <w:szCs w:val="24"/>
        </w:rPr>
        <w:t xml:space="preserve">, S., Goldsmith, R., &amp; Pan, B.(2018). Electronic word-of-mouth in hospitality and tourism management. Tourism Management, 29, 458–468.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ascii="Times New Roman" w:hAnsi="Times New Roman" w:cs="Times New Roman"/>
          <w:sz w:val="24"/>
          <w:szCs w:val="24"/>
        </w:rPr>
        <w:t>Mattila, A. (2021) The effectiveness of service recovery in a multi-industry setting.</w:t>
      </w:r>
      <w:r>
        <w:rPr>
          <w:rFonts w:ascii="Times New Roman" w:hAnsi="Times New Roman" w:cs="Times New Roman"/>
          <w:i/>
          <w:iCs/>
          <w:sz w:val="24"/>
          <w:szCs w:val="24"/>
        </w:rPr>
        <w:t xml:space="preserve"> Journal of Services Marketing</w:t>
      </w:r>
      <w:r>
        <w:rPr>
          <w:rFonts w:ascii="Times New Roman" w:hAnsi="Times New Roman" w:cs="Times New Roman"/>
          <w:sz w:val="24"/>
          <w:szCs w:val="24"/>
        </w:rPr>
        <w:t>, 15 7 583–596.</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bookmarkStart w:id="15" w:name="_Hlk122094241"/>
      <w:r>
        <w:rPr>
          <w:rFonts w:ascii="Times New Roman" w:hAnsi="Times New Roman" w:cs="Times New Roman"/>
          <w:sz w:val="24"/>
          <w:szCs w:val="24"/>
        </w:rPr>
        <w:t>Mattila</w:t>
      </w:r>
      <w:bookmarkEnd w:id="15"/>
      <w:r>
        <w:rPr>
          <w:rFonts w:ascii="Times New Roman" w:hAnsi="Times New Roman" w:cs="Times New Roman"/>
          <w:sz w:val="24"/>
          <w:szCs w:val="24"/>
        </w:rPr>
        <w:t xml:space="preserve">, A. (2021) The effectiveness of service recovery in a multi-industry setting. </w:t>
      </w:r>
      <w:r>
        <w:rPr>
          <w:rFonts w:ascii="Times New Roman" w:hAnsi="Times New Roman" w:cs="Times New Roman"/>
          <w:i/>
          <w:iCs/>
          <w:sz w:val="24"/>
          <w:szCs w:val="24"/>
        </w:rPr>
        <w:t>Journal of Services Marketing</w:t>
      </w:r>
      <w:r>
        <w:rPr>
          <w:rFonts w:ascii="Times New Roman" w:hAnsi="Times New Roman" w:cs="Times New Roman"/>
          <w:sz w:val="24"/>
          <w:szCs w:val="24"/>
        </w:rPr>
        <w:t xml:space="preserve">, 15 7 583–596.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ascii="Times New Roman" w:hAnsi="Times New Roman" w:cs="Times New Roman"/>
          <w:sz w:val="24"/>
          <w:szCs w:val="24"/>
        </w:rPr>
        <w:t xml:space="preserve">McCollough, M., Berry, L., &amp; Yadav, M. (2020) An empirical investigation of customer satisfaction after service failure and recovery. </w:t>
      </w:r>
      <w:r>
        <w:rPr>
          <w:rFonts w:ascii="Times New Roman" w:hAnsi="Times New Roman" w:cs="Times New Roman"/>
          <w:i/>
          <w:iCs/>
          <w:sz w:val="24"/>
          <w:szCs w:val="24"/>
        </w:rPr>
        <w:t>Journal of Service Research</w:t>
      </w:r>
      <w:r>
        <w:rPr>
          <w:rFonts w:ascii="Times New Roman" w:hAnsi="Times New Roman" w:cs="Times New Roman"/>
          <w:sz w:val="24"/>
          <w:szCs w:val="24"/>
        </w:rPr>
        <w:t xml:space="preserve">, 3 2 121–137.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ascii="Times New Roman" w:hAnsi="Times New Roman" w:cs="Times New Roman"/>
          <w:sz w:val="24"/>
          <w:szCs w:val="24"/>
        </w:rPr>
        <w:t xml:space="preserve">Ning, S., David, M., &amp; Dagger, T. (2021) Generating positive word-of-mouth in the service experience. </w:t>
      </w:r>
      <w:r>
        <w:rPr>
          <w:rFonts w:ascii="Times New Roman" w:hAnsi="Times New Roman" w:cs="Times New Roman"/>
          <w:i/>
          <w:iCs/>
          <w:sz w:val="24"/>
          <w:szCs w:val="24"/>
        </w:rPr>
        <w:t xml:space="preserve">Managing Service Quality: International Journal, </w:t>
      </w:r>
      <w:r>
        <w:rPr>
          <w:rFonts w:ascii="Times New Roman" w:hAnsi="Times New Roman" w:cs="Times New Roman"/>
          <w:sz w:val="24"/>
          <w:szCs w:val="24"/>
        </w:rPr>
        <w:t xml:space="preserve">21 2 133–151.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bookmarkStart w:id="16" w:name="_Hlk122094234"/>
      <w:r>
        <w:rPr>
          <w:rFonts w:ascii="Times New Roman" w:hAnsi="Times New Roman" w:cs="Times New Roman"/>
          <w:sz w:val="24"/>
          <w:szCs w:val="24"/>
        </w:rPr>
        <w:t>Oliver</w:t>
      </w:r>
      <w:bookmarkEnd w:id="16"/>
      <w:r>
        <w:rPr>
          <w:rFonts w:ascii="Times New Roman" w:hAnsi="Times New Roman" w:cs="Times New Roman"/>
          <w:sz w:val="24"/>
          <w:szCs w:val="24"/>
        </w:rPr>
        <w:t>, R., Rust, R., &amp; Varki, S. (2017) Customer delight: Foundations, findings, and managerial insight.</w:t>
      </w:r>
      <w:r>
        <w:rPr>
          <w:rFonts w:ascii="Times New Roman" w:hAnsi="Times New Roman" w:cs="Times New Roman"/>
          <w:i/>
          <w:iCs/>
          <w:sz w:val="24"/>
          <w:szCs w:val="24"/>
        </w:rPr>
        <w:t xml:space="preserve"> Journal of Retailing, 7</w:t>
      </w:r>
      <w:r>
        <w:rPr>
          <w:rFonts w:ascii="Times New Roman" w:hAnsi="Times New Roman" w:cs="Times New Roman"/>
          <w:sz w:val="24"/>
          <w:szCs w:val="24"/>
        </w:rPr>
        <w:t xml:space="preserve">3 3 311–336.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ascii="Times New Roman" w:hAnsi="Times New Roman" w:cs="Times New Roman"/>
          <w:sz w:val="24"/>
          <w:szCs w:val="24"/>
        </w:rPr>
        <w:t xml:space="preserve">Podsakoff, P., MacKenzie, S., Lee, J., &amp; Podsakoff, N. (214) Common method biases in behavioral research: A critical review of the literature and recommended remedies. </w:t>
      </w:r>
      <w:r>
        <w:rPr>
          <w:rFonts w:ascii="Times New Roman" w:hAnsi="Times New Roman" w:cs="Times New Roman"/>
          <w:i/>
          <w:iCs/>
          <w:sz w:val="24"/>
          <w:szCs w:val="24"/>
        </w:rPr>
        <w:t>Journal of Applied Psychology,</w:t>
      </w:r>
      <w:r>
        <w:rPr>
          <w:rFonts w:ascii="Times New Roman" w:hAnsi="Times New Roman" w:cs="Times New Roman"/>
          <w:sz w:val="24"/>
          <w:szCs w:val="24"/>
        </w:rPr>
        <w:t xml:space="preserve"> 88 5 879.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ascii="Times New Roman" w:hAnsi="Times New Roman" w:cs="Times New Roman"/>
          <w:sz w:val="24"/>
          <w:szCs w:val="24"/>
        </w:rPr>
        <w:t xml:space="preserve">Prescott, L. </w:t>
      </w:r>
      <w:r>
        <w:rPr>
          <w:rFonts w:hint="eastAsia" w:ascii="Times New Roman" w:hAnsi="Times New Roman" w:cs="Times New Roman"/>
          <w:sz w:val="24"/>
          <w:szCs w:val="24"/>
          <w:lang w:val="en-US" w:eastAsia="zh-CN"/>
        </w:rPr>
        <w:t>(</w:t>
      </w:r>
      <w:r>
        <w:rPr>
          <w:rFonts w:ascii="Times New Roman" w:hAnsi="Times New Roman" w:cs="Times New Roman"/>
          <w:sz w:val="24"/>
          <w:szCs w:val="24"/>
        </w:rPr>
        <w:t>2006</w:t>
      </w:r>
      <w:r>
        <w:rPr>
          <w:rFonts w:hint="eastAsia" w:ascii="Times New Roman" w:hAnsi="Times New Roman" w:cs="Times New Roman"/>
          <w:sz w:val="24"/>
          <w:szCs w:val="24"/>
          <w:lang w:val="en-US" w:eastAsia="zh-CN"/>
        </w:rPr>
        <w:t>)</w:t>
      </w:r>
      <w:r>
        <w:rPr>
          <w:rFonts w:ascii="Times New Roman" w:hAnsi="Times New Roman" w:cs="Times New Roman"/>
          <w:sz w:val="24"/>
          <w:szCs w:val="24"/>
        </w:rPr>
        <w:t xml:space="preserve"> Hitwise US consumer generated media report. New York: Hitwise.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ascii="Times New Roman" w:hAnsi="Times New Roman" w:cs="Times New Roman"/>
          <w:sz w:val="24"/>
          <w:szCs w:val="24"/>
        </w:rPr>
        <w:t>Silber, I., Israeli, A., Bustin, A., &amp; Zvi, O. (2009). Recovery strategies for service failures: The case of restaurants.</w:t>
      </w:r>
      <w:r>
        <w:rPr>
          <w:rFonts w:ascii="Times New Roman" w:hAnsi="Times New Roman" w:cs="Times New Roman"/>
          <w:i/>
          <w:iCs/>
          <w:sz w:val="24"/>
          <w:szCs w:val="24"/>
        </w:rPr>
        <w:t xml:space="preserve"> Journal of Hospitality Marketing &amp; Management, </w:t>
      </w:r>
      <w:r>
        <w:rPr>
          <w:rFonts w:ascii="Times New Roman" w:hAnsi="Times New Roman" w:cs="Times New Roman"/>
          <w:sz w:val="24"/>
          <w:szCs w:val="24"/>
        </w:rPr>
        <w:t xml:space="preserve">7, 730–740.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hint="eastAsia" w:ascii="Times New Roman" w:hAnsi="Times New Roman" w:cs="Times New Roman"/>
          <w:sz w:val="24"/>
          <w:szCs w:val="24"/>
        </w:rPr>
        <w:t>Sandybayev, A. (2017). Strategic Supply Chain Management Implementation: Case Study of IKEA.</w:t>
      </w:r>
      <w:r>
        <w:rPr>
          <w:rFonts w:hint="eastAsia" w:ascii="Times New Roman" w:hAnsi="Times New Roman" w:cs="Times New Roman"/>
          <w:i/>
          <w:iCs/>
          <w:sz w:val="24"/>
          <w:szCs w:val="24"/>
        </w:rPr>
        <w:t xml:space="preserve"> Noble International Journal of Business and Management Research</w:t>
      </w:r>
      <w:r>
        <w:rPr>
          <w:rFonts w:hint="eastAsia" w:ascii="Times New Roman" w:hAnsi="Times New Roman" w:cs="Times New Roman"/>
          <w:sz w:val="24"/>
          <w:szCs w:val="24"/>
        </w:rPr>
        <w:t>, 1(1), 5-9.</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eastAsia" w:ascii="Times New Roman" w:hAnsi="Times New Roman" w:cs="Times New Roman" w:eastAsiaTheme="minorEastAsia"/>
          <w:sz w:val="24"/>
          <w:szCs w:val="24"/>
          <w:lang w:val="en-US" w:eastAsia="zh-CN"/>
        </w:rPr>
      </w:pPr>
      <w:r>
        <w:rPr>
          <w:rFonts w:hint="eastAsia" w:ascii="Times New Roman" w:hAnsi="Times New Roman" w:cs="Times New Roman"/>
          <w:sz w:val="24"/>
          <w:szCs w:val="24"/>
        </w:rPr>
        <w:t xml:space="preserve">Sarah, A., Lulwa, K., Majdi, A., Monika, P., Rudresh, P., Thiagarajan, S.,Norfathu, A. (2020). Factors affecting environment performance: A study of IKEA. </w:t>
      </w:r>
      <w:r>
        <w:rPr>
          <w:rFonts w:hint="eastAsia" w:ascii="Times New Roman" w:hAnsi="Times New Roman" w:cs="Times New Roman"/>
          <w:i/>
          <w:iCs/>
          <w:sz w:val="24"/>
          <w:szCs w:val="24"/>
        </w:rPr>
        <w:t>International Journal of Tourism &amp; Hospitality in Asia Pasific</w:t>
      </w:r>
      <w:r>
        <w:rPr>
          <w:rFonts w:hint="eastAsia" w:ascii="Times New Roman" w:hAnsi="Times New Roman" w:cs="Times New Roman"/>
          <w:sz w:val="24"/>
          <w:szCs w:val="24"/>
        </w:rPr>
        <w:t>, 3(3), 79-89.</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ascii="Times New Roman" w:hAnsi="Times New Roman" w:cs="Times New Roman"/>
          <w:sz w:val="24"/>
          <w:szCs w:val="24"/>
        </w:rPr>
        <w:t>Smith, D., Menon, S., &amp; Sivakumar, K. (2005). Online peer and editorial recommendations, trust, and choice in virtual markets.</w:t>
      </w:r>
      <w:r>
        <w:rPr>
          <w:rFonts w:ascii="Times New Roman" w:hAnsi="Times New Roman" w:cs="Times New Roman"/>
          <w:i/>
          <w:iCs/>
          <w:sz w:val="24"/>
          <w:szCs w:val="24"/>
        </w:rPr>
        <w:t xml:space="preserve"> Journal of Interactive Marketing</w:t>
      </w:r>
      <w:r>
        <w:rPr>
          <w:rFonts w:ascii="Times New Roman" w:hAnsi="Times New Roman" w:cs="Times New Roman"/>
          <w:sz w:val="24"/>
          <w:szCs w:val="24"/>
        </w:rPr>
        <w:t xml:space="preserve">, 193 15–37.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eastAsia" w:ascii="Times New Roman" w:hAnsi="Times New Roman" w:cs="Times New Roman"/>
          <w:sz w:val="24"/>
          <w:szCs w:val="24"/>
        </w:rPr>
      </w:pPr>
      <w:r>
        <w:rPr>
          <w:rFonts w:hint="eastAsia" w:ascii="Times New Roman" w:hAnsi="Times New Roman" w:cs="Times New Roman"/>
          <w:sz w:val="24"/>
          <w:szCs w:val="24"/>
        </w:rPr>
        <w:t xml:space="preserve">Wu, Y. (2020, February). The Marketing Strategies of IKEA in China Using Tools of PESTEL, Five Forces Model, and SWOT Analysis. </w:t>
      </w:r>
      <w:r>
        <w:rPr>
          <w:rFonts w:hint="eastAsia" w:ascii="Times New Roman" w:hAnsi="Times New Roman" w:cs="Times New Roman"/>
          <w:i/>
          <w:iCs/>
          <w:sz w:val="24"/>
          <w:szCs w:val="24"/>
        </w:rPr>
        <w:t>In International Academic Conference on Frontiers in Social Sciences and Management Innovation</w:t>
      </w:r>
      <w:r>
        <w:rPr>
          <w:rFonts w:hint="eastAsia" w:ascii="Times New Roman" w:hAnsi="Times New Roman" w:cs="Times New Roman"/>
          <w:sz w:val="24"/>
          <w:szCs w:val="24"/>
        </w:rPr>
        <w:t xml:space="preserve"> (IAFSM 2019) (pp. 348-355). </w:t>
      </w:r>
      <w:bookmarkStart w:id="17" w:name="_Hlk122094305"/>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r>
        <w:rPr>
          <w:rFonts w:ascii="Times New Roman" w:hAnsi="Times New Roman" w:cs="Times New Roman"/>
          <w:sz w:val="24"/>
          <w:szCs w:val="24"/>
        </w:rPr>
        <w:t>Young</w:t>
      </w:r>
      <w:bookmarkEnd w:id="17"/>
      <w:r>
        <w:rPr>
          <w:rFonts w:ascii="Times New Roman" w:hAnsi="Times New Roman" w:cs="Times New Roman"/>
          <w:sz w:val="24"/>
          <w:szCs w:val="24"/>
        </w:rPr>
        <w:t xml:space="preserve">, K. (2021). Internet addiction: The emergence of a new clinical disorder. </w:t>
      </w:r>
      <w:r>
        <w:rPr>
          <w:rFonts w:ascii="Times New Roman" w:hAnsi="Times New Roman" w:cs="Times New Roman"/>
          <w:i/>
          <w:iCs/>
          <w:sz w:val="24"/>
          <w:szCs w:val="24"/>
        </w:rPr>
        <w:t>Psychology and Behavior,</w:t>
      </w:r>
      <w:r>
        <w:rPr>
          <w:rFonts w:ascii="Times New Roman" w:hAnsi="Times New Roman" w:cs="Times New Roman"/>
          <w:sz w:val="24"/>
          <w:szCs w:val="24"/>
        </w:rPr>
        <w:t xml:space="preserve"> 1, 237–244.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ascii="Times New Roman" w:hAnsi="Times New Roman" w:cs="Times New Roman"/>
          <w:sz w:val="24"/>
          <w:szCs w:val="24"/>
        </w:rPr>
      </w:pPr>
      <w:bookmarkStart w:id="18" w:name="_Hlk122094296"/>
      <w:r>
        <w:rPr>
          <w:rFonts w:ascii="Times New Roman" w:hAnsi="Times New Roman" w:cs="Times New Roman"/>
          <w:sz w:val="24"/>
          <w:szCs w:val="24"/>
        </w:rPr>
        <w:t>Zhang</w:t>
      </w:r>
      <w:bookmarkEnd w:id="18"/>
      <w:r>
        <w:rPr>
          <w:rFonts w:ascii="Times New Roman" w:hAnsi="Times New Roman" w:cs="Times New Roman"/>
          <w:sz w:val="24"/>
          <w:szCs w:val="24"/>
        </w:rPr>
        <w:t xml:space="preserve">, T., Abound Omran, B., &amp; Cobanoglu, C. (2021) Generation Y's positive and negative eWOM: Use of social media and mobile technology. </w:t>
      </w:r>
      <w:r>
        <w:rPr>
          <w:rFonts w:ascii="Times New Roman" w:hAnsi="Times New Roman" w:cs="Times New Roman"/>
          <w:i/>
          <w:iCs/>
          <w:sz w:val="24"/>
          <w:szCs w:val="24"/>
        </w:rPr>
        <w:t xml:space="preserve">International Journal of Contemporary Hospitality Management, </w:t>
      </w:r>
      <w:r>
        <w:rPr>
          <w:rFonts w:ascii="Times New Roman" w:hAnsi="Times New Roman" w:cs="Times New Roman"/>
          <w:sz w:val="24"/>
          <w:szCs w:val="24"/>
        </w:rPr>
        <w:t>29 2 732–761.</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U2YWYyMzRhNTVjMWZjODA2NWQ3MTU5ZjQzYmYxMGYifQ=="/>
  </w:docVars>
  <w:rsids>
    <w:rsidRoot w:val="00C441C6"/>
    <w:rsid w:val="000107FA"/>
    <w:rsid w:val="00145BBD"/>
    <w:rsid w:val="001D2AE4"/>
    <w:rsid w:val="003C2664"/>
    <w:rsid w:val="003D5986"/>
    <w:rsid w:val="00447FDC"/>
    <w:rsid w:val="005827A3"/>
    <w:rsid w:val="005F6AF9"/>
    <w:rsid w:val="0061639E"/>
    <w:rsid w:val="00640A8B"/>
    <w:rsid w:val="008203A8"/>
    <w:rsid w:val="00923534"/>
    <w:rsid w:val="00AA159C"/>
    <w:rsid w:val="00AA4D96"/>
    <w:rsid w:val="00AC1278"/>
    <w:rsid w:val="00C441C6"/>
    <w:rsid w:val="00C9342F"/>
    <w:rsid w:val="00CD3524"/>
    <w:rsid w:val="00D045D0"/>
    <w:rsid w:val="00D64C2C"/>
    <w:rsid w:val="00DA249D"/>
    <w:rsid w:val="00E56DD8"/>
    <w:rsid w:val="00EC1E51"/>
    <w:rsid w:val="21BA60A5"/>
    <w:rsid w:val="2AEC62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semiHidden/>
    <w:unhideWhenUsed/>
    <w:qFormat/>
    <w:uiPriority w:val="39"/>
  </w:style>
  <w:style w:type="paragraph" w:styleId="7">
    <w:name w:val="toc 2"/>
    <w:basedOn w:val="1"/>
    <w:next w:val="1"/>
    <w:semiHidden/>
    <w:unhideWhenUsed/>
    <w:qFormat/>
    <w:uiPriority w:val="39"/>
    <w:pPr>
      <w:ind w:left="420" w:leftChars="200"/>
    </w:pPr>
  </w:style>
  <w:style w:type="character" w:styleId="10">
    <w:name w:val="Hyperlink"/>
    <w:basedOn w:val="9"/>
    <w:unhideWhenUsed/>
    <w:qFormat/>
    <w:uiPriority w:val="99"/>
    <w:rPr>
      <w:color w:val="0563C1" w:themeColor="hyperlink"/>
      <w:u w:val="single"/>
      <w14:textFill>
        <w14:solidFill>
          <w14:schemeClr w14:val="hlink"/>
        </w14:solidFill>
      </w14:textFill>
    </w:rPr>
  </w:style>
  <w:style w:type="character" w:customStyle="1" w:styleId="11">
    <w:name w:val="Unresolved Mention"/>
    <w:basedOn w:val="9"/>
    <w:semiHidden/>
    <w:unhideWhenUsed/>
    <w:qFormat/>
    <w:uiPriority w:val="99"/>
    <w:rPr>
      <w:color w:val="605E5C"/>
      <w:shd w:val="clear" w:color="auto" w:fill="E1DFDD"/>
    </w:rPr>
  </w:style>
  <w:style w:type="character" w:customStyle="1" w:styleId="12">
    <w:name w:val="页眉 字符"/>
    <w:basedOn w:val="9"/>
    <w:link w:val="5"/>
    <w:qFormat/>
    <w:uiPriority w:val="99"/>
    <w:rPr>
      <w:sz w:val="18"/>
      <w:szCs w:val="18"/>
    </w:rPr>
  </w:style>
  <w:style w:type="character" w:customStyle="1" w:styleId="13">
    <w:name w:val="页脚 字符"/>
    <w:basedOn w:val="9"/>
    <w:link w:val="4"/>
    <w:qFormat/>
    <w:uiPriority w:val="99"/>
    <w:rPr>
      <w:sz w:val="18"/>
      <w:szCs w:val="18"/>
    </w:rPr>
  </w:style>
  <w:style w:type="paragraph" w:customStyle="1" w:styleId="14">
    <w:name w:val="WPSOffice手动目录 1"/>
    <w:qFormat/>
    <w:uiPriority w:val="0"/>
    <w:pPr>
      <w:ind w:leftChars="0"/>
    </w:pPr>
    <w:rPr>
      <w:rFonts w:asciiTheme="minorHAnsi" w:hAnsiTheme="minorHAnsi" w:eastAsiaTheme="minorEastAsia" w:cstheme="minorBidi"/>
      <w:sz w:val="20"/>
      <w:szCs w:val="20"/>
    </w:rPr>
  </w:style>
  <w:style w:type="paragraph" w:customStyle="1" w:styleId="15">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3527</Words>
  <Characters>19648</Characters>
  <Lines>153</Lines>
  <Paragraphs>43</Paragraphs>
  <TotalTime>1</TotalTime>
  <ScaleCrop>false</ScaleCrop>
  <LinksUpToDate>false</LinksUpToDate>
  <CharactersWithSpaces>23168</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2022-12-16T05:59:00Z</dcterms:created>
  <dc:creator>Yang Dennis</dc:creator>
  <cp:lastModifiedBy>gtt</cp:lastModifiedBy>
  <dcterms:modified xsi:type="dcterms:W3CDTF">2022-12-16T16:05:40Z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90A37EC8D66C4041B68277D967A35EB3</vt:lpwstr>
  </property>
</Properties>
</file>