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55EA64" w14:textId="77777777" w:rsidR="00963246" w:rsidRPr="00963246" w:rsidRDefault="00963246" w:rsidP="00963246">
      <w:pPr>
        <w:rPr>
          <w:rFonts w:ascii="Arial" w:hAnsi="Arial" w:cs="Arial"/>
          <w:sz w:val="22"/>
          <w:szCs w:val="22"/>
          <w:u w:val="single"/>
        </w:rPr>
      </w:pPr>
      <w:r w:rsidRPr="00963246">
        <w:rPr>
          <w:rFonts w:ascii="Arial" w:hAnsi="Arial" w:cs="Arial"/>
          <w:sz w:val="22"/>
          <w:szCs w:val="22"/>
          <w:u w:val="single"/>
        </w:rPr>
        <w:t>Muhammed Munir</w:t>
      </w:r>
    </w:p>
    <w:p w14:paraId="37540524" w14:textId="77777777" w:rsidR="00963246" w:rsidRPr="00963246" w:rsidRDefault="00963246" w:rsidP="00963246">
      <w:pPr>
        <w:rPr>
          <w:rFonts w:ascii="Arial" w:hAnsi="Arial" w:cs="Arial"/>
          <w:sz w:val="22"/>
          <w:szCs w:val="22"/>
          <w:u w:val="single"/>
        </w:rPr>
      </w:pPr>
      <w:r w:rsidRPr="00963246">
        <w:rPr>
          <w:rFonts w:ascii="Arial" w:hAnsi="Arial" w:cs="Arial"/>
          <w:sz w:val="22"/>
          <w:szCs w:val="22"/>
          <w:u w:val="single"/>
        </w:rPr>
        <w:t>2520391</w:t>
      </w:r>
    </w:p>
    <w:p w14:paraId="5DDE148B" w14:textId="76E481C9" w:rsidR="00963246" w:rsidRPr="00963246" w:rsidRDefault="00963246" w:rsidP="00963246">
      <w:pPr>
        <w:rPr>
          <w:rFonts w:ascii="Arial" w:hAnsi="Arial" w:cs="Arial"/>
          <w:sz w:val="22"/>
          <w:szCs w:val="22"/>
          <w:u w:val="single"/>
        </w:rPr>
      </w:pPr>
      <w:r w:rsidRPr="00963246">
        <w:rPr>
          <w:rFonts w:ascii="Arial" w:hAnsi="Arial" w:cs="Arial"/>
          <w:sz w:val="22"/>
          <w:szCs w:val="22"/>
          <w:u w:val="single"/>
        </w:rPr>
        <w:t>Introduction To Public Health</w:t>
      </w:r>
    </w:p>
    <w:p w14:paraId="2BC6EF31" w14:textId="77777777" w:rsidR="00963246" w:rsidRPr="00963246" w:rsidRDefault="00963246" w:rsidP="00963246">
      <w:pPr>
        <w:rPr>
          <w:rFonts w:ascii="Arial" w:hAnsi="Arial" w:cs="Arial"/>
          <w:sz w:val="22"/>
          <w:szCs w:val="22"/>
          <w:u w:val="single"/>
        </w:rPr>
      </w:pPr>
      <w:r w:rsidRPr="00963246">
        <w:rPr>
          <w:rFonts w:ascii="Arial" w:hAnsi="Arial" w:cs="Arial"/>
          <w:sz w:val="22"/>
          <w:szCs w:val="22"/>
          <w:u w:val="single"/>
        </w:rPr>
        <w:t>LCHS4008</w:t>
      </w:r>
    </w:p>
    <w:p w14:paraId="09D2E459" w14:textId="77777777" w:rsidR="00963246" w:rsidRPr="00963246" w:rsidRDefault="00963246" w:rsidP="00963246">
      <w:pPr>
        <w:rPr>
          <w:rFonts w:ascii="Arial" w:hAnsi="Arial" w:cs="Arial"/>
          <w:sz w:val="22"/>
          <w:szCs w:val="22"/>
          <w:u w:val="single"/>
        </w:rPr>
      </w:pPr>
      <w:r w:rsidRPr="00963246">
        <w:rPr>
          <w:rFonts w:ascii="Arial" w:hAnsi="Arial" w:cs="Arial"/>
          <w:sz w:val="22"/>
          <w:szCs w:val="22"/>
          <w:u w:val="single"/>
        </w:rPr>
        <w:t>Final Report</w:t>
      </w:r>
    </w:p>
    <w:p w14:paraId="37319131" w14:textId="7A8EF0FC" w:rsidR="00963246" w:rsidRPr="00963246" w:rsidRDefault="00963246" w:rsidP="00963246">
      <w:pPr>
        <w:rPr>
          <w:rFonts w:ascii="Arial" w:hAnsi="Arial" w:cs="Arial"/>
          <w:sz w:val="22"/>
          <w:szCs w:val="22"/>
          <w:u w:val="single"/>
        </w:rPr>
      </w:pPr>
      <w:r w:rsidRPr="00963246">
        <w:rPr>
          <w:rFonts w:ascii="Arial" w:hAnsi="Arial" w:cs="Arial"/>
          <w:sz w:val="22"/>
          <w:szCs w:val="22"/>
          <w:u w:val="single"/>
        </w:rPr>
        <w:t>Aishat Bakre</w:t>
      </w:r>
    </w:p>
    <w:p w14:paraId="563DE39E" w14:textId="77777777" w:rsidR="00963246" w:rsidRPr="00963246" w:rsidRDefault="00963246" w:rsidP="00963246">
      <w:pPr>
        <w:rPr>
          <w:rFonts w:ascii="Arial" w:hAnsi="Arial" w:cs="Arial"/>
          <w:sz w:val="22"/>
          <w:szCs w:val="22"/>
          <w:u w:val="single"/>
        </w:rPr>
      </w:pPr>
    </w:p>
    <w:p w14:paraId="26C44525" w14:textId="5645F8E7" w:rsidR="00963246" w:rsidRPr="00963246" w:rsidRDefault="00963246" w:rsidP="00963246">
      <w:pPr>
        <w:rPr>
          <w:rFonts w:ascii="Arial" w:hAnsi="Arial" w:cs="Arial"/>
          <w:sz w:val="22"/>
          <w:szCs w:val="22"/>
          <w:u w:val="single"/>
        </w:rPr>
      </w:pPr>
      <w:r w:rsidRPr="00963246">
        <w:rPr>
          <w:rFonts w:ascii="Arial" w:hAnsi="Arial" w:cs="Arial"/>
          <w:sz w:val="22"/>
          <w:szCs w:val="22"/>
          <w:u w:val="single"/>
        </w:rPr>
        <w:t xml:space="preserve">Introduction </w:t>
      </w:r>
    </w:p>
    <w:p w14:paraId="314E4933" w14:textId="77777777" w:rsidR="00963246" w:rsidRPr="00963246" w:rsidRDefault="00963246" w:rsidP="00963246">
      <w:pPr>
        <w:rPr>
          <w:rFonts w:ascii="Arial" w:hAnsi="Arial" w:cs="Arial"/>
          <w:sz w:val="22"/>
          <w:szCs w:val="22"/>
        </w:rPr>
      </w:pPr>
      <w:r w:rsidRPr="00963246">
        <w:rPr>
          <w:rFonts w:ascii="Arial" w:hAnsi="Arial" w:cs="Arial"/>
          <w:sz w:val="22"/>
          <w:szCs w:val="22"/>
        </w:rPr>
        <w:t>Type 1 diabetes (T1D) is an autoimmune disease characterised by the autoimmune destruction of insulin-producing beta cells within the pancreas. Without insulin the body is unable to control blood glucose levels, and failure to treat the condition can lead to life-threatening complications. Early symptoms are constant thirst, frequent urination, extreme fatigue, unexplained weight loss, and blurred vision. Long term complications are nerve damage, kidney disease, and cardiovascular disease.</w:t>
      </w:r>
    </w:p>
    <w:p w14:paraId="7797CEED" w14:textId="7210A7AF" w:rsidR="00963246" w:rsidRDefault="00963246" w:rsidP="00963246">
      <w:pPr>
        <w:rPr>
          <w:rFonts w:ascii="Arial" w:hAnsi="Arial" w:cs="Arial"/>
          <w:sz w:val="22"/>
          <w:szCs w:val="22"/>
        </w:rPr>
      </w:pPr>
      <w:r w:rsidRPr="00963246">
        <w:rPr>
          <w:rFonts w:ascii="Arial" w:hAnsi="Arial" w:cs="Arial"/>
          <w:sz w:val="22"/>
          <w:szCs w:val="22"/>
        </w:rPr>
        <w:t>Globally, about 9 million people have T1D, and the incidence is rising by 3–4% per year. Around 400,000 people in the UK are affected including almost 30,000 children and young people. Unlike type 2 diabetes, it is not diet or lifestyle related and most diagnoses are made before the age of 40. This report looks at its personal and community impact, management approaches and influencing factors, using statistics from around the world and in the UK.</w:t>
      </w:r>
    </w:p>
    <w:p w14:paraId="72B8D9C8" w14:textId="77777777" w:rsidR="00963246" w:rsidRDefault="00963246" w:rsidP="00963246">
      <w:pPr>
        <w:rPr>
          <w:rFonts w:ascii="Arial" w:hAnsi="Arial" w:cs="Arial"/>
          <w:sz w:val="22"/>
          <w:szCs w:val="22"/>
        </w:rPr>
      </w:pPr>
    </w:p>
    <w:p w14:paraId="4CDD2380" w14:textId="3FA70947" w:rsidR="00963246" w:rsidRDefault="00963246" w:rsidP="00963246">
      <w:pPr>
        <w:rPr>
          <w:rFonts w:ascii="Arial" w:hAnsi="Arial" w:cs="Arial"/>
          <w:sz w:val="22"/>
          <w:szCs w:val="22"/>
          <w:u w:val="single"/>
        </w:rPr>
      </w:pPr>
      <w:r w:rsidRPr="00963246">
        <w:rPr>
          <w:rFonts w:ascii="Arial" w:hAnsi="Arial" w:cs="Arial"/>
          <w:sz w:val="22"/>
          <w:szCs w:val="22"/>
          <w:u w:val="single"/>
        </w:rPr>
        <w:t>Impacts on Individuals, Communities and the NHS</w:t>
      </w:r>
    </w:p>
    <w:p w14:paraId="7E0A95AF" w14:textId="35562633" w:rsidR="00963246" w:rsidRPr="00963246" w:rsidRDefault="00963246" w:rsidP="00963246">
      <w:pPr>
        <w:rPr>
          <w:rFonts w:ascii="Arial" w:hAnsi="Arial" w:cs="Arial"/>
          <w:sz w:val="22"/>
          <w:szCs w:val="22"/>
        </w:rPr>
      </w:pPr>
      <w:r w:rsidRPr="00963246">
        <w:rPr>
          <w:rFonts w:ascii="Arial" w:hAnsi="Arial" w:cs="Arial"/>
          <w:sz w:val="22"/>
          <w:szCs w:val="22"/>
        </w:rPr>
        <w:t xml:space="preserve">For individuals, T1D requires lifelong intensive self-management: multiple daily blood tests, insulin injections or pump therapy and constant balancing of food, activity and medication. Even with meticulous attention, blood glucose swings can be unpredictable. </w:t>
      </w:r>
      <w:r w:rsidRPr="00963246">
        <w:rPr>
          <w:rFonts w:ascii="Arial" w:hAnsi="Arial" w:cs="Arial"/>
          <w:sz w:val="22"/>
          <w:szCs w:val="22"/>
        </w:rPr>
        <w:t>Hypoglycaemia</w:t>
      </w:r>
      <w:r w:rsidRPr="00963246">
        <w:rPr>
          <w:rFonts w:ascii="Arial" w:hAnsi="Arial" w:cs="Arial"/>
          <w:sz w:val="22"/>
          <w:szCs w:val="22"/>
        </w:rPr>
        <w:t xml:space="preserve"> (low blood sugar) can cause confusion or loss of consciousness, while </w:t>
      </w:r>
      <w:r w:rsidRPr="00963246">
        <w:rPr>
          <w:rFonts w:ascii="Arial" w:hAnsi="Arial" w:cs="Arial"/>
          <w:sz w:val="22"/>
          <w:szCs w:val="22"/>
        </w:rPr>
        <w:t>hyperglycaemia</w:t>
      </w:r>
      <w:r w:rsidRPr="00963246">
        <w:rPr>
          <w:rFonts w:ascii="Arial" w:hAnsi="Arial" w:cs="Arial"/>
          <w:sz w:val="22"/>
          <w:szCs w:val="22"/>
        </w:rPr>
        <w:t xml:space="preserve"> (high blood sugar) can cause life-threatening diabetic ketoacidosis. Loss of control of time leads to higher risk of blindness, kidney failure, heart attack, stroke and amputation. Psychologically, the burden of ongoing management, fear of complications and social stigma can lead to anxiety, depression and social isolation, especially in children and young people who may feel different from their peers.</w:t>
      </w:r>
    </w:p>
    <w:p w14:paraId="771D62A4" w14:textId="77777777" w:rsidR="00963246" w:rsidRPr="00963246" w:rsidRDefault="00963246" w:rsidP="00963246">
      <w:pPr>
        <w:rPr>
          <w:rFonts w:ascii="Arial" w:hAnsi="Arial" w:cs="Arial"/>
          <w:sz w:val="22"/>
          <w:szCs w:val="22"/>
        </w:rPr>
      </w:pPr>
    </w:p>
    <w:p w14:paraId="2EF108D0" w14:textId="3D5E2863" w:rsidR="00963246" w:rsidRDefault="00963246" w:rsidP="00963246">
      <w:pPr>
        <w:rPr>
          <w:rFonts w:ascii="Arial" w:hAnsi="Arial" w:cs="Arial"/>
          <w:sz w:val="22"/>
          <w:szCs w:val="22"/>
        </w:rPr>
      </w:pPr>
      <w:r w:rsidRPr="00963246">
        <w:rPr>
          <w:rFonts w:ascii="Arial" w:hAnsi="Arial" w:cs="Arial"/>
          <w:sz w:val="22"/>
          <w:szCs w:val="22"/>
        </w:rPr>
        <w:t>T1D creates substantial social and economic burdens on communities. Many of those affected experience barriers to education, employment or full social participation. Families often have extra caring responsibilities and may face financial strain from costs not met by the NHS such as specialist equipment or travel to appointments. People in deprived areas are more likely to experience delayed diagnosis, poorer control and higher rates of complications, with stark inequalities.</w:t>
      </w:r>
    </w:p>
    <w:p w14:paraId="4F12796B" w14:textId="77777777" w:rsidR="00963246" w:rsidRDefault="00963246" w:rsidP="00963246">
      <w:pPr>
        <w:rPr>
          <w:rFonts w:ascii="Arial" w:hAnsi="Arial" w:cs="Arial"/>
          <w:sz w:val="22"/>
          <w:szCs w:val="22"/>
        </w:rPr>
      </w:pPr>
    </w:p>
    <w:p w14:paraId="3D9DD793" w14:textId="77777777" w:rsidR="00963246" w:rsidRDefault="00963246" w:rsidP="00963246">
      <w:pPr>
        <w:rPr>
          <w:rFonts w:ascii="Arial" w:hAnsi="Arial" w:cs="Arial"/>
          <w:sz w:val="22"/>
          <w:szCs w:val="22"/>
        </w:rPr>
      </w:pPr>
    </w:p>
    <w:p w14:paraId="759A0AA6" w14:textId="08A79C5D" w:rsidR="00963246" w:rsidRDefault="00963246" w:rsidP="00963246">
      <w:pPr>
        <w:rPr>
          <w:rFonts w:ascii="Arial" w:hAnsi="Arial" w:cs="Arial"/>
          <w:sz w:val="22"/>
          <w:szCs w:val="22"/>
        </w:rPr>
      </w:pPr>
      <w:r w:rsidRPr="00963246">
        <w:rPr>
          <w:rFonts w:ascii="Arial" w:hAnsi="Arial" w:cs="Arial"/>
          <w:sz w:val="22"/>
          <w:szCs w:val="22"/>
        </w:rPr>
        <w:lastRenderedPageBreak/>
        <w:t>T1D is a major resource priority for the NHS. Direct costs include insulin, monitoring supplies, insulin pumps and routine care from GPs, specialist diabetes teams, dieticians and psychologists. In England alone, NHS spends around £1.5 billion each year on type 1 diabetes care, much of this is attributable to the treatment of long-term complications and not the daily management. Indirect costs include emergency admissions for ketoacidosis or severe hypoglycaemia and long-term support for disability. People with T1D need universal access to free prescriptions, specialist education and urgent care services to stay healthy and avoid preventable harm.</w:t>
      </w:r>
    </w:p>
    <w:p w14:paraId="7901D004" w14:textId="77777777" w:rsidR="00963246" w:rsidRDefault="00963246" w:rsidP="00963246">
      <w:pPr>
        <w:rPr>
          <w:rFonts w:ascii="Arial" w:hAnsi="Arial" w:cs="Arial"/>
          <w:sz w:val="22"/>
          <w:szCs w:val="22"/>
        </w:rPr>
      </w:pPr>
    </w:p>
    <w:p w14:paraId="7D1F1FE5" w14:textId="60A09F05" w:rsidR="00963246" w:rsidRDefault="00963246" w:rsidP="00963246">
      <w:pPr>
        <w:rPr>
          <w:rFonts w:ascii="Arial" w:hAnsi="Arial" w:cs="Arial"/>
          <w:sz w:val="22"/>
          <w:szCs w:val="22"/>
          <w:u w:val="single"/>
        </w:rPr>
      </w:pPr>
      <w:r w:rsidRPr="00963246">
        <w:rPr>
          <w:rFonts w:ascii="Arial" w:hAnsi="Arial" w:cs="Arial"/>
          <w:sz w:val="22"/>
          <w:szCs w:val="22"/>
          <w:u w:val="single"/>
        </w:rPr>
        <w:t>Prevention and Control of Type 1 Diabetes</w:t>
      </w:r>
    </w:p>
    <w:p w14:paraId="0C517C68" w14:textId="77777777" w:rsidR="00963246" w:rsidRDefault="00963246" w:rsidP="00963246">
      <w:pPr>
        <w:rPr>
          <w:rFonts w:ascii="Arial" w:hAnsi="Arial" w:cs="Arial"/>
          <w:sz w:val="22"/>
          <w:szCs w:val="22"/>
          <w:u w:val="single"/>
        </w:rPr>
      </w:pPr>
    </w:p>
    <w:p w14:paraId="12C66D01" w14:textId="6DDCFDAE" w:rsidR="00963246" w:rsidRPr="00963246" w:rsidRDefault="00963246" w:rsidP="00963246">
      <w:pPr>
        <w:rPr>
          <w:rFonts w:ascii="Arial" w:hAnsi="Arial" w:cs="Arial"/>
          <w:sz w:val="22"/>
          <w:szCs w:val="22"/>
        </w:rPr>
      </w:pPr>
      <w:r w:rsidRPr="00963246">
        <w:rPr>
          <w:rFonts w:ascii="Arial" w:hAnsi="Arial" w:cs="Arial"/>
          <w:sz w:val="22"/>
          <w:szCs w:val="22"/>
        </w:rPr>
        <w:t xml:space="preserve">T1D is an autoimmune disease that occurs when a genetically susceptible individual is exposed to an environmental trigger (such as a viral infection in early life) that is not yet fully </w:t>
      </w:r>
      <w:r w:rsidRPr="00963246">
        <w:rPr>
          <w:rFonts w:ascii="Arial" w:hAnsi="Arial" w:cs="Arial"/>
          <w:sz w:val="22"/>
          <w:szCs w:val="22"/>
        </w:rPr>
        <w:t>understood.</w:t>
      </w:r>
      <w:r w:rsidRPr="00963246">
        <w:rPr>
          <w:rFonts w:ascii="Arial" w:hAnsi="Arial" w:cs="Arial"/>
          <w:sz w:val="22"/>
          <w:szCs w:val="22"/>
        </w:rPr>
        <w:t xml:space="preserve"> Currently, there is no known way to prevent T1</w:t>
      </w:r>
      <w:r w:rsidRPr="00963246">
        <w:rPr>
          <w:rFonts w:ascii="Arial" w:hAnsi="Arial" w:cs="Arial"/>
          <w:sz w:val="22"/>
          <w:szCs w:val="22"/>
        </w:rPr>
        <w:t>D.</w:t>
      </w:r>
      <w:r w:rsidRPr="00963246">
        <w:rPr>
          <w:rFonts w:ascii="Arial" w:hAnsi="Arial" w:cs="Arial"/>
          <w:sz w:val="22"/>
          <w:szCs w:val="22"/>
        </w:rPr>
        <w:t xml:space="preserve"> There are no approved preventive interventions </w:t>
      </w:r>
      <w:r w:rsidRPr="00963246">
        <w:rPr>
          <w:rFonts w:ascii="Arial" w:hAnsi="Arial" w:cs="Arial"/>
          <w:sz w:val="22"/>
          <w:szCs w:val="22"/>
        </w:rPr>
        <w:t>currently</w:t>
      </w:r>
      <w:r w:rsidRPr="00963246">
        <w:rPr>
          <w:rFonts w:ascii="Arial" w:hAnsi="Arial" w:cs="Arial"/>
          <w:sz w:val="22"/>
          <w:szCs w:val="22"/>
        </w:rPr>
        <w:t>, but research continues to identify ways to slow or halt the autoimmune process in individuals at risk.</w:t>
      </w:r>
    </w:p>
    <w:p w14:paraId="61508BB7" w14:textId="77777777" w:rsidR="00963246" w:rsidRPr="00963246" w:rsidRDefault="00963246" w:rsidP="00963246">
      <w:pPr>
        <w:rPr>
          <w:rFonts w:ascii="Arial" w:hAnsi="Arial" w:cs="Arial"/>
          <w:sz w:val="22"/>
          <w:szCs w:val="22"/>
        </w:rPr>
      </w:pPr>
    </w:p>
    <w:p w14:paraId="6A0CC8D7" w14:textId="77777777" w:rsidR="00963246" w:rsidRPr="00963246" w:rsidRDefault="00963246" w:rsidP="00963246">
      <w:pPr>
        <w:rPr>
          <w:rFonts w:ascii="Arial" w:hAnsi="Arial" w:cs="Arial"/>
          <w:sz w:val="22"/>
          <w:szCs w:val="22"/>
        </w:rPr>
      </w:pPr>
      <w:r w:rsidRPr="00963246">
        <w:rPr>
          <w:rFonts w:ascii="Arial" w:hAnsi="Arial" w:cs="Arial"/>
          <w:sz w:val="22"/>
          <w:szCs w:val="22"/>
        </w:rPr>
        <w:t>But the condition can be managed with good results in terms of reducing complications and supporting quality of life:</w:t>
      </w:r>
    </w:p>
    <w:p w14:paraId="0781C663" w14:textId="77777777" w:rsidR="00963246" w:rsidRPr="00963246" w:rsidRDefault="00963246" w:rsidP="00963246">
      <w:pPr>
        <w:rPr>
          <w:rFonts w:ascii="Arial" w:hAnsi="Arial" w:cs="Arial"/>
          <w:sz w:val="22"/>
          <w:szCs w:val="22"/>
        </w:rPr>
      </w:pPr>
    </w:p>
    <w:p w14:paraId="18A4751F" w14:textId="77777777" w:rsidR="00963246" w:rsidRPr="00963246" w:rsidRDefault="00963246" w:rsidP="00963246">
      <w:pPr>
        <w:rPr>
          <w:rFonts w:ascii="Arial" w:hAnsi="Arial" w:cs="Arial"/>
          <w:sz w:val="22"/>
          <w:szCs w:val="22"/>
        </w:rPr>
      </w:pPr>
      <w:r w:rsidRPr="00963246">
        <w:rPr>
          <w:rFonts w:ascii="Arial" w:hAnsi="Arial" w:cs="Arial"/>
          <w:sz w:val="22"/>
          <w:szCs w:val="22"/>
        </w:rPr>
        <w:t>• Insulin therapy: Required for all individuals with T1D; may be by multiple daily injections or continuous subcutaneous insulin infusion via a pump, tailored to the individual’s needs.</w:t>
      </w:r>
    </w:p>
    <w:p w14:paraId="782DDFBB" w14:textId="77777777" w:rsidR="00963246" w:rsidRPr="00963246" w:rsidRDefault="00963246" w:rsidP="00963246">
      <w:pPr>
        <w:rPr>
          <w:rFonts w:ascii="Arial" w:hAnsi="Arial" w:cs="Arial"/>
          <w:sz w:val="22"/>
          <w:szCs w:val="22"/>
        </w:rPr>
      </w:pPr>
    </w:p>
    <w:p w14:paraId="12ECEEFD" w14:textId="77777777" w:rsidR="00963246" w:rsidRPr="00963246" w:rsidRDefault="00963246" w:rsidP="00963246">
      <w:pPr>
        <w:rPr>
          <w:rFonts w:ascii="Arial" w:hAnsi="Arial" w:cs="Arial"/>
          <w:sz w:val="22"/>
          <w:szCs w:val="22"/>
        </w:rPr>
      </w:pPr>
      <w:r w:rsidRPr="00963246">
        <w:rPr>
          <w:rFonts w:ascii="Arial" w:hAnsi="Arial" w:cs="Arial"/>
          <w:sz w:val="22"/>
          <w:szCs w:val="22"/>
        </w:rPr>
        <w:t>• Monitoring: Regularly checking blood glucose levels, or using continuous glucose monitoring (CGM) systems, to track levels and adjust doses.</w:t>
      </w:r>
    </w:p>
    <w:p w14:paraId="26992286" w14:textId="77777777" w:rsidR="00963246" w:rsidRPr="00963246" w:rsidRDefault="00963246" w:rsidP="00963246">
      <w:pPr>
        <w:rPr>
          <w:rFonts w:ascii="Arial" w:hAnsi="Arial" w:cs="Arial"/>
          <w:sz w:val="22"/>
          <w:szCs w:val="22"/>
        </w:rPr>
      </w:pPr>
    </w:p>
    <w:p w14:paraId="5BCE3483" w14:textId="77777777" w:rsidR="00963246" w:rsidRPr="00963246" w:rsidRDefault="00963246" w:rsidP="00963246">
      <w:pPr>
        <w:rPr>
          <w:rFonts w:ascii="Arial" w:hAnsi="Arial" w:cs="Arial"/>
          <w:sz w:val="22"/>
          <w:szCs w:val="22"/>
        </w:rPr>
      </w:pPr>
      <w:r w:rsidRPr="00963246">
        <w:rPr>
          <w:rFonts w:ascii="Arial" w:hAnsi="Arial" w:cs="Arial"/>
          <w:sz w:val="22"/>
          <w:szCs w:val="22"/>
        </w:rPr>
        <w:t>• Education and Support: People are helped to learn to manage their condition themselves through formal education programmes (such as the DAFNE course in the UK) and advice from dietitians and specialist nurses.</w:t>
      </w:r>
    </w:p>
    <w:p w14:paraId="10C16A85" w14:textId="77777777" w:rsidR="00963246" w:rsidRPr="00963246" w:rsidRDefault="00963246" w:rsidP="00963246">
      <w:pPr>
        <w:rPr>
          <w:rFonts w:ascii="Arial" w:hAnsi="Arial" w:cs="Arial"/>
          <w:sz w:val="22"/>
          <w:szCs w:val="22"/>
        </w:rPr>
      </w:pPr>
    </w:p>
    <w:p w14:paraId="67203D7E" w14:textId="77777777" w:rsidR="00963246" w:rsidRPr="00963246" w:rsidRDefault="00963246" w:rsidP="00963246">
      <w:pPr>
        <w:rPr>
          <w:rFonts w:ascii="Arial" w:hAnsi="Arial" w:cs="Arial"/>
          <w:sz w:val="22"/>
          <w:szCs w:val="22"/>
        </w:rPr>
      </w:pPr>
      <w:r w:rsidRPr="00963246">
        <w:rPr>
          <w:rFonts w:ascii="Arial" w:hAnsi="Arial" w:cs="Arial"/>
          <w:sz w:val="22"/>
          <w:szCs w:val="22"/>
        </w:rPr>
        <w:t>• Screening: Regular screening for early signs of complications (eye health, kidney function, heart health) can allow early intervention to prevent long-term damage.</w:t>
      </w:r>
    </w:p>
    <w:p w14:paraId="5AE3E80F" w14:textId="77777777" w:rsidR="00963246" w:rsidRPr="00963246" w:rsidRDefault="00963246" w:rsidP="00963246">
      <w:pPr>
        <w:rPr>
          <w:rFonts w:ascii="Arial" w:hAnsi="Arial" w:cs="Arial"/>
          <w:sz w:val="22"/>
          <w:szCs w:val="22"/>
        </w:rPr>
      </w:pPr>
    </w:p>
    <w:p w14:paraId="744A66C1" w14:textId="77777777" w:rsidR="00963246" w:rsidRPr="00963246" w:rsidRDefault="00963246" w:rsidP="00963246">
      <w:pPr>
        <w:rPr>
          <w:rFonts w:ascii="Arial" w:hAnsi="Arial" w:cs="Arial"/>
          <w:sz w:val="22"/>
          <w:szCs w:val="22"/>
        </w:rPr>
      </w:pPr>
      <w:r w:rsidRPr="00963246">
        <w:rPr>
          <w:rFonts w:ascii="Arial" w:hAnsi="Arial" w:cs="Arial"/>
          <w:sz w:val="22"/>
          <w:szCs w:val="22"/>
        </w:rPr>
        <w:t>• Emergency care: Early treatment of ketoacidosis or severe hypoglycaemia reduces hospital stay and prevents permanent damage.</w:t>
      </w:r>
    </w:p>
    <w:p w14:paraId="6554FC1D" w14:textId="77777777" w:rsidR="00963246" w:rsidRPr="00963246" w:rsidRDefault="00963246" w:rsidP="00963246">
      <w:pPr>
        <w:rPr>
          <w:rFonts w:ascii="Arial" w:hAnsi="Arial" w:cs="Arial"/>
          <w:sz w:val="22"/>
          <w:szCs w:val="22"/>
        </w:rPr>
      </w:pPr>
    </w:p>
    <w:p w14:paraId="02C7737A" w14:textId="386BC2E3" w:rsidR="00963246" w:rsidRDefault="00963246" w:rsidP="00963246">
      <w:pPr>
        <w:rPr>
          <w:rFonts w:ascii="Arial" w:hAnsi="Arial" w:cs="Arial"/>
          <w:sz w:val="22"/>
          <w:szCs w:val="22"/>
        </w:rPr>
      </w:pPr>
      <w:r w:rsidRPr="00963246">
        <w:rPr>
          <w:rFonts w:ascii="Arial" w:hAnsi="Arial" w:cs="Arial"/>
          <w:sz w:val="22"/>
          <w:szCs w:val="22"/>
        </w:rPr>
        <w:lastRenderedPageBreak/>
        <w:t xml:space="preserve">Early diagnosis is </w:t>
      </w:r>
      <w:r w:rsidRPr="00963246">
        <w:rPr>
          <w:rFonts w:ascii="Arial" w:hAnsi="Arial" w:cs="Arial"/>
          <w:sz w:val="22"/>
          <w:szCs w:val="22"/>
        </w:rPr>
        <w:t>key. The</w:t>
      </w:r>
      <w:r w:rsidRPr="00963246">
        <w:rPr>
          <w:rFonts w:ascii="Arial" w:hAnsi="Arial" w:cs="Arial"/>
          <w:sz w:val="22"/>
          <w:szCs w:val="22"/>
        </w:rPr>
        <w:t xml:space="preserve"> delay in diagnosis means that you are at risk for life threatening complications at presentation so the more people who can recognise symptoms, the quicker people get into care.</w:t>
      </w:r>
    </w:p>
    <w:p w14:paraId="6F109B69" w14:textId="77777777" w:rsidR="00963246" w:rsidRPr="00963246" w:rsidRDefault="00963246" w:rsidP="00963246">
      <w:pPr>
        <w:rPr>
          <w:rFonts w:ascii="Arial" w:hAnsi="Arial" w:cs="Arial"/>
          <w:sz w:val="22"/>
          <w:szCs w:val="22"/>
          <w:u w:val="single"/>
        </w:rPr>
      </w:pPr>
    </w:p>
    <w:p w14:paraId="525B98FB" w14:textId="443DA1A3" w:rsidR="00963246" w:rsidRDefault="00963246" w:rsidP="00963246">
      <w:pPr>
        <w:rPr>
          <w:rFonts w:ascii="Arial" w:hAnsi="Arial" w:cs="Arial"/>
          <w:sz w:val="22"/>
          <w:szCs w:val="22"/>
          <w:u w:val="single"/>
        </w:rPr>
      </w:pPr>
      <w:r w:rsidRPr="00963246">
        <w:rPr>
          <w:rFonts w:ascii="Arial" w:hAnsi="Arial" w:cs="Arial"/>
          <w:sz w:val="22"/>
          <w:szCs w:val="22"/>
          <w:u w:val="single"/>
        </w:rPr>
        <w:t>Factors Influencing Health and Wellbeing</w:t>
      </w:r>
    </w:p>
    <w:p w14:paraId="2D4269F9" w14:textId="582C464D" w:rsidR="00963246" w:rsidRPr="00963246" w:rsidRDefault="00963246" w:rsidP="00963246">
      <w:pPr>
        <w:rPr>
          <w:rFonts w:ascii="Arial" w:hAnsi="Arial" w:cs="Arial"/>
          <w:sz w:val="22"/>
          <w:szCs w:val="22"/>
        </w:rPr>
      </w:pPr>
      <w:r w:rsidRPr="00963246">
        <w:rPr>
          <w:rFonts w:ascii="Arial" w:hAnsi="Arial" w:cs="Arial"/>
          <w:sz w:val="22"/>
          <w:szCs w:val="22"/>
        </w:rPr>
        <w:t xml:space="preserve">There are </w:t>
      </w:r>
      <w:r w:rsidRPr="00963246">
        <w:rPr>
          <w:rFonts w:ascii="Arial" w:hAnsi="Arial" w:cs="Arial"/>
          <w:sz w:val="22"/>
          <w:szCs w:val="22"/>
        </w:rPr>
        <w:t>several</w:t>
      </w:r>
      <w:r w:rsidRPr="00963246">
        <w:rPr>
          <w:rFonts w:ascii="Arial" w:hAnsi="Arial" w:cs="Arial"/>
          <w:sz w:val="22"/>
          <w:szCs w:val="22"/>
        </w:rPr>
        <w:t xml:space="preserve"> interrelated factors that influence outcomes in T1D:</w:t>
      </w:r>
    </w:p>
    <w:p w14:paraId="67E83931" w14:textId="77777777" w:rsidR="00963246" w:rsidRPr="00963246" w:rsidRDefault="00963246" w:rsidP="00963246">
      <w:pPr>
        <w:rPr>
          <w:rFonts w:ascii="Arial" w:hAnsi="Arial" w:cs="Arial"/>
          <w:sz w:val="22"/>
          <w:szCs w:val="22"/>
        </w:rPr>
      </w:pPr>
    </w:p>
    <w:p w14:paraId="52E6EE6E" w14:textId="77777777" w:rsidR="00963246" w:rsidRPr="00963246" w:rsidRDefault="00963246" w:rsidP="00963246">
      <w:pPr>
        <w:rPr>
          <w:rFonts w:ascii="Arial" w:hAnsi="Arial" w:cs="Arial"/>
          <w:sz w:val="22"/>
          <w:szCs w:val="22"/>
        </w:rPr>
      </w:pPr>
      <w:r w:rsidRPr="00963246">
        <w:rPr>
          <w:rFonts w:ascii="Arial" w:hAnsi="Arial" w:cs="Arial"/>
          <w:sz w:val="22"/>
          <w:szCs w:val="22"/>
        </w:rPr>
        <w:t>• Biomedical and genetic factors: Family history is the single strongest known risk factor; certain genes (e.g., HLA-DR3/DR4) increase susceptibility, but genetics alone do not cause the disease.</w:t>
      </w:r>
    </w:p>
    <w:p w14:paraId="0055E5CE" w14:textId="77777777" w:rsidR="00963246" w:rsidRPr="00963246" w:rsidRDefault="00963246" w:rsidP="00963246">
      <w:pPr>
        <w:rPr>
          <w:rFonts w:ascii="Arial" w:hAnsi="Arial" w:cs="Arial"/>
          <w:sz w:val="22"/>
          <w:szCs w:val="22"/>
        </w:rPr>
      </w:pPr>
    </w:p>
    <w:p w14:paraId="7A5DBC44" w14:textId="77777777" w:rsidR="00963246" w:rsidRPr="00963246" w:rsidRDefault="00963246" w:rsidP="00963246">
      <w:pPr>
        <w:rPr>
          <w:rFonts w:ascii="Arial" w:hAnsi="Arial" w:cs="Arial"/>
          <w:sz w:val="22"/>
          <w:szCs w:val="22"/>
        </w:rPr>
      </w:pPr>
      <w:r w:rsidRPr="00963246">
        <w:rPr>
          <w:rFonts w:ascii="Arial" w:hAnsi="Arial" w:cs="Arial"/>
          <w:sz w:val="22"/>
          <w:szCs w:val="22"/>
        </w:rPr>
        <w:t>• Access to healthcare: The availability of specialist teams, modern technology (for example, CGM) and free prescriptions have a direct impact on control. Those living in rural areas or deprived communities may have further to travel or less access to new treatments, thus increasing health inequalities.</w:t>
      </w:r>
    </w:p>
    <w:p w14:paraId="790C71E4" w14:textId="77777777" w:rsidR="00963246" w:rsidRPr="00963246" w:rsidRDefault="00963246" w:rsidP="00963246">
      <w:pPr>
        <w:rPr>
          <w:rFonts w:ascii="Arial" w:hAnsi="Arial" w:cs="Arial"/>
          <w:sz w:val="22"/>
          <w:szCs w:val="22"/>
        </w:rPr>
      </w:pPr>
    </w:p>
    <w:p w14:paraId="6D7A2359" w14:textId="77777777" w:rsidR="00963246" w:rsidRPr="00963246" w:rsidRDefault="00963246" w:rsidP="00963246">
      <w:pPr>
        <w:rPr>
          <w:rFonts w:ascii="Arial" w:hAnsi="Arial" w:cs="Arial"/>
          <w:sz w:val="22"/>
          <w:szCs w:val="22"/>
        </w:rPr>
      </w:pPr>
      <w:r w:rsidRPr="00963246">
        <w:rPr>
          <w:rFonts w:ascii="Arial" w:hAnsi="Arial" w:cs="Arial"/>
          <w:sz w:val="22"/>
          <w:szCs w:val="22"/>
        </w:rPr>
        <w:t>Lifestyle and social support: Diet and exercise do not cause T1D, but they do influence glucose stability; people who have good family, peer or community support are better able to cope with the daily demands. Poor self-care can result from social isolation or lack of understanding from others.</w:t>
      </w:r>
    </w:p>
    <w:p w14:paraId="01AB005A" w14:textId="77777777" w:rsidR="00963246" w:rsidRPr="00963246" w:rsidRDefault="00963246" w:rsidP="00963246">
      <w:pPr>
        <w:rPr>
          <w:rFonts w:ascii="Arial" w:hAnsi="Arial" w:cs="Arial"/>
          <w:sz w:val="22"/>
          <w:szCs w:val="22"/>
        </w:rPr>
      </w:pPr>
    </w:p>
    <w:p w14:paraId="18392948" w14:textId="77777777" w:rsidR="00963246" w:rsidRPr="00963246" w:rsidRDefault="00963246" w:rsidP="00963246">
      <w:pPr>
        <w:rPr>
          <w:rFonts w:ascii="Arial" w:hAnsi="Arial" w:cs="Arial"/>
          <w:sz w:val="22"/>
          <w:szCs w:val="22"/>
        </w:rPr>
      </w:pPr>
      <w:r w:rsidRPr="00963246">
        <w:rPr>
          <w:rFonts w:ascii="Arial" w:hAnsi="Arial" w:cs="Arial"/>
          <w:sz w:val="22"/>
          <w:szCs w:val="22"/>
        </w:rPr>
        <w:t>• Psychological factors: Stress, anxiety or depression can impact glucose levels and decrease motivation to manage the condition. Hence, access to mental health support is important.</w:t>
      </w:r>
    </w:p>
    <w:p w14:paraId="63F1658E" w14:textId="77777777" w:rsidR="00963246" w:rsidRPr="00963246" w:rsidRDefault="00963246" w:rsidP="00963246">
      <w:pPr>
        <w:rPr>
          <w:rFonts w:ascii="Arial" w:hAnsi="Arial" w:cs="Arial"/>
          <w:sz w:val="22"/>
          <w:szCs w:val="22"/>
        </w:rPr>
      </w:pPr>
    </w:p>
    <w:p w14:paraId="3310C282" w14:textId="3ED1E47C" w:rsidR="00963246" w:rsidRDefault="00963246" w:rsidP="00963246">
      <w:pPr>
        <w:rPr>
          <w:rFonts w:ascii="Arial" w:hAnsi="Arial" w:cs="Arial"/>
          <w:sz w:val="22"/>
          <w:szCs w:val="22"/>
        </w:rPr>
      </w:pPr>
      <w:r w:rsidRPr="00963246">
        <w:rPr>
          <w:rFonts w:ascii="Arial" w:hAnsi="Arial" w:cs="Arial"/>
          <w:sz w:val="22"/>
          <w:szCs w:val="22"/>
        </w:rPr>
        <w:t>• Public policy and awareness: Misconception that T1D is caused by diet or lifestyle may lead to stigma; inclusive policies in schools and workplaces facilitate full participation without discrimination.</w:t>
      </w:r>
    </w:p>
    <w:p w14:paraId="354AB453" w14:textId="77777777" w:rsidR="00963246" w:rsidRDefault="00963246" w:rsidP="00963246">
      <w:pPr>
        <w:rPr>
          <w:rFonts w:ascii="Arial" w:hAnsi="Arial" w:cs="Arial"/>
          <w:sz w:val="22"/>
          <w:szCs w:val="22"/>
        </w:rPr>
      </w:pPr>
    </w:p>
    <w:p w14:paraId="7B2064D8" w14:textId="24C6D796" w:rsidR="00963246" w:rsidRDefault="00963246" w:rsidP="00963246">
      <w:pPr>
        <w:rPr>
          <w:rFonts w:ascii="Arial" w:hAnsi="Arial" w:cs="Arial"/>
          <w:sz w:val="22"/>
          <w:szCs w:val="22"/>
          <w:u w:val="single"/>
        </w:rPr>
      </w:pPr>
      <w:r w:rsidRPr="00963246">
        <w:rPr>
          <w:rFonts w:ascii="Arial" w:hAnsi="Arial" w:cs="Arial"/>
          <w:sz w:val="22"/>
          <w:szCs w:val="22"/>
          <w:u w:val="single"/>
        </w:rPr>
        <w:t>Conclusion</w:t>
      </w:r>
    </w:p>
    <w:p w14:paraId="4AF904C9" w14:textId="747EEE28" w:rsidR="00963246" w:rsidRDefault="00841379" w:rsidP="00963246">
      <w:pPr>
        <w:rPr>
          <w:rFonts w:ascii="Arial" w:hAnsi="Arial" w:cs="Arial"/>
          <w:sz w:val="22"/>
          <w:szCs w:val="22"/>
        </w:rPr>
      </w:pPr>
      <w:r w:rsidRPr="00841379">
        <w:rPr>
          <w:rFonts w:ascii="Arial" w:hAnsi="Arial" w:cs="Arial"/>
          <w:sz w:val="22"/>
          <w:szCs w:val="22"/>
        </w:rPr>
        <w:t xml:space="preserve">Millions of people around the world, and hundreds of thousands in the UK, live with type 1 diabetes, a lifelong autoimmune disease that disproportionately affects children and young adults. There is no way to stop it </w:t>
      </w:r>
      <w:r w:rsidRPr="00841379">
        <w:rPr>
          <w:rFonts w:ascii="Arial" w:hAnsi="Arial" w:cs="Arial"/>
          <w:sz w:val="22"/>
          <w:szCs w:val="22"/>
        </w:rPr>
        <w:t>now</w:t>
      </w:r>
      <w:r w:rsidRPr="00841379">
        <w:rPr>
          <w:rFonts w:ascii="Arial" w:hAnsi="Arial" w:cs="Arial"/>
          <w:sz w:val="22"/>
          <w:szCs w:val="22"/>
        </w:rPr>
        <w:t>, but with good management and care people can live long healthy lives. The condition can be very challenging for individuals, families, communities and the NHS. Outcomes depend heavily on access to care, social support and public understanding. Addressing health inequalities, investing in specialist services and new technology and raising awareness of the reality of the condition are key priorities to improve wellbeing for all those affected.</w:t>
      </w:r>
    </w:p>
    <w:p w14:paraId="0219825C" w14:textId="70C491F6" w:rsidR="00841379" w:rsidRDefault="00841379" w:rsidP="00963246">
      <w:pPr>
        <w:rPr>
          <w:rFonts w:ascii="Arial" w:hAnsi="Arial" w:cs="Arial"/>
          <w:sz w:val="22"/>
          <w:szCs w:val="22"/>
          <w:u w:val="single"/>
        </w:rPr>
      </w:pPr>
      <w:r w:rsidRPr="00841379">
        <w:rPr>
          <w:rFonts w:ascii="Arial" w:hAnsi="Arial" w:cs="Arial"/>
          <w:sz w:val="22"/>
          <w:szCs w:val="22"/>
          <w:u w:val="single"/>
        </w:rPr>
        <w:lastRenderedPageBreak/>
        <w:t>References</w:t>
      </w:r>
    </w:p>
    <w:p w14:paraId="170D5AB1" w14:textId="77777777" w:rsidR="00841379" w:rsidRPr="00841379" w:rsidRDefault="00841379" w:rsidP="00841379">
      <w:pPr>
        <w:rPr>
          <w:rFonts w:ascii="Arial" w:hAnsi="Arial" w:cs="Arial"/>
          <w:sz w:val="22"/>
          <w:szCs w:val="22"/>
        </w:rPr>
      </w:pPr>
      <w:r w:rsidRPr="00841379">
        <w:rPr>
          <w:rFonts w:ascii="Arial" w:hAnsi="Arial" w:cs="Arial"/>
          <w:sz w:val="22"/>
          <w:szCs w:val="22"/>
        </w:rPr>
        <w:t>World Health Organization, 2021. Global report on type 1 diabetes. Geneva: WHO Press.</w:t>
      </w:r>
    </w:p>
    <w:p w14:paraId="765D0600" w14:textId="77777777" w:rsidR="00841379" w:rsidRPr="00841379" w:rsidRDefault="00841379" w:rsidP="00841379">
      <w:pPr>
        <w:rPr>
          <w:rFonts w:ascii="Arial" w:hAnsi="Arial" w:cs="Arial"/>
          <w:sz w:val="22"/>
          <w:szCs w:val="22"/>
        </w:rPr>
      </w:pPr>
    </w:p>
    <w:p w14:paraId="69BC15B3" w14:textId="77777777" w:rsidR="00841379" w:rsidRPr="00841379" w:rsidRDefault="00841379" w:rsidP="00841379">
      <w:pPr>
        <w:rPr>
          <w:rFonts w:ascii="Arial" w:hAnsi="Arial" w:cs="Arial"/>
          <w:sz w:val="22"/>
          <w:szCs w:val="22"/>
        </w:rPr>
      </w:pPr>
      <w:r w:rsidRPr="00841379">
        <w:rPr>
          <w:rFonts w:ascii="Arial" w:hAnsi="Arial" w:cs="Arial"/>
          <w:sz w:val="22"/>
          <w:szCs w:val="22"/>
        </w:rPr>
        <w:t>NHS Digital, 2022. National diabetes audit 2022: Type 1 diabetes in England. Leeds: NHS Digital.</w:t>
      </w:r>
    </w:p>
    <w:p w14:paraId="6F995CD9" w14:textId="77777777" w:rsidR="00841379" w:rsidRPr="00841379" w:rsidRDefault="00841379" w:rsidP="00841379">
      <w:pPr>
        <w:rPr>
          <w:rFonts w:ascii="Arial" w:hAnsi="Arial" w:cs="Arial"/>
          <w:sz w:val="22"/>
          <w:szCs w:val="22"/>
        </w:rPr>
      </w:pPr>
    </w:p>
    <w:p w14:paraId="698BF574" w14:textId="77777777" w:rsidR="00841379" w:rsidRPr="00841379" w:rsidRDefault="00841379" w:rsidP="00841379">
      <w:pPr>
        <w:rPr>
          <w:rFonts w:ascii="Arial" w:hAnsi="Arial" w:cs="Arial"/>
          <w:sz w:val="22"/>
          <w:szCs w:val="22"/>
        </w:rPr>
      </w:pPr>
      <w:r w:rsidRPr="00841379">
        <w:rPr>
          <w:rFonts w:ascii="Arial" w:hAnsi="Arial" w:cs="Arial"/>
          <w:sz w:val="22"/>
          <w:szCs w:val="22"/>
        </w:rPr>
        <w:t>Diabetes UK, 2023. State of the nation: Type 1 diabetes report 2023. London: Diabetes UK.</w:t>
      </w:r>
    </w:p>
    <w:p w14:paraId="39545050" w14:textId="77777777" w:rsidR="00841379" w:rsidRPr="00841379" w:rsidRDefault="00841379" w:rsidP="00841379">
      <w:pPr>
        <w:rPr>
          <w:rFonts w:ascii="Arial" w:hAnsi="Arial" w:cs="Arial"/>
          <w:sz w:val="22"/>
          <w:szCs w:val="22"/>
        </w:rPr>
      </w:pPr>
    </w:p>
    <w:p w14:paraId="7299D97D" w14:textId="77777777" w:rsidR="00841379" w:rsidRPr="00841379" w:rsidRDefault="00841379" w:rsidP="00841379">
      <w:pPr>
        <w:rPr>
          <w:rFonts w:ascii="Arial" w:hAnsi="Arial" w:cs="Arial"/>
          <w:sz w:val="22"/>
          <w:szCs w:val="22"/>
        </w:rPr>
      </w:pPr>
      <w:r w:rsidRPr="00841379">
        <w:rPr>
          <w:rFonts w:ascii="Arial" w:hAnsi="Arial" w:cs="Arial"/>
          <w:sz w:val="22"/>
          <w:szCs w:val="22"/>
        </w:rPr>
        <w:t>National Institute for Health and Care Excellence (NICE), 2024. Type 1 diabetes in adults: diagnosis and management. London: NICE.</w:t>
      </w:r>
    </w:p>
    <w:p w14:paraId="133974BE" w14:textId="77777777" w:rsidR="00841379" w:rsidRPr="00841379" w:rsidRDefault="00841379" w:rsidP="00841379">
      <w:pPr>
        <w:rPr>
          <w:rFonts w:ascii="Arial" w:hAnsi="Arial" w:cs="Arial"/>
          <w:sz w:val="22"/>
          <w:szCs w:val="22"/>
        </w:rPr>
      </w:pPr>
    </w:p>
    <w:p w14:paraId="2E0605D9" w14:textId="1E4058E5" w:rsidR="00841379" w:rsidRPr="00841379" w:rsidRDefault="00841379" w:rsidP="00841379">
      <w:pPr>
        <w:rPr>
          <w:rFonts w:ascii="Arial" w:hAnsi="Arial" w:cs="Arial"/>
          <w:sz w:val="22"/>
          <w:szCs w:val="22"/>
        </w:rPr>
      </w:pPr>
      <w:r w:rsidRPr="00841379">
        <w:rPr>
          <w:rFonts w:ascii="Arial" w:hAnsi="Arial" w:cs="Arial"/>
          <w:sz w:val="22"/>
          <w:szCs w:val="22"/>
        </w:rPr>
        <w:t>Royal College of Paediatrics and Child Health, 2025. Type 1 diabetes in children and young people: UK practice guidelines. London: RCPCH.</w:t>
      </w:r>
    </w:p>
    <w:p w14:paraId="396B6C11" w14:textId="77777777" w:rsidR="00841379" w:rsidRPr="00841379" w:rsidRDefault="00841379" w:rsidP="00963246">
      <w:pPr>
        <w:rPr>
          <w:rFonts w:ascii="Arial" w:hAnsi="Arial" w:cs="Arial"/>
          <w:sz w:val="22"/>
          <w:szCs w:val="22"/>
        </w:rPr>
      </w:pPr>
    </w:p>
    <w:sectPr w:rsidR="00841379" w:rsidRPr="008413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246"/>
    <w:rsid w:val="00841379"/>
    <w:rsid w:val="00963246"/>
    <w:rsid w:val="00B12E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2E2A35"/>
  <w15:chartTrackingRefBased/>
  <w15:docId w15:val="{49AA0489-C2A6-AA41-AEFA-9E75F79F4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32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32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32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32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32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32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32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32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32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32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32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32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32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32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32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32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32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3246"/>
    <w:rPr>
      <w:rFonts w:eastAsiaTheme="majorEastAsia" w:cstheme="majorBidi"/>
      <w:color w:val="272727" w:themeColor="text1" w:themeTint="D8"/>
    </w:rPr>
  </w:style>
  <w:style w:type="paragraph" w:styleId="Title">
    <w:name w:val="Title"/>
    <w:basedOn w:val="Normal"/>
    <w:next w:val="Normal"/>
    <w:link w:val="TitleChar"/>
    <w:uiPriority w:val="10"/>
    <w:qFormat/>
    <w:rsid w:val="009632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32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32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32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3246"/>
    <w:pPr>
      <w:spacing w:before="160"/>
      <w:jc w:val="center"/>
    </w:pPr>
    <w:rPr>
      <w:i/>
      <w:iCs/>
      <w:color w:val="404040" w:themeColor="text1" w:themeTint="BF"/>
    </w:rPr>
  </w:style>
  <w:style w:type="character" w:customStyle="1" w:styleId="QuoteChar">
    <w:name w:val="Quote Char"/>
    <w:basedOn w:val="DefaultParagraphFont"/>
    <w:link w:val="Quote"/>
    <w:uiPriority w:val="29"/>
    <w:rsid w:val="00963246"/>
    <w:rPr>
      <w:i/>
      <w:iCs/>
      <w:color w:val="404040" w:themeColor="text1" w:themeTint="BF"/>
    </w:rPr>
  </w:style>
  <w:style w:type="paragraph" w:styleId="ListParagraph">
    <w:name w:val="List Paragraph"/>
    <w:basedOn w:val="Normal"/>
    <w:uiPriority w:val="34"/>
    <w:qFormat/>
    <w:rsid w:val="00963246"/>
    <w:pPr>
      <w:ind w:left="720"/>
      <w:contextualSpacing/>
    </w:pPr>
  </w:style>
  <w:style w:type="character" w:styleId="IntenseEmphasis">
    <w:name w:val="Intense Emphasis"/>
    <w:basedOn w:val="DefaultParagraphFont"/>
    <w:uiPriority w:val="21"/>
    <w:qFormat/>
    <w:rsid w:val="00963246"/>
    <w:rPr>
      <w:i/>
      <w:iCs/>
      <w:color w:val="0F4761" w:themeColor="accent1" w:themeShade="BF"/>
    </w:rPr>
  </w:style>
  <w:style w:type="paragraph" w:styleId="IntenseQuote">
    <w:name w:val="Intense Quote"/>
    <w:basedOn w:val="Normal"/>
    <w:next w:val="Normal"/>
    <w:link w:val="IntenseQuoteChar"/>
    <w:uiPriority w:val="30"/>
    <w:qFormat/>
    <w:rsid w:val="009632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3246"/>
    <w:rPr>
      <w:i/>
      <w:iCs/>
      <w:color w:val="0F4761" w:themeColor="accent1" w:themeShade="BF"/>
    </w:rPr>
  </w:style>
  <w:style w:type="character" w:styleId="IntenseReference">
    <w:name w:val="Intense Reference"/>
    <w:basedOn w:val="DefaultParagraphFont"/>
    <w:uiPriority w:val="32"/>
    <w:qFormat/>
    <w:rsid w:val="0096324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TotalTime>
  <Pages>4</Pages>
  <Words>1069</Words>
  <Characters>6094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Ramzan Islam (2520332)</dc:creator>
  <cp:keywords/>
  <dc:description/>
  <cp:lastModifiedBy>Ramzan Islam (2520332)</cp:lastModifiedBy>
  <cp:revision>1</cp:revision>
  <dcterms:created xsi:type="dcterms:W3CDTF">2026-07-17T20:08:00Z</dcterms:created>
  <dcterms:modified xsi:type="dcterms:W3CDTF">2026-07-17T20:21:00Z</dcterms:modified>
</cp:coreProperties>
</file>