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9F5C62" w14:textId="77777777" w:rsidR="00652517" w:rsidRDefault="00652517" w:rsidP="00652517">
      <w:pPr>
        <w:jc w:val="center"/>
        <w:rPr>
          <w:rFonts w:ascii="Times New Roman" w:hAnsi="Times New Roman" w:cs="Times New Roman"/>
          <w:sz w:val="40"/>
          <w:szCs w:val="40"/>
        </w:rPr>
      </w:pPr>
      <w:r>
        <w:rPr>
          <w:rFonts w:ascii="Times New Roman" w:hAnsi="Times New Roman" w:cs="Times New Roman"/>
          <w:sz w:val="40"/>
          <w:szCs w:val="40"/>
        </w:rPr>
        <w:t>PAVLINA  BALAZOVA</w:t>
      </w:r>
    </w:p>
    <w:p w14:paraId="7BA7E481" w14:textId="77777777" w:rsidR="00652517" w:rsidRDefault="00652517" w:rsidP="00652517">
      <w:pPr>
        <w:jc w:val="center"/>
        <w:rPr>
          <w:rFonts w:ascii="Times New Roman" w:hAnsi="Times New Roman" w:cs="Times New Roman"/>
          <w:sz w:val="40"/>
          <w:szCs w:val="40"/>
        </w:rPr>
      </w:pPr>
      <w:r>
        <w:rPr>
          <w:rFonts w:ascii="Times New Roman" w:hAnsi="Times New Roman" w:cs="Times New Roman"/>
          <w:sz w:val="40"/>
          <w:szCs w:val="40"/>
        </w:rPr>
        <w:t>Introduction to New Testament</w:t>
      </w:r>
    </w:p>
    <w:p w14:paraId="72F61EF3" w14:textId="179AB1C9" w:rsidR="00652517" w:rsidRDefault="00652517" w:rsidP="00652517">
      <w:pPr>
        <w:rPr>
          <w:rFonts w:ascii="Times New Roman" w:hAnsi="Times New Roman" w:cs="Times New Roman"/>
          <w:sz w:val="40"/>
          <w:szCs w:val="40"/>
        </w:rPr>
      </w:pPr>
      <w:r>
        <w:rPr>
          <w:rFonts w:ascii="Times New Roman" w:hAnsi="Times New Roman" w:cs="Times New Roman"/>
          <w:sz w:val="40"/>
          <w:szCs w:val="40"/>
        </w:rPr>
        <w:t xml:space="preserve">                               </w:t>
      </w:r>
      <w:r w:rsidRPr="0034040D">
        <w:rPr>
          <w:rFonts w:ascii="Times New Roman" w:hAnsi="Times New Roman" w:cs="Times New Roman"/>
          <w:sz w:val="40"/>
          <w:szCs w:val="40"/>
        </w:rPr>
        <w:t xml:space="preserve">Part </w:t>
      </w:r>
      <w:r>
        <w:rPr>
          <w:rFonts w:ascii="Times New Roman" w:hAnsi="Times New Roman" w:cs="Times New Roman"/>
          <w:sz w:val="40"/>
          <w:szCs w:val="40"/>
        </w:rPr>
        <w:t xml:space="preserve">B – Portfolio </w:t>
      </w:r>
    </w:p>
    <w:p w14:paraId="051613C3" w14:textId="77777777" w:rsidR="00652517" w:rsidRDefault="00652517" w:rsidP="00652517">
      <w:pPr>
        <w:jc w:val="center"/>
        <w:rPr>
          <w:rFonts w:ascii="Times New Roman" w:hAnsi="Times New Roman" w:cs="Times New Roman"/>
          <w:sz w:val="40"/>
          <w:szCs w:val="40"/>
        </w:rPr>
      </w:pPr>
      <w:r w:rsidRPr="0034040D">
        <w:rPr>
          <w:rFonts w:ascii="Times New Roman" w:hAnsi="Times New Roman" w:cs="Times New Roman"/>
          <w:sz w:val="40"/>
          <w:szCs w:val="40"/>
        </w:rPr>
        <w:t>Part B: Encyclopedia Article on Parables in the Teaching of Jesus</w:t>
      </w:r>
    </w:p>
    <w:p w14:paraId="3B00DF3B" w14:textId="77777777" w:rsidR="00652517" w:rsidRDefault="00652517" w:rsidP="00652517">
      <w:pPr>
        <w:jc w:val="center"/>
        <w:rPr>
          <w:rFonts w:ascii="Times New Roman" w:hAnsi="Times New Roman" w:cs="Times New Roman"/>
          <w:sz w:val="40"/>
          <w:szCs w:val="40"/>
        </w:rPr>
      </w:pPr>
    </w:p>
    <w:p w14:paraId="0D140E62" w14:textId="77777777" w:rsidR="00652517" w:rsidRDefault="00652517" w:rsidP="00652517">
      <w:pPr>
        <w:rPr>
          <w:rFonts w:ascii="Times New Roman" w:hAnsi="Times New Roman" w:cs="Times New Roman"/>
        </w:rPr>
      </w:pPr>
    </w:p>
    <w:p w14:paraId="2B80A789" w14:textId="03B9E1B2" w:rsidR="00652517" w:rsidRPr="0034040D" w:rsidRDefault="00652517" w:rsidP="00652517">
      <w:pPr>
        <w:rPr>
          <w:rFonts w:ascii="Times New Roman" w:hAnsi="Times New Roman" w:cs="Times New Roman"/>
        </w:rPr>
      </w:pPr>
      <w:r w:rsidRPr="0034040D">
        <w:rPr>
          <w:rFonts w:ascii="Times New Roman" w:hAnsi="Times New Roman" w:cs="Times New Roman"/>
        </w:rPr>
        <w:t>The Parables of the Teachings of Jesus</w:t>
      </w:r>
    </w:p>
    <w:p w14:paraId="01A80917"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Introduction</w:t>
      </w:r>
    </w:p>
    <w:p w14:paraId="2671746D"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Jesus also taught in parables, a central part of his method of teaching, single images to communicate sophisticated truths. In Matthew, Mark, and Luke—known as the Synoptic Gospels—they are illustrative narratives that demonstrate Jesus’ theological wisdom, ethical priorities, and conception of the Kingdom of God. Parables work at several levels, inviting listeners to seek meaning and return with changed lives. This article investigates the nature, purpose, and significance of parables in Jesus’ ministry, including themes, interpretations, and theologically significant ways in which parables continue to shape our lives.</w:t>
      </w:r>
    </w:p>
    <w:p w14:paraId="698C2E7F"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What is a Parable? Definition and Characteristics</w:t>
      </w:r>
    </w:p>
    <w:p w14:paraId="41E0AC9E"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A parable, which comes from the Greek word parabolē (meaning “comparison” or “analogy”), is a brief story or statement that uses familiar imagery to illustrate a moral or spiritual truth. Jesus was not only to use parables; they were common in Jewish teaching traditions and ancient cultures. However, Jesus’ parables are unique in their depth, simplicity, and power to cause reflection and self-examination.</w:t>
      </w:r>
    </w:p>
    <w:p w14:paraId="634B0FE6"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Key Characteristics:</w:t>
      </w:r>
    </w:p>
    <w:p w14:paraId="51ADD6FA"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Ordinary Imagery: Jesus based much of his dialog on the people and practices of his audience, including farming, fishing, shepherding, and household life, so that his teaching was relatable and engaging.</w:t>
      </w:r>
    </w:p>
    <w:p w14:paraId="151D084B"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Brevity: they are often short but contain rich truths to be pondered.</w:t>
      </w:r>
    </w:p>
    <w:p w14:paraId="15D3E610"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Symbols: The actions and elements of parables often hold deeper symbolic meanings that are connected to spiritual truths.</w:t>
      </w:r>
    </w:p>
    <w:p w14:paraId="7D2DABDB"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Open-Endedness: Frequently, the parables do not have explicit resolutions, prompting listeners to wrestle with their ramifications.</w:t>
      </w:r>
    </w:p>
    <w:p w14:paraId="5C26EBAA"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Kingdom of God is the Focus: Most of the parables are centered around the kingdom of God—what it is, how it works, and what it requires of those who are seeking it.</w:t>
      </w:r>
    </w:p>
    <w:p w14:paraId="5C2BC361"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lastRenderedPageBreak/>
        <w:t>Purpose of the Parables</w:t>
      </w:r>
    </w:p>
    <w:p w14:paraId="15F34C4A"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Jesus used parables for a few interrelated reasons; meeting his audience where he is in readiness and receptivity to those parables is as follows:</w:t>
      </w:r>
    </w:p>
    <w:p w14:paraId="31C26383"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To Renounce Lies: Parables reveal truths and expose the lies of our everyday world. Jesus spoke in parables to convey profound theological truths that his audience could comprehend and relate to (Mark 4:11).</w:t>
      </w:r>
    </w:p>
    <w:p w14:paraId="09706E03"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To reveal truths: Parables often conceal truths from those who are unwilling or disbelieving. Jesus said to his disciples, “To you have been given the secret of God’s kingdom’. But for those on the outside, everything is in parables” (Mark 4:11–12). This duality of emphases reflects that parables are both invitations and tests of spiritual discernment.</w:t>
      </w:r>
    </w:p>
    <w:p w14:paraId="39391F44"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Challenge and Provocation: Many parables are better described as poses intended to challenge conventional thinking and expose moral or spiritual shortcomings. For example, the Parable of the Good Samaritan (Luke 10:25–37) challenges prejudices and expands the meaning of neighborly love.</w:t>
      </w:r>
    </w:p>
    <w:p w14:paraId="5F7133B1" w14:textId="77777777" w:rsidR="00652517" w:rsidRPr="0034040D" w:rsidRDefault="00652517" w:rsidP="00652517">
      <w:pPr>
        <w:rPr>
          <w:rFonts w:ascii="Times New Roman" w:hAnsi="Times New Roman" w:cs="Times New Roman"/>
        </w:rPr>
      </w:pPr>
      <w:r w:rsidRPr="0034040D">
        <w:rPr>
          <w:rFonts w:ascii="Segoe UI Symbol" w:hAnsi="Segoe UI Symbol" w:cs="Segoe UI Symbol"/>
        </w:rPr>
        <w:t>✦</w:t>
      </w:r>
      <w:r w:rsidRPr="0034040D">
        <w:rPr>
          <w:rFonts w:ascii="Times New Roman" w:hAnsi="Times New Roman" w:cs="Times New Roman"/>
        </w:rPr>
        <w:t xml:space="preserve"> To Inspire Action: The goal of parables is to motivate responses by encouraging listeners to repent, believe, and obey. The Parable of the Prodigal Son (Luke 15:11–32) highlights the forgiving nature of God’s character and encourages those who have turned away from Him to return.</w:t>
      </w:r>
    </w:p>
    <w:p w14:paraId="14D8EBCA"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To Show the Nature of the Kingdom of God: A recurring theme in Jesus’ parables is the Kingdom of God—its presence, nature, and demands. The parables of the Mustard Seed (Mark 4:30-32) and the Leaven (Matthew 13:33) depict the growth and transformative power of the Kingdom.</w:t>
      </w:r>
    </w:p>
    <w:p w14:paraId="60DA59BB"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Hello, everyone. Welcome to the 40 Days of Message Sharing, where we take a deeper look at each of the weekly messages.</w:t>
      </w:r>
    </w:p>
    <w:p w14:paraId="33B1415D"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Jesus’ parables cover a wide variety of themes that speak to his priorities and mission:</w:t>
      </w:r>
    </w:p>
    <w:p w14:paraId="32254BE0"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Kingdom of God</w:t>
      </w:r>
    </w:p>
    <w:p w14:paraId="5BDCA7F7"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Most parables use metaphors to describe the Kingdom of God as both present and yet to come, understandable in size, inclusive , and challenging in reality:</w:t>
      </w:r>
    </w:p>
    <w:p w14:paraId="3B249588"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Parable of the Sower (Mk 4:1–20) describes the different responses to the Kingdom’s message.</w:t>
      </w:r>
    </w:p>
    <w:p w14:paraId="05896457"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Parable of the Wedding Feast (Matthew 22:1–14) most clearly illustrates both the invitation and the requirement of being ready.</w:t>
      </w:r>
    </w:p>
    <w:p w14:paraId="02DB2098"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Grace and Forgiveness</w:t>
      </w:r>
    </w:p>
    <w:p w14:paraId="2B7E2988"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Parables such as the Prodigal Son (Luke 15:11–32) and the Lost Sheep (Luke 15:4–7) emphasize God’s endless mercy and delight in the repentance of sinners.</w:t>
      </w:r>
    </w:p>
    <w:p w14:paraId="220C16BC"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Judgment and Accountability</w:t>
      </w:r>
    </w:p>
    <w:p w14:paraId="44D0E9FC"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lastRenderedPageBreak/>
        <w:t>Some parables serve as warnings about the consequences of unfaithfulness and the need for vigilant repentance:</w:t>
      </w:r>
    </w:p>
    <w:p w14:paraId="1DAD5186"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Parable of the Ten Virgins (Matthew 25:1–13) stresses the importance of being prepared for Christ’s return.</w:t>
      </w:r>
    </w:p>
    <w:p w14:paraId="1D1D4784"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What Bible stories have shed light on the question of faithful stewards accountable before God? The Parable of the Talents (Matthew 25:14–30) teaches about stewardship and accountability before God.</w:t>
      </w:r>
    </w:p>
    <w:p w14:paraId="074D5186"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Social Justice and Compassion</w:t>
      </w:r>
    </w:p>
    <w:p w14:paraId="3C3D287E"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Many of Jesus’ parables deal with concerns related to justice and compassion and their subversion of common social relations:</w:t>
      </w:r>
    </w:p>
    <w:p w14:paraId="11474710"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Parable of the Rich Man and Lazarus (Luke 16:19–31) warns us not to be indifferent to other people’s suffering.</w:t>
      </w:r>
    </w:p>
    <w:p w14:paraId="767DE9C1"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Good Samaritan (Luke 10:25–37) confronts cultural and religious prejudices.</w:t>
      </w:r>
    </w:p>
    <w:p w14:paraId="577D931D"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Faith and Persistence</w:t>
      </w:r>
    </w:p>
    <w:p w14:paraId="07819F13"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Teachings like the Perpetual Prayer (Luke 18:1–8) and the Tree of Mustard Seed (Matthew 13:31–32) emphasize the need for constant faith and trust in the promises of the Lord.</w:t>
      </w:r>
    </w:p>
    <w:p w14:paraId="12C03FB9"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Examples of Notable Parables</w:t>
      </w:r>
    </w:p>
    <w:p w14:paraId="745948F0"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Sower (the Mark 4:1–20)</w:t>
      </w:r>
    </w:p>
    <w:p w14:paraId="205009E3"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This parable employs agricultural imagery to depict different responses to the message of the Kingdom. The four soils correspond to different states of the heart, encouraging proper reception of seeds sown patiently.</w:t>
      </w:r>
    </w:p>
    <w:p w14:paraId="3998161E"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Read: The Good Samaritan (Luke 10:25–37)</w:t>
      </w:r>
    </w:p>
    <w:p w14:paraId="1A954FC6"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This parable does not merely critique the lawyer’s narrow definition of “neighbor,” it raises the Samaritan—a figure hated by Jews—to the level of a model for compassion and mercy.</w:t>
      </w:r>
    </w:p>
    <w:p w14:paraId="6D220E5B"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story of the Prodigal Son (Luke 15:11–32)</w:t>
      </w:r>
    </w:p>
    <w:p w14:paraId="4E8DB870"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Perhaps one of the most well-known parables, this tale of a prodigal son and his forgiving father illustrates God’s grace and the joy of reconciliation.</w:t>
      </w:r>
    </w:p>
    <w:p w14:paraId="2DE97270"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The Talents (Matt. 25:14–30)</w:t>
      </w:r>
    </w:p>
    <w:p w14:paraId="6FD7ECAE"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This parable teaches a lesson about stewardship and about using what has been given you toward God’s work and the dangers of complacency and fear.</w:t>
      </w:r>
    </w:p>
    <w:p w14:paraId="499FBFAE"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Interpreting Parables</w:t>
      </w:r>
    </w:p>
    <w:p w14:paraId="1089426B"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Note that parable reading is not static. Early Christian interpreters tended to read parables as allegories and saw every detail as having a specific meaning. For example, Augustine interpreted the Good Samaritan as an allegory of salvation, seeing the Samaritan as Christ and the inn as the Church.</w:t>
      </w:r>
    </w:p>
    <w:p w14:paraId="7CC5ABEE"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lastRenderedPageBreak/>
        <w:t>Contemporary scholarship stresses that parables must be understood in their historical and literary contexts. The core tenets of the interpretation are as follows:</w:t>
      </w:r>
    </w:p>
    <w:p w14:paraId="4661B7FB"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Finding the Key Point: Many parables have a main point on which they are based.</w:t>
      </w:r>
    </w:p>
    <w:p w14:paraId="2DDBEF07"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Audience Consideration: Jesus would adjust his parables to the particular concerns or questions of his audience.</w:t>
      </w:r>
    </w:p>
    <w:p w14:paraId="696DA706"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Cultural Backgrounds: Understanding the first-century Jewish context provides another layer of insight into various passages.</w:t>
      </w:r>
    </w:p>
    <w:p w14:paraId="2EAD75F6"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Obstacles to Understanding Parables</w:t>
      </w:r>
    </w:p>
    <w:p w14:paraId="4F931D9B"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Because they are based on simile and analogy, parables are often difficult to interpret, and they are often tied to the specific culture of the time. In addition, because parables are layered in meaning, they require reflection and spiritual discernment. The variety of meanings reflects the depth and complexity of Jesus’ teachings.</w:t>
      </w:r>
    </w:p>
    <w:p w14:paraId="59E3A8D6"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Impact and Legacy</w:t>
      </w:r>
    </w:p>
    <w:p w14:paraId="0DD0F84E"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Jesus’ parables have powerfully informed Christian theology, ethics, and art. They continue to inspire sermons, literature, and visual representations, functioning as archetypal illustrations of God’s truth.</w:t>
      </w:r>
    </w:p>
    <w:p w14:paraId="24D284A8"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In Theology: The use of parables has contributed to Christian theology of grace, judgment, and the Kingdom of God and inspired Christian doctrine and ethics.</w:t>
      </w:r>
    </w:p>
    <w:p w14:paraId="3B37DCF9"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In Literature and Art: The stories of the Prodigal Son and the Good Samaritan have been widely depicted in art, music, and literature and have proved universally appealing.</w:t>
      </w:r>
    </w:p>
    <w:p w14:paraId="69252248"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In Spiritual Formation: The parables are a powerful resource for both personal reflection and communal worship, enabling believers to adjust their lives to the values of God’s Kingdom.</w:t>
      </w:r>
    </w:p>
    <w:p w14:paraId="50A11E97" w14:textId="77777777" w:rsidR="00652517" w:rsidRPr="0034040D" w:rsidRDefault="00652517" w:rsidP="00652517">
      <w:pPr>
        <w:rPr>
          <w:rFonts w:ascii="Times New Roman" w:hAnsi="Times New Roman" w:cs="Times New Roman"/>
        </w:rPr>
      </w:pPr>
      <w:r w:rsidRPr="0034040D">
        <w:rPr>
          <w:rFonts w:ascii="Times New Roman" w:hAnsi="Times New Roman" w:cs="Times New Roman"/>
        </w:rPr>
        <w:t>Conclusion</w:t>
      </w:r>
    </w:p>
    <w:p w14:paraId="501F590D" w14:textId="77777777" w:rsidR="00652517" w:rsidRDefault="00652517" w:rsidP="00652517">
      <w:pPr>
        <w:rPr>
          <w:rFonts w:ascii="Times New Roman" w:hAnsi="Times New Roman" w:cs="Times New Roman"/>
        </w:rPr>
      </w:pPr>
      <w:r w:rsidRPr="0034040D">
        <w:rPr>
          <w:rFonts w:ascii="Times New Roman" w:hAnsi="Times New Roman" w:cs="Times New Roman"/>
        </w:rPr>
        <w:t>Parables are foundational to Jesus’ teachings, simple stories with profound implications that reveal the mysteries of the Kingdom of God. They are relatable and thought-provoking and challenge believers to believe in them and to live a discipleship-oriented life. The power of parables endures because they cut across time and culture and demand that we hear what is spoken from the good news of God’s grace and justice into the hearts of believers, and all they can become in the world.</w:t>
      </w:r>
    </w:p>
    <w:p w14:paraId="1ADEC8A4" w14:textId="77777777" w:rsidR="00652517" w:rsidRDefault="00652517" w:rsidP="00652517">
      <w:pPr>
        <w:rPr>
          <w:rFonts w:ascii="Times New Roman" w:hAnsi="Times New Roman" w:cs="Times New Roman"/>
        </w:rPr>
      </w:pPr>
    </w:p>
    <w:p w14:paraId="2C74EBD0" w14:textId="77777777" w:rsidR="00652517" w:rsidRPr="005A6148" w:rsidRDefault="00652517" w:rsidP="0065251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A6148">
        <w:rPr>
          <w:rFonts w:ascii="Times New Roman" w:eastAsia="Times New Roman" w:hAnsi="Times New Roman" w:cs="Times New Roman"/>
          <w:b/>
          <w:bCs/>
          <w:kern w:val="0"/>
          <w:sz w:val="27"/>
          <w:szCs w:val="27"/>
          <w:lang w:eastAsia="en-GB"/>
          <w14:ligatures w14:val="none"/>
        </w:rPr>
        <w:t>References</w:t>
      </w:r>
    </w:p>
    <w:p w14:paraId="7ABD629D" w14:textId="77777777" w:rsidR="00652517" w:rsidRPr="005A6148" w:rsidRDefault="00652517" w:rsidP="00652517">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5A6148">
        <w:rPr>
          <w:rFonts w:ascii="Times New Roman" w:eastAsia="Times New Roman" w:hAnsi="Times New Roman" w:cs="Times New Roman"/>
          <w:b/>
          <w:bCs/>
          <w:kern w:val="0"/>
          <w:lang w:eastAsia="en-GB"/>
          <w14:ligatures w14:val="none"/>
        </w:rPr>
        <w:t>For Part B (Parables in the Teaching of Jesus)</w:t>
      </w:r>
    </w:p>
    <w:p w14:paraId="4E7D2DD3" w14:textId="77777777" w:rsidR="00652517" w:rsidRPr="005A6148" w:rsidRDefault="00652517" w:rsidP="0065251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6148">
        <w:rPr>
          <w:rFonts w:ascii="Times New Roman" w:eastAsia="Times New Roman" w:hAnsi="Times New Roman" w:cs="Times New Roman"/>
          <w:kern w:val="0"/>
          <w:lang w:eastAsia="en-GB"/>
          <w14:ligatures w14:val="none"/>
        </w:rPr>
        <w:t xml:space="preserve">Blomberg, Craig L. (1990). </w:t>
      </w:r>
      <w:r w:rsidRPr="005A6148">
        <w:rPr>
          <w:rFonts w:ascii="Times New Roman" w:eastAsia="Times New Roman" w:hAnsi="Times New Roman" w:cs="Times New Roman"/>
          <w:i/>
          <w:iCs/>
          <w:kern w:val="0"/>
          <w:lang w:eastAsia="en-GB"/>
          <w14:ligatures w14:val="none"/>
        </w:rPr>
        <w:t>Interpreting the Parables</w:t>
      </w:r>
      <w:r w:rsidRPr="005A6148">
        <w:rPr>
          <w:rFonts w:ascii="Times New Roman" w:eastAsia="Times New Roman" w:hAnsi="Times New Roman" w:cs="Times New Roman"/>
          <w:kern w:val="0"/>
          <w:lang w:eastAsia="en-GB"/>
          <w14:ligatures w14:val="none"/>
        </w:rPr>
        <w:t>. IVP Academic.</w:t>
      </w:r>
    </w:p>
    <w:p w14:paraId="3353DD2E" w14:textId="77777777" w:rsidR="00652517" w:rsidRPr="005A6148" w:rsidRDefault="00652517" w:rsidP="0065251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6148">
        <w:rPr>
          <w:rFonts w:ascii="Times New Roman" w:eastAsia="Times New Roman" w:hAnsi="Times New Roman" w:cs="Times New Roman"/>
          <w:kern w:val="0"/>
          <w:lang w:eastAsia="en-GB"/>
          <w14:ligatures w14:val="none"/>
        </w:rPr>
        <w:t xml:space="preserve">Hultgren, Arland J. (2000). </w:t>
      </w:r>
      <w:r w:rsidRPr="005A6148">
        <w:rPr>
          <w:rFonts w:ascii="Times New Roman" w:eastAsia="Times New Roman" w:hAnsi="Times New Roman" w:cs="Times New Roman"/>
          <w:i/>
          <w:iCs/>
          <w:kern w:val="0"/>
          <w:lang w:eastAsia="en-GB"/>
          <w14:ligatures w14:val="none"/>
        </w:rPr>
        <w:t>The Parables of Jesus: A Commentary</w:t>
      </w:r>
      <w:r w:rsidRPr="005A6148">
        <w:rPr>
          <w:rFonts w:ascii="Times New Roman" w:eastAsia="Times New Roman" w:hAnsi="Times New Roman" w:cs="Times New Roman"/>
          <w:kern w:val="0"/>
          <w:lang w:eastAsia="en-GB"/>
          <w14:ligatures w14:val="none"/>
        </w:rPr>
        <w:t>. Eerdmans.</w:t>
      </w:r>
    </w:p>
    <w:p w14:paraId="33590C46" w14:textId="77777777" w:rsidR="00652517" w:rsidRDefault="00652517" w:rsidP="0065251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6148">
        <w:rPr>
          <w:rFonts w:ascii="Times New Roman" w:eastAsia="Times New Roman" w:hAnsi="Times New Roman" w:cs="Times New Roman"/>
          <w:kern w:val="0"/>
          <w:lang w:eastAsia="en-GB"/>
          <w14:ligatures w14:val="none"/>
        </w:rPr>
        <w:t xml:space="preserve">Snodgrass, Klyne R. (2008). </w:t>
      </w:r>
      <w:r w:rsidRPr="005A6148">
        <w:rPr>
          <w:rFonts w:ascii="Times New Roman" w:eastAsia="Times New Roman" w:hAnsi="Times New Roman" w:cs="Times New Roman"/>
          <w:i/>
          <w:iCs/>
          <w:kern w:val="0"/>
          <w:lang w:eastAsia="en-GB"/>
          <w14:ligatures w14:val="none"/>
        </w:rPr>
        <w:t>Stories with Intent: A Comprehensive Guide to the Parables of Jesus</w:t>
      </w:r>
      <w:r w:rsidRPr="005A6148">
        <w:rPr>
          <w:rFonts w:ascii="Times New Roman" w:eastAsia="Times New Roman" w:hAnsi="Times New Roman" w:cs="Times New Roman"/>
          <w:kern w:val="0"/>
          <w:lang w:eastAsia="en-GB"/>
          <w14:ligatures w14:val="none"/>
        </w:rPr>
        <w:t>. Eerdmans.</w:t>
      </w:r>
    </w:p>
    <w:p w14:paraId="7A3895BE" w14:textId="77777777" w:rsidR="00652517" w:rsidRDefault="00652517" w:rsidP="0065251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6148">
        <w:rPr>
          <w:rFonts w:ascii="Times New Roman" w:eastAsia="Times New Roman" w:hAnsi="Times New Roman" w:cs="Times New Roman"/>
          <w:kern w:val="0"/>
          <w:lang w:eastAsia="en-GB"/>
          <w14:ligatures w14:val="none"/>
        </w:rPr>
        <w:lastRenderedPageBreak/>
        <w:t xml:space="preserve">Young, Brad H. (1998). </w:t>
      </w:r>
      <w:r w:rsidRPr="005A6148">
        <w:rPr>
          <w:rFonts w:ascii="Times New Roman" w:eastAsia="Times New Roman" w:hAnsi="Times New Roman" w:cs="Times New Roman"/>
          <w:i/>
          <w:iCs/>
          <w:kern w:val="0"/>
          <w:lang w:eastAsia="en-GB"/>
          <w14:ligatures w14:val="none"/>
        </w:rPr>
        <w:t>The Parables: Jewish Tradition and Christian Interpretation</w:t>
      </w:r>
      <w:r w:rsidRPr="005A6148">
        <w:rPr>
          <w:rFonts w:ascii="Times New Roman" w:eastAsia="Times New Roman" w:hAnsi="Times New Roman" w:cs="Times New Roman"/>
          <w:kern w:val="0"/>
          <w:lang w:eastAsia="en-GB"/>
          <w14:ligatures w14:val="none"/>
        </w:rPr>
        <w:t>. Hendrickson Publishers.</w:t>
      </w:r>
    </w:p>
    <w:p w14:paraId="4D0CA2DC" w14:textId="77777777" w:rsidR="00652517" w:rsidRPr="0034040D" w:rsidRDefault="00652517" w:rsidP="00652517">
      <w:pPr>
        <w:rPr>
          <w:rFonts w:ascii="Times New Roman" w:hAnsi="Times New Roman" w:cs="Times New Roman"/>
        </w:rPr>
      </w:pPr>
    </w:p>
    <w:p w14:paraId="1D2371E0" w14:textId="77777777" w:rsidR="00132217" w:rsidRDefault="00132217" w:rsidP="00652517">
      <w:pPr>
        <w:jc w:val="center"/>
      </w:pPr>
    </w:p>
    <w:sectPr w:rsidR="001322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B8761C" w14:textId="77777777" w:rsidR="00E6575A" w:rsidRDefault="00E6575A" w:rsidP="00E6575A">
      <w:pPr>
        <w:spacing w:after="0" w:line="240" w:lineRule="auto"/>
      </w:pPr>
      <w:r>
        <w:separator/>
      </w:r>
    </w:p>
  </w:endnote>
  <w:endnote w:type="continuationSeparator" w:id="0">
    <w:p w14:paraId="26EBF790" w14:textId="77777777" w:rsidR="00E6575A" w:rsidRDefault="00E6575A" w:rsidP="00E65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E3415D" w14:textId="77777777" w:rsidR="00E6575A" w:rsidRDefault="00E6575A" w:rsidP="00E6575A">
      <w:pPr>
        <w:spacing w:after="0" w:line="240" w:lineRule="auto"/>
      </w:pPr>
      <w:r>
        <w:separator/>
      </w:r>
    </w:p>
  </w:footnote>
  <w:footnote w:type="continuationSeparator" w:id="0">
    <w:p w14:paraId="7E7708D0" w14:textId="77777777" w:rsidR="00E6575A" w:rsidRDefault="00E6575A" w:rsidP="00E65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6E3D13"/>
    <w:multiLevelType w:val="multilevel"/>
    <w:tmpl w:val="8F96D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678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removePersonalInformation/>
  <w:removeDateAndTime/>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517"/>
    <w:rsid w:val="00132217"/>
    <w:rsid w:val="00652517"/>
    <w:rsid w:val="00870E14"/>
    <w:rsid w:val="0094161C"/>
    <w:rsid w:val="00E11744"/>
    <w:rsid w:val="00E6575A"/>
    <w:rsid w:val="00EE7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A8C4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652517"/>
  </w:style>
  <w:style w:type="paragraph" w:styleId="Nadpis1">
    <w:name w:val="heading 1"/>
    <w:basedOn w:val="Normln"/>
    <w:next w:val="Normln"/>
    <w:link w:val="Nadpis1Char"/>
    <w:uiPriority w:val="9"/>
    <w:qFormat/>
    <w:rsid w:val="006525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6525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652517"/>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652517"/>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652517"/>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652517"/>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652517"/>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652517"/>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652517"/>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652517"/>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652517"/>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652517"/>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652517"/>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652517"/>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652517"/>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652517"/>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652517"/>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652517"/>
    <w:rPr>
      <w:rFonts w:eastAsiaTheme="majorEastAsia" w:cstheme="majorBidi"/>
      <w:color w:val="272727" w:themeColor="text1" w:themeTint="D8"/>
    </w:rPr>
  </w:style>
  <w:style w:type="paragraph" w:styleId="Nzev">
    <w:name w:val="Title"/>
    <w:basedOn w:val="Normln"/>
    <w:next w:val="Normln"/>
    <w:link w:val="NzevChar"/>
    <w:uiPriority w:val="10"/>
    <w:qFormat/>
    <w:rsid w:val="00652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652517"/>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652517"/>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652517"/>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652517"/>
    <w:pPr>
      <w:spacing w:before="160"/>
      <w:jc w:val="center"/>
    </w:pPr>
    <w:rPr>
      <w:i/>
      <w:iCs/>
      <w:color w:val="404040" w:themeColor="text1" w:themeTint="BF"/>
    </w:rPr>
  </w:style>
  <w:style w:type="character" w:customStyle="1" w:styleId="CittChar">
    <w:name w:val="Citát Char"/>
    <w:basedOn w:val="Standardnpsmoodstavce"/>
    <w:link w:val="Citt"/>
    <w:uiPriority w:val="29"/>
    <w:rsid w:val="00652517"/>
    <w:rPr>
      <w:i/>
      <w:iCs/>
      <w:color w:val="404040" w:themeColor="text1" w:themeTint="BF"/>
    </w:rPr>
  </w:style>
  <w:style w:type="paragraph" w:styleId="Odstavecseseznamem">
    <w:name w:val="List Paragraph"/>
    <w:basedOn w:val="Normln"/>
    <w:uiPriority w:val="34"/>
    <w:qFormat/>
    <w:rsid w:val="00652517"/>
    <w:pPr>
      <w:ind w:left="720"/>
      <w:contextualSpacing/>
    </w:pPr>
  </w:style>
  <w:style w:type="character" w:styleId="Zdraznnintenzivn">
    <w:name w:val="Intense Emphasis"/>
    <w:basedOn w:val="Standardnpsmoodstavce"/>
    <w:uiPriority w:val="21"/>
    <w:qFormat/>
    <w:rsid w:val="00652517"/>
    <w:rPr>
      <w:i/>
      <w:iCs/>
      <w:color w:val="0F4761" w:themeColor="accent1" w:themeShade="BF"/>
    </w:rPr>
  </w:style>
  <w:style w:type="paragraph" w:styleId="Vrazncitt">
    <w:name w:val="Intense Quote"/>
    <w:basedOn w:val="Normln"/>
    <w:next w:val="Normln"/>
    <w:link w:val="VrazncittChar"/>
    <w:uiPriority w:val="30"/>
    <w:qFormat/>
    <w:rsid w:val="00652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652517"/>
    <w:rPr>
      <w:i/>
      <w:iCs/>
      <w:color w:val="0F4761" w:themeColor="accent1" w:themeShade="BF"/>
    </w:rPr>
  </w:style>
  <w:style w:type="character" w:styleId="Odkazintenzivn">
    <w:name w:val="Intense Reference"/>
    <w:basedOn w:val="Standardnpsmoodstavce"/>
    <w:uiPriority w:val="32"/>
    <w:qFormat/>
    <w:rsid w:val="00652517"/>
    <w:rPr>
      <w:b/>
      <w:bCs/>
      <w:smallCaps/>
      <w:color w:val="0F4761" w:themeColor="accent1" w:themeShade="BF"/>
      <w:spacing w:val="5"/>
    </w:rPr>
  </w:style>
  <w:style w:type="paragraph" w:styleId="Zhlav">
    <w:name w:val="header"/>
    <w:basedOn w:val="Normln"/>
    <w:link w:val="ZhlavChar"/>
    <w:uiPriority w:val="99"/>
    <w:unhideWhenUsed/>
    <w:rsid w:val="00E6575A"/>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E6575A"/>
  </w:style>
  <w:style w:type="paragraph" w:styleId="Zpat">
    <w:name w:val="footer"/>
    <w:basedOn w:val="Normln"/>
    <w:link w:val="ZpatChar"/>
    <w:uiPriority w:val="99"/>
    <w:unhideWhenUsed/>
    <w:rsid w:val="00E6575A"/>
    <w:pPr>
      <w:tabs>
        <w:tab w:val="center" w:pos="4513"/>
        <w:tab w:val="right" w:pos="9026"/>
      </w:tabs>
      <w:spacing w:after="0" w:line="240" w:lineRule="auto"/>
    </w:pPr>
  </w:style>
  <w:style w:type="character" w:customStyle="1" w:styleId="ZpatChar">
    <w:name w:val="Zápatí Char"/>
    <w:basedOn w:val="Standardnpsmoodstavce"/>
    <w:link w:val="Zpat"/>
    <w:uiPriority w:val="99"/>
    <w:rsid w:val="00E657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1318</Words>
  <Characters>7780</Characters>
  <Application>Microsoft Office Word</Application>
  <DocSecurity>0</DocSecurity>
  <Lines>64</Lines>
  <Paragraphs>18</Paragraphs>
  <ScaleCrop>false</ScaleCrop>
  <Company/>
  <LinksUpToDate>false</LinksUpToDate>
  <CharactersWithSpaces>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2024-12-07T13:39:00Z</dcterms:created>
  <dcterms:modified xsi:type="dcterms:W3CDTF">2024-12-07T13:39:00Z</dcterms:modified>
</cp:coreProperties>
</file>