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09C012" w14:textId="77777777" w:rsidR="004E26C8" w:rsidRPr="004E26C8" w:rsidRDefault="004E26C8" w:rsidP="004E26C8">
      <w:pPr>
        <w:spacing w:line="360" w:lineRule="auto"/>
        <w:jc w:val="center"/>
        <w:rPr>
          <w:rFonts w:ascii="Arial" w:eastAsiaTheme="minorHAnsi" w:hAnsi="Arial" w:cs="Arial"/>
          <w:b/>
        </w:rPr>
      </w:pPr>
    </w:p>
    <w:p w14:paraId="0184E631" w14:textId="627FA749" w:rsidR="006E03B6" w:rsidRDefault="004E26C8" w:rsidP="004E26C8">
      <w:pPr>
        <w:spacing w:line="360" w:lineRule="auto"/>
        <w:jc w:val="center"/>
        <w:rPr>
          <w:rFonts w:ascii="Arial" w:hAnsi="Arial" w:cs="Arial"/>
          <w:bCs/>
        </w:rPr>
      </w:pPr>
      <w:r w:rsidRPr="004E26C8">
        <w:rPr>
          <w:rFonts w:ascii="Arial" w:hAnsi="Arial" w:cs="Arial"/>
          <w:bCs/>
        </w:rPr>
        <w:t>BM</w:t>
      </w:r>
      <w:r w:rsidRPr="004E26C8">
        <w:rPr>
          <w:rFonts w:ascii="Arial" w:hAnsi="Arial" w:cs="Arial"/>
          <w:bCs/>
        </w:rPr>
        <w:t>HP</w:t>
      </w:r>
      <w:r w:rsidRPr="004E26C8">
        <w:rPr>
          <w:rFonts w:ascii="Arial" w:hAnsi="Arial" w:cs="Arial"/>
          <w:bCs/>
        </w:rPr>
        <w:t>5</w:t>
      </w:r>
      <w:r w:rsidRPr="004E26C8">
        <w:rPr>
          <w:rFonts w:ascii="Arial" w:hAnsi="Arial" w:cs="Arial"/>
          <w:bCs/>
        </w:rPr>
        <w:t>004</w:t>
      </w:r>
      <w:r w:rsidRPr="004E26C8">
        <w:rPr>
          <w:rFonts w:ascii="Arial" w:hAnsi="Arial" w:cs="Arial"/>
          <w:bCs/>
        </w:rPr>
        <w:t>_BIRM (</w:t>
      </w:r>
      <w:r w:rsidRPr="004E26C8">
        <w:rPr>
          <w:rFonts w:ascii="Arial" w:hAnsi="Arial" w:cs="Arial"/>
          <w:bCs/>
        </w:rPr>
        <w:t xml:space="preserve">Task </w:t>
      </w:r>
      <w:r w:rsidRPr="004E26C8">
        <w:rPr>
          <w:rFonts w:ascii="Arial" w:hAnsi="Arial" w:cs="Arial"/>
          <w:bCs/>
        </w:rPr>
        <w:t>2)</w:t>
      </w:r>
      <w:r w:rsidRPr="004E26C8">
        <w:rPr>
          <w:rFonts w:ascii="Arial" w:hAnsi="Arial" w:cs="Arial"/>
          <w:bCs/>
        </w:rPr>
        <w:t xml:space="preserve"> </w:t>
      </w:r>
    </w:p>
    <w:p w14:paraId="381A451C" w14:textId="11443A7F" w:rsidR="004E26C8" w:rsidRPr="004E26C8" w:rsidRDefault="004E26C8" w:rsidP="004E26C8">
      <w:pPr>
        <w:spacing w:line="360" w:lineRule="auto"/>
        <w:jc w:val="center"/>
        <w:rPr>
          <w:rFonts w:ascii="Arial" w:hAnsi="Arial" w:cs="Arial"/>
          <w:bCs/>
        </w:rPr>
      </w:pPr>
      <w:r w:rsidRPr="004E26C8">
        <w:rPr>
          <w:rFonts w:ascii="Arial" w:hAnsi="Arial" w:cs="Arial"/>
          <w:bCs/>
        </w:rPr>
        <w:t>Individual Supporting Paper</w:t>
      </w:r>
    </w:p>
    <w:p w14:paraId="62DA2374" w14:textId="7DC4BAE5" w:rsidR="004E26C8" w:rsidRPr="004E26C8" w:rsidRDefault="004E26C8" w:rsidP="004E26C8">
      <w:pPr>
        <w:spacing w:line="360" w:lineRule="auto"/>
        <w:jc w:val="center"/>
        <w:rPr>
          <w:rFonts w:ascii="Arial" w:hAnsi="Arial" w:cs="Arial"/>
          <w:bCs/>
        </w:rPr>
      </w:pPr>
      <w:r w:rsidRPr="004E26C8">
        <w:rPr>
          <w:rFonts w:ascii="Arial" w:hAnsi="Arial" w:cs="Arial"/>
          <w:bCs/>
        </w:rPr>
        <w:t>Children, Young People and Families</w:t>
      </w:r>
    </w:p>
    <w:p w14:paraId="3A651DD4" w14:textId="77777777" w:rsidR="004E26C8" w:rsidRPr="004E26C8" w:rsidRDefault="004E26C8" w:rsidP="004E26C8">
      <w:pPr>
        <w:spacing w:line="360" w:lineRule="auto"/>
        <w:jc w:val="center"/>
        <w:rPr>
          <w:rFonts w:ascii="Arial" w:hAnsi="Arial" w:cs="Arial"/>
          <w:bCs/>
        </w:rPr>
      </w:pPr>
      <w:r w:rsidRPr="004E26C8">
        <w:rPr>
          <w:rFonts w:ascii="Arial" w:hAnsi="Arial" w:cs="Arial"/>
          <w:bCs/>
        </w:rPr>
        <w:t>Submitted by:- Fozeea Jabeen</w:t>
      </w:r>
    </w:p>
    <w:p w14:paraId="54361619" w14:textId="77777777" w:rsidR="004E26C8" w:rsidRPr="004E26C8" w:rsidRDefault="004E26C8" w:rsidP="004E26C8">
      <w:pPr>
        <w:spacing w:line="360" w:lineRule="auto"/>
        <w:jc w:val="center"/>
        <w:rPr>
          <w:rFonts w:ascii="Arial" w:hAnsi="Arial" w:cs="Arial"/>
          <w:bCs/>
          <w:lang w:val="en-US"/>
        </w:rPr>
      </w:pPr>
      <w:r w:rsidRPr="004E26C8">
        <w:rPr>
          <w:rFonts w:ascii="Arial" w:hAnsi="Arial" w:cs="Arial"/>
          <w:bCs/>
        </w:rPr>
        <w:t>1914129</w:t>
      </w:r>
    </w:p>
    <w:p w14:paraId="4AD87155" w14:textId="77777777" w:rsidR="00525EBA" w:rsidRPr="004E26C8" w:rsidRDefault="00525EBA" w:rsidP="004E26C8">
      <w:pPr>
        <w:spacing w:after="0" w:line="360" w:lineRule="auto"/>
        <w:rPr>
          <w:rFonts w:ascii="Arial" w:eastAsia="Arial" w:hAnsi="Arial" w:cs="Arial"/>
        </w:rPr>
      </w:pPr>
    </w:p>
    <w:p w14:paraId="6C8096C1" w14:textId="77777777" w:rsidR="00525EBA" w:rsidRPr="004E26C8" w:rsidRDefault="00525EBA" w:rsidP="004E26C8">
      <w:pPr>
        <w:spacing w:after="160" w:line="360" w:lineRule="auto"/>
        <w:jc w:val="both"/>
        <w:rPr>
          <w:rFonts w:ascii="Arial" w:eastAsia="Arial" w:hAnsi="Arial" w:cs="Arial"/>
        </w:rPr>
      </w:pPr>
      <w:r w:rsidRPr="004E26C8">
        <w:rPr>
          <w:rFonts w:ascii="Arial" w:eastAsia="Arial" w:hAnsi="Arial" w:cs="Arial"/>
          <w:color w:val="000000"/>
        </w:rPr>
        <w:t>The case presented was multi factorial in terms of meeting the criteria’s/ and or threshold to be considered vulnerable. Therefore, this case required special attention from relevant authorities and services. It was evident that there were two different age groups that were both deemed vulnerable, the children and the mother. The involvement of police school liaison workers, Youth in Need forensic team family therapists and anti-social behaviour workers demonstrates this child’s need for reformation as they have fallen into a category of crime. The behaviour not only affects the child himself but has the possibility of enhancing the mother’s depression and anxiety thus overall creating a negative environment.</w:t>
      </w:r>
    </w:p>
    <w:p w14:paraId="38666155" w14:textId="77777777" w:rsidR="00525EBA" w:rsidRPr="004E26C8" w:rsidRDefault="00525EBA" w:rsidP="004E26C8">
      <w:pPr>
        <w:spacing w:after="160" w:line="360" w:lineRule="auto"/>
        <w:jc w:val="both"/>
        <w:rPr>
          <w:rFonts w:ascii="Arial" w:eastAsia="Arial" w:hAnsi="Arial" w:cs="Arial"/>
        </w:rPr>
      </w:pPr>
      <w:r w:rsidRPr="004E26C8">
        <w:rPr>
          <w:rFonts w:ascii="Arial" w:eastAsia="Arial" w:hAnsi="Arial" w:cs="Arial"/>
          <w:color w:val="000000"/>
        </w:rPr>
        <w:t>The mother has shown issues such as anxiety and depression which has further affected her quality of life by inhibiting her from a normal social life. The issue have led her to avoid taking her daughter to nursery whilst simultaneously it is deemed that the stress of her house repairs and son’s behaviour problems have further debilitated her. The case shows the mother is also unemployed consequently further reinforcing the fact that she is vulnerable and isolated. There is considerable evidence of vulnerability presented. Some access criteria for the project selection specifically met were the following; for the adult; there were parenting problems, mental health issues and for the child; welfare/protection/neglect issues, poor school attendance/exclusion issues, offending behaviour and significant control issues.</w:t>
      </w:r>
    </w:p>
    <w:p w14:paraId="7DCDDEF8" w14:textId="77777777" w:rsidR="00525EBA" w:rsidRPr="004E26C8" w:rsidRDefault="00525EBA" w:rsidP="004E26C8">
      <w:pPr>
        <w:spacing w:after="160" w:line="360" w:lineRule="auto"/>
        <w:jc w:val="both"/>
        <w:rPr>
          <w:rFonts w:ascii="Arial" w:eastAsia="Arial" w:hAnsi="Arial" w:cs="Arial"/>
        </w:rPr>
      </w:pPr>
      <w:r w:rsidRPr="004E26C8">
        <w:rPr>
          <w:rFonts w:ascii="Arial" w:eastAsia="Arial" w:hAnsi="Arial" w:cs="Arial"/>
          <w:color w:val="000000"/>
        </w:rPr>
        <w:t xml:space="preserve">Parents with mental health problems may require a more help to combat these issues as there is a challenge in providing optimal conditions to raise children safely. A study has shown that vulnerable parents who are specifically isolated such as the mother in this case may have issues with raising children who are emotionally healthy </w:t>
      </w:r>
      <w:r w:rsidRPr="004E26C8">
        <w:rPr>
          <w:rFonts w:ascii="Arial" w:eastAsia="Arial" w:hAnsi="Arial" w:cs="Arial"/>
          <w:color w:val="000000"/>
          <w:highlight w:val="white"/>
        </w:rPr>
        <w:t>(Opie, Zheng, Torres and Campbell, 2021)</w:t>
      </w:r>
      <w:r w:rsidRPr="004E26C8">
        <w:rPr>
          <w:rFonts w:ascii="Arial" w:eastAsia="Arial" w:hAnsi="Arial" w:cs="Arial"/>
          <w:color w:val="030202"/>
        </w:rPr>
        <w:t>.</w:t>
      </w:r>
      <w:r w:rsidRPr="004E26C8">
        <w:rPr>
          <w:rFonts w:ascii="Arial" w:eastAsia="Arial" w:hAnsi="Arial" w:cs="Arial"/>
          <w:color w:val="000000"/>
        </w:rPr>
        <w:t xml:space="preserve">. These parents have difficulty in regulating their emotions and may have challenges such as supporting the children’s emotional or physical needs. This is exhibited somewhat by the mother’s fear of social interaction which may be overshadowing her little daughter’s needs such as not attending nurseries. Daily routines of housework, taking children to appointments, mealtimes etc may be severely impacted (Cleaver, </w:t>
      </w:r>
      <w:proofErr w:type="spellStart"/>
      <w:r w:rsidRPr="004E26C8">
        <w:rPr>
          <w:rFonts w:ascii="Arial" w:eastAsia="Arial" w:hAnsi="Arial" w:cs="Arial"/>
          <w:color w:val="000000"/>
        </w:rPr>
        <w:t>Unell</w:t>
      </w:r>
      <w:proofErr w:type="spellEnd"/>
      <w:r w:rsidRPr="004E26C8">
        <w:rPr>
          <w:rFonts w:ascii="Arial" w:eastAsia="Arial" w:hAnsi="Arial" w:cs="Arial"/>
          <w:color w:val="000000"/>
        </w:rPr>
        <w:t xml:space="preserve"> and Aldgate, 2011). However it is </w:t>
      </w:r>
      <w:r w:rsidRPr="004E26C8">
        <w:rPr>
          <w:rFonts w:ascii="Arial" w:eastAsia="Arial" w:hAnsi="Arial" w:cs="Arial"/>
          <w:color w:val="000000"/>
        </w:rPr>
        <w:lastRenderedPageBreak/>
        <w:t>also important to work simultaneously with adult and child in order to have more efficiency to combat challenges. (</w:t>
      </w:r>
      <w:proofErr w:type="spellStart"/>
      <w:r w:rsidRPr="004E26C8">
        <w:rPr>
          <w:rFonts w:ascii="Arial" w:eastAsia="Arial" w:hAnsi="Arial" w:cs="Arial"/>
          <w:color w:val="000000"/>
        </w:rPr>
        <w:t>hallet</w:t>
      </w:r>
      <w:proofErr w:type="spellEnd"/>
      <w:r w:rsidRPr="004E26C8">
        <w:rPr>
          <w:rFonts w:ascii="Arial" w:eastAsia="Arial" w:hAnsi="Arial" w:cs="Arial"/>
          <w:color w:val="000000"/>
        </w:rPr>
        <w:t xml:space="preserve"> and </w:t>
      </w:r>
      <w:proofErr w:type="spellStart"/>
      <w:r w:rsidRPr="004E26C8">
        <w:rPr>
          <w:rFonts w:ascii="Arial" w:eastAsia="Arial" w:hAnsi="Arial" w:cs="Arial"/>
          <w:color w:val="000000"/>
        </w:rPr>
        <w:t>birchall</w:t>
      </w:r>
      <w:proofErr w:type="spellEnd"/>
      <w:r w:rsidRPr="004E26C8">
        <w:rPr>
          <w:rFonts w:ascii="Arial" w:eastAsia="Arial" w:hAnsi="Arial" w:cs="Arial"/>
          <w:color w:val="000000"/>
        </w:rPr>
        <w:t>, 1995).</w:t>
      </w:r>
    </w:p>
    <w:p w14:paraId="519B8203" w14:textId="77777777" w:rsidR="00525EBA" w:rsidRPr="004E26C8" w:rsidRDefault="00525EBA" w:rsidP="004E26C8">
      <w:pPr>
        <w:spacing w:after="160" w:line="360" w:lineRule="auto"/>
        <w:jc w:val="both"/>
        <w:rPr>
          <w:rFonts w:ascii="Arial" w:eastAsia="Arial" w:hAnsi="Arial" w:cs="Arial"/>
        </w:rPr>
      </w:pPr>
      <w:r w:rsidRPr="004E26C8">
        <w:rPr>
          <w:rFonts w:ascii="Arial" w:eastAsia="Arial" w:hAnsi="Arial" w:cs="Arial"/>
          <w:color w:val="000000"/>
        </w:rPr>
        <w:t>There needs to be an assessment we aren’t sure when these problems for the mother began. If this was supposedly in the first year after her pregnancy it may impact her child's emotional, social, intellectual and psychological development. (</w:t>
      </w:r>
      <w:proofErr w:type="spellStart"/>
      <w:r w:rsidRPr="004E26C8">
        <w:rPr>
          <w:rFonts w:ascii="Arial" w:eastAsia="Arial" w:hAnsi="Arial" w:cs="Arial"/>
          <w:color w:val="000000"/>
        </w:rPr>
        <w:t>Gajos</w:t>
      </w:r>
      <w:proofErr w:type="spellEnd"/>
      <w:r w:rsidRPr="004E26C8">
        <w:rPr>
          <w:rFonts w:ascii="Arial" w:eastAsia="Arial" w:hAnsi="Arial" w:cs="Arial"/>
          <w:color w:val="000000"/>
        </w:rPr>
        <w:t xml:space="preserve"> and Beaver, 2017; Hogg, 2013).</w:t>
      </w:r>
    </w:p>
    <w:p w14:paraId="6B2AA49A" w14:textId="52CE3CD4" w:rsidR="00525EBA" w:rsidRPr="004E26C8" w:rsidRDefault="00525EBA" w:rsidP="004E26C8">
      <w:pPr>
        <w:spacing w:after="160" w:line="360" w:lineRule="auto"/>
        <w:jc w:val="both"/>
        <w:rPr>
          <w:rFonts w:ascii="Arial" w:eastAsia="Arial" w:hAnsi="Arial" w:cs="Arial"/>
        </w:rPr>
      </w:pPr>
      <w:r w:rsidRPr="004E26C8">
        <w:rPr>
          <w:rFonts w:ascii="Arial" w:eastAsia="Arial" w:hAnsi="Arial" w:cs="Arial"/>
          <w:color w:val="000000"/>
        </w:rPr>
        <w:t xml:space="preserve">Having poor accommodation could also be a contribution to the risk of children developing mental or physical health issues which could be the rationale behind the decline in quality of life and inhibiting education achievements etc. </w:t>
      </w:r>
      <w:r w:rsidRPr="004E26C8">
        <w:rPr>
          <w:rFonts w:ascii="Arial" w:eastAsia="Arial" w:hAnsi="Arial" w:cs="Arial"/>
          <w:color w:val="000000"/>
          <w:highlight w:val="white"/>
        </w:rPr>
        <w:t>(How are children affected by poor housing?, 2021)</w:t>
      </w:r>
    </w:p>
    <w:p w14:paraId="5DF987C7" w14:textId="77777777" w:rsidR="00525EBA" w:rsidRPr="004E26C8" w:rsidRDefault="00525EBA" w:rsidP="004E26C8">
      <w:pPr>
        <w:spacing w:after="160" w:line="360" w:lineRule="auto"/>
        <w:jc w:val="both"/>
        <w:rPr>
          <w:rFonts w:ascii="Arial" w:eastAsia="Arial" w:hAnsi="Arial" w:cs="Arial"/>
        </w:rPr>
      </w:pPr>
      <w:r w:rsidRPr="004E26C8">
        <w:rPr>
          <w:rFonts w:ascii="Arial" w:eastAsia="Arial" w:hAnsi="Arial" w:cs="Arial"/>
          <w:color w:val="000000"/>
        </w:rPr>
        <w:t>The young child is already at risk due to previous history with crime. The involvement of multiple disciplinary teams demonstrates the severity of the issue. If a young child is already involved in the criminal pathway there is an increased likelihood that it would continue into adulthood and perhaps even bigger crimes thus these incidents act as precursors to the young man’s future capabilities being damaged due criminal activities. </w:t>
      </w:r>
    </w:p>
    <w:p w14:paraId="0B87CFD1" w14:textId="77777777" w:rsidR="00525EBA" w:rsidRPr="004E26C8" w:rsidRDefault="00525EBA" w:rsidP="004E26C8">
      <w:pPr>
        <w:pBdr>
          <w:top w:val="nil"/>
          <w:left w:val="nil"/>
          <w:bottom w:val="nil"/>
          <w:right w:val="nil"/>
          <w:between w:val="nil"/>
        </w:pBdr>
        <w:spacing w:after="0" w:line="360" w:lineRule="auto"/>
        <w:rPr>
          <w:rFonts w:ascii="Arial" w:eastAsia="Arial" w:hAnsi="Arial" w:cs="Arial"/>
          <w:color w:val="000000"/>
        </w:rPr>
      </w:pPr>
      <w:r w:rsidRPr="004E26C8">
        <w:rPr>
          <w:rFonts w:ascii="Arial" w:eastAsia="Arial" w:hAnsi="Arial" w:cs="Arial"/>
          <w:color w:val="000000"/>
        </w:rPr>
        <w:t xml:space="preserve">The specific moment the authorities and social care would’ve been alerted to severity of the circumstances would clearly be when the young man was associated with criminal activities and the police were involved. An individual would only be associated with a youth offending team for following reasons such as: young person gets arrested or involved with the court due to crime committed, convicted of crime and given sentence </w:t>
      </w:r>
      <w:r w:rsidRPr="004E26C8">
        <w:rPr>
          <w:rFonts w:ascii="Arial" w:eastAsia="Arial" w:hAnsi="Arial" w:cs="Arial"/>
          <w:color w:val="000000"/>
          <w:highlight w:val="white"/>
        </w:rPr>
        <w:t>(Youth First, 2021)</w:t>
      </w:r>
      <w:r w:rsidRPr="004E26C8">
        <w:rPr>
          <w:rFonts w:ascii="Arial" w:eastAsia="Arial" w:hAnsi="Arial" w:cs="Arial"/>
          <w:color w:val="000000"/>
        </w:rPr>
        <w:t xml:space="preserve"> Thus, early interventions in these cases are critical in order to prevent this pattern from being established in the child’s life</w:t>
      </w:r>
      <w:r w:rsidRPr="004E26C8">
        <w:rPr>
          <w:rFonts w:ascii="Arial" w:eastAsia="Arial" w:hAnsi="Arial" w:cs="Arial"/>
          <w:color w:val="0B0C0C"/>
        </w:rPr>
        <w:t xml:space="preserve">.  Thus it is perhaps not strange to assume that </w:t>
      </w:r>
      <w:r w:rsidRPr="004E26C8">
        <w:rPr>
          <w:rFonts w:ascii="Arial" w:eastAsia="Arial" w:hAnsi="Arial" w:cs="Arial"/>
          <w:color w:val="000000"/>
        </w:rPr>
        <w:t>the point at which the child, young person and family became the subject of assessment by health and social care agencies was when criminal activities were noticed therefore consequences were involved. The involvement of various agencies such as the youth in need forensic team specifically were essential as the service provides excellent support to high risk young people that have complex requirements/needs in terms of their mental health (Youth First  2021). The whole idea of the team providing a person centred approach and early interventions reduces the risk of offending again. Early interventions with this person centred approach (Youth First 2021 ) would impact the individual on a personal level and create essential awareness of the consequences of their actions would be an incentive for change(ASB Tools and Powers | ESBC, 2021).</w:t>
      </w:r>
    </w:p>
    <w:p w14:paraId="743C46A3" w14:textId="77777777" w:rsidR="00525EBA" w:rsidRPr="004E26C8" w:rsidRDefault="00525EBA" w:rsidP="004E26C8">
      <w:pPr>
        <w:spacing w:after="160" w:line="360" w:lineRule="auto"/>
        <w:rPr>
          <w:rFonts w:ascii="Arial" w:eastAsia="Arial" w:hAnsi="Arial" w:cs="Arial"/>
          <w:color w:val="000000"/>
        </w:rPr>
      </w:pPr>
      <w:r w:rsidRPr="004E26C8">
        <w:rPr>
          <w:rFonts w:ascii="Arial" w:eastAsia="Arial" w:hAnsi="Arial" w:cs="Arial"/>
          <w:color w:val="000000"/>
        </w:rPr>
        <w:t>. </w:t>
      </w:r>
    </w:p>
    <w:p w14:paraId="476EC085" w14:textId="77777777" w:rsidR="00525EBA" w:rsidRPr="004E26C8" w:rsidRDefault="00525EBA" w:rsidP="004E26C8">
      <w:pPr>
        <w:spacing w:after="160" w:line="360" w:lineRule="auto"/>
        <w:rPr>
          <w:rFonts w:ascii="Arial" w:eastAsia="Arial" w:hAnsi="Arial" w:cs="Arial"/>
          <w:color w:val="000000"/>
        </w:rPr>
      </w:pPr>
    </w:p>
    <w:p w14:paraId="7EDC77F8" w14:textId="77777777" w:rsidR="00525EBA" w:rsidRPr="004E26C8" w:rsidRDefault="00525EBA" w:rsidP="004E26C8">
      <w:pPr>
        <w:spacing w:after="0" w:line="360" w:lineRule="auto"/>
        <w:rPr>
          <w:rFonts w:ascii="Arial" w:eastAsia="Arial" w:hAnsi="Arial" w:cs="Arial"/>
        </w:rPr>
      </w:pPr>
    </w:p>
    <w:p w14:paraId="6AF35423" w14:textId="77777777" w:rsidR="00525EBA" w:rsidRPr="004E26C8" w:rsidRDefault="00525EBA" w:rsidP="004E26C8">
      <w:pPr>
        <w:spacing w:after="160" w:line="360" w:lineRule="auto"/>
        <w:rPr>
          <w:rFonts w:ascii="Arial" w:eastAsia="Arial" w:hAnsi="Arial" w:cs="Arial"/>
        </w:rPr>
      </w:pPr>
      <w:r w:rsidRPr="004E26C8">
        <w:rPr>
          <w:rFonts w:ascii="Arial" w:eastAsia="Arial" w:hAnsi="Arial" w:cs="Arial"/>
          <w:color w:val="000000"/>
        </w:rPr>
        <w:lastRenderedPageBreak/>
        <w:t xml:space="preserve">It was Important to implement these changes as the behaviour of the parent was showing its effects on the children as shown by the study that clearer, </w:t>
      </w:r>
      <w:proofErr w:type="spellStart"/>
      <w:r w:rsidRPr="004E26C8">
        <w:rPr>
          <w:rFonts w:ascii="Arial" w:eastAsia="Arial" w:hAnsi="Arial" w:cs="Arial"/>
          <w:color w:val="000000"/>
        </w:rPr>
        <w:t>unell</w:t>
      </w:r>
      <w:proofErr w:type="spellEnd"/>
      <w:r w:rsidRPr="004E26C8">
        <w:rPr>
          <w:rFonts w:ascii="Arial" w:eastAsia="Arial" w:hAnsi="Arial" w:cs="Arial"/>
          <w:color w:val="000000"/>
        </w:rPr>
        <w:t xml:space="preserve"> and </w:t>
      </w:r>
      <w:proofErr w:type="spellStart"/>
      <w:r w:rsidRPr="004E26C8">
        <w:rPr>
          <w:rFonts w:ascii="Arial" w:eastAsia="Arial" w:hAnsi="Arial" w:cs="Arial"/>
          <w:color w:val="000000"/>
        </w:rPr>
        <w:t>aldgate</w:t>
      </w:r>
      <w:proofErr w:type="spellEnd"/>
      <w:r w:rsidRPr="004E26C8">
        <w:rPr>
          <w:rFonts w:ascii="Arial" w:eastAsia="Arial" w:hAnsi="Arial" w:cs="Arial"/>
          <w:color w:val="000000"/>
        </w:rPr>
        <w:t xml:space="preserve"> did, that the behaviour of parents impacts children’s vulnerability thus an early intervention would give a greater support to the mother and the children involved. (Cleaver, </w:t>
      </w:r>
      <w:proofErr w:type="spellStart"/>
      <w:r w:rsidRPr="004E26C8">
        <w:rPr>
          <w:rFonts w:ascii="Arial" w:eastAsia="Arial" w:hAnsi="Arial" w:cs="Arial"/>
          <w:color w:val="000000"/>
        </w:rPr>
        <w:t>Unell</w:t>
      </w:r>
      <w:proofErr w:type="spellEnd"/>
      <w:r w:rsidRPr="004E26C8">
        <w:rPr>
          <w:rFonts w:ascii="Arial" w:eastAsia="Arial" w:hAnsi="Arial" w:cs="Arial"/>
          <w:color w:val="000000"/>
        </w:rPr>
        <w:t xml:space="preserve"> and Aldgate, 2011)</w:t>
      </w:r>
    </w:p>
    <w:p w14:paraId="0B018B4E" w14:textId="4D00714C" w:rsidR="00525EBA" w:rsidRPr="004E26C8" w:rsidRDefault="00525EBA" w:rsidP="004E26C8">
      <w:pPr>
        <w:spacing w:after="160" w:line="360" w:lineRule="auto"/>
        <w:rPr>
          <w:rFonts w:ascii="Arial" w:eastAsia="Arial" w:hAnsi="Arial" w:cs="Arial"/>
        </w:rPr>
      </w:pPr>
      <w:r w:rsidRPr="004E26C8">
        <w:rPr>
          <w:rFonts w:ascii="Arial" w:eastAsia="Arial" w:hAnsi="Arial" w:cs="Arial"/>
          <w:color w:val="030202"/>
        </w:rPr>
        <w:t>In conclusion, there are areas which require specific attention in order to improve the general circumstances of the family which the case workers did not enforce detailed plans to tackle. This issue was the mother’s mental health and anxiety related issues. The approach was to encourage the mother to join support groups and take her daughter to nursery in order to overcome her social anxiety however it isn't as simple as that. Mental health requires greater intervention which would be found in the form of therapists and similar support groups. It is important to establish the type of anxiety and depression she has alongside introducing appropriate therapy (if necessary) by practitioners to aid her in managing her condition</w:t>
      </w:r>
      <w:r w:rsidRPr="004E26C8">
        <w:rPr>
          <w:rFonts w:ascii="Arial" w:eastAsia="Arial" w:hAnsi="Arial" w:cs="Arial"/>
          <w:color w:val="000000"/>
          <w:highlight w:val="white"/>
        </w:rPr>
        <w:t xml:space="preserve"> (Benefits of Psychotherapy, 2021)</w:t>
      </w:r>
      <w:r w:rsidRPr="004E26C8">
        <w:rPr>
          <w:rFonts w:ascii="Arial" w:eastAsia="Arial" w:hAnsi="Arial" w:cs="Arial"/>
          <w:color w:val="030202"/>
        </w:rPr>
        <w:t>. </w:t>
      </w:r>
    </w:p>
    <w:p w14:paraId="5549F8B1" w14:textId="77777777" w:rsidR="00525EBA" w:rsidRPr="004E26C8" w:rsidRDefault="00525EBA" w:rsidP="004E26C8">
      <w:pPr>
        <w:spacing w:after="160" w:line="360" w:lineRule="auto"/>
        <w:rPr>
          <w:rFonts w:ascii="Arial" w:eastAsia="Arial" w:hAnsi="Arial" w:cs="Arial"/>
          <w:color w:val="030202"/>
        </w:rPr>
      </w:pPr>
      <w:r w:rsidRPr="004E26C8">
        <w:rPr>
          <w:rFonts w:ascii="Arial" w:eastAsia="Arial" w:hAnsi="Arial" w:cs="Arial"/>
          <w:color w:val="030202"/>
        </w:rPr>
        <w:t xml:space="preserve"> Another study has shown that the mother’s high level of mental health symptoms in children’s lives especially during the early years poses a higher risk for children developing mental health problems in adolescence. Moreover the study demonstrated this risk being established at  mere 18 months </w:t>
      </w:r>
      <w:r w:rsidRPr="004E26C8">
        <w:rPr>
          <w:rFonts w:ascii="Arial" w:eastAsia="Arial" w:hAnsi="Arial" w:cs="Arial"/>
          <w:color w:val="000000"/>
          <w:highlight w:val="white"/>
        </w:rPr>
        <w:t>(Opie, Zheng, Torres and Campbell, 2021)</w:t>
      </w:r>
      <w:r w:rsidRPr="004E26C8">
        <w:rPr>
          <w:rFonts w:ascii="Arial" w:eastAsia="Arial" w:hAnsi="Arial" w:cs="Arial"/>
          <w:color w:val="030202"/>
        </w:rPr>
        <w:t xml:space="preserve">. Therefore there should be an introduction of therapist or some form of pathway to manage this condition for the mother. The young boy should be re-evaluated after working with agencies as it’s not efficient to not have a follow up plan. There will always be risks where the behaviour could relapse therefore it is essential that a strategy is made to monitor the children and a level of confidence should be gained to ensure that relapse risk is small. A great way to provide this would be to create mentorship where an ideal role model would be there to provide advice and monitor the youth </w:t>
      </w:r>
      <w:r w:rsidRPr="004E26C8">
        <w:rPr>
          <w:rFonts w:ascii="Arial" w:eastAsia="Arial" w:hAnsi="Arial" w:cs="Arial"/>
          <w:color w:val="000000"/>
          <w:highlight w:val="white"/>
        </w:rPr>
        <w:t>(</w:t>
      </w:r>
      <w:proofErr w:type="spellStart"/>
      <w:r w:rsidRPr="004E26C8">
        <w:rPr>
          <w:rFonts w:ascii="Arial" w:eastAsia="Arial" w:hAnsi="Arial" w:cs="Arial"/>
          <w:color w:val="000000"/>
          <w:highlight w:val="white"/>
        </w:rPr>
        <w:t>O’Dwyer</w:t>
      </w:r>
      <w:proofErr w:type="spellEnd"/>
      <w:r w:rsidRPr="004E26C8">
        <w:rPr>
          <w:rFonts w:ascii="Arial" w:eastAsia="Arial" w:hAnsi="Arial" w:cs="Arial"/>
          <w:color w:val="000000"/>
          <w:highlight w:val="white"/>
        </w:rPr>
        <w:t>, 2019).</w:t>
      </w:r>
      <w:r w:rsidRPr="004E26C8">
        <w:rPr>
          <w:rFonts w:ascii="Arial" w:eastAsia="Arial" w:hAnsi="Arial" w:cs="Arial"/>
          <w:color w:val="000000"/>
        </w:rPr>
        <w:t xml:space="preserve"> Being employed for the mother can be an important step to recovery, improving self-esteem and confidence and reducing psychological distress.  (Employment is vital for maintaining good mental health, 2021)</w:t>
      </w:r>
    </w:p>
    <w:p w14:paraId="11D67179" w14:textId="77777777" w:rsidR="00525EBA" w:rsidRPr="004E26C8" w:rsidRDefault="00525EBA" w:rsidP="004E26C8">
      <w:pPr>
        <w:spacing w:after="160" w:line="360" w:lineRule="auto"/>
        <w:rPr>
          <w:rFonts w:ascii="Arial" w:eastAsia="Arial" w:hAnsi="Arial" w:cs="Arial"/>
          <w:color w:val="030202"/>
        </w:rPr>
      </w:pPr>
    </w:p>
    <w:p w14:paraId="6ACBFA42" w14:textId="77777777" w:rsidR="00525EBA" w:rsidRPr="004E26C8" w:rsidRDefault="00525EBA" w:rsidP="004E26C8">
      <w:pPr>
        <w:spacing w:line="360" w:lineRule="auto"/>
        <w:rPr>
          <w:rFonts w:ascii="Arial" w:eastAsia="Arial" w:hAnsi="Arial" w:cs="Arial"/>
        </w:rPr>
      </w:pPr>
    </w:p>
    <w:p w14:paraId="2E4CA4DF" w14:textId="77777777" w:rsidR="00525EBA" w:rsidRPr="004E26C8" w:rsidRDefault="00525EBA" w:rsidP="004E26C8">
      <w:pPr>
        <w:spacing w:line="360" w:lineRule="auto"/>
        <w:rPr>
          <w:rFonts w:ascii="Arial" w:eastAsia="Arial" w:hAnsi="Arial" w:cs="Arial"/>
        </w:rPr>
      </w:pPr>
    </w:p>
    <w:p w14:paraId="4D5DD242" w14:textId="77777777" w:rsidR="00525EBA" w:rsidRPr="004E26C8" w:rsidRDefault="00525EBA" w:rsidP="004E26C8">
      <w:pPr>
        <w:spacing w:line="360" w:lineRule="auto"/>
        <w:rPr>
          <w:rFonts w:ascii="Arial" w:eastAsia="Arial" w:hAnsi="Arial" w:cs="Arial"/>
        </w:rPr>
      </w:pPr>
    </w:p>
    <w:p w14:paraId="23580040" w14:textId="77777777" w:rsidR="00525EBA" w:rsidRPr="004E26C8" w:rsidRDefault="00525EBA" w:rsidP="004E26C8">
      <w:pPr>
        <w:spacing w:line="360" w:lineRule="auto"/>
        <w:rPr>
          <w:rFonts w:ascii="Arial" w:eastAsia="Arial" w:hAnsi="Arial" w:cs="Arial"/>
        </w:rPr>
      </w:pPr>
    </w:p>
    <w:p w14:paraId="020E5BAA" w14:textId="77777777" w:rsidR="00525EBA" w:rsidRPr="004E26C8" w:rsidRDefault="00525EBA" w:rsidP="004E26C8">
      <w:pPr>
        <w:spacing w:line="360" w:lineRule="auto"/>
        <w:rPr>
          <w:rFonts w:ascii="Arial" w:eastAsia="Arial" w:hAnsi="Arial" w:cs="Arial"/>
        </w:rPr>
      </w:pPr>
    </w:p>
    <w:p w14:paraId="7BDF3603" w14:textId="77777777" w:rsidR="00525EBA" w:rsidRPr="004E26C8" w:rsidRDefault="00525EBA" w:rsidP="004E26C8">
      <w:pPr>
        <w:spacing w:line="360" w:lineRule="auto"/>
        <w:rPr>
          <w:rFonts w:ascii="Arial" w:eastAsia="Arial" w:hAnsi="Arial" w:cs="Arial"/>
        </w:rPr>
      </w:pPr>
      <w:r w:rsidRPr="004E26C8">
        <w:rPr>
          <w:rFonts w:ascii="Arial" w:eastAsia="Arial" w:hAnsi="Arial" w:cs="Arial"/>
        </w:rPr>
        <w:lastRenderedPageBreak/>
        <w:t>References</w:t>
      </w:r>
    </w:p>
    <w:p w14:paraId="3D280635" w14:textId="77777777" w:rsidR="00525EBA" w:rsidRPr="004E26C8" w:rsidRDefault="00525EBA" w:rsidP="004E26C8">
      <w:pPr>
        <w:spacing w:line="360" w:lineRule="auto"/>
        <w:rPr>
          <w:rFonts w:ascii="Arial" w:eastAsia="Arial" w:hAnsi="Arial" w:cs="Arial"/>
          <w:color w:val="000000"/>
          <w:shd w:val="clear" w:color="auto" w:fill="D5E1F2"/>
        </w:rPr>
      </w:pPr>
      <w:r w:rsidRPr="004E26C8">
        <w:rPr>
          <w:rFonts w:ascii="Arial" w:eastAsia="Arial" w:hAnsi="Arial" w:cs="Arial"/>
          <w:color w:val="000000"/>
          <w:shd w:val="clear" w:color="auto" w:fill="D5E1F2"/>
        </w:rPr>
        <w:t>Eaststaffsbc.gov.uk. 2021. </w:t>
      </w:r>
      <w:r w:rsidRPr="004E26C8">
        <w:rPr>
          <w:rFonts w:ascii="Arial" w:eastAsia="Arial" w:hAnsi="Arial" w:cs="Arial"/>
          <w:i/>
          <w:color w:val="000000"/>
          <w:shd w:val="clear" w:color="auto" w:fill="D5E1F2"/>
        </w:rPr>
        <w:t>ASB Tools and Powers | ESBC</w:t>
      </w:r>
      <w:r w:rsidRPr="004E26C8">
        <w:rPr>
          <w:rFonts w:ascii="Arial" w:eastAsia="Arial" w:hAnsi="Arial" w:cs="Arial"/>
          <w:color w:val="000000"/>
          <w:shd w:val="clear" w:color="auto" w:fill="D5E1F2"/>
        </w:rPr>
        <w:t>. [online] Available at: &lt;https://eaststaffsbc.gov.uk/anti-social-behaviour/tools-and-powers&gt; [Accessed 3 July 2021].</w:t>
      </w:r>
    </w:p>
    <w:p w14:paraId="4382E610" w14:textId="77777777" w:rsidR="00525EBA" w:rsidRPr="004E26C8" w:rsidRDefault="00525EBA" w:rsidP="004E26C8">
      <w:pPr>
        <w:spacing w:line="360" w:lineRule="auto"/>
        <w:rPr>
          <w:rFonts w:ascii="Arial" w:eastAsia="Arial" w:hAnsi="Arial" w:cs="Arial"/>
          <w:color w:val="000000"/>
          <w:highlight w:val="white"/>
        </w:rPr>
      </w:pPr>
      <w:proofErr w:type="spellStart"/>
      <w:r w:rsidRPr="004E26C8">
        <w:rPr>
          <w:rFonts w:ascii="Arial" w:eastAsia="Arial" w:hAnsi="Arial" w:cs="Arial"/>
          <w:color w:val="000000"/>
          <w:highlight w:val="white"/>
        </w:rPr>
        <w:t>Gajos</w:t>
      </w:r>
      <w:proofErr w:type="spellEnd"/>
      <w:r w:rsidRPr="004E26C8">
        <w:rPr>
          <w:rFonts w:ascii="Arial" w:eastAsia="Arial" w:hAnsi="Arial" w:cs="Arial"/>
          <w:color w:val="000000"/>
          <w:highlight w:val="white"/>
        </w:rPr>
        <w:t>, J. and Beaver, K., 2015. Maternal depression and risk for antisocial behaviour in children. </w:t>
      </w:r>
      <w:r w:rsidRPr="004E26C8">
        <w:rPr>
          <w:rFonts w:ascii="Arial" w:eastAsia="Arial" w:hAnsi="Arial" w:cs="Arial"/>
          <w:i/>
          <w:color w:val="000000"/>
          <w:highlight w:val="white"/>
        </w:rPr>
        <w:t>Child &amp; Family Social Work</w:t>
      </w:r>
      <w:r w:rsidRPr="004E26C8">
        <w:rPr>
          <w:rFonts w:ascii="Arial" w:eastAsia="Arial" w:hAnsi="Arial" w:cs="Arial"/>
          <w:color w:val="000000"/>
          <w:highlight w:val="white"/>
        </w:rPr>
        <w:t>, 22(1), pp.349-363. [Accessed 1 July 2021].</w:t>
      </w:r>
    </w:p>
    <w:p w14:paraId="0FC0C03E" w14:textId="77777777" w:rsidR="00525EBA" w:rsidRPr="004E26C8" w:rsidRDefault="00525EBA" w:rsidP="004E26C8">
      <w:pPr>
        <w:spacing w:line="360" w:lineRule="auto"/>
        <w:rPr>
          <w:rFonts w:ascii="Arial" w:eastAsia="Arial" w:hAnsi="Arial" w:cs="Arial"/>
        </w:rPr>
      </w:pPr>
      <w:r w:rsidRPr="004E26C8">
        <w:rPr>
          <w:rFonts w:ascii="Arial" w:eastAsia="Arial" w:hAnsi="Arial" w:cs="Arial"/>
          <w:color w:val="000000"/>
          <w:highlight w:val="white"/>
        </w:rPr>
        <w:t>Goodtherapy.org. 2021. </w:t>
      </w:r>
      <w:r w:rsidRPr="004E26C8">
        <w:rPr>
          <w:rFonts w:ascii="Arial" w:eastAsia="Arial" w:hAnsi="Arial" w:cs="Arial"/>
          <w:i/>
          <w:color w:val="000000"/>
          <w:highlight w:val="white"/>
        </w:rPr>
        <w:t>Benefits of Psychotherapy</w:t>
      </w:r>
      <w:r w:rsidRPr="004E26C8">
        <w:rPr>
          <w:rFonts w:ascii="Arial" w:eastAsia="Arial" w:hAnsi="Arial" w:cs="Arial"/>
          <w:color w:val="000000"/>
          <w:highlight w:val="white"/>
        </w:rPr>
        <w:t>. [online] Available at: &lt;https://www.goodtherapy.org/benefits-of-therapy.html&gt; [Accessed 1 July 2021].</w:t>
      </w:r>
    </w:p>
    <w:p w14:paraId="709BC87D" w14:textId="77777777" w:rsidR="00525EBA" w:rsidRPr="004E26C8" w:rsidRDefault="00525EBA" w:rsidP="004E26C8">
      <w:pPr>
        <w:spacing w:line="360" w:lineRule="auto"/>
        <w:rPr>
          <w:rFonts w:ascii="Arial" w:eastAsia="Arial" w:hAnsi="Arial" w:cs="Arial"/>
          <w:color w:val="000000"/>
        </w:rPr>
      </w:pPr>
      <w:r w:rsidRPr="004E26C8">
        <w:rPr>
          <w:rFonts w:ascii="Arial" w:eastAsia="Arial" w:hAnsi="Arial" w:cs="Arial"/>
          <w:color w:val="000000"/>
        </w:rPr>
        <w:t xml:space="preserve">GOV.U.2021.Support parents of children in the youth justice system: section 9 case management guidance.[online]Available at: </w:t>
      </w:r>
      <w:r w:rsidRPr="004E26C8">
        <w:rPr>
          <w:rFonts w:ascii="Arial" w:eastAsia="Arial" w:hAnsi="Arial" w:cs="Arial"/>
        </w:rPr>
        <w:t>Support parents of children in the youth justice system: section 9 case management guidance - GOV.UK (www.gov.uk)</w:t>
      </w:r>
      <w:r w:rsidRPr="004E26C8">
        <w:rPr>
          <w:rFonts w:ascii="Arial" w:eastAsia="Arial" w:hAnsi="Arial" w:cs="Arial"/>
          <w:color w:val="000000"/>
        </w:rPr>
        <w:t>  [Accessed 3</w:t>
      </w:r>
      <w:r w:rsidRPr="004E26C8">
        <w:rPr>
          <w:rFonts w:ascii="Arial" w:eastAsia="Arial" w:hAnsi="Arial" w:cs="Arial"/>
          <w:color w:val="000000"/>
          <w:vertAlign w:val="superscript"/>
        </w:rPr>
        <w:t>rd</w:t>
      </w:r>
      <w:r w:rsidRPr="004E26C8">
        <w:rPr>
          <w:rFonts w:ascii="Arial" w:eastAsia="Arial" w:hAnsi="Arial" w:cs="Arial"/>
          <w:color w:val="000000"/>
        </w:rPr>
        <w:t xml:space="preserve"> July]</w:t>
      </w:r>
    </w:p>
    <w:p w14:paraId="23674591" w14:textId="77777777" w:rsidR="00525EBA" w:rsidRPr="004E26C8" w:rsidRDefault="00525EBA" w:rsidP="004E26C8">
      <w:pPr>
        <w:spacing w:line="360" w:lineRule="auto"/>
        <w:rPr>
          <w:rFonts w:ascii="Arial" w:eastAsia="Arial" w:hAnsi="Arial" w:cs="Arial"/>
          <w:color w:val="000000"/>
          <w:highlight w:val="white"/>
        </w:rPr>
      </w:pPr>
      <w:r w:rsidRPr="004E26C8">
        <w:rPr>
          <w:rFonts w:ascii="Arial" w:eastAsia="Arial" w:hAnsi="Arial" w:cs="Arial"/>
          <w:color w:val="000000"/>
          <w:highlight w:val="white"/>
        </w:rPr>
        <w:t>Guardian. 2021. </w:t>
      </w:r>
      <w:r w:rsidRPr="004E26C8">
        <w:rPr>
          <w:rFonts w:ascii="Arial" w:eastAsia="Arial" w:hAnsi="Arial" w:cs="Arial"/>
          <w:i/>
          <w:color w:val="000000"/>
          <w:highlight w:val="white"/>
        </w:rPr>
        <w:t>How are children affected by poor housing?</w:t>
      </w:r>
      <w:r w:rsidRPr="004E26C8">
        <w:rPr>
          <w:rFonts w:ascii="Arial" w:eastAsia="Arial" w:hAnsi="Arial" w:cs="Arial"/>
          <w:color w:val="000000"/>
          <w:highlight w:val="white"/>
        </w:rPr>
        <w:t>. [online] Available at: &lt;https://www.theguardian.com/housing-network/2015/nov/11/children-poor-housing-temporary-accommodation-health-education&gt; [Accessed 7 July 2021].</w:t>
      </w:r>
    </w:p>
    <w:p w14:paraId="4BE4A3B7" w14:textId="77777777" w:rsidR="00525EBA" w:rsidRPr="004E26C8" w:rsidRDefault="00525EBA" w:rsidP="004E26C8">
      <w:pPr>
        <w:spacing w:line="360" w:lineRule="auto"/>
        <w:rPr>
          <w:rFonts w:ascii="Arial" w:eastAsia="Arial" w:hAnsi="Arial" w:cs="Arial"/>
          <w:color w:val="000000"/>
        </w:rPr>
      </w:pPr>
      <w:proofErr w:type="spellStart"/>
      <w:r w:rsidRPr="004E26C8">
        <w:rPr>
          <w:rFonts w:ascii="Arial" w:eastAsia="Arial" w:hAnsi="Arial" w:cs="Arial"/>
          <w:color w:val="000000"/>
        </w:rPr>
        <w:t>Hallet</w:t>
      </w:r>
      <w:proofErr w:type="spellEnd"/>
      <w:r w:rsidRPr="004E26C8">
        <w:rPr>
          <w:rFonts w:ascii="Arial" w:eastAsia="Arial" w:hAnsi="Arial" w:cs="Arial"/>
          <w:color w:val="000000"/>
        </w:rPr>
        <w:t>, C. and Birchall, E., 1992. </w:t>
      </w:r>
      <w:r w:rsidRPr="004E26C8">
        <w:rPr>
          <w:rFonts w:ascii="Arial" w:eastAsia="Arial" w:hAnsi="Arial" w:cs="Arial"/>
          <w:i/>
          <w:color w:val="000000"/>
        </w:rPr>
        <w:t>Coordination and Child Protection</w:t>
      </w:r>
      <w:r w:rsidRPr="004E26C8">
        <w:rPr>
          <w:rFonts w:ascii="Arial" w:eastAsia="Arial" w:hAnsi="Arial" w:cs="Arial"/>
          <w:color w:val="000000"/>
        </w:rPr>
        <w:t>.</w:t>
      </w:r>
      <w:r w:rsidRPr="004E26C8">
        <w:rPr>
          <w:rFonts w:ascii="Arial" w:eastAsia="Arial" w:hAnsi="Arial" w:cs="Arial"/>
          <w:color w:val="000000"/>
          <w:highlight w:val="white"/>
        </w:rPr>
        <w:t xml:space="preserve"> [Accessed 1 July 2021].</w:t>
      </w:r>
    </w:p>
    <w:p w14:paraId="1D698DBB" w14:textId="77777777" w:rsidR="00525EBA" w:rsidRPr="004E26C8" w:rsidRDefault="00525EBA" w:rsidP="004E26C8">
      <w:pPr>
        <w:spacing w:line="360" w:lineRule="auto"/>
        <w:rPr>
          <w:rFonts w:ascii="Arial" w:eastAsia="Arial" w:hAnsi="Arial" w:cs="Arial"/>
          <w:color w:val="000000"/>
          <w:shd w:val="clear" w:color="auto" w:fill="D5E1F2"/>
        </w:rPr>
      </w:pPr>
      <w:r w:rsidRPr="004E26C8">
        <w:rPr>
          <w:rFonts w:ascii="Arial" w:eastAsia="Arial" w:hAnsi="Arial" w:cs="Arial"/>
          <w:color w:val="000000"/>
          <w:shd w:val="clear" w:color="auto" w:fill="D5E1F2"/>
        </w:rPr>
        <w:t>Mental Health Foundation. 2021. </w:t>
      </w:r>
      <w:r w:rsidRPr="004E26C8">
        <w:rPr>
          <w:rFonts w:ascii="Arial" w:eastAsia="Arial" w:hAnsi="Arial" w:cs="Arial"/>
          <w:i/>
          <w:color w:val="000000"/>
          <w:shd w:val="clear" w:color="auto" w:fill="D5E1F2"/>
        </w:rPr>
        <w:t>Employment is vital for maintaining good mental health</w:t>
      </w:r>
      <w:r w:rsidRPr="004E26C8">
        <w:rPr>
          <w:rFonts w:ascii="Arial" w:eastAsia="Arial" w:hAnsi="Arial" w:cs="Arial"/>
          <w:color w:val="000000"/>
          <w:shd w:val="clear" w:color="auto" w:fill="D5E1F2"/>
        </w:rPr>
        <w:t>. [online] Available at: &lt;https://www.mentalhealth.org.uk/blog/employment-vital-maintaining-good-mental-health&gt; [Accessed 1 July 2021].</w:t>
      </w:r>
    </w:p>
    <w:p w14:paraId="756F0823" w14:textId="77777777" w:rsidR="00525EBA" w:rsidRPr="004E26C8" w:rsidRDefault="00525EBA" w:rsidP="004E26C8">
      <w:pPr>
        <w:spacing w:line="360" w:lineRule="auto"/>
        <w:rPr>
          <w:rFonts w:ascii="Arial" w:eastAsia="Arial" w:hAnsi="Arial" w:cs="Arial"/>
          <w:color w:val="000000"/>
          <w:shd w:val="clear" w:color="auto" w:fill="D5E1F2"/>
        </w:rPr>
      </w:pPr>
      <w:r w:rsidRPr="004E26C8">
        <w:rPr>
          <w:rFonts w:ascii="Arial" w:eastAsia="Arial" w:hAnsi="Arial" w:cs="Arial"/>
          <w:color w:val="000000"/>
        </w:rPr>
        <w:t>Mahoney, J., 2005. Organized Activities As Contexts of Development.</w:t>
      </w:r>
      <w:r w:rsidRPr="004E26C8">
        <w:rPr>
          <w:rFonts w:ascii="Arial" w:eastAsia="Arial" w:hAnsi="Arial" w:cs="Arial"/>
          <w:color w:val="000000"/>
          <w:highlight w:val="white"/>
        </w:rPr>
        <w:t xml:space="preserve"> [Accessed 1 July 2021].</w:t>
      </w:r>
    </w:p>
    <w:p w14:paraId="3F981250" w14:textId="77777777" w:rsidR="00525EBA" w:rsidRPr="004E26C8" w:rsidRDefault="00525EBA" w:rsidP="004E26C8">
      <w:pPr>
        <w:spacing w:line="360" w:lineRule="auto"/>
        <w:rPr>
          <w:rFonts w:ascii="Arial" w:eastAsia="Arial" w:hAnsi="Arial" w:cs="Arial"/>
          <w:color w:val="000000"/>
          <w:highlight w:val="white"/>
        </w:rPr>
      </w:pPr>
      <w:r w:rsidRPr="004E26C8">
        <w:rPr>
          <w:rFonts w:ascii="Arial" w:eastAsia="Arial" w:hAnsi="Arial" w:cs="Arial"/>
          <w:color w:val="000000"/>
          <w:highlight w:val="white"/>
        </w:rPr>
        <w:t>Opie, R., Zheng, M., Torres, S. and Campbell, K., 2021. The impact of maternal post</w:t>
      </w:r>
      <w:r w:rsidRPr="004E26C8">
        <w:rPr>
          <w:rFonts w:ascii="Cambria Math" w:eastAsia="Cambria Math" w:hAnsi="Cambria Math" w:cs="Cambria Math"/>
          <w:color w:val="000000"/>
          <w:highlight w:val="white"/>
        </w:rPr>
        <w:t>‐</w:t>
      </w:r>
      <w:r w:rsidRPr="004E26C8">
        <w:rPr>
          <w:rFonts w:ascii="Arial" w:eastAsia="Arial" w:hAnsi="Arial" w:cs="Arial"/>
          <w:color w:val="000000"/>
          <w:highlight w:val="white"/>
        </w:rPr>
        <w:t>partum depressive symptoms on child diet at 18 months. </w:t>
      </w:r>
      <w:r w:rsidRPr="004E26C8">
        <w:rPr>
          <w:rFonts w:ascii="Arial" w:eastAsia="Arial" w:hAnsi="Arial" w:cs="Arial"/>
          <w:i/>
          <w:color w:val="000000"/>
          <w:highlight w:val="white"/>
        </w:rPr>
        <w:t>Maternal &amp; Child Nutrition</w:t>
      </w:r>
      <w:r w:rsidRPr="004E26C8">
        <w:rPr>
          <w:rFonts w:ascii="Arial" w:eastAsia="Arial" w:hAnsi="Arial" w:cs="Arial"/>
          <w:color w:val="000000"/>
          <w:highlight w:val="white"/>
        </w:rPr>
        <w:t>,. [Accessed 1 July 2021].</w:t>
      </w:r>
    </w:p>
    <w:p w14:paraId="48035A9B" w14:textId="77777777" w:rsidR="00525EBA" w:rsidRPr="004E26C8" w:rsidRDefault="00525EBA" w:rsidP="004E26C8">
      <w:pPr>
        <w:spacing w:line="360" w:lineRule="auto"/>
        <w:rPr>
          <w:rFonts w:ascii="Arial" w:eastAsia="Arial" w:hAnsi="Arial" w:cs="Arial"/>
          <w:color w:val="000000"/>
          <w:highlight w:val="white"/>
        </w:rPr>
      </w:pPr>
      <w:proofErr w:type="spellStart"/>
      <w:r w:rsidRPr="004E26C8">
        <w:rPr>
          <w:rFonts w:ascii="Arial" w:eastAsia="Arial" w:hAnsi="Arial" w:cs="Arial"/>
          <w:color w:val="000000"/>
          <w:highlight w:val="white"/>
        </w:rPr>
        <w:t>O’Dwyer</w:t>
      </w:r>
      <w:proofErr w:type="spellEnd"/>
      <w:r w:rsidRPr="004E26C8">
        <w:rPr>
          <w:rFonts w:ascii="Arial" w:eastAsia="Arial" w:hAnsi="Arial" w:cs="Arial"/>
          <w:color w:val="000000"/>
          <w:highlight w:val="white"/>
        </w:rPr>
        <w:t>, K., 2019. </w:t>
      </w:r>
      <w:r w:rsidRPr="004E26C8">
        <w:rPr>
          <w:rFonts w:ascii="Arial" w:eastAsia="Arial" w:hAnsi="Arial" w:cs="Arial"/>
          <w:i/>
          <w:color w:val="000000"/>
          <w:highlight w:val="white"/>
        </w:rPr>
        <w:t>Reducing Youth Crime: The Role of Mentoring</w:t>
      </w:r>
      <w:r w:rsidRPr="004E26C8">
        <w:rPr>
          <w:rFonts w:ascii="Arial" w:eastAsia="Arial" w:hAnsi="Arial" w:cs="Arial"/>
          <w:color w:val="000000"/>
          <w:highlight w:val="white"/>
        </w:rPr>
        <w:t>. 16th ed. [</w:t>
      </w:r>
      <w:proofErr w:type="spellStart"/>
      <w:r w:rsidRPr="004E26C8">
        <w:rPr>
          <w:rFonts w:ascii="Arial" w:eastAsia="Arial" w:hAnsi="Arial" w:cs="Arial"/>
          <w:color w:val="000000"/>
          <w:highlight w:val="white"/>
        </w:rPr>
        <w:t>ebook</w:t>
      </w:r>
      <w:proofErr w:type="spellEnd"/>
      <w:r w:rsidRPr="004E26C8">
        <w:rPr>
          <w:rFonts w:ascii="Arial" w:eastAsia="Arial" w:hAnsi="Arial" w:cs="Arial"/>
          <w:color w:val="000000"/>
          <w:highlight w:val="white"/>
        </w:rPr>
        <w:t>] IRISH PROBATION JOURNAL. Available at: &lt;https://www.pbni.org.uk/wp-content/uploads/2019/12/Reducing-Youth-Crime.pdf&gt; [Accessed 1 July 2021].</w:t>
      </w:r>
    </w:p>
    <w:p w14:paraId="52ACB14B" w14:textId="1CCE5B51" w:rsidR="00525EBA" w:rsidRPr="004E26C8" w:rsidRDefault="00525EBA" w:rsidP="004E26C8">
      <w:pPr>
        <w:spacing w:line="360" w:lineRule="auto"/>
        <w:rPr>
          <w:rFonts w:ascii="Arial" w:eastAsia="Arial" w:hAnsi="Arial" w:cs="Arial"/>
          <w:color w:val="000000"/>
          <w:highlight w:val="white"/>
        </w:rPr>
      </w:pPr>
      <w:r w:rsidRPr="004E26C8">
        <w:rPr>
          <w:rFonts w:ascii="Arial" w:eastAsia="Arial" w:hAnsi="Arial" w:cs="Arial"/>
          <w:color w:val="000000"/>
          <w:highlight w:val="white"/>
        </w:rPr>
        <w:t>2021. </w:t>
      </w:r>
      <w:r w:rsidRPr="004E26C8">
        <w:rPr>
          <w:rFonts w:ascii="Arial" w:eastAsia="Arial" w:hAnsi="Arial" w:cs="Arial"/>
          <w:i/>
          <w:color w:val="000000"/>
          <w:highlight w:val="white"/>
        </w:rPr>
        <w:t>Youth First Community Child and Adolescent Forensic Service West Midlands</w:t>
      </w:r>
      <w:r w:rsidRPr="004E26C8">
        <w:rPr>
          <w:rFonts w:ascii="Arial" w:eastAsia="Arial" w:hAnsi="Arial" w:cs="Arial"/>
          <w:color w:val="000000"/>
          <w:highlight w:val="white"/>
        </w:rPr>
        <w:t>. Birmingham: Youth first. [Accessed 1 July 2021].</w:t>
      </w:r>
    </w:p>
    <w:p w14:paraId="461A5ACB" w14:textId="77777777" w:rsidR="00525EBA" w:rsidRPr="004E26C8" w:rsidRDefault="00525EBA" w:rsidP="004E26C8">
      <w:pPr>
        <w:spacing w:line="360" w:lineRule="auto"/>
        <w:rPr>
          <w:rFonts w:ascii="Arial" w:eastAsia="Arial" w:hAnsi="Arial" w:cs="Arial"/>
        </w:rPr>
      </w:pPr>
    </w:p>
    <w:p w14:paraId="749764C6" w14:textId="77777777" w:rsidR="004B672F" w:rsidRPr="004E26C8" w:rsidRDefault="004B672F" w:rsidP="004E26C8">
      <w:pPr>
        <w:spacing w:line="360" w:lineRule="auto"/>
        <w:rPr>
          <w:rFonts w:ascii="Arial" w:hAnsi="Arial" w:cs="Arial"/>
        </w:rPr>
      </w:pPr>
    </w:p>
    <w:sectPr w:rsidR="004B672F" w:rsidRPr="004E26C8">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EBA"/>
    <w:rsid w:val="00394520"/>
    <w:rsid w:val="004B672F"/>
    <w:rsid w:val="004E26C8"/>
    <w:rsid w:val="00525EBA"/>
    <w:rsid w:val="006E03B6"/>
    <w:rsid w:val="009D56D4"/>
    <w:rsid w:val="00E458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C2003"/>
  <w15:chartTrackingRefBased/>
  <w15:docId w15:val="{83FC560F-431F-413C-8907-60188EC958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5EBA"/>
    <w:pPr>
      <w:spacing w:after="200" w:line="276" w:lineRule="auto"/>
    </w:pPr>
    <w:rPr>
      <w:rFonts w:ascii="Calibri" w:eastAsia="Calibri" w:hAnsi="Calibri" w:cs="Calibri"/>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1740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4</Pages>
  <Words>1398</Words>
  <Characters>7972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Fozeea Jabeen</dc:creator>
  <cp:keywords/>
  <dc:description/>
  <cp:lastModifiedBy>Fozeea Jabeen</cp:lastModifiedBy>
  <cp:revision>4</cp:revision>
  <dcterms:created xsi:type="dcterms:W3CDTF">2021-08-05T12:43:00Z</dcterms:created>
  <dcterms:modified xsi:type="dcterms:W3CDTF">2021-08-05T13:12:00Z</dcterms:modified>
</cp:coreProperties>
</file>