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3F5D0" w14:textId="72121F47" w:rsidR="00060DAB" w:rsidRPr="00060DAB" w:rsidRDefault="00060DAB" w:rsidP="00060DAB">
      <w:pPr>
        <w:spacing w:line="360" w:lineRule="auto"/>
        <w:jc w:val="center"/>
        <w:rPr>
          <w:rFonts w:ascii="Arial" w:eastAsia="Calibri" w:hAnsi="Arial" w:cs="Arial"/>
          <w:b/>
          <w:lang w:val="en-US"/>
        </w:rPr>
      </w:pPr>
      <w:r w:rsidRPr="00060DAB">
        <w:rPr>
          <w:rFonts w:ascii="Arial" w:eastAsia="Calibri" w:hAnsi="Arial" w:cs="Arial"/>
          <w:b/>
          <w:lang w:val="en-US"/>
        </w:rPr>
        <w:t xml:space="preserve">Problem Solving and Decision </w:t>
      </w:r>
      <w:r w:rsidR="00191DE2">
        <w:rPr>
          <w:rFonts w:ascii="Arial" w:eastAsia="Calibri" w:hAnsi="Arial" w:cs="Arial"/>
          <w:b/>
          <w:lang w:val="en-US"/>
        </w:rPr>
        <w:t>M</w:t>
      </w:r>
      <w:r w:rsidRPr="00060DAB">
        <w:rPr>
          <w:rFonts w:ascii="Arial" w:eastAsia="Calibri" w:hAnsi="Arial" w:cs="Arial"/>
          <w:b/>
          <w:lang w:val="en-US"/>
        </w:rPr>
        <w:t>aking</w:t>
      </w:r>
    </w:p>
    <w:p w14:paraId="33BA2952" w14:textId="0ACC405E" w:rsidR="00060DAB" w:rsidRPr="00060DAB" w:rsidRDefault="00060DAB" w:rsidP="00060DAB">
      <w:pPr>
        <w:spacing w:line="360" w:lineRule="auto"/>
        <w:jc w:val="center"/>
        <w:rPr>
          <w:rFonts w:ascii="Arial" w:eastAsia="Calibri" w:hAnsi="Arial" w:cs="Arial"/>
          <w:b/>
          <w:lang w:val="en-US"/>
        </w:rPr>
      </w:pPr>
      <w:r w:rsidRPr="00060DAB">
        <w:rPr>
          <w:rFonts w:ascii="Arial" w:eastAsia="Calibri" w:hAnsi="Arial" w:cs="Arial"/>
          <w:b/>
          <w:lang w:val="en-US"/>
        </w:rPr>
        <w:t>Student name</w:t>
      </w:r>
      <w:r w:rsidR="00F04904">
        <w:rPr>
          <w:rFonts w:ascii="Arial" w:eastAsia="Calibri" w:hAnsi="Arial" w:cs="Arial"/>
          <w:b/>
          <w:lang w:val="en-US"/>
        </w:rPr>
        <w:t xml:space="preserve"> : Vasile Marian B</w:t>
      </w:r>
      <w:r w:rsidR="00191DE2">
        <w:rPr>
          <w:rFonts w:ascii="Arial" w:eastAsia="Calibri" w:hAnsi="Arial" w:cs="Arial"/>
          <w:b/>
          <w:lang w:val="en-US"/>
        </w:rPr>
        <w:t>ostan</w:t>
      </w:r>
    </w:p>
    <w:p w14:paraId="07CFF2E7" w14:textId="50B9166D" w:rsidR="00060DAB" w:rsidRPr="007A3066" w:rsidRDefault="00060DAB" w:rsidP="007A3066">
      <w:pPr>
        <w:spacing w:line="360" w:lineRule="auto"/>
        <w:jc w:val="center"/>
        <w:rPr>
          <w:rFonts w:ascii="Arial" w:eastAsia="Calibri" w:hAnsi="Arial" w:cs="Arial"/>
          <w:b/>
          <w:bCs/>
        </w:rPr>
      </w:pPr>
      <w:r w:rsidRPr="00060DAB">
        <w:rPr>
          <w:rFonts w:ascii="Arial" w:eastAsia="Calibri" w:hAnsi="Arial" w:cs="Arial"/>
          <w:b/>
          <w:lang w:val="en-US"/>
        </w:rPr>
        <w:t>Student id</w:t>
      </w:r>
      <w:r w:rsidR="00191DE2">
        <w:rPr>
          <w:rFonts w:ascii="Arial" w:eastAsia="Calibri" w:hAnsi="Arial" w:cs="Arial"/>
          <w:b/>
          <w:lang w:val="en-US"/>
        </w:rPr>
        <w:t xml:space="preserve"> :</w:t>
      </w:r>
      <w:r w:rsidR="001B5793">
        <w:rPr>
          <w:rFonts w:ascii="Arial" w:eastAsia="Calibri" w:hAnsi="Arial" w:cs="Arial"/>
          <w:b/>
          <w:lang w:val="en-US"/>
        </w:rPr>
        <w:t xml:space="preserve"> </w:t>
      </w:r>
      <w:r w:rsidR="007A3066" w:rsidRPr="007A3066">
        <w:rPr>
          <w:rFonts w:ascii="Arial" w:eastAsia="Calibri" w:hAnsi="Arial" w:cs="Arial"/>
          <w:b/>
          <w:bCs/>
        </w:rPr>
        <w:t>2112985</w:t>
      </w:r>
    </w:p>
    <w:p w14:paraId="4FA63FAA" w14:textId="661624EB" w:rsidR="00060DAB" w:rsidRPr="00060DAB" w:rsidRDefault="00060DAB" w:rsidP="00060DAB">
      <w:pPr>
        <w:spacing w:line="360" w:lineRule="auto"/>
        <w:jc w:val="center"/>
        <w:rPr>
          <w:rFonts w:ascii="Arial" w:eastAsia="Calibri" w:hAnsi="Arial" w:cs="Arial"/>
          <w:b/>
          <w:lang w:val="en-US"/>
        </w:rPr>
      </w:pPr>
      <w:r w:rsidRPr="00060DAB">
        <w:rPr>
          <w:rFonts w:ascii="Arial" w:eastAsia="Calibri" w:hAnsi="Arial" w:cs="Arial"/>
          <w:b/>
          <w:lang w:val="en-US"/>
        </w:rPr>
        <w:t>Course code</w:t>
      </w:r>
      <w:r w:rsidR="007A3066">
        <w:rPr>
          <w:rFonts w:ascii="Arial" w:eastAsia="Calibri" w:hAnsi="Arial" w:cs="Arial"/>
          <w:b/>
          <w:lang w:val="en-US"/>
        </w:rPr>
        <w:t xml:space="preserve"> : BMSW 4004</w:t>
      </w:r>
    </w:p>
    <w:p w14:paraId="37E53BFE" w14:textId="2891972E" w:rsidR="00060DAB" w:rsidRPr="00060DAB" w:rsidRDefault="00060DAB" w:rsidP="00060DAB">
      <w:pPr>
        <w:spacing w:line="360" w:lineRule="auto"/>
        <w:jc w:val="center"/>
        <w:rPr>
          <w:rFonts w:ascii="Arial" w:eastAsia="Calibri" w:hAnsi="Arial" w:cs="Arial"/>
          <w:b/>
          <w:lang w:val="en-US"/>
        </w:rPr>
      </w:pPr>
      <w:r w:rsidRPr="00060DAB">
        <w:rPr>
          <w:rFonts w:ascii="Arial" w:eastAsia="Calibri" w:hAnsi="Arial" w:cs="Arial"/>
          <w:b/>
          <w:lang w:val="en-US"/>
        </w:rPr>
        <w:t xml:space="preserve">Professor </w:t>
      </w:r>
      <w:r w:rsidR="00D7634F">
        <w:rPr>
          <w:rFonts w:ascii="Arial" w:eastAsia="Calibri" w:hAnsi="Arial" w:cs="Arial"/>
          <w:b/>
          <w:lang w:val="en-US"/>
        </w:rPr>
        <w:t xml:space="preserve">: </w:t>
      </w:r>
      <w:proofErr w:type="spellStart"/>
      <w:r w:rsidR="00D7634F">
        <w:rPr>
          <w:rFonts w:ascii="Arial" w:eastAsia="Calibri" w:hAnsi="Arial" w:cs="Arial"/>
          <w:b/>
          <w:lang w:val="en-US"/>
        </w:rPr>
        <w:t>Khaza</w:t>
      </w:r>
      <w:proofErr w:type="spellEnd"/>
      <w:r w:rsidR="00D7634F">
        <w:rPr>
          <w:rFonts w:ascii="Arial" w:eastAsia="Calibri" w:hAnsi="Arial" w:cs="Arial"/>
          <w:b/>
          <w:lang w:val="en-US"/>
        </w:rPr>
        <w:t xml:space="preserve"> Ahmed</w:t>
      </w:r>
    </w:p>
    <w:p w14:paraId="6BDF8B90" w14:textId="77777777" w:rsidR="00DB160A" w:rsidRDefault="00DB160A" w:rsidP="00060DAB">
      <w:pPr>
        <w:spacing w:line="360" w:lineRule="auto"/>
        <w:jc w:val="center"/>
        <w:rPr>
          <w:rFonts w:ascii="Arial" w:eastAsia="Calibri" w:hAnsi="Arial" w:cs="Arial"/>
          <w:b/>
          <w:lang w:val="en-US"/>
        </w:rPr>
      </w:pPr>
    </w:p>
    <w:p w14:paraId="0927A826" w14:textId="77777777" w:rsidR="00DB160A" w:rsidRDefault="00DB160A" w:rsidP="00060DAB">
      <w:pPr>
        <w:spacing w:line="360" w:lineRule="auto"/>
        <w:jc w:val="center"/>
        <w:rPr>
          <w:rFonts w:ascii="Arial" w:eastAsia="Calibri" w:hAnsi="Arial" w:cs="Arial"/>
          <w:b/>
          <w:lang w:val="en-US"/>
        </w:rPr>
      </w:pPr>
    </w:p>
    <w:p w14:paraId="7DAC9545" w14:textId="77777777" w:rsidR="00DB160A" w:rsidRDefault="00DB160A" w:rsidP="00060DAB">
      <w:pPr>
        <w:spacing w:line="360" w:lineRule="auto"/>
        <w:jc w:val="center"/>
        <w:rPr>
          <w:rFonts w:ascii="Arial" w:eastAsia="Calibri" w:hAnsi="Arial" w:cs="Arial"/>
          <w:b/>
          <w:lang w:val="en-US"/>
        </w:rPr>
      </w:pPr>
    </w:p>
    <w:p w14:paraId="29B60F8F" w14:textId="607585B7" w:rsidR="00DB160A" w:rsidRDefault="00231C7C" w:rsidP="00060DAB">
      <w:pPr>
        <w:spacing w:line="360" w:lineRule="auto"/>
        <w:jc w:val="center"/>
        <w:rPr>
          <w:rFonts w:ascii="Arial" w:eastAsia="Calibri" w:hAnsi="Arial" w:cs="Arial"/>
          <w:b/>
          <w:lang w:val="en-US"/>
        </w:rPr>
      </w:pPr>
      <w:r>
        <w:rPr>
          <w:rFonts w:ascii="Arial" w:eastAsia="Calibri" w:hAnsi="Arial" w:cs="Arial"/>
          <w:b/>
          <w:lang w:val="en-US"/>
        </w:rPr>
        <w:t xml:space="preserve">         </w:t>
      </w:r>
      <w:r>
        <w:rPr>
          <w:rFonts w:ascii="Arial" w:eastAsia="Calibri" w:hAnsi="Arial" w:cs="Arial"/>
          <w:b/>
          <w:noProof/>
          <w:lang w:val="en-US"/>
        </w:rPr>
        <w:drawing>
          <wp:inline distT="0" distB="0" distL="0" distR="0" wp14:anchorId="3491529C" wp14:editId="55E2672E">
            <wp:extent cx="2735580" cy="2175461"/>
            <wp:effectExtent l="0" t="0" r="7620" b="0"/>
            <wp:docPr id="3" name="Picture 3" descr="A person with a be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with a beard&#10;&#10;Description automatically generated with low confiden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762700" cy="2197028"/>
                    </a:xfrm>
                    <a:prstGeom prst="rect">
                      <a:avLst/>
                    </a:prstGeom>
                    <a:noFill/>
                    <a:ln>
                      <a:noFill/>
                    </a:ln>
                  </pic:spPr>
                </pic:pic>
              </a:graphicData>
            </a:graphic>
          </wp:inline>
        </w:drawing>
      </w:r>
    </w:p>
    <w:p w14:paraId="63D22FB9" w14:textId="77777777" w:rsidR="00DB160A" w:rsidRDefault="00DB160A" w:rsidP="00060DAB">
      <w:pPr>
        <w:spacing w:line="360" w:lineRule="auto"/>
        <w:jc w:val="center"/>
        <w:rPr>
          <w:rFonts w:ascii="Arial" w:eastAsia="Calibri" w:hAnsi="Arial" w:cs="Arial"/>
          <w:b/>
          <w:lang w:val="en-US"/>
        </w:rPr>
      </w:pPr>
    </w:p>
    <w:p w14:paraId="703B53F1" w14:textId="08A054E3" w:rsidR="00060DAB" w:rsidRPr="00060DAB" w:rsidRDefault="00DB160A" w:rsidP="00231C7C">
      <w:pPr>
        <w:spacing w:line="360" w:lineRule="auto"/>
        <w:ind w:left="1440" w:firstLine="720"/>
        <w:rPr>
          <w:rFonts w:ascii="Arial" w:eastAsia="Calibri" w:hAnsi="Arial" w:cs="Arial"/>
          <w:b/>
          <w:lang w:val="en-US"/>
        </w:rPr>
      </w:pPr>
      <w:r>
        <w:rPr>
          <w:rFonts w:ascii="Arial" w:eastAsia="Calibri" w:hAnsi="Arial" w:cs="Arial"/>
          <w:b/>
          <w:noProof/>
          <w:lang w:val="en-US"/>
        </w:rPr>
        <w:drawing>
          <wp:inline distT="0" distB="0" distL="0" distR="0" wp14:anchorId="27179681" wp14:editId="6794F8A5">
            <wp:extent cx="3596640" cy="144018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96640" cy="1440180"/>
                    </a:xfrm>
                    <a:prstGeom prst="rect">
                      <a:avLst/>
                    </a:prstGeom>
                    <a:noFill/>
                    <a:ln>
                      <a:noFill/>
                    </a:ln>
                  </pic:spPr>
                </pic:pic>
              </a:graphicData>
            </a:graphic>
          </wp:inline>
        </w:drawing>
      </w:r>
    </w:p>
    <w:p w14:paraId="2F102822" w14:textId="77777777" w:rsidR="00060DAB" w:rsidRPr="00060DAB" w:rsidRDefault="00060DAB" w:rsidP="00060DAB">
      <w:pPr>
        <w:spacing w:line="256" w:lineRule="auto"/>
        <w:rPr>
          <w:rFonts w:ascii="Arial" w:eastAsia="Calibri" w:hAnsi="Arial" w:cs="Arial"/>
          <w:b/>
          <w:lang w:val="en-US"/>
        </w:rPr>
      </w:pPr>
      <w:r w:rsidRPr="00060DAB">
        <w:rPr>
          <w:rFonts w:ascii="Arial" w:eastAsia="Calibri" w:hAnsi="Arial" w:cs="Arial"/>
          <w:b/>
          <w:lang w:val="en-US"/>
        </w:rPr>
        <w:br w:type="page"/>
      </w:r>
    </w:p>
    <w:p w14:paraId="19E06344" w14:textId="5477E447" w:rsidR="00060DAB" w:rsidRPr="00060DAB" w:rsidRDefault="00060DAB" w:rsidP="00060DAB">
      <w:pPr>
        <w:spacing w:line="360" w:lineRule="auto"/>
        <w:jc w:val="center"/>
        <w:rPr>
          <w:rFonts w:ascii="Arial" w:eastAsia="Calibri" w:hAnsi="Arial" w:cs="Arial"/>
          <w:lang w:val="en-US"/>
        </w:rPr>
      </w:pPr>
      <w:r w:rsidRPr="00060DAB">
        <w:rPr>
          <w:rFonts w:ascii="Arial" w:eastAsia="Calibri" w:hAnsi="Arial" w:cs="Arial"/>
          <w:b/>
          <w:lang w:val="en-US"/>
        </w:rPr>
        <w:lastRenderedPageBreak/>
        <w:t xml:space="preserve">Problem Solving and Decision </w:t>
      </w:r>
      <w:r w:rsidR="00CB7448">
        <w:rPr>
          <w:rFonts w:ascii="Arial" w:eastAsia="Calibri" w:hAnsi="Arial" w:cs="Arial"/>
          <w:b/>
          <w:lang w:val="en-US"/>
        </w:rPr>
        <w:t>M</w:t>
      </w:r>
      <w:r w:rsidRPr="00060DAB">
        <w:rPr>
          <w:rFonts w:ascii="Arial" w:eastAsia="Calibri" w:hAnsi="Arial" w:cs="Arial"/>
          <w:b/>
          <w:lang w:val="en-US"/>
        </w:rPr>
        <w:t>aking</w:t>
      </w:r>
    </w:p>
    <w:p w14:paraId="504CE30C"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Problem description:</w:t>
      </w:r>
    </w:p>
    <w:p w14:paraId="30AF17CE"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The Mid Cheshire Hospitals NHS Foundation Trust (MCHT) encountered a very soaring issue in the healthcare sector that has both long and short term impacts on the hospital and industry. Absenteeism for the trust has resulted in a continuous increase despite their target for the 4.51%. The cost that has been borne by the hospital due to this absenteeism is about £1 million, which is a huge cost for a medium scale hospital trust. Not only that, the hospital had to experience a decline in the quality of work since a temporary and agency staff is acquired by the management to meet the needs of the hospital. </w:t>
      </w:r>
    </w:p>
    <w:p w14:paraId="48310883"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The absenteeism rate in the NHS is a very deep concern for the management since it is equipped with the misrepresentation of the information by the employees. However, there is a difference between sickness absenteeism and other absenteeism. Sickness absenteeism refers to the situation when the employees get sick to a level that due care by them for their health is required to have healthy body conditions. As a result, the employee has to be absent from work. Employees in the health sector are more prone to sickness absenteeism since they get in direct contact with infections and other illness-causing factors. Therefore health sector is impacted by the increased absenteeism requiring the management at the hospitals and state to come up with effective measures that would decrease the rate of absenteeism in the market.</w:t>
      </w:r>
    </w:p>
    <w:p w14:paraId="1C2058CB"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There are two types of absence present in the workplace. The first absence is the excused absence which is under the monitoring of the authorized management and is based on paid leave from work. Hence there is no charge on account of the employees. It is a very sudden situation and therefore can't be avoided other than staying at home. </w:t>
      </w:r>
    </w:p>
    <w:p w14:paraId="1FFB1700"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The second type is the chronic type of absenteeism which is considered to be more concerning. It is about the situation when the employees get absent from the work for a long time without taking the permission of the employers. The initiation of chronic absenteeism happens with regular sick leaves, or they would come late to work or leave early, and they tend to take longer breaks.</w:t>
      </w:r>
    </w:p>
    <w:p w14:paraId="7EAE17C3"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Nature of the problem:</w:t>
      </w:r>
    </w:p>
    <w:p w14:paraId="77D29FF4"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The case study presents a very actual and precise evaluation of the health sector; however, the conditions of the employees' leave from the workplace is almost the same as that of the trust. Many times, for the short term, these impacts are not evident; however, with the advancement in time and the magnitude, the organization start experiencing the </w:t>
      </w:r>
      <w:r w:rsidRPr="00060DAB">
        <w:rPr>
          <w:rFonts w:ascii="Arial" w:eastAsia="Calibri" w:hAnsi="Arial" w:cs="Arial"/>
          <w:lang w:val="en-US"/>
        </w:rPr>
        <w:lastRenderedPageBreak/>
        <w:t xml:space="preserve">consequence of the long term absenteeism of the employees. Therefore the trust started investing more attention to finding better solutions for the management of absenteeism. </w:t>
      </w:r>
    </w:p>
    <w:p w14:paraId="664F4741"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Long term impact of absenteeism:</w:t>
      </w:r>
    </w:p>
    <w:p w14:paraId="0A6D6CF2"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 Impact on the organization:</w:t>
      </w:r>
    </w:p>
    <w:p w14:paraId="22F93BB5"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The impact on the organization for long term absenteeism range from the loss of the financial aspects to the customer's dissatisfaction and the loss of the human resources. Therefore the organization have to suffer from how their employees choose to act. </w:t>
      </w:r>
    </w:p>
    <w:p w14:paraId="4E7466A5"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There is a significant segment of the businesses to show a great frustration for the long term absenteeism. Around one-third of the businesses feel frustration over the long term absenteeism of the student. They are unable to understand these impacts on the business to a large impact since it varies from organization to organization. As a result, they are not able to present a general image of it. For the organization, the absenteeism of the employees makes it cost a huge volume since it is presented that around 4.3 years of absenteeism of the average total working period of the employees (Caine, 2015). </w:t>
      </w:r>
    </w:p>
    <w:p w14:paraId="6292A440"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Even though there was a huge loss of absenteeism present in the market before the pandemic, however after the pandemic, when the employees had to stay at their homes, there was an increase in the overall rate of absenteeism. The costs and duration of this absenteeism were so high that 55% of businesses weren't even aware of the total damages that they were experiencing (2021). These consequences were projected to be present in the future. </w:t>
      </w:r>
    </w:p>
    <w:p w14:paraId="2EB42310"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Impact on the employees:</w:t>
      </w:r>
    </w:p>
    <w:p w14:paraId="4FB1E14C"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Where the employees' absenteeism impact the organization in the loss of productivity and quality, there are also calculated impact on the employees themselves as well. As compared to the overall European employees, UK employees are more likely to call in sick to their workplaces, therefore, causing more workday loss in the UK (Absenteeism More of an Issue among UK Staff than European Counterparts | Aon, 2018). Since not all of these absences were genuine, therefore, the workplaces weren't able to calculate the difference between sick absenteeism and chronic absenteeism. The employees who called in sick were agreed to the fact that it is acceptable to fake the sickness for the leave purpose several times a year. </w:t>
      </w:r>
    </w:p>
    <w:p w14:paraId="761CFB32"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Causes of the absence:</w:t>
      </w:r>
    </w:p>
    <w:p w14:paraId="50DD9E28"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The causes of absenteeism vary from one employee to the other, and there are several reasons to do so; therefore, the estimation of the actual causes isn't much possible; </w:t>
      </w:r>
      <w:r w:rsidRPr="00060DAB">
        <w:rPr>
          <w:rFonts w:ascii="Arial" w:eastAsia="Calibri" w:hAnsi="Arial" w:cs="Arial"/>
          <w:lang w:val="en-US"/>
        </w:rPr>
        <w:lastRenderedPageBreak/>
        <w:t>however, the researchers and the organizations are able to make them divided into different segments giving the more appealing reasons for absence. Some of them are given below:</w:t>
      </w:r>
    </w:p>
    <w:p w14:paraId="61093B12"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Physical health-related causes:</w:t>
      </w:r>
    </w:p>
    <w:p w14:paraId="3A2C19E0"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Physical health-related causes are the most commonly occurring reason for absence and therefore has been categorized in a specific segment of sickness absenteeism. Following are some types of physical health-related factors:</w:t>
      </w:r>
    </w:p>
    <w:p w14:paraId="48E97546"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Short term illness:</w:t>
      </w:r>
    </w:p>
    <w:p w14:paraId="3F44E289"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The employees who majorly call in sick for one day's leave or up to a week are significantly suffered from short term illnesses such as they might be infected with bacteria or flu virus. Moreover, they might be slightly injured, which isn't severe to make them stay absent for a long time; however, they still needed care from the employees. </w:t>
      </w:r>
    </w:p>
    <w:p w14:paraId="50B36F05"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Long term illness:</w:t>
      </w:r>
    </w:p>
    <w:p w14:paraId="0EB6F713"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Even though short term illness is the most occurring cause, the chances of long term illness are also higher. The employee might be suffering from an injury of the long term, such as they are unable to move for around a month; as a result, they have to stay absent. </w:t>
      </w:r>
    </w:p>
    <w:p w14:paraId="1C3148BB"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Sickness type:</w:t>
      </w:r>
    </w:p>
    <w:p w14:paraId="29BFE395"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The injuries and the musculoskeletal sickness are the most common type of illnesses that the employees suffer from. </w:t>
      </w:r>
    </w:p>
    <w:p w14:paraId="418AA711"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Pregnancy-related absence:</w:t>
      </w:r>
    </w:p>
    <w:p w14:paraId="7F380C24"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Maternity leaves are a fundamental right of the female employees, which varies from one country to the other. The female employees in the UK are entitled to claim 52 weeks of maternity leaves which are 26 basic maternity leaves, and the rest 26 are additional leaves. As a result, the organization has to look for an alternative. </w:t>
      </w:r>
    </w:p>
    <w:p w14:paraId="2436C088"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Mental health:</w:t>
      </w:r>
    </w:p>
    <w:p w14:paraId="6384FA32"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Mental health is another leading cause of absenteeism, which wasn't taken into consideration in the past; however, with the increase in the research about the mental health and consequences of the damaged mental health, there was an increase in acceptance of its impact on the workplaces as well. The type of mental health issues that impacts workplace performance and the increase in absenteeism includes stress, depression and addiction. </w:t>
      </w:r>
    </w:p>
    <w:p w14:paraId="7F7F335E"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Life-related absence:</w:t>
      </w:r>
    </w:p>
    <w:p w14:paraId="4DE289DE"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lastRenderedPageBreak/>
        <w:t xml:space="preserve">The absence which is related to the life factor includes the children problem such as the young or single mothers have to manage their personal and professional life and several of don't get any support from the spouse; as a result, they have to take leaves again and again. Moreover, a change in responsibility also impacts the work-life since they have to manage their personal and professional time at the same time. </w:t>
      </w:r>
    </w:p>
    <w:p w14:paraId="06CFF912"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Impact of absenteeism:</w:t>
      </w:r>
    </w:p>
    <w:p w14:paraId="7392DED5"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The impact of absenteeism includes the following important factors:</w:t>
      </w:r>
    </w:p>
    <w:p w14:paraId="647B9387"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Decrease in productivity:</w:t>
      </w:r>
    </w:p>
    <w:p w14:paraId="73D78F83"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When the employees call in sick or have an uninformed absence, they impact the organizational structure and also their productivity decreases.</w:t>
      </w:r>
    </w:p>
    <w:p w14:paraId="2FA97CE4"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Poor quality services:</w:t>
      </w:r>
    </w:p>
    <w:p w14:paraId="14290AAD"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The quality of the operations also decreased since the organization has to replace them with short employees who will work there temporarily. As a result, the whole image of the company suffers. </w:t>
      </w:r>
    </w:p>
    <w:p w14:paraId="058B4C25"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Negative impact on company culture:</w:t>
      </w:r>
    </w:p>
    <w:p w14:paraId="4BF4CAE2"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The culture of the organization, which has a higher rate of absence, the presence of internal conflicts is also significant for the organization. </w:t>
      </w:r>
    </w:p>
    <w:p w14:paraId="091816B9"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Demotivated employees;</w:t>
      </w:r>
    </w:p>
    <w:p w14:paraId="7C2C69C8"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Employees have to cover for their absent colleagues and therefore put more effort into their actual jobs and the additional responsibility (</w:t>
      </w:r>
      <w:proofErr w:type="spellStart"/>
      <w:r w:rsidRPr="00060DAB">
        <w:rPr>
          <w:rFonts w:ascii="Arial" w:eastAsia="Calibri" w:hAnsi="Arial" w:cs="Arial"/>
          <w:lang w:val="en-US"/>
        </w:rPr>
        <w:t>Hacket</w:t>
      </w:r>
      <w:proofErr w:type="spellEnd"/>
      <w:r w:rsidRPr="00060DAB">
        <w:rPr>
          <w:rFonts w:ascii="Arial" w:eastAsia="Calibri" w:hAnsi="Arial" w:cs="Arial"/>
          <w:lang w:val="en-US"/>
        </w:rPr>
        <w:t xml:space="preserve">, 1989). As a result, they feel demotivated and exploited. </w:t>
      </w:r>
    </w:p>
    <w:p w14:paraId="4EE30ECC"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Poor teamwork:</w:t>
      </w:r>
    </w:p>
    <w:p w14:paraId="77BB8CBC"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When one person in the team always stay absent, there are high chances that they might not be able to create effective teams at the workplace and the team performance remains poor. </w:t>
      </w:r>
    </w:p>
    <w:p w14:paraId="71130653"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Decreased revenue:</w:t>
      </w:r>
    </w:p>
    <w:p w14:paraId="01E68C14"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When all of these factors are presented to be the reason for the absenteeism, the review of the company also decreases since the focus of the company revolves around making the employees stop the absenteeism; as a result, there is very little revenue accumulated from the operations.</w:t>
      </w:r>
    </w:p>
    <w:p w14:paraId="04987A5D"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lastRenderedPageBreak/>
        <w:t>Pestle analysis:</w:t>
      </w:r>
    </w:p>
    <w:p w14:paraId="689B03DF"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The pestle analysis is important to be followed to avoid the political and other factors of impact. </w:t>
      </w:r>
    </w:p>
    <w:p w14:paraId="1DF07ACA"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Political/ legal:</w:t>
      </w:r>
    </w:p>
    <w:p w14:paraId="2DA35A72"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The workplace-related policies which are associated with the employee's absenteeism are significant, which impact the employees' trend to get absent a lot. </w:t>
      </w:r>
    </w:p>
    <w:p w14:paraId="6ED190B1"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Environment factors:</w:t>
      </w:r>
    </w:p>
    <w:p w14:paraId="78A8C8DD"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The environmental factors include a negative working environment and the personal hardship that the employees face. </w:t>
      </w:r>
    </w:p>
    <w:p w14:paraId="7E2EBC25"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Social factors:</w:t>
      </w:r>
    </w:p>
    <w:p w14:paraId="61F4CD01"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The employees are impacted by the lower rate of income are the impact factors of industry, and substance abuse are the reason for the higher social impact (</w:t>
      </w:r>
      <w:proofErr w:type="spellStart"/>
      <w:r w:rsidRPr="00060DAB">
        <w:rPr>
          <w:rFonts w:ascii="Arial" w:eastAsia="Calibri" w:hAnsi="Arial" w:cs="Arial"/>
          <w:lang w:val="en-US"/>
        </w:rPr>
        <w:t>Dello</w:t>
      </w:r>
      <w:proofErr w:type="spellEnd"/>
      <w:r w:rsidRPr="00060DAB">
        <w:rPr>
          <w:rFonts w:ascii="Arial" w:eastAsia="Calibri" w:hAnsi="Arial" w:cs="Arial"/>
          <w:lang w:val="en-US"/>
        </w:rPr>
        <w:t xml:space="preserve"> Russo et al., 2013). Moreover, the change in the demographic changes is also a great social impact on increased absenteeism. </w:t>
      </w:r>
    </w:p>
    <w:p w14:paraId="0769790E"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Technological:</w:t>
      </w:r>
    </w:p>
    <w:p w14:paraId="7455D1D1"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The technological factors include the presence of the lack of required skill set for the handling and management of the technologies and digital devices. As a result, the employees tend to not come rather than feeling frustration while handling the. </w:t>
      </w:r>
    </w:p>
    <w:p w14:paraId="1B5F46EC"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Economic:</w:t>
      </w:r>
    </w:p>
    <w:p w14:paraId="31309949"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The unstable financial condition of the employees and the poor appraisal system isn't taken as the optimistic factor to impact the absenteeism level in the organization. </w:t>
      </w:r>
    </w:p>
    <w:p w14:paraId="30755F49"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Grid analysis:</w:t>
      </w:r>
    </w:p>
    <w:tbl>
      <w:tblPr>
        <w:tblStyle w:val="TableGrid"/>
        <w:tblW w:w="0" w:type="auto"/>
        <w:tblInd w:w="0" w:type="dxa"/>
        <w:tblLook w:val="04A0" w:firstRow="1" w:lastRow="0" w:firstColumn="1" w:lastColumn="0" w:noHBand="0" w:noVBand="1"/>
      </w:tblPr>
      <w:tblGrid>
        <w:gridCol w:w="1463"/>
        <w:gridCol w:w="1325"/>
        <w:gridCol w:w="1260"/>
        <w:gridCol w:w="1367"/>
        <w:gridCol w:w="1223"/>
        <w:gridCol w:w="1427"/>
        <w:gridCol w:w="951"/>
      </w:tblGrid>
      <w:tr w:rsidR="00060DAB" w:rsidRPr="00060DAB" w14:paraId="22F0777D" w14:textId="77777777" w:rsidTr="00060DAB">
        <w:tc>
          <w:tcPr>
            <w:tcW w:w="1550" w:type="dxa"/>
            <w:tcBorders>
              <w:top w:val="single" w:sz="4" w:space="0" w:color="auto"/>
              <w:left w:val="single" w:sz="4" w:space="0" w:color="auto"/>
              <w:bottom w:val="single" w:sz="4" w:space="0" w:color="auto"/>
              <w:right w:val="single" w:sz="4" w:space="0" w:color="auto"/>
            </w:tcBorders>
            <w:hideMark/>
          </w:tcPr>
          <w:p w14:paraId="21D53E3A" w14:textId="77777777" w:rsidR="00060DAB" w:rsidRPr="00060DAB" w:rsidRDefault="00060DAB" w:rsidP="00060DAB">
            <w:pPr>
              <w:spacing w:line="360" w:lineRule="auto"/>
              <w:rPr>
                <w:rFonts w:ascii="Arial" w:hAnsi="Arial" w:cs="Arial"/>
              </w:rPr>
            </w:pPr>
            <w:r w:rsidRPr="00060DAB">
              <w:rPr>
                <w:rFonts w:ascii="Arial" w:hAnsi="Arial" w:cs="Arial"/>
              </w:rPr>
              <w:t xml:space="preserve">Factor </w:t>
            </w:r>
          </w:p>
        </w:tc>
        <w:tc>
          <w:tcPr>
            <w:tcW w:w="1386" w:type="dxa"/>
            <w:tcBorders>
              <w:top w:val="single" w:sz="4" w:space="0" w:color="auto"/>
              <w:left w:val="single" w:sz="4" w:space="0" w:color="auto"/>
              <w:bottom w:val="single" w:sz="4" w:space="0" w:color="auto"/>
              <w:right w:val="single" w:sz="4" w:space="0" w:color="auto"/>
            </w:tcBorders>
            <w:hideMark/>
          </w:tcPr>
          <w:p w14:paraId="0CC0EE39" w14:textId="77777777" w:rsidR="00060DAB" w:rsidRPr="00060DAB" w:rsidRDefault="00060DAB" w:rsidP="00060DAB">
            <w:pPr>
              <w:spacing w:line="360" w:lineRule="auto"/>
              <w:rPr>
                <w:rFonts w:ascii="Arial" w:hAnsi="Arial" w:cs="Arial"/>
              </w:rPr>
            </w:pPr>
            <w:r w:rsidRPr="00060DAB">
              <w:rPr>
                <w:rFonts w:ascii="Arial" w:hAnsi="Arial" w:cs="Arial"/>
              </w:rPr>
              <w:t xml:space="preserve">Physical Health-related issues </w:t>
            </w:r>
          </w:p>
        </w:tc>
        <w:tc>
          <w:tcPr>
            <w:tcW w:w="1338" w:type="dxa"/>
            <w:tcBorders>
              <w:top w:val="single" w:sz="4" w:space="0" w:color="auto"/>
              <w:left w:val="single" w:sz="4" w:space="0" w:color="auto"/>
              <w:bottom w:val="single" w:sz="4" w:space="0" w:color="auto"/>
              <w:right w:val="single" w:sz="4" w:space="0" w:color="auto"/>
            </w:tcBorders>
            <w:hideMark/>
          </w:tcPr>
          <w:p w14:paraId="607FA831" w14:textId="77777777" w:rsidR="00060DAB" w:rsidRPr="00060DAB" w:rsidRDefault="00060DAB" w:rsidP="00060DAB">
            <w:pPr>
              <w:spacing w:line="360" w:lineRule="auto"/>
              <w:rPr>
                <w:rFonts w:ascii="Arial" w:hAnsi="Arial" w:cs="Arial"/>
              </w:rPr>
            </w:pPr>
            <w:r w:rsidRPr="00060DAB">
              <w:rPr>
                <w:rFonts w:ascii="Arial" w:hAnsi="Arial" w:cs="Arial"/>
              </w:rPr>
              <w:t xml:space="preserve">Mental health-related issue </w:t>
            </w:r>
          </w:p>
        </w:tc>
        <w:tc>
          <w:tcPr>
            <w:tcW w:w="1426" w:type="dxa"/>
            <w:tcBorders>
              <w:top w:val="single" w:sz="4" w:space="0" w:color="auto"/>
              <w:left w:val="single" w:sz="4" w:space="0" w:color="auto"/>
              <w:bottom w:val="single" w:sz="4" w:space="0" w:color="auto"/>
              <w:right w:val="single" w:sz="4" w:space="0" w:color="auto"/>
            </w:tcBorders>
            <w:hideMark/>
          </w:tcPr>
          <w:p w14:paraId="1C645571" w14:textId="77777777" w:rsidR="00060DAB" w:rsidRPr="00060DAB" w:rsidRDefault="00060DAB" w:rsidP="00060DAB">
            <w:pPr>
              <w:spacing w:line="360" w:lineRule="auto"/>
              <w:rPr>
                <w:rFonts w:ascii="Arial" w:hAnsi="Arial" w:cs="Arial"/>
              </w:rPr>
            </w:pPr>
            <w:r w:rsidRPr="00060DAB">
              <w:rPr>
                <w:rFonts w:ascii="Arial" w:hAnsi="Arial" w:cs="Arial"/>
              </w:rPr>
              <w:t xml:space="preserve">Personal life factors </w:t>
            </w:r>
          </w:p>
        </w:tc>
        <w:tc>
          <w:tcPr>
            <w:tcW w:w="1273" w:type="dxa"/>
            <w:tcBorders>
              <w:top w:val="single" w:sz="4" w:space="0" w:color="auto"/>
              <w:left w:val="single" w:sz="4" w:space="0" w:color="auto"/>
              <w:bottom w:val="single" w:sz="4" w:space="0" w:color="auto"/>
              <w:right w:val="single" w:sz="4" w:space="0" w:color="auto"/>
            </w:tcBorders>
            <w:hideMark/>
          </w:tcPr>
          <w:p w14:paraId="502E8A45" w14:textId="77777777" w:rsidR="00060DAB" w:rsidRPr="00060DAB" w:rsidRDefault="00060DAB" w:rsidP="00060DAB">
            <w:pPr>
              <w:spacing w:line="360" w:lineRule="auto"/>
              <w:rPr>
                <w:rFonts w:ascii="Arial" w:hAnsi="Arial" w:cs="Arial"/>
              </w:rPr>
            </w:pPr>
            <w:r w:rsidRPr="00060DAB">
              <w:rPr>
                <w:rFonts w:ascii="Arial" w:hAnsi="Arial" w:cs="Arial"/>
              </w:rPr>
              <w:t xml:space="preserve">Looking for a new job </w:t>
            </w:r>
          </w:p>
        </w:tc>
        <w:tc>
          <w:tcPr>
            <w:tcW w:w="1374" w:type="dxa"/>
            <w:tcBorders>
              <w:top w:val="single" w:sz="4" w:space="0" w:color="auto"/>
              <w:left w:val="single" w:sz="4" w:space="0" w:color="auto"/>
              <w:bottom w:val="single" w:sz="4" w:space="0" w:color="auto"/>
              <w:right w:val="single" w:sz="4" w:space="0" w:color="auto"/>
            </w:tcBorders>
            <w:hideMark/>
          </w:tcPr>
          <w:p w14:paraId="247B5814" w14:textId="77777777" w:rsidR="00060DAB" w:rsidRPr="00060DAB" w:rsidRDefault="00060DAB" w:rsidP="00060DAB">
            <w:pPr>
              <w:spacing w:line="360" w:lineRule="auto"/>
              <w:rPr>
                <w:rFonts w:ascii="Arial" w:hAnsi="Arial" w:cs="Arial"/>
              </w:rPr>
            </w:pPr>
            <w:r w:rsidRPr="00060DAB">
              <w:rPr>
                <w:rFonts w:ascii="Arial" w:hAnsi="Arial" w:cs="Arial"/>
              </w:rPr>
              <w:t xml:space="preserve">Poor working environment </w:t>
            </w:r>
          </w:p>
        </w:tc>
        <w:tc>
          <w:tcPr>
            <w:tcW w:w="1003" w:type="dxa"/>
            <w:tcBorders>
              <w:top w:val="single" w:sz="4" w:space="0" w:color="auto"/>
              <w:left w:val="single" w:sz="4" w:space="0" w:color="auto"/>
              <w:bottom w:val="single" w:sz="4" w:space="0" w:color="auto"/>
              <w:right w:val="single" w:sz="4" w:space="0" w:color="auto"/>
            </w:tcBorders>
            <w:hideMark/>
          </w:tcPr>
          <w:p w14:paraId="2AEEB708" w14:textId="77777777" w:rsidR="00060DAB" w:rsidRPr="00060DAB" w:rsidRDefault="00060DAB" w:rsidP="00060DAB">
            <w:pPr>
              <w:spacing w:line="360" w:lineRule="auto"/>
              <w:rPr>
                <w:rFonts w:ascii="Arial" w:hAnsi="Arial" w:cs="Arial"/>
              </w:rPr>
            </w:pPr>
            <w:r w:rsidRPr="00060DAB">
              <w:rPr>
                <w:rFonts w:ascii="Arial" w:hAnsi="Arial" w:cs="Arial"/>
              </w:rPr>
              <w:t xml:space="preserve">Total </w:t>
            </w:r>
          </w:p>
        </w:tc>
      </w:tr>
      <w:tr w:rsidR="00060DAB" w:rsidRPr="00060DAB" w14:paraId="0C1A21D3" w14:textId="77777777" w:rsidTr="00060DAB">
        <w:trPr>
          <w:trHeight w:val="512"/>
        </w:trPr>
        <w:tc>
          <w:tcPr>
            <w:tcW w:w="1550" w:type="dxa"/>
            <w:tcBorders>
              <w:top w:val="single" w:sz="4" w:space="0" w:color="auto"/>
              <w:left w:val="single" w:sz="4" w:space="0" w:color="auto"/>
              <w:bottom w:val="single" w:sz="4" w:space="0" w:color="auto"/>
              <w:right w:val="single" w:sz="4" w:space="0" w:color="auto"/>
            </w:tcBorders>
            <w:hideMark/>
          </w:tcPr>
          <w:p w14:paraId="7E24B81E" w14:textId="77777777" w:rsidR="00060DAB" w:rsidRPr="00060DAB" w:rsidRDefault="00060DAB" w:rsidP="00060DAB">
            <w:pPr>
              <w:spacing w:line="360" w:lineRule="auto"/>
              <w:rPr>
                <w:rFonts w:ascii="Arial" w:hAnsi="Arial" w:cs="Arial"/>
              </w:rPr>
            </w:pPr>
            <w:r w:rsidRPr="00060DAB">
              <w:rPr>
                <w:rFonts w:ascii="Arial" w:hAnsi="Arial" w:cs="Arial"/>
              </w:rPr>
              <w:t xml:space="preserve">Sick absence </w:t>
            </w:r>
          </w:p>
        </w:tc>
        <w:tc>
          <w:tcPr>
            <w:tcW w:w="1386" w:type="dxa"/>
            <w:tcBorders>
              <w:top w:val="single" w:sz="4" w:space="0" w:color="auto"/>
              <w:left w:val="single" w:sz="4" w:space="0" w:color="auto"/>
              <w:bottom w:val="single" w:sz="4" w:space="0" w:color="auto"/>
              <w:right w:val="single" w:sz="4" w:space="0" w:color="auto"/>
            </w:tcBorders>
            <w:hideMark/>
          </w:tcPr>
          <w:p w14:paraId="61B86290" w14:textId="77777777" w:rsidR="00060DAB" w:rsidRPr="00060DAB" w:rsidRDefault="00060DAB" w:rsidP="00060DAB">
            <w:pPr>
              <w:spacing w:line="360" w:lineRule="auto"/>
              <w:rPr>
                <w:rFonts w:ascii="Arial" w:hAnsi="Arial" w:cs="Arial"/>
              </w:rPr>
            </w:pPr>
            <w:r w:rsidRPr="00060DAB">
              <w:rPr>
                <w:rFonts w:ascii="Arial" w:hAnsi="Arial" w:cs="Arial"/>
              </w:rPr>
              <w:t>8</w:t>
            </w:r>
          </w:p>
        </w:tc>
        <w:tc>
          <w:tcPr>
            <w:tcW w:w="1338" w:type="dxa"/>
            <w:tcBorders>
              <w:top w:val="single" w:sz="4" w:space="0" w:color="auto"/>
              <w:left w:val="single" w:sz="4" w:space="0" w:color="auto"/>
              <w:bottom w:val="single" w:sz="4" w:space="0" w:color="auto"/>
              <w:right w:val="single" w:sz="4" w:space="0" w:color="auto"/>
            </w:tcBorders>
            <w:hideMark/>
          </w:tcPr>
          <w:p w14:paraId="79AA1E54" w14:textId="77777777" w:rsidR="00060DAB" w:rsidRPr="00060DAB" w:rsidRDefault="00060DAB" w:rsidP="00060DAB">
            <w:pPr>
              <w:spacing w:line="360" w:lineRule="auto"/>
              <w:rPr>
                <w:rFonts w:ascii="Arial" w:hAnsi="Arial" w:cs="Arial"/>
              </w:rPr>
            </w:pPr>
            <w:r w:rsidRPr="00060DAB">
              <w:rPr>
                <w:rFonts w:ascii="Arial" w:hAnsi="Arial" w:cs="Arial"/>
              </w:rPr>
              <w:t>8</w:t>
            </w:r>
          </w:p>
        </w:tc>
        <w:tc>
          <w:tcPr>
            <w:tcW w:w="1426" w:type="dxa"/>
            <w:tcBorders>
              <w:top w:val="single" w:sz="4" w:space="0" w:color="auto"/>
              <w:left w:val="single" w:sz="4" w:space="0" w:color="auto"/>
              <w:bottom w:val="single" w:sz="4" w:space="0" w:color="auto"/>
              <w:right w:val="single" w:sz="4" w:space="0" w:color="auto"/>
            </w:tcBorders>
            <w:hideMark/>
          </w:tcPr>
          <w:p w14:paraId="0E5A6B90" w14:textId="77777777" w:rsidR="00060DAB" w:rsidRPr="00060DAB" w:rsidRDefault="00060DAB" w:rsidP="00060DAB">
            <w:pPr>
              <w:spacing w:line="360" w:lineRule="auto"/>
              <w:rPr>
                <w:rFonts w:ascii="Arial" w:hAnsi="Arial" w:cs="Arial"/>
              </w:rPr>
            </w:pPr>
            <w:r w:rsidRPr="00060DAB">
              <w:rPr>
                <w:rFonts w:ascii="Arial" w:hAnsi="Arial" w:cs="Arial"/>
              </w:rPr>
              <w:t>3</w:t>
            </w:r>
          </w:p>
        </w:tc>
        <w:tc>
          <w:tcPr>
            <w:tcW w:w="1273" w:type="dxa"/>
            <w:tcBorders>
              <w:top w:val="single" w:sz="4" w:space="0" w:color="auto"/>
              <w:left w:val="single" w:sz="4" w:space="0" w:color="auto"/>
              <w:bottom w:val="single" w:sz="4" w:space="0" w:color="auto"/>
              <w:right w:val="single" w:sz="4" w:space="0" w:color="auto"/>
            </w:tcBorders>
            <w:hideMark/>
          </w:tcPr>
          <w:p w14:paraId="3DDD2E48" w14:textId="77777777" w:rsidR="00060DAB" w:rsidRPr="00060DAB" w:rsidRDefault="00060DAB" w:rsidP="00060DAB">
            <w:pPr>
              <w:spacing w:line="360" w:lineRule="auto"/>
              <w:rPr>
                <w:rFonts w:ascii="Arial" w:hAnsi="Arial" w:cs="Arial"/>
              </w:rPr>
            </w:pPr>
            <w:r w:rsidRPr="00060DAB">
              <w:rPr>
                <w:rFonts w:ascii="Arial" w:hAnsi="Arial" w:cs="Arial"/>
              </w:rPr>
              <w:t>0</w:t>
            </w:r>
          </w:p>
        </w:tc>
        <w:tc>
          <w:tcPr>
            <w:tcW w:w="1374" w:type="dxa"/>
            <w:tcBorders>
              <w:top w:val="single" w:sz="4" w:space="0" w:color="auto"/>
              <w:left w:val="single" w:sz="4" w:space="0" w:color="auto"/>
              <w:bottom w:val="single" w:sz="4" w:space="0" w:color="auto"/>
              <w:right w:val="single" w:sz="4" w:space="0" w:color="auto"/>
            </w:tcBorders>
            <w:hideMark/>
          </w:tcPr>
          <w:p w14:paraId="6945581F" w14:textId="77777777" w:rsidR="00060DAB" w:rsidRPr="00060DAB" w:rsidRDefault="00060DAB" w:rsidP="00060DAB">
            <w:pPr>
              <w:spacing w:line="360" w:lineRule="auto"/>
              <w:rPr>
                <w:rFonts w:ascii="Arial" w:hAnsi="Arial" w:cs="Arial"/>
              </w:rPr>
            </w:pPr>
            <w:r w:rsidRPr="00060DAB">
              <w:rPr>
                <w:rFonts w:ascii="Arial" w:hAnsi="Arial" w:cs="Arial"/>
              </w:rPr>
              <w:t>7</w:t>
            </w:r>
          </w:p>
        </w:tc>
        <w:tc>
          <w:tcPr>
            <w:tcW w:w="1003" w:type="dxa"/>
            <w:tcBorders>
              <w:top w:val="single" w:sz="4" w:space="0" w:color="auto"/>
              <w:left w:val="single" w:sz="4" w:space="0" w:color="auto"/>
              <w:bottom w:val="single" w:sz="4" w:space="0" w:color="auto"/>
              <w:right w:val="single" w:sz="4" w:space="0" w:color="auto"/>
            </w:tcBorders>
            <w:hideMark/>
          </w:tcPr>
          <w:p w14:paraId="2452808B" w14:textId="77777777" w:rsidR="00060DAB" w:rsidRPr="00060DAB" w:rsidRDefault="00060DAB" w:rsidP="00060DAB">
            <w:pPr>
              <w:spacing w:line="360" w:lineRule="auto"/>
              <w:rPr>
                <w:rFonts w:ascii="Arial" w:hAnsi="Arial" w:cs="Arial"/>
              </w:rPr>
            </w:pPr>
            <w:r w:rsidRPr="00060DAB">
              <w:rPr>
                <w:rFonts w:ascii="Arial" w:hAnsi="Arial" w:cs="Arial"/>
              </w:rPr>
              <w:t>26</w:t>
            </w:r>
          </w:p>
        </w:tc>
      </w:tr>
      <w:tr w:rsidR="00060DAB" w:rsidRPr="00060DAB" w14:paraId="498767A4" w14:textId="77777777" w:rsidTr="00060DAB">
        <w:tc>
          <w:tcPr>
            <w:tcW w:w="1550" w:type="dxa"/>
            <w:tcBorders>
              <w:top w:val="single" w:sz="4" w:space="0" w:color="auto"/>
              <w:left w:val="single" w:sz="4" w:space="0" w:color="auto"/>
              <w:bottom w:val="single" w:sz="4" w:space="0" w:color="auto"/>
              <w:right w:val="single" w:sz="4" w:space="0" w:color="auto"/>
            </w:tcBorders>
            <w:hideMark/>
          </w:tcPr>
          <w:p w14:paraId="61906082" w14:textId="77777777" w:rsidR="00060DAB" w:rsidRPr="00060DAB" w:rsidRDefault="00060DAB" w:rsidP="00060DAB">
            <w:pPr>
              <w:spacing w:line="360" w:lineRule="auto"/>
              <w:rPr>
                <w:rFonts w:ascii="Arial" w:hAnsi="Arial" w:cs="Arial"/>
              </w:rPr>
            </w:pPr>
            <w:r w:rsidRPr="00060DAB">
              <w:rPr>
                <w:rFonts w:ascii="Arial" w:hAnsi="Arial" w:cs="Arial"/>
              </w:rPr>
              <w:t xml:space="preserve">Chronic absence </w:t>
            </w:r>
          </w:p>
        </w:tc>
        <w:tc>
          <w:tcPr>
            <w:tcW w:w="1386" w:type="dxa"/>
            <w:tcBorders>
              <w:top w:val="single" w:sz="4" w:space="0" w:color="auto"/>
              <w:left w:val="single" w:sz="4" w:space="0" w:color="auto"/>
              <w:bottom w:val="single" w:sz="4" w:space="0" w:color="auto"/>
              <w:right w:val="single" w:sz="4" w:space="0" w:color="auto"/>
            </w:tcBorders>
            <w:hideMark/>
          </w:tcPr>
          <w:p w14:paraId="7AD358A7" w14:textId="77777777" w:rsidR="00060DAB" w:rsidRPr="00060DAB" w:rsidRDefault="00060DAB" w:rsidP="00060DAB">
            <w:pPr>
              <w:spacing w:line="360" w:lineRule="auto"/>
              <w:rPr>
                <w:rFonts w:ascii="Arial" w:hAnsi="Arial" w:cs="Arial"/>
              </w:rPr>
            </w:pPr>
            <w:r w:rsidRPr="00060DAB">
              <w:rPr>
                <w:rFonts w:ascii="Arial" w:hAnsi="Arial" w:cs="Arial"/>
              </w:rPr>
              <w:t>2</w:t>
            </w:r>
          </w:p>
        </w:tc>
        <w:tc>
          <w:tcPr>
            <w:tcW w:w="1338" w:type="dxa"/>
            <w:tcBorders>
              <w:top w:val="single" w:sz="4" w:space="0" w:color="auto"/>
              <w:left w:val="single" w:sz="4" w:space="0" w:color="auto"/>
              <w:bottom w:val="single" w:sz="4" w:space="0" w:color="auto"/>
              <w:right w:val="single" w:sz="4" w:space="0" w:color="auto"/>
            </w:tcBorders>
            <w:hideMark/>
          </w:tcPr>
          <w:p w14:paraId="18FD016C" w14:textId="77777777" w:rsidR="00060DAB" w:rsidRPr="00060DAB" w:rsidRDefault="00060DAB" w:rsidP="00060DAB">
            <w:pPr>
              <w:spacing w:line="360" w:lineRule="auto"/>
              <w:rPr>
                <w:rFonts w:ascii="Arial" w:hAnsi="Arial" w:cs="Arial"/>
              </w:rPr>
            </w:pPr>
            <w:r w:rsidRPr="00060DAB">
              <w:rPr>
                <w:rFonts w:ascii="Arial" w:hAnsi="Arial" w:cs="Arial"/>
              </w:rPr>
              <w:t>4</w:t>
            </w:r>
          </w:p>
        </w:tc>
        <w:tc>
          <w:tcPr>
            <w:tcW w:w="1426" w:type="dxa"/>
            <w:tcBorders>
              <w:top w:val="single" w:sz="4" w:space="0" w:color="auto"/>
              <w:left w:val="single" w:sz="4" w:space="0" w:color="auto"/>
              <w:bottom w:val="single" w:sz="4" w:space="0" w:color="auto"/>
              <w:right w:val="single" w:sz="4" w:space="0" w:color="auto"/>
            </w:tcBorders>
            <w:hideMark/>
          </w:tcPr>
          <w:p w14:paraId="3D2C3E5D" w14:textId="77777777" w:rsidR="00060DAB" w:rsidRPr="00060DAB" w:rsidRDefault="00060DAB" w:rsidP="00060DAB">
            <w:pPr>
              <w:spacing w:line="360" w:lineRule="auto"/>
              <w:rPr>
                <w:rFonts w:ascii="Arial" w:hAnsi="Arial" w:cs="Arial"/>
              </w:rPr>
            </w:pPr>
            <w:r w:rsidRPr="00060DAB">
              <w:rPr>
                <w:rFonts w:ascii="Arial" w:hAnsi="Arial" w:cs="Arial"/>
              </w:rPr>
              <w:t>9</w:t>
            </w:r>
          </w:p>
        </w:tc>
        <w:tc>
          <w:tcPr>
            <w:tcW w:w="1273" w:type="dxa"/>
            <w:tcBorders>
              <w:top w:val="single" w:sz="4" w:space="0" w:color="auto"/>
              <w:left w:val="single" w:sz="4" w:space="0" w:color="auto"/>
              <w:bottom w:val="single" w:sz="4" w:space="0" w:color="auto"/>
              <w:right w:val="single" w:sz="4" w:space="0" w:color="auto"/>
            </w:tcBorders>
            <w:hideMark/>
          </w:tcPr>
          <w:p w14:paraId="65613D1D" w14:textId="77777777" w:rsidR="00060DAB" w:rsidRPr="00060DAB" w:rsidRDefault="00060DAB" w:rsidP="00060DAB">
            <w:pPr>
              <w:spacing w:line="360" w:lineRule="auto"/>
              <w:rPr>
                <w:rFonts w:ascii="Arial" w:hAnsi="Arial" w:cs="Arial"/>
              </w:rPr>
            </w:pPr>
            <w:r w:rsidRPr="00060DAB">
              <w:rPr>
                <w:rFonts w:ascii="Arial" w:hAnsi="Arial" w:cs="Arial"/>
              </w:rPr>
              <w:t>7</w:t>
            </w:r>
          </w:p>
        </w:tc>
        <w:tc>
          <w:tcPr>
            <w:tcW w:w="1374" w:type="dxa"/>
            <w:tcBorders>
              <w:top w:val="single" w:sz="4" w:space="0" w:color="auto"/>
              <w:left w:val="single" w:sz="4" w:space="0" w:color="auto"/>
              <w:bottom w:val="single" w:sz="4" w:space="0" w:color="auto"/>
              <w:right w:val="single" w:sz="4" w:space="0" w:color="auto"/>
            </w:tcBorders>
            <w:hideMark/>
          </w:tcPr>
          <w:p w14:paraId="5E727EBD" w14:textId="77777777" w:rsidR="00060DAB" w:rsidRPr="00060DAB" w:rsidRDefault="00060DAB" w:rsidP="00060DAB">
            <w:pPr>
              <w:spacing w:line="360" w:lineRule="auto"/>
              <w:rPr>
                <w:rFonts w:ascii="Arial" w:hAnsi="Arial" w:cs="Arial"/>
              </w:rPr>
            </w:pPr>
            <w:r w:rsidRPr="00060DAB">
              <w:rPr>
                <w:rFonts w:ascii="Arial" w:hAnsi="Arial" w:cs="Arial"/>
              </w:rPr>
              <w:t>7</w:t>
            </w:r>
          </w:p>
        </w:tc>
        <w:tc>
          <w:tcPr>
            <w:tcW w:w="1003" w:type="dxa"/>
            <w:tcBorders>
              <w:top w:val="single" w:sz="4" w:space="0" w:color="auto"/>
              <w:left w:val="single" w:sz="4" w:space="0" w:color="auto"/>
              <w:bottom w:val="single" w:sz="4" w:space="0" w:color="auto"/>
              <w:right w:val="single" w:sz="4" w:space="0" w:color="auto"/>
            </w:tcBorders>
            <w:hideMark/>
          </w:tcPr>
          <w:p w14:paraId="69750681" w14:textId="77777777" w:rsidR="00060DAB" w:rsidRPr="00060DAB" w:rsidRDefault="00060DAB" w:rsidP="00060DAB">
            <w:pPr>
              <w:spacing w:line="360" w:lineRule="auto"/>
              <w:rPr>
                <w:rFonts w:ascii="Arial" w:hAnsi="Arial" w:cs="Arial"/>
              </w:rPr>
            </w:pPr>
            <w:r w:rsidRPr="00060DAB">
              <w:rPr>
                <w:rFonts w:ascii="Arial" w:hAnsi="Arial" w:cs="Arial"/>
              </w:rPr>
              <w:t>29</w:t>
            </w:r>
          </w:p>
        </w:tc>
      </w:tr>
    </w:tbl>
    <w:p w14:paraId="6A9FE42E"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lastRenderedPageBreak/>
        <w:t xml:space="preserve"> According to the grid analysis, the presence of the chronic absence has more concerns and causes impact; therefore, they should be the priority to eliminate as a part of the rehabilitation for any organization. </w:t>
      </w:r>
    </w:p>
    <w:p w14:paraId="13019E3E"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Fishbone diagram:</w:t>
      </w:r>
    </w:p>
    <w:p w14:paraId="402068B8"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noProof/>
          <w:lang w:val="en-US"/>
        </w:rPr>
        <w:drawing>
          <wp:inline distT="0" distB="0" distL="0" distR="0" wp14:anchorId="4C6AA9BC" wp14:editId="32FE76FA">
            <wp:extent cx="5897880" cy="3779520"/>
            <wp:effectExtent l="0" t="0" r="7620" b="0"/>
            <wp:docPr id="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cstate="print">
                      <a:extLst>
                        <a:ext uri="{28A0092B-C50C-407E-A947-70E740481C1C}">
                          <a14:useLocalDpi xmlns:a14="http://schemas.microsoft.com/office/drawing/2010/main" val="0"/>
                        </a:ext>
                      </a:extLst>
                    </a:blip>
                    <a:srcRect r="864" b="10397"/>
                    <a:stretch>
                      <a:fillRect/>
                    </a:stretch>
                  </pic:blipFill>
                  <pic:spPr bwMode="auto">
                    <a:xfrm>
                      <a:off x="0" y="0"/>
                      <a:ext cx="5897880" cy="3779520"/>
                    </a:xfrm>
                    <a:prstGeom prst="rect">
                      <a:avLst/>
                    </a:prstGeom>
                    <a:noFill/>
                    <a:ln>
                      <a:noFill/>
                    </a:ln>
                  </pic:spPr>
                </pic:pic>
              </a:graphicData>
            </a:graphic>
          </wp:inline>
        </w:drawing>
      </w:r>
    </w:p>
    <w:p w14:paraId="365E3D86"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Plan to reduce the absenteeism rate:</w:t>
      </w:r>
    </w:p>
    <w:p w14:paraId="586B1FFC"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Following are some strategies through which the organization can reduce the overall rate of absenteeism in the workplace:</w:t>
      </w:r>
    </w:p>
    <w:p w14:paraId="20B6EC60"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Implementation of employees' wellness program:</w:t>
      </w:r>
    </w:p>
    <w:p w14:paraId="2496F2F2"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The employee wellness program is one of the most effective ways to deal with sickness absenteeism since they are able to provide more support to the employees to deal with mental and physical illness. Any organization can have a partnership with a welfare company, which can provide the employees with the resources that will help them to fight physical and mental health issues. </w:t>
      </w:r>
    </w:p>
    <w:p w14:paraId="4DF3001C"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Offering paid vacation:</w:t>
      </w:r>
    </w:p>
    <w:p w14:paraId="7E5815F9"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Since much of the chronic absenteeism is due to the poor working condition and burnt-out at the workplace, therefore, the paid vacation programs can be helpful to provide them with an </w:t>
      </w:r>
      <w:r w:rsidRPr="00060DAB">
        <w:rPr>
          <w:rFonts w:ascii="Arial" w:eastAsia="Calibri" w:hAnsi="Arial" w:cs="Arial"/>
          <w:lang w:val="en-US"/>
        </w:rPr>
        <w:lastRenderedPageBreak/>
        <w:t xml:space="preserve">opportunity to revive their energy and get back to the workplace with a new zeal (Collier, 2021). </w:t>
      </w:r>
    </w:p>
    <w:p w14:paraId="144FEF90"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Flexible working hours:</w:t>
      </w:r>
    </w:p>
    <w:p w14:paraId="59A635C3"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The parent employees, which are either have a partner or are single parents, tend to take their time off from the office due to their responsibility towards their children; flexible working hours can be an effective method to provide them with the facility to fulfil their responsibility at both segments effectively. </w:t>
      </w:r>
    </w:p>
    <w:p w14:paraId="58695A7F"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Employee engagement:</w:t>
      </w:r>
    </w:p>
    <w:p w14:paraId="5CC1A01D"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Employee engagement is also a helpful strategy to reduce the employees' turnover and absence for the search for another job (Collier, 2021). </w:t>
      </w:r>
    </w:p>
    <w:p w14:paraId="0B285A8B"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Workplace morale improvement:</w:t>
      </w:r>
    </w:p>
    <w:p w14:paraId="26265074"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Since workplace environments are presented to be an issue with both sickness absenteeism and chronic absenteeism, therefore improving the working conditions and morale improvement is effective to reduce the absenteeism rate. </w:t>
      </w:r>
    </w:p>
    <w:p w14:paraId="26E93055"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Conclusion:</w:t>
      </w:r>
    </w:p>
    <w:p w14:paraId="5AEFFD93"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t xml:space="preserve">Workplace absenteeism is a very common issue at the organization, which requires to be addressed in an emergency nature. The use of different strategies can be helpful to deal with the factors that are the leading cause of absenteeism. </w:t>
      </w:r>
    </w:p>
    <w:p w14:paraId="43DFE24B" w14:textId="77777777" w:rsidR="00060DAB" w:rsidRPr="00060DAB" w:rsidRDefault="00060DAB" w:rsidP="00060DAB">
      <w:pPr>
        <w:spacing w:line="256" w:lineRule="auto"/>
        <w:rPr>
          <w:rFonts w:ascii="Arial" w:eastAsia="Calibri" w:hAnsi="Arial" w:cs="Arial"/>
          <w:lang w:val="en-US"/>
        </w:rPr>
      </w:pPr>
      <w:r w:rsidRPr="00060DAB">
        <w:rPr>
          <w:rFonts w:ascii="Arial" w:eastAsia="Calibri" w:hAnsi="Arial" w:cs="Arial"/>
          <w:lang w:val="en-US"/>
        </w:rPr>
        <w:br w:type="page"/>
      </w:r>
    </w:p>
    <w:p w14:paraId="7EF934AE" w14:textId="77777777" w:rsidR="00060DAB" w:rsidRPr="00060DAB" w:rsidRDefault="00060DAB" w:rsidP="00060DAB">
      <w:pPr>
        <w:spacing w:line="360" w:lineRule="auto"/>
        <w:rPr>
          <w:rFonts w:ascii="Arial" w:eastAsia="Calibri" w:hAnsi="Arial" w:cs="Arial"/>
          <w:lang w:val="en-US"/>
        </w:rPr>
      </w:pPr>
      <w:r w:rsidRPr="00060DAB">
        <w:rPr>
          <w:rFonts w:ascii="Arial" w:eastAsia="Calibri" w:hAnsi="Arial" w:cs="Arial"/>
          <w:lang w:val="en-US"/>
        </w:rPr>
        <w:lastRenderedPageBreak/>
        <w:t>References:</w:t>
      </w:r>
    </w:p>
    <w:p w14:paraId="3966E475" w14:textId="77777777" w:rsidR="00060DAB" w:rsidRPr="00060DAB" w:rsidRDefault="00060DAB" w:rsidP="00060DAB">
      <w:pPr>
        <w:spacing w:line="360" w:lineRule="auto"/>
        <w:ind w:left="720" w:hanging="720"/>
        <w:rPr>
          <w:rFonts w:ascii="Arial" w:eastAsia="Calibri" w:hAnsi="Arial" w:cs="Arial"/>
          <w:lang w:val="en-US"/>
        </w:rPr>
      </w:pPr>
      <w:r w:rsidRPr="00060DAB">
        <w:rPr>
          <w:rFonts w:ascii="Arial" w:eastAsia="Calibri" w:hAnsi="Arial" w:cs="Arial"/>
          <w:lang w:val="en-US"/>
        </w:rPr>
        <w:t>Absenteeism more of an issue among UK staff than European counterparts | Aon. (2018). Https://Www.Aon.Com/. https://www.aon.com/unitedkingdom/employee-benefits/resources/articles/absenteeism-issue-among-uk-staff.jsp</w:t>
      </w:r>
    </w:p>
    <w:p w14:paraId="3B57300D" w14:textId="77777777" w:rsidR="00060DAB" w:rsidRPr="00060DAB" w:rsidRDefault="00060DAB" w:rsidP="00060DAB">
      <w:pPr>
        <w:spacing w:line="360" w:lineRule="auto"/>
        <w:ind w:left="720" w:hanging="720"/>
        <w:rPr>
          <w:rFonts w:ascii="Arial" w:eastAsia="Calibri" w:hAnsi="Arial" w:cs="Arial"/>
          <w:lang w:val="en-US"/>
        </w:rPr>
      </w:pPr>
      <w:r w:rsidRPr="00060DAB">
        <w:rPr>
          <w:rFonts w:ascii="Arial" w:eastAsia="Calibri" w:hAnsi="Arial" w:cs="Arial"/>
          <w:lang w:val="en-US"/>
        </w:rPr>
        <w:t>Caine, A. (2015, April 1). What Are The Effects Of Sickness Absence On Your Workplace? | Occupational Health Business Management. Occupational Health Business Management | Create a Healthier Workforce. https://www.ohbm.co.uk/what-are-the-effects-of-sickness-absence-on-your-workplace/</w:t>
      </w:r>
    </w:p>
    <w:p w14:paraId="1ADB2A82" w14:textId="77777777" w:rsidR="00060DAB" w:rsidRPr="00060DAB" w:rsidRDefault="00060DAB" w:rsidP="00060DAB">
      <w:pPr>
        <w:spacing w:line="360" w:lineRule="auto"/>
        <w:ind w:left="720" w:hanging="720"/>
        <w:rPr>
          <w:rFonts w:ascii="Arial" w:eastAsia="Calibri" w:hAnsi="Arial" w:cs="Arial"/>
          <w:lang w:val="en-US"/>
        </w:rPr>
      </w:pPr>
      <w:r w:rsidRPr="00060DAB">
        <w:rPr>
          <w:rFonts w:ascii="Arial" w:eastAsia="Calibri" w:hAnsi="Arial" w:cs="Arial"/>
          <w:lang w:val="en-US"/>
        </w:rPr>
        <w:t>Collier, E. (2021, January 27). Reducing Absenteeism in the. . . The Hub | High Speed Training. https://www.highspeedtraining.co.uk/hub/reducing-absenteeism-in-the-workplace/#:%7E:text=The%20Effects%20of%20Absenteeism&amp;text=High%20administration%20costs.,Poor%20morale%20among%20colleagues.</w:t>
      </w:r>
    </w:p>
    <w:p w14:paraId="64FA7126" w14:textId="77777777" w:rsidR="00060DAB" w:rsidRPr="00060DAB" w:rsidRDefault="00060DAB" w:rsidP="00060DAB">
      <w:pPr>
        <w:spacing w:line="360" w:lineRule="auto"/>
        <w:ind w:left="720" w:hanging="720"/>
        <w:rPr>
          <w:rFonts w:ascii="Arial" w:eastAsia="Calibri" w:hAnsi="Arial" w:cs="Arial"/>
          <w:lang w:val="en-US"/>
        </w:rPr>
      </w:pPr>
      <w:proofErr w:type="spellStart"/>
      <w:r w:rsidRPr="00060DAB">
        <w:rPr>
          <w:rFonts w:ascii="Arial" w:eastAsia="Calibri" w:hAnsi="Arial" w:cs="Arial"/>
          <w:lang w:val="en-US"/>
        </w:rPr>
        <w:t>Dello</w:t>
      </w:r>
      <w:proofErr w:type="spellEnd"/>
      <w:r w:rsidRPr="00060DAB">
        <w:rPr>
          <w:rFonts w:ascii="Arial" w:eastAsia="Calibri" w:hAnsi="Arial" w:cs="Arial"/>
          <w:lang w:val="en-US"/>
        </w:rPr>
        <w:t xml:space="preserve"> Russo, S., </w:t>
      </w:r>
      <w:proofErr w:type="spellStart"/>
      <w:r w:rsidRPr="00060DAB">
        <w:rPr>
          <w:rFonts w:ascii="Arial" w:eastAsia="Calibri" w:hAnsi="Arial" w:cs="Arial"/>
          <w:lang w:val="en-US"/>
        </w:rPr>
        <w:t>Miraglia</w:t>
      </w:r>
      <w:proofErr w:type="spellEnd"/>
      <w:r w:rsidRPr="00060DAB">
        <w:rPr>
          <w:rFonts w:ascii="Arial" w:eastAsia="Calibri" w:hAnsi="Arial" w:cs="Arial"/>
          <w:lang w:val="en-US"/>
        </w:rPr>
        <w:t xml:space="preserve">, M., </w:t>
      </w:r>
      <w:proofErr w:type="spellStart"/>
      <w:r w:rsidRPr="00060DAB">
        <w:rPr>
          <w:rFonts w:ascii="Arial" w:eastAsia="Calibri" w:hAnsi="Arial" w:cs="Arial"/>
          <w:lang w:val="en-US"/>
        </w:rPr>
        <w:t>Borgogni</w:t>
      </w:r>
      <w:proofErr w:type="spellEnd"/>
      <w:r w:rsidRPr="00060DAB">
        <w:rPr>
          <w:rFonts w:ascii="Arial" w:eastAsia="Calibri" w:hAnsi="Arial" w:cs="Arial"/>
          <w:lang w:val="en-US"/>
        </w:rPr>
        <w:t>, L., &amp; Johns, G. (2013). How time and perceptions of social context shape employee absenteeism trajectories. Journal of Vocational Behavior, 83(2), 209–217. https://doi.org/10.1016/j.jvb.2013.03.005</w:t>
      </w:r>
    </w:p>
    <w:p w14:paraId="76D3BA49" w14:textId="77777777" w:rsidR="00060DAB" w:rsidRPr="00060DAB" w:rsidRDefault="00060DAB" w:rsidP="00060DAB">
      <w:pPr>
        <w:spacing w:line="360" w:lineRule="auto"/>
        <w:ind w:left="720" w:hanging="720"/>
        <w:rPr>
          <w:rFonts w:ascii="Arial" w:eastAsia="Calibri" w:hAnsi="Arial" w:cs="Arial"/>
          <w:lang w:val="en-US"/>
        </w:rPr>
      </w:pPr>
      <w:r w:rsidRPr="00060DAB">
        <w:rPr>
          <w:rFonts w:ascii="Arial" w:eastAsia="Calibri" w:hAnsi="Arial" w:cs="Arial"/>
          <w:lang w:val="en-US"/>
        </w:rPr>
        <w:t>E. (2021, June 1). 55% of businesses don't know the cost of absence, as e-days shares a decade of absence management insights. Bdaily Business News. https://bdaily.co.uk/articles/2021/05/28/55-of-businesses-dont-know-the-cost-of-absence-as-e-days-shares-a-decade-of-absence-management-insights</w:t>
      </w:r>
    </w:p>
    <w:p w14:paraId="339E698C" w14:textId="77777777" w:rsidR="00060DAB" w:rsidRPr="00060DAB" w:rsidRDefault="00060DAB" w:rsidP="00060DAB">
      <w:pPr>
        <w:spacing w:line="360" w:lineRule="auto"/>
        <w:ind w:left="720" w:hanging="720"/>
        <w:rPr>
          <w:rFonts w:ascii="Arial" w:eastAsia="Calibri" w:hAnsi="Arial" w:cs="Arial"/>
          <w:lang w:val="en-US"/>
        </w:rPr>
      </w:pPr>
      <w:proofErr w:type="spellStart"/>
      <w:r w:rsidRPr="00060DAB">
        <w:rPr>
          <w:rFonts w:ascii="Arial" w:eastAsia="Calibri" w:hAnsi="Arial" w:cs="Arial"/>
          <w:lang w:val="en-US"/>
        </w:rPr>
        <w:t>Hacket</w:t>
      </w:r>
      <w:proofErr w:type="spellEnd"/>
      <w:r w:rsidRPr="00060DAB">
        <w:rPr>
          <w:rFonts w:ascii="Arial" w:eastAsia="Calibri" w:hAnsi="Arial" w:cs="Arial"/>
          <w:lang w:val="en-US"/>
        </w:rPr>
        <w:t>, R. D. (1989). Work attitudes and employee absenteeism: A synthesis of the literature*. Journal of Occupational Psychology, 62(3), 235–248. https://doi.org/10.1111/j.2044-8325.1989.tb00495.x</w:t>
      </w:r>
    </w:p>
    <w:p w14:paraId="5F43F068" w14:textId="77777777" w:rsidR="00060DAB" w:rsidRPr="00060DAB" w:rsidRDefault="00060DAB" w:rsidP="00060DAB">
      <w:pPr>
        <w:spacing w:line="360" w:lineRule="auto"/>
        <w:ind w:left="720" w:hanging="720"/>
        <w:rPr>
          <w:rFonts w:ascii="Arial" w:eastAsia="Calibri" w:hAnsi="Arial" w:cs="Arial"/>
          <w:lang w:val="en-US"/>
        </w:rPr>
      </w:pPr>
      <w:proofErr w:type="spellStart"/>
      <w:r w:rsidRPr="00060DAB">
        <w:rPr>
          <w:rFonts w:ascii="Arial" w:eastAsia="Calibri" w:hAnsi="Arial" w:cs="Arial"/>
          <w:lang w:val="en-US"/>
        </w:rPr>
        <w:t>Sagie</w:t>
      </w:r>
      <w:proofErr w:type="spellEnd"/>
      <w:r w:rsidRPr="00060DAB">
        <w:rPr>
          <w:rFonts w:ascii="Arial" w:eastAsia="Calibri" w:hAnsi="Arial" w:cs="Arial"/>
          <w:lang w:val="en-US"/>
        </w:rPr>
        <w:t>, A. (1998). Employee Absenteeism, Organizational Commitment, and Job Satisfaction: Another Look. Journal of Vocational Behavior, 52(2), 156–171. https://doi.org/10.1006/jvbe.1997.1581</w:t>
      </w:r>
    </w:p>
    <w:p w14:paraId="37DA0608" w14:textId="77777777" w:rsidR="000A7502" w:rsidRDefault="000A7502"/>
    <w:sectPr w:rsidR="000A75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0B0"/>
    <w:rsid w:val="00060DAB"/>
    <w:rsid w:val="000A7502"/>
    <w:rsid w:val="00191DE2"/>
    <w:rsid w:val="001B5793"/>
    <w:rsid w:val="00231C7C"/>
    <w:rsid w:val="002550B0"/>
    <w:rsid w:val="007A3066"/>
    <w:rsid w:val="00CB7448"/>
    <w:rsid w:val="00D7634F"/>
    <w:rsid w:val="00DB160A"/>
    <w:rsid w:val="00E36C0D"/>
    <w:rsid w:val="00F04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A8395"/>
  <w15:chartTrackingRefBased/>
  <w15:docId w15:val="{D9F0E760-C866-45E5-8500-CF11E28F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0DAB"/>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967719">
      <w:bodyDiv w:val="1"/>
      <w:marLeft w:val="0"/>
      <w:marRight w:val="0"/>
      <w:marTop w:val="0"/>
      <w:marBottom w:val="0"/>
      <w:divBdr>
        <w:top w:val="none" w:sz="0" w:space="0" w:color="auto"/>
        <w:left w:val="none" w:sz="0" w:space="0" w:color="auto"/>
        <w:bottom w:val="none" w:sz="0" w:space="0" w:color="auto"/>
        <w:right w:val="none" w:sz="0" w:space="0" w:color="auto"/>
      </w:divBdr>
      <w:divsChild>
        <w:div w:id="693387612">
          <w:marLeft w:val="0"/>
          <w:marRight w:val="0"/>
          <w:marTop w:val="0"/>
          <w:marBottom w:val="0"/>
          <w:divBdr>
            <w:top w:val="none" w:sz="0" w:space="0" w:color="auto"/>
            <w:left w:val="none" w:sz="0" w:space="0" w:color="auto"/>
            <w:bottom w:val="none" w:sz="0" w:space="0" w:color="auto"/>
            <w:right w:val="none" w:sz="0" w:space="0" w:color="auto"/>
          </w:divBdr>
        </w:div>
      </w:divsChild>
    </w:div>
    <w:div w:id="1011176680">
      <w:bodyDiv w:val="1"/>
      <w:marLeft w:val="0"/>
      <w:marRight w:val="0"/>
      <w:marTop w:val="0"/>
      <w:marBottom w:val="0"/>
      <w:divBdr>
        <w:top w:val="none" w:sz="0" w:space="0" w:color="auto"/>
        <w:left w:val="none" w:sz="0" w:space="0" w:color="auto"/>
        <w:bottom w:val="none" w:sz="0" w:space="0" w:color="auto"/>
        <w:right w:val="none" w:sz="0" w:space="0" w:color="auto"/>
      </w:divBdr>
    </w:div>
    <w:div w:id="1778789578">
      <w:bodyDiv w:val="1"/>
      <w:marLeft w:val="0"/>
      <w:marRight w:val="0"/>
      <w:marTop w:val="0"/>
      <w:marBottom w:val="0"/>
      <w:divBdr>
        <w:top w:val="none" w:sz="0" w:space="0" w:color="auto"/>
        <w:left w:val="none" w:sz="0" w:space="0" w:color="auto"/>
        <w:bottom w:val="none" w:sz="0" w:space="0" w:color="auto"/>
        <w:right w:val="none" w:sz="0" w:space="0" w:color="auto"/>
      </w:divBdr>
      <w:divsChild>
        <w:div w:id="165246140">
          <w:marLeft w:val="0"/>
          <w:marRight w:val="0"/>
          <w:marTop w:val="0"/>
          <w:marBottom w:val="0"/>
          <w:divBdr>
            <w:top w:val="none" w:sz="0" w:space="0" w:color="auto"/>
            <w:left w:val="none" w:sz="0" w:space="0" w:color="auto"/>
            <w:bottom w:val="none" w:sz="0" w:space="0" w:color="auto"/>
            <w:right w:val="none" w:sz="0" w:space="0" w:color="auto"/>
          </w:divBdr>
        </w:div>
      </w:divsChild>
    </w:div>
    <w:div w:id="1876698727">
      <w:bodyDiv w:val="1"/>
      <w:marLeft w:val="0"/>
      <w:marRight w:val="0"/>
      <w:marTop w:val="0"/>
      <w:marBottom w:val="0"/>
      <w:divBdr>
        <w:top w:val="none" w:sz="0" w:space="0" w:color="auto"/>
        <w:left w:val="none" w:sz="0" w:space="0" w:color="auto"/>
        <w:bottom w:val="none" w:sz="0" w:space="0" w:color="auto"/>
        <w:right w:val="none" w:sz="0" w:space="0" w:color="auto"/>
      </w:divBdr>
      <w:divsChild>
        <w:div w:id="2259933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2146</Words>
  <Characters>12234</Characters>
  <Application>Microsoft Office Word</Application>
  <DocSecurity>0</DocSecurity>
  <Lines>101</Lines>
  <Paragraphs>28</Paragraphs>
  <ScaleCrop>false</ScaleCrop>
  <Company/>
  <LinksUpToDate>false</LinksUpToDate>
  <CharactersWithSpaces>14352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Bostan (2112985)</dc:creator>
  <cp:keywords/>
  <dc:description/>
  <cp:lastModifiedBy>Vasile Bostan (2112985)</cp:lastModifiedBy>
  <cp:revision>11</cp:revision>
  <dcterms:created xsi:type="dcterms:W3CDTF">2022-03-27T09:52:00Z</dcterms:created>
  <dcterms:modified xsi:type="dcterms:W3CDTF">2022-04-02T12:57:00Z</dcterms:modified>
</cp:coreProperties>
</file>