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7AA4E" w14:textId="0F49CDB8" w:rsidR="007C188C" w:rsidRDefault="007C188C" w:rsidP="00C6464C">
      <w:pPr>
        <w:spacing w:line="480" w:lineRule="auto"/>
        <w:jc w:val="center"/>
      </w:pPr>
      <w:r>
        <w:t>To what exten</w:t>
      </w:r>
      <w:r w:rsidR="00133361">
        <w:t>t does the EFSM label impact the outcome</w:t>
      </w:r>
      <w:r w:rsidR="00D67EE9">
        <w:t>s</w:t>
      </w:r>
      <w:r w:rsidR="00133361">
        <w:t xml:space="preserve"> in year 6?</w:t>
      </w:r>
    </w:p>
    <w:p w14:paraId="690A15AD" w14:textId="77777777" w:rsidR="00133361" w:rsidRDefault="00133361" w:rsidP="00C6464C">
      <w:pPr>
        <w:spacing w:line="480" w:lineRule="auto"/>
      </w:pPr>
    </w:p>
    <w:p w14:paraId="5A0F4399" w14:textId="77F69C3F" w:rsidR="007556E6" w:rsidRPr="007556E6" w:rsidRDefault="007556E6" w:rsidP="00C6464C">
      <w:pPr>
        <w:spacing w:line="480" w:lineRule="auto"/>
        <w:rPr>
          <w:b/>
          <w:bCs/>
          <w:u w:val="single"/>
        </w:rPr>
      </w:pPr>
      <w:r w:rsidRPr="007556E6">
        <w:rPr>
          <w:b/>
          <w:bCs/>
          <w:u w:val="single"/>
        </w:rPr>
        <w:t>Research context</w:t>
      </w:r>
    </w:p>
    <w:p w14:paraId="58D429E1" w14:textId="7FDA68A2" w:rsidR="0031339C" w:rsidRDefault="00133361" w:rsidP="00C6464C">
      <w:pPr>
        <w:spacing w:line="480" w:lineRule="auto"/>
      </w:pPr>
      <w:r>
        <w:t xml:space="preserve">The aim of this research is to evaluate if the gap between pupils eligible for free school </w:t>
      </w:r>
      <w:r w:rsidR="007556E6">
        <w:t>meals(eFSM</w:t>
      </w:r>
      <w:r>
        <w:t>) and pupils not eligible i</w:t>
      </w:r>
      <w:r w:rsidR="00B74E9A">
        <w:t xml:space="preserve">n numeracy if the gap is as visible as suggested. </w:t>
      </w:r>
      <w:r>
        <w:t xml:space="preserve"> The aim </w:t>
      </w:r>
      <w:r w:rsidR="007556E6">
        <w:t>of this</w:t>
      </w:r>
      <w:r>
        <w:t xml:space="preserve"> research will also be to assess how big this gap is and if it will affect the learners achieving their full academic potential and to be able to make recommendations to </w:t>
      </w:r>
      <w:r w:rsidR="00B74E9A">
        <w:t xml:space="preserve">support the learners and minimise the gap. The research topic was chosen due to the nature of the cost of living crisis and the </w:t>
      </w:r>
      <w:r w:rsidR="007556E6">
        <w:t>number</w:t>
      </w:r>
      <w:r w:rsidR="00B74E9A">
        <w:t xml:space="preserve"> of learners now becoming eligible for FSM the gap will be more visible in more areas than before. The purpose </w:t>
      </w:r>
      <w:r w:rsidR="007556E6">
        <w:t>of completing</w:t>
      </w:r>
      <w:r w:rsidR="00B74E9A">
        <w:t xml:space="preserve"> this research i</w:t>
      </w:r>
      <w:r w:rsidR="0031339C">
        <w:t xml:space="preserve">s </w:t>
      </w:r>
      <w:r w:rsidR="007556E6">
        <w:t>to allow</w:t>
      </w:r>
      <w:r w:rsidR="00B74E9A">
        <w:t xml:space="preserve"> </w:t>
      </w:r>
      <w:r w:rsidR="007556E6">
        <w:t>for a</w:t>
      </w:r>
      <w:r w:rsidR="00B74E9A">
        <w:t xml:space="preserve"> clear knowledge and understanding of the gap in numeracy and the best approaches</w:t>
      </w:r>
      <w:r w:rsidR="0031339C">
        <w:t xml:space="preserve"> available </w:t>
      </w:r>
      <w:r w:rsidR="00B74E9A">
        <w:t>to support learners</w:t>
      </w:r>
      <w:r w:rsidR="0031339C">
        <w:t xml:space="preserve"> to allow for the gap to be reduced</w:t>
      </w:r>
      <w:r w:rsidR="00B74E9A">
        <w:t xml:space="preserve">.  </w:t>
      </w:r>
      <w:r w:rsidR="0031339C">
        <w:t xml:space="preserve">Even though the gap will be visible </w:t>
      </w:r>
      <w:r w:rsidR="007556E6">
        <w:t xml:space="preserve">over all areas of learning (AoLE), numeracy is the main focus due to assessing the gap, it was identified that it would be easier to assess the gap within numeracy compared to literacy but it is expected that the results will be the same </w:t>
      </w:r>
      <w:proofErr w:type="gramStart"/>
      <w:r w:rsidR="007556E6">
        <w:t>over  all</w:t>
      </w:r>
      <w:proofErr w:type="gramEnd"/>
      <w:r w:rsidR="007556E6">
        <w:t xml:space="preserve"> AoLE’s. </w:t>
      </w:r>
    </w:p>
    <w:p w14:paraId="5145C301" w14:textId="32E73D10" w:rsidR="00133361" w:rsidRDefault="00B74E9A" w:rsidP="00C6464C">
      <w:pPr>
        <w:spacing w:line="480" w:lineRule="auto"/>
      </w:pPr>
      <w:r>
        <w:t xml:space="preserve">This research will be conducted in </w:t>
      </w:r>
      <w:r w:rsidR="00223DC8">
        <w:t xml:space="preserve">a school which is situated in a </w:t>
      </w:r>
      <w:r w:rsidR="0031339C">
        <w:t xml:space="preserve">deprived </w:t>
      </w:r>
      <w:r w:rsidR="007556E6">
        <w:t>area,</w:t>
      </w:r>
      <w:r w:rsidR="0031339C">
        <w:t xml:space="preserve"> but the school is based within a more developed area compared to some of the areas within the borough. </w:t>
      </w:r>
      <w:r w:rsidR="00223DC8">
        <w:t xml:space="preserve"> </w:t>
      </w:r>
      <w:r w:rsidR="0031339C">
        <w:t>T</w:t>
      </w:r>
      <w:r w:rsidR="00223DC8">
        <w:t xml:space="preserve">he school has 340 pupils enrolled with 12% of these students eligible for free school meals, but since the research is focusing on learners within year 6. The class the research is going to focus on a year six class </w:t>
      </w:r>
      <w:r w:rsidR="0031339C">
        <w:t xml:space="preserve">with 28 pupils and 11 learners are eFSM. </w:t>
      </w:r>
      <w:r w:rsidR="007556E6">
        <w:t xml:space="preserve"> This </w:t>
      </w:r>
      <w:r w:rsidR="007556E6">
        <w:lastRenderedPageBreak/>
        <w:t xml:space="preserve">school has three classes of year six and this research will only focus on one of these classes. </w:t>
      </w:r>
    </w:p>
    <w:p w14:paraId="65EF3CD9" w14:textId="77777777" w:rsidR="007556E6" w:rsidRDefault="007556E6" w:rsidP="00C6464C">
      <w:pPr>
        <w:spacing w:line="480" w:lineRule="auto"/>
      </w:pPr>
    </w:p>
    <w:p w14:paraId="233C1436" w14:textId="37D121A4" w:rsidR="007556E6" w:rsidRDefault="007556E6" w:rsidP="00C6464C">
      <w:pPr>
        <w:spacing w:line="480" w:lineRule="auto"/>
        <w:rPr>
          <w:b/>
          <w:bCs/>
          <w:u w:val="single"/>
        </w:rPr>
      </w:pPr>
      <w:r w:rsidRPr="007556E6">
        <w:rPr>
          <w:b/>
          <w:bCs/>
          <w:u w:val="single"/>
        </w:rPr>
        <w:t xml:space="preserve">Literature review </w:t>
      </w:r>
    </w:p>
    <w:p w14:paraId="1B21F3DA" w14:textId="52F5FC71" w:rsidR="00FD5B39" w:rsidRDefault="00DD56DA" w:rsidP="00C6464C">
      <w:pPr>
        <w:spacing w:line="480" w:lineRule="auto"/>
        <w:jc w:val="both"/>
      </w:pPr>
      <w:r>
        <w:t xml:space="preserve">For a learner to be eligible </w:t>
      </w:r>
      <w:r w:rsidR="00DE42B2">
        <w:t xml:space="preserve">for FSM </w:t>
      </w:r>
      <w:r w:rsidR="00FD5B39">
        <w:t xml:space="preserve">the government states that the ‘pupils are disadvantaged’ (Government UK, 2022). The government decide this based on the income of the household the learner is registered to live in. This suggest that for the learner to be eligible for FSM that the learner is already at a disadvantaged </w:t>
      </w:r>
      <w:r w:rsidR="005703EB">
        <w:t xml:space="preserve">in life and their learning before starting school. But it can be argued that this is prejudging the </w:t>
      </w:r>
      <w:r w:rsidR="009506FB">
        <w:t>learners and</w:t>
      </w:r>
      <w:r w:rsidR="005703EB">
        <w:t xml:space="preserve"> labelling them </w:t>
      </w:r>
      <w:r w:rsidR="008D228D">
        <w:t xml:space="preserve">as ‘disadvantaged’ </w:t>
      </w:r>
      <w:r w:rsidR="005703EB">
        <w:t xml:space="preserve">before they have had the opportunity to show their ability based on where they live and the income of parents or carers. </w:t>
      </w:r>
    </w:p>
    <w:p w14:paraId="27FFC81A" w14:textId="63DA74F3" w:rsidR="00820BE4" w:rsidRDefault="009506FB" w:rsidP="00C6464C">
      <w:pPr>
        <w:spacing w:line="480" w:lineRule="auto"/>
        <w:jc w:val="both"/>
      </w:pPr>
      <w:r>
        <w:t xml:space="preserve">Research shows that the attainment gap between FSM pupils and their </w:t>
      </w:r>
      <w:r w:rsidR="00820BE4">
        <w:t>peers is</w:t>
      </w:r>
      <w:r>
        <w:t xml:space="preserve"> seen from the age of five and increases over the years as the learners progress through their life. Easterbrook and Hadden states </w:t>
      </w:r>
      <w:r w:rsidR="00820BE4">
        <w:t xml:space="preserve">that by the time these learners reach the age of sixteen it is estimated that for the learners to be able to achieve the same levels as their peers who do not receive FSM that it would take additional two and half years of schooling. </w:t>
      </w:r>
      <w:r w:rsidR="009C5125">
        <w:t>(Easterbrook</w:t>
      </w:r>
      <w:r w:rsidR="00820BE4">
        <w:t xml:space="preserve">, Hadden, 2021). This statement is supported by the recent results of GCSEs in maths and English, the results showed that the only 47% of learners who are eligible for free school meals achieved a standard pass in both subjects whereas 75% of learners who are not eligible for FSM achieved a pass in both Maths and </w:t>
      </w:r>
      <w:r w:rsidR="009C5125">
        <w:t>English. (UK</w:t>
      </w:r>
      <w:r w:rsidR="00820BE4">
        <w:t xml:space="preserve"> parliament, 2023). These results show a massive 28% gap between the two groups. </w:t>
      </w:r>
      <w:r w:rsidR="009C5125">
        <w:t xml:space="preserve"> This can be argued that this is not </w:t>
      </w:r>
      <w:r w:rsidR="009C5125">
        <w:lastRenderedPageBreak/>
        <w:t xml:space="preserve">down to the learners being eligible for FSM but the Government states that in the last academic year 51.7% of pupils FSM were persistently absent compared to 22.4% of pupils not eligible. (Government Wales, 2024). With the highest numbers of learners being in the lower ages of school.  This argues that the learners are not achieving passes because of their ability but because they are missing a lot of school and is leaving spaces in their learning that they are not able to catch up on which could be because of many factors such as their living environment and family not having the time or the ability to support the learners. </w:t>
      </w:r>
    </w:p>
    <w:p w14:paraId="4F1FA44E" w14:textId="33AFBAE9" w:rsidR="00DD33DC" w:rsidRDefault="00826633" w:rsidP="00C6464C">
      <w:pPr>
        <w:spacing w:line="480" w:lineRule="auto"/>
        <w:jc w:val="both"/>
      </w:pPr>
      <w:r>
        <w:t xml:space="preserve">Demie states that </w:t>
      </w:r>
      <w:r w:rsidR="0048036C">
        <w:t xml:space="preserve">there are many ways that the school can </w:t>
      </w:r>
      <w:r w:rsidR="00237750">
        <w:t xml:space="preserve">successfully close the attainment gap between learners and support the learners to achieve their full potential. (Demie, 2016). Even though it was identified that this study needed to be extended and have more participants, the results were supported by what the government feel can close the attainment gap. The government identified that for the FSM learners to be supported and </w:t>
      </w:r>
      <w:r w:rsidR="00DD18D4">
        <w:t xml:space="preserve">take away some of the ‘disadvantages’. In 2010 the Welsh government introduced the pupil development </w:t>
      </w:r>
      <w:r w:rsidR="00745917">
        <w:t>grant (</w:t>
      </w:r>
      <w:r w:rsidR="00DD18D4">
        <w:t xml:space="preserve">PDG), this grant was set up to </w:t>
      </w:r>
      <w:r w:rsidR="00745917">
        <w:t xml:space="preserve">as part of education of disadvantaged children and is allocated to the school for each individual who is eligible for FSM and the school use the money to allow the learners to reach their full potential. (Government Wales, 2024). Schools </w:t>
      </w:r>
      <w:r w:rsidR="00425F56">
        <w:t xml:space="preserve">have stated that the PDG </w:t>
      </w:r>
      <w:r w:rsidR="0081305C">
        <w:t xml:space="preserve">can be used in many different ways to allow for the learners who are FSM to have access to the same opportunities to their peers. From researching it shows that the school has to publish how they spend this fund, when looking at the school the research was conducted </w:t>
      </w:r>
      <w:proofErr w:type="gramStart"/>
      <w:r w:rsidR="0081305C">
        <w:t>in</w:t>
      </w:r>
      <w:proofErr w:type="gramEnd"/>
      <w:r w:rsidR="0081305C">
        <w:t xml:space="preserve"> they identified that they spent it on interventions to progress the learners skills such as speech links to improve </w:t>
      </w:r>
      <w:r w:rsidR="00DD33DC">
        <w:t xml:space="preserve">their speech and sounds to develop their reading. </w:t>
      </w:r>
    </w:p>
    <w:p w14:paraId="27D17C42" w14:textId="5ED06DA3" w:rsidR="00880569" w:rsidRDefault="00880569" w:rsidP="00C6464C">
      <w:pPr>
        <w:spacing w:line="480" w:lineRule="auto"/>
        <w:jc w:val="both"/>
      </w:pPr>
      <w:r>
        <w:lastRenderedPageBreak/>
        <w:t xml:space="preserve">Research also shows that learners who are eligible for FSM are aware that they are not achieving as high as their peers, in Easterbrook study a learner stated that “people like me do not do well at school.” (Easterbrook,2022). This shows that </w:t>
      </w:r>
      <w:proofErr w:type="gramStart"/>
      <w:r>
        <w:t>learners</w:t>
      </w:r>
      <w:proofErr w:type="gramEnd"/>
      <w:r>
        <w:t xml:space="preserve"> self-esteem and mental health is also being affected and not just their academic skills.  This suggests that the focus should not be as grades or levels and focusing on allowing the learner to develop emotionally and build friendships. This feeling could link to why the FSM learners are more likely to have low attendance due to the mental health of the learner. This suggests that learner is more likely to miss school because they do not want to feel like they are underachieving compared to their peers. </w:t>
      </w:r>
      <w:r w:rsidR="00C61D4C">
        <w:t xml:space="preserve">This can be argued that the learners are not achieving as well due to that they are missing too much school and not having a full understanding of the topics. </w:t>
      </w:r>
    </w:p>
    <w:p w14:paraId="1C389883" w14:textId="36542AA7" w:rsidR="00880569" w:rsidRDefault="00C61D4C" w:rsidP="00C6464C">
      <w:pPr>
        <w:spacing w:line="480" w:lineRule="auto"/>
        <w:jc w:val="both"/>
      </w:pPr>
      <w:r>
        <w:t xml:space="preserve">Research also shows that learners who are eligible for FSM are twice as likely to have additional learning </w:t>
      </w:r>
      <w:r w:rsidR="00C97347">
        <w:t>needs (</w:t>
      </w:r>
      <w:r>
        <w:t>ALN</w:t>
      </w:r>
      <w:r w:rsidR="00C97347">
        <w:t>)(Shaw</w:t>
      </w:r>
      <w:r>
        <w:t xml:space="preserve">,2016). This can argue that it may not be that the attainment gap is caused by the FSM eligibility but because a big group of the FSM learners are ALN and struggle to meet expected levels because of this. </w:t>
      </w:r>
    </w:p>
    <w:p w14:paraId="2125804D" w14:textId="1130AA4C" w:rsidR="00C61D4C" w:rsidRDefault="00C97347" w:rsidP="00C6464C">
      <w:pPr>
        <w:spacing w:line="480" w:lineRule="auto"/>
        <w:jc w:val="both"/>
      </w:pPr>
      <w:r>
        <w:t>Overall,</w:t>
      </w:r>
      <w:r w:rsidR="00C61D4C">
        <w:t xml:space="preserve"> the attainment gap is visible throughout school but there are many other factors that can affect the outcome and not just because of FSM eligibility. But there are many programmes in place to support these learners to ensure they met their full academic potential and </w:t>
      </w:r>
      <w:r>
        <w:t xml:space="preserve">a strong mental health. </w:t>
      </w:r>
    </w:p>
    <w:p w14:paraId="37A42DA0" w14:textId="77777777" w:rsidR="00C97347" w:rsidRDefault="00C97347" w:rsidP="00C6464C">
      <w:pPr>
        <w:spacing w:line="480" w:lineRule="auto"/>
        <w:jc w:val="both"/>
      </w:pPr>
    </w:p>
    <w:p w14:paraId="64922D98" w14:textId="646EDB34" w:rsidR="00C97347" w:rsidRDefault="00C97347" w:rsidP="00C6464C">
      <w:pPr>
        <w:spacing w:line="480" w:lineRule="auto"/>
        <w:jc w:val="both"/>
        <w:rPr>
          <w:b/>
          <w:bCs/>
          <w:u w:val="single"/>
        </w:rPr>
      </w:pPr>
      <w:r w:rsidRPr="00C97347">
        <w:rPr>
          <w:b/>
          <w:bCs/>
          <w:u w:val="single"/>
        </w:rPr>
        <w:t xml:space="preserve">Explanation of case study </w:t>
      </w:r>
    </w:p>
    <w:p w14:paraId="6E7CAEAC" w14:textId="436FF452" w:rsidR="00C97347" w:rsidRDefault="007403C1" w:rsidP="00C6464C">
      <w:pPr>
        <w:spacing w:line="480" w:lineRule="auto"/>
        <w:jc w:val="both"/>
      </w:pPr>
      <w:r>
        <w:lastRenderedPageBreak/>
        <w:t xml:space="preserve">Case study research is defined as being in depth research that is used to investigate an individual/ group of people or event. This research is also used to examine an identifiable problem confirmed through </w:t>
      </w:r>
      <w:r w:rsidR="00FF44DD">
        <w:t xml:space="preserve">research. </w:t>
      </w:r>
      <w:proofErr w:type="gramStart"/>
      <w:r w:rsidR="00FF44DD">
        <w:t>(</w:t>
      </w:r>
      <w:r>
        <w:t xml:space="preserve"> national</w:t>
      </w:r>
      <w:proofErr w:type="gramEnd"/>
      <w:r>
        <w:t xml:space="preserve"> university, 2024). This research is going to focus on the group of FSM learners and examine the attainment gap between FSM and their peers. There are many different types of case study, the best approach for this research was a collective case study. This allows for the researcher to learn about the issue and the complexity before completing the research</w:t>
      </w:r>
      <w:r w:rsidR="00EB2CC4">
        <w:t xml:space="preserve"> and to </w:t>
      </w:r>
      <w:r>
        <w:t xml:space="preserve">find the participants that will fit the specific </w:t>
      </w:r>
      <w:r w:rsidR="00EB2CC4">
        <w:t xml:space="preserve">study.  The purpose of completing this research as a case study is for the researcher to learn as much as possible about the group which allows for the information </w:t>
      </w:r>
      <w:r w:rsidR="003D4B18">
        <w:t xml:space="preserve">found to be put together and generalized to others. (Cherry, 2024). In this context the case study will involved gathering information about the group of FSM and the attainment gap between this groups of learners and their peers and conducting research to explore the attainment gap in relation to numeracy in a year six class.  The results will be recorded and generalized for all FSM learners and the attainment gap in numeracy. But it will also take </w:t>
      </w:r>
      <w:proofErr w:type="gramStart"/>
      <w:r w:rsidR="003D4B18">
        <w:t>in to</w:t>
      </w:r>
      <w:proofErr w:type="gramEnd"/>
      <w:r w:rsidR="003D4B18">
        <w:t xml:space="preserve"> consideration that sometimes it can be difficult to generalize my results from a small group to a large group of all FSM learners across Wales this is because every individual is different, and their learning styles can and will be different. But it will generalize if the attainment gap is visible within numeracy across these groups. </w:t>
      </w:r>
    </w:p>
    <w:p w14:paraId="6F85F974" w14:textId="77B6F070" w:rsidR="005B3541" w:rsidRDefault="005B3541" w:rsidP="00C6464C">
      <w:pPr>
        <w:spacing w:line="480" w:lineRule="auto"/>
        <w:jc w:val="both"/>
      </w:pPr>
      <w:r>
        <w:t xml:space="preserve">The </w:t>
      </w:r>
      <w:r w:rsidR="00B11093">
        <w:t>participants</w:t>
      </w:r>
      <w:r>
        <w:t xml:space="preserve"> </w:t>
      </w:r>
      <w:r w:rsidR="00715F8B">
        <w:t xml:space="preserve">will be a year six class which has </w:t>
      </w:r>
      <w:proofErr w:type="spellStart"/>
      <w:proofErr w:type="gramStart"/>
      <w:r w:rsidR="00715F8B">
        <w:t>a</w:t>
      </w:r>
      <w:proofErr w:type="spellEnd"/>
      <w:proofErr w:type="gramEnd"/>
      <w:r w:rsidR="00715F8B">
        <w:t xml:space="preserve"> equal amount of boys and girls within the class. The class </w:t>
      </w:r>
      <w:proofErr w:type="gramStart"/>
      <w:r w:rsidR="00715F8B">
        <w:t>twenty eight</w:t>
      </w:r>
      <w:proofErr w:type="gramEnd"/>
      <w:r w:rsidR="00715F8B">
        <w:t xml:space="preserve"> learners </w:t>
      </w:r>
      <w:r w:rsidR="00715F8B">
        <w:tab/>
        <w:t xml:space="preserve">within the class and eleven learners are FSM learners. Due to focusing on the FSM learners and the attainment gap. The research will look at the whole class to be able to identify if the attainment gap is visible within year six. It was </w:t>
      </w:r>
      <w:r w:rsidR="00715F8B">
        <w:lastRenderedPageBreak/>
        <w:t xml:space="preserve">decided to focus on year six for this research because this is </w:t>
      </w:r>
      <w:proofErr w:type="spellStart"/>
      <w:proofErr w:type="gramStart"/>
      <w:r w:rsidR="00715F8B">
        <w:t>a</w:t>
      </w:r>
      <w:proofErr w:type="spellEnd"/>
      <w:proofErr w:type="gramEnd"/>
      <w:r w:rsidR="00715F8B">
        <w:t xml:space="preserve"> age that the learners are able to work independently and allow for the gap to be visible if there was an attainment gap between the learners. Research also suggests that this is the best age range for the gap to be visible since </w:t>
      </w:r>
      <w:r w:rsidR="001F2845">
        <w:t xml:space="preserve">Easterbrook results showed that when learners reach the end of primary school the attainment gap is so big between learners that the learners would need additional years of schooling to achieve their expected levels.( Easterbrook,2022) This suggests that by completing the research within year six it will be more effective in analysing the gap compared to the earlier years. But the researcher needs to ensure they are considering the mental health of learners since year six learners will be </w:t>
      </w:r>
      <w:r w:rsidR="00DA69AF">
        <w:t>more self</w:t>
      </w:r>
      <w:r w:rsidR="001F2845">
        <w:t xml:space="preserve">-aware of how well they are achieving compared to their peers. This class was chosen to conduct the research since this year six class had the highest </w:t>
      </w:r>
      <w:r w:rsidR="00DA69AF">
        <w:t>number</w:t>
      </w:r>
      <w:r w:rsidR="001F2845">
        <w:t xml:space="preserve"> of students with a range of FSM eligibility and </w:t>
      </w:r>
      <w:r w:rsidR="00DA69AF">
        <w:t>non-eligibility</w:t>
      </w:r>
      <w:r w:rsidR="001F2845">
        <w:t xml:space="preserve"> to allow for </w:t>
      </w:r>
      <w:r w:rsidR="00DA69AF">
        <w:t xml:space="preserve">fair research to be conducted. </w:t>
      </w:r>
    </w:p>
    <w:p w14:paraId="7DEAC6E4" w14:textId="77777777" w:rsidR="00DA69AF" w:rsidRDefault="00DA69AF" w:rsidP="00C6464C">
      <w:pPr>
        <w:spacing w:line="480" w:lineRule="auto"/>
        <w:jc w:val="both"/>
      </w:pPr>
    </w:p>
    <w:p w14:paraId="6519509E" w14:textId="5A9C132F" w:rsidR="00DA69AF" w:rsidRDefault="00DA69AF" w:rsidP="00C6464C">
      <w:pPr>
        <w:spacing w:line="480" w:lineRule="auto"/>
        <w:jc w:val="both"/>
        <w:rPr>
          <w:b/>
          <w:bCs/>
          <w:u w:val="single"/>
        </w:rPr>
      </w:pPr>
      <w:r w:rsidRPr="00DA69AF">
        <w:rPr>
          <w:b/>
          <w:bCs/>
          <w:u w:val="single"/>
        </w:rPr>
        <w:t>Research methods</w:t>
      </w:r>
    </w:p>
    <w:p w14:paraId="5FCF91FF" w14:textId="77777777" w:rsidR="00952063" w:rsidRDefault="00D67EE9" w:rsidP="00C6464C">
      <w:pPr>
        <w:spacing w:line="480" w:lineRule="auto"/>
        <w:jc w:val="both"/>
      </w:pPr>
      <w:r>
        <w:t xml:space="preserve">The research methods that were best suited for conducting this research for this age range was observing and questionnaires. The first step of the research will be to observing all learners </w:t>
      </w:r>
      <w:r w:rsidR="001759F0">
        <w:t xml:space="preserve">within numeracy lessons this was the best approach because the class work in rotations and are grouped in abilities, by the class working this way it allowed for the researcher to observe all learners over two days in the same area of learning. After the researcher has observed all learners working through the topic and how they process the information they are receiving through the concrete, pictorial abstract </w:t>
      </w:r>
      <w:proofErr w:type="gramStart"/>
      <w:r w:rsidR="001759F0">
        <w:t>method( CPA</w:t>
      </w:r>
      <w:proofErr w:type="gramEnd"/>
      <w:r w:rsidR="001759F0">
        <w:t xml:space="preserve">). This </w:t>
      </w:r>
      <w:r w:rsidR="001759F0">
        <w:lastRenderedPageBreak/>
        <w:t xml:space="preserve">approach builds on learners existing knowledge and involves moving from concrete materials to pictorial representation to abstract symbols and problems such as worksheets. (Johnson, 2023). </w:t>
      </w:r>
    </w:p>
    <w:p w14:paraId="40F7FB40" w14:textId="38B6EBEE" w:rsidR="00D67EE9" w:rsidRDefault="001759F0" w:rsidP="00C6464C">
      <w:pPr>
        <w:spacing w:line="480" w:lineRule="auto"/>
        <w:jc w:val="both"/>
      </w:pPr>
      <w:r>
        <w:t>When researching the methods to use, research suggested that completing observations had many strengths. Research showed that by observing learners it allowed for the researcher to see things in their natural context, this was identified to be important for this research because to identify if the attainment gap was visible it needed to be true and represent what the learners were capable to achieve naturally</w:t>
      </w:r>
      <w:r w:rsidR="00952063">
        <w:t xml:space="preserve">. Another strength found was that it would be part of the normal classroom routine this supports seeing the learners in their natural context, by the observing being a part of the normal routine the learners will not act differently to impress the researcher or do what they think they want to see by copying peers or not asking for help when struggling because they feel watched. This reason supports the next strength and reason to observing since observing is the least intrusive of all methods that can be used since the learners may not </w:t>
      </w:r>
      <w:proofErr w:type="gramStart"/>
      <w:r w:rsidR="00952063">
        <w:t>realise</w:t>
      </w:r>
      <w:proofErr w:type="gramEnd"/>
      <w:r w:rsidR="00952063">
        <w:t xml:space="preserve"> they are being observing since it will look like the researcher is watching the full class/ teacher, the learners will be aware that they are all being observing as all learners will give verbal consent before the lesson. Overall observing is an effective method for the research because it allows for the researcher to focus on the purpose of the research by observing all learners and evaluating how all learners work before comparing FSM and their peers. </w:t>
      </w:r>
      <w:r w:rsidR="006F7F29">
        <w:t xml:space="preserve">Even though research identified many benefits of using observing as one of the research methods it also identified that there are limitations of this approach. Even though the researcher has the access to focus on the purpose of the research it was identified that it may be difficult to just focus on this purpose </w:t>
      </w:r>
      <w:r w:rsidR="006F7F29">
        <w:lastRenderedPageBreak/>
        <w:t xml:space="preserve">for example if a learners behaviour is distracting this may distracted the focus of the researcher. </w:t>
      </w:r>
    </w:p>
    <w:p w14:paraId="47019983" w14:textId="3EAD63A4" w:rsidR="00F916E9" w:rsidRDefault="00FE4423" w:rsidP="00C6464C">
      <w:pPr>
        <w:spacing w:line="480" w:lineRule="auto"/>
        <w:jc w:val="both"/>
      </w:pPr>
      <w:r>
        <w:t xml:space="preserve">The next step to completing this research will be conducting questionnaires which will have a range of maths questions. The questionnaire being used in this case study will be a quantitative questionnaire, </w:t>
      </w:r>
      <w:r w:rsidR="00C564AD">
        <w:t>quantitative</w:t>
      </w:r>
      <w:r>
        <w:t xml:space="preserve"> </w:t>
      </w:r>
      <w:r w:rsidR="00C564AD">
        <w:t xml:space="preserve">questionnaire is defined as using closed ended questions where there are multiple </w:t>
      </w:r>
      <w:r w:rsidR="0028335F">
        <w:t>choices,</w:t>
      </w:r>
      <w:r w:rsidR="00C564AD">
        <w:t xml:space="preserve"> and the answers will be created and analysed through the use of percentages. (Brace, 2018). Research showed that this method had many benefits. By using </w:t>
      </w:r>
      <w:r w:rsidR="0028335F">
        <w:t>questionnaires,</w:t>
      </w:r>
      <w:r w:rsidR="00C564AD">
        <w:t xml:space="preserve"> the researcher is able to gain large amount of information in a quick and practical manner </w:t>
      </w:r>
      <w:r w:rsidR="0028335F">
        <w:t xml:space="preserve">with the results being able to be analysed easily and does not take much time.  This was beneficial for this case study because of the whole class needed to complete all daily routines it allows for the researcher to gain all information needed with no distribution to the class daily routines. Even though the researcher identified the benefits and the best fit for the case study they needed to take in to consideration the limitations of this approach such as it can be difficult to  </w:t>
      </w:r>
      <w:r w:rsidR="00F916E9">
        <w:t xml:space="preserve">understand some of the information being received this could affect this questionnaire if the learner does not form their numbers correctly when writing the answer to the question the researcher will avoid this by in the observation sessions the researcher will observe how learners form their numbers. When writing the questionnaires, the researcher needs to ensure that the questions are clear to allow for the learner to be able to answer quickly with the learner interpreting the questions as expected. This can be avoided in this case study by using number sums compared to word problems. The last limitation that the researcher needed to consider was the learner might be copying the person sitting next to me and the validity of the results will be affected, this </w:t>
      </w:r>
      <w:r w:rsidR="00F916E9">
        <w:lastRenderedPageBreak/>
        <w:t xml:space="preserve">can be avoided by having the questions in different order for each learner to allow for the researcher to have accurate results. </w:t>
      </w:r>
      <w:r w:rsidR="00FF44DD">
        <w:t>(</w:t>
      </w:r>
      <w:proofErr w:type="spellStart"/>
      <w:r w:rsidR="00FF44DD">
        <w:t>Kvale</w:t>
      </w:r>
      <w:proofErr w:type="spellEnd"/>
      <w:r w:rsidR="00FF44DD">
        <w:t>, 2007).</w:t>
      </w:r>
    </w:p>
    <w:p w14:paraId="1B90295F" w14:textId="178157A1" w:rsidR="00FF44DD" w:rsidRDefault="003B14E1" w:rsidP="00C6464C">
      <w:pPr>
        <w:spacing w:line="480" w:lineRule="auto"/>
        <w:jc w:val="both"/>
      </w:pPr>
      <w:r>
        <w:t xml:space="preserve">When choosing the most effective methods for this case study the researcher identified that conducting interviews would not be suitable due to ethical reasons because it would not be ethical to single out a group of people and interview them on their learning to compare between their peers because of the mental health of all learners. </w:t>
      </w:r>
    </w:p>
    <w:p w14:paraId="4C89CA6C" w14:textId="2718158B" w:rsidR="003B14E1" w:rsidRDefault="003B14E1" w:rsidP="00C6464C">
      <w:pPr>
        <w:spacing w:line="480" w:lineRule="auto"/>
        <w:jc w:val="both"/>
      </w:pPr>
      <w:r>
        <w:t xml:space="preserve">The researcher will observe the learners over a week within numeracy and mathematics lesson, the researcher will observe the whole class within the introduction/ warm up this is where the learners recap and do mental maths. This will allow for the researcher to identify how quick they can do mental maths and their processing methods for maths questions. The researcher will have the knowledge of the FSM learners and will make notes with </w:t>
      </w:r>
      <w:r w:rsidR="00D17E8E">
        <w:t xml:space="preserve">about the learners complying with BERA guidelines and will use numbers instead of names. </w:t>
      </w:r>
    </w:p>
    <w:p w14:paraId="150487EF" w14:textId="0E02F078" w:rsidR="00D17E8E" w:rsidRDefault="00D17E8E" w:rsidP="00C6464C">
      <w:pPr>
        <w:spacing w:line="480" w:lineRule="auto"/>
        <w:jc w:val="both"/>
      </w:pPr>
      <w:r>
        <w:t xml:space="preserve">When completing the questionnaire, the learners will have two sheets of maths questions, the first </w:t>
      </w:r>
      <w:proofErr w:type="gramStart"/>
      <w:r w:rsidR="00580C03">
        <w:t>one(</w:t>
      </w:r>
      <w:proofErr w:type="gramEnd"/>
      <w:r w:rsidR="00580C03">
        <w:t>appendix</w:t>
      </w:r>
      <w:r>
        <w:t xml:space="preserve"> one) will include simple addition and subtraction and the second sheet(appendix two) will include time tables. These areas were chosen because these are areas of mathematics that the learners have learnt throughout their time in school and are basic skills they need and can be adapted throughout their life. the researcher will give two minutes for each worksheet because this allows for the researcher to evaluate how the learners react and process quick maths this will also allow for the researcher to identify if the gap is present between the group and peers without differentiation being involved. </w:t>
      </w:r>
    </w:p>
    <w:p w14:paraId="3A1F484C" w14:textId="77777777" w:rsidR="00580C03" w:rsidRPr="00580C03" w:rsidRDefault="00580C03" w:rsidP="00C6464C">
      <w:pPr>
        <w:spacing w:line="480" w:lineRule="auto"/>
        <w:jc w:val="both"/>
        <w:rPr>
          <w:b/>
          <w:bCs/>
          <w:u w:val="single"/>
        </w:rPr>
      </w:pPr>
    </w:p>
    <w:p w14:paraId="7CCED42C" w14:textId="4AA1D773" w:rsidR="00580C03" w:rsidRDefault="00580C03" w:rsidP="00C6464C">
      <w:pPr>
        <w:spacing w:line="480" w:lineRule="auto"/>
        <w:jc w:val="both"/>
        <w:rPr>
          <w:b/>
          <w:bCs/>
          <w:u w:val="single"/>
        </w:rPr>
      </w:pPr>
      <w:r w:rsidRPr="00580C03">
        <w:rPr>
          <w:b/>
          <w:bCs/>
          <w:u w:val="single"/>
        </w:rPr>
        <w:lastRenderedPageBreak/>
        <w:t>Data presentation and analysis method</w:t>
      </w:r>
    </w:p>
    <w:p w14:paraId="6C97D110" w14:textId="1CA087F5" w:rsidR="00580C03" w:rsidRDefault="00580C03" w:rsidP="00C6464C">
      <w:pPr>
        <w:spacing w:line="480" w:lineRule="auto"/>
        <w:jc w:val="both"/>
      </w:pPr>
      <w:r>
        <w:t xml:space="preserve">When </w:t>
      </w:r>
      <w:r w:rsidR="00A84515">
        <w:t>analysing the results of appendix one and appendix two, the researcher decided to use the method of percentages. The researcher will mark the worksheets and create a percentage this will include the questions they did not have time to answer, this will allow for the researcher to rank the percentages. To ensure that the results are confirmable</w:t>
      </w:r>
      <w:r w:rsidR="003D3308">
        <w:t xml:space="preserve">, this is defined as being the degree to which the results could be confirmed or corroborated by </w:t>
      </w:r>
      <w:proofErr w:type="gramStart"/>
      <w:r w:rsidR="003D3308">
        <w:t>others(</w:t>
      </w:r>
      <w:proofErr w:type="gramEnd"/>
      <w:r w:rsidR="003D3308">
        <w:t xml:space="preserve">conjointly, 2023). </w:t>
      </w:r>
      <w:r w:rsidR="00A84515">
        <w:t xml:space="preserve"> </w:t>
      </w:r>
      <w:r w:rsidR="003D3308">
        <w:t>T</w:t>
      </w:r>
      <w:r w:rsidR="00A84515">
        <w:t xml:space="preserve">he researcher </w:t>
      </w:r>
      <w:r w:rsidR="003D3308">
        <w:t xml:space="preserve">will achieve confirmability by </w:t>
      </w:r>
      <w:r w:rsidR="00A84515">
        <w:t>mark</w:t>
      </w:r>
      <w:r w:rsidR="003D3308">
        <w:t>ing</w:t>
      </w:r>
      <w:r w:rsidR="00A84515">
        <w:t xml:space="preserve"> appendix one and two </w:t>
      </w:r>
      <w:r w:rsidR="003D3308">
        <w:t xml:space="preserve">before an individual not involved in the research will double check the mark and percentage. By completing this step, the researcher is ensuring that the research is not bias and trustworthy. These results will struggle to be transferable since it will be based on one class within one area, but it is expected that the results will be transferable for the county because research shows that the area are in the same percentage of FSM learners. But it can be argued that the results will be able to be transferred for all learners since the government states that all FSM learners come from the same criteria. </w:t>
      </w:r>
    </w:p>
    <w:p w14:paraId="0B07A464" w14:textId="72BAE968" w:rsidR="003D3308" w:rsidRDefault="003D3308" w:rsidP="00C6464C">
      <w:pPr>
        <w:spacing w:line="480" w:lineRule="auto"/>
        <w:jc w:val="both"/>
      </w:pPr>
      <w:r>
        <w:t>T</w:t>
      </w:r>
      <w:r w:rsidR="002C0522">
        <w:t xml:space="preserve">o ensure that the research is trustworthy the researcher will ensure that the worksheets are handed out in no order and that the level of challenge is the same for all learners to ensure that the question s are not biased to affect the results. To ensure this is achieved the researcher will use worksheets that have been created for year four this was decided because research showed that FSM learners are twice as likely to have ALN they may struggle to answer the questions from this term. </w:t>
      </w:r>
    </w:p>
    <w:p w14:paraId="19B8670E" w14:textId="45516644" w:rsidR="002C0522" w:rsidRDefault="002C0522" w:rsidP="00C6464C">
      <w:pPr>
        <w:spacing w:line="480" w:lineRule="auto"/>
        <w:jc w:val="both"/>
      </w:pPr>
      <w:r>
        <w:lastRenderedPageBreak/>
        <w:t xml:space="preserve">The researcher decided to use the method of percentages because this was viewed as </w:t>
      </w:r>
      <w:r w:rsidR="000401ED">
        <w:t xml:space="preserve">the quickest and most effective method to analyse the data collected.  This method is easy to read and understandable for all readers, everyone will be able to identify the highest number and lowest number scored and will also allow for easy analysing of the attainment gap. By using percentage, it will allow for the researcher to check if the research found before conducting the researching was accurate and can identify if the other studies can support what they have found. </w:t>
      </w:r>
    </w:p>
    <w:p w14:paraId="2B69272B" w14:textId="77777777" w:rsidR="000401ED" w:rsidRDefault="000401ED" w:rsidP="00C6464C">
      <w:pPr>
        <w:spacing w:line="480" w:lineRule="auto"/>
        <w:jc w:val="both"/>
      </w:pPr>
    </w:p>
    <w:p w14:paraId="6C717086" w14:textId="7222ACB6" w:rsidR="000401ED" w:rsidRDefault="000401ED" w:rsidP="00C6464C">
      <w:pPr>
        <w:spacing w:line="480" w:lineRule="auto"/>
        <w:jc w:val="both"/>
        <w:rPr>
          <w:b/>
          <w:bCs/>
          <w:u w:val="single"/>
        </w:rPr>
      </w:pPr>
      <w:r w:rsidRPr="000401ED">
        <w:rPr>
          <w:b/>
          <w:bCs/>
          <w:u w:val="single"/>
        </w:rPr>
        <w:t xml:space="preserve">Ethical considerations </w:t>
      </w:r>
    </w:p>
    <w:p w14:paraId="00D3DD2A" w14:textId="4CB02A81" w:rsidR="00E2559A" w:rsidRDefault="00AA6564" w:rsidP="00C6464C">
      <w:pPr>
        <w:spacing w:line="480" w:lineRule="auto"/>
        <w:jc w:val="both"/>
      </w:pPr>
      <w:r>
        <w:t xml:space="preserve">To ensure that the researcher followed all ethical rules set out by the BERA guidelines. To ensure this was achieved the researcher submitted an ethics </w:t>
      </w:r>
      <w:r w:rsidR="006A5DD1">
        <w:t>form (</w:t>
      </w:r>
      <w:r w:rsidR="009C3778">
        <w:t>appendix three)</w:t>
      </w:r>
      <w:r w:rsidR="00D55A54">
        <w:t xml:space="preserve"> detailing how they would complete this research and waited for approval from the university ethics board before starting to conduct any research. After the researcher had approval from the ethics </w:t>
      </w:r>
      <w:r w:rsidR="009C3778">
        <w:t>board,</w:t>
      </w:r>
      <w:r w:rsidR="00D55A54">
        <w:t xml:space="preserve"> they made contact with the headteacher of the school who informed the researcher that the school already had a consent form in place for research in the school and that the parents/ carers of the year six class no problems with the learners being involved. Even though the parents and carers </w:t>
      </w:r>
      <w:r w:rsidR="00BA0EF1">
        <w:t xml:space="preserve">had given consent the researcher </w:t>
      </w:r>
      <w:r w:rsidR="007078EC">
        <w:t xml:space="preserve">ensured that the participants gave consent and were aware they could stop or not do the questionnaire if they wanted to. The researcher </w:t>
      </w:r>
      <w:r w:rsidR="009C3778">
        <w:t xml:space="preserve">informed the learners that the worksheets are to support them in completing research on how well they are progressing in mathematics and how if they do not want to complete the sheets they did not have to. The researcher did experience </w:t>
      </w:r>
      <w:r w:rsidR="009C3778">
        <w:lastRenderedPageBreak/>
        <w:t xml:space="preserve">one learner who did not want to complete the sheets and the researcher did not make them complete the worksheets. To ensure that the results were confidentially the learners did not write their names on top of the sheets and the researcher made a little </w:t>
      </w:r>
      <w:r w:rsidR="006A5DD1">
        <w:t>mark using</w:t>
      </w:r>
      <w:r w:rsidR="009C3778">
        <w:t xml:space="preserve"> a pen on the FSM learners sheets when they handed them back in. The last step for the researcher was </w:t>
      </w:r>
      <w:r w:rsidR="006A5DD1">
        <w:t>to</w:t>
      </w:r>
      <w:r w:rsidR="009C3778">
        <w:t xml:space="preserve"> ensure that all documents will be destroyed after the results were recorded</w:t>
      </w:r>
      <w:r w:rsidR="006A5DD1">
        <w:t>, the researcher did this by shredding all worksheets. T</w:t>
      </w:r>
      <w:r w:rsidR="009C3778">
        <w:t xml:space="preserve">o ensure that no names were shared within the results, the researcher will refer to learners by a number when discussing individuals. </w:t>
      </w:r>
      <w:r w:rsidR="006A5DD1">
        <w:t xml:space="preserve">The researcher kept all paper locked in a drawer. </w:t>
      </w:r>
      <w:r w:rsidR="00E2559A">
        <w:t>(</w:t>
      </w:r>
      <w:proofErr w:type="spellStart"/>
      <w:r w:rsidR="00E2559A">
        <w:t>Bera</w:t>
      </w:r>
      <w:proofErr w:type="spellEnd"/>
      <w:r w:rsidR="00E2559A">
        <w:t>, 2018)</w:t>
      </w:r>
    </w:p>
    <w:p w14:paraId="685BF42F" w14:textId="77777777" w:rsidR="006A5DD1" w:rsidRDefault="006A5DD1" w:rsidP="00C6464C">
      <w:pPr>
        <w:spacing w:line="480" w:lineRule="auto"/>
        <w:jc w:val="both"/>
      </w:pPr>
    </w:p>
    <w:p w14:paraId="46C5F197" w14:textId="42911F56" w:rsidR="006A5DD1" w:rsidRDefault="006A5DD1" w:rsidP="00C6464C">
      <w:pPr>
        <w:spacing w:line="480" w:lineRule="auto"/>
        <w:jc w:val="both"/>
        <w:rPr>
          <w:b/>
          <w:bCs/>
          <w:u w:val="single"/>
        </w:rPr>
      </w:pPr>
      <w:r w:rsidRPr="006A5DD1">
        <w:rPr>
          <w:b/>
          <w:bCs/>
          <w:u w:val="single"/>
        </w:rPr>
        <w:t xml:space="preserve">Results and discussion </w:t>
      </w:r>
    </w:p>
    <w:p w14:paraId="7C8DA493" w14:textId="778D8297" w:rsidR="00D261F3" w:rsidRDefault="002105FA" w:rsidP="00C6464C">
      <w:pPr>
        <w:spacing w:line="480" w:lineRule="auto"/>
        <w:jc w:val="both"/>
      </w:pPr>
      <w:r>
        <w:t xml:space="preserve">From observing all learners within numeracy and mathematics lessons </w:t>
      </w:r>
      <w:r w:rsidR="00B02EDC">
        <w:t xml:space="preserve">it was clear that </w:t>
      </w:r>
      <w:proofErr w:type="gramStart"/>
      <w:r w:rsidR="00B02EDC">
        <w:t>the majority of</w:t>
      </w:r>
      <w:proofErr w:type="gramEnd"/>
      <w:r w:rsidR="00B02EDC">
        <w:t xml:space="preserve"> FSM learners were situated in the lower ability groups but was not the case for all of the FSM learners within the class. When the class was completing mental maths within the introduction of the session they </w:t>
      </w:r>
      <w:proofErr w:type="gramStart"/>
      <w:r w:rsidR="00B02EDC">
        <w:t>had  a</w:t>
      </w:r>
      <w:proofErr w:type="gramEnd"/>
      <w:r w:rsidR="00B02EDC">
        <w:t xml:space="preserve"> set amount of time and  the learners who were not FSM eligible were getting the highest scores and processing the sums at a quicker pace compared to FSM learners. Within the maths session when </w:t>
      </w:r>
      <w:r w:rsidR="00D261F3">
        <w:t xml:space="preserve">the class was asked questions it was noticeable that the FSM learners were lacking the confidence in their answer and would wait for their peers to shows their answer before showing. This support the initial research of FSM learners having low </w:t>
      </w:r>
      <w:proofErr w:type="spellStart"/>
      <w:r w:rsidR="00D261F3">
        <w:t>self esteem</w:t>
      </w:r>
      <w:proofErr w:type="spellEnd"/>
      <w:r w:rsidR="00D261F3">
        <w:t xml:space="preserve"> and did not believe they were capable of getting it right. When all the learners were on task they were grouped in ability and the FSM learners were showing that they were lacking the confidence in themselves and were asking if they were </w:t>
      </w:r>
      <w:r w:rsidR="00D261F3">
        <w:lastRenderedPageBreak/>
        <w:t>right a lot throughout sessions and checking the work of their peers. It was also noticeable that the FSM learners felt more comfortable working in pairs within practical sessions.</w:t>
      </w:r>
    </w:p>
    <w:p w14:paraId="12EDC360" w14:textId="65FBCA4D" w:rsidR="00D261F3" w:rsidRDefault="00D261F3" w:rsidP="00C6464C">
      <w:pPr>
        <w:spacing w:line="480" w:lineRule="auto"/>
        <w:jc w:val="both"/>
      </w:pPr>
      <w:r>
        <w:t xml:space="preserve">From observing the learners working it was clear that </w:t>
      </w:r>
      <w:r w:rsidR="004249C6">
        <w:t xml:space="preserve">the attainment gap was present between FSM learners and their peers but it was clear that it was not every FSM learner because even though the majority of FSM learners were placed in low ability groups there was one learner who was in the highest ability group but the attainment gap was still present within this group between this learner and their peers in the group since they would rely on their friends to support them and had low </w:t>
      </w:r>
      <w:proofErr w:type="spellStart"/>
      <w:r w:rsidR="004249C6">
        <w:t>self esteem</w:t>
      </w:r>
      <w:proofErr w:type="spellEnd"/>
      <w:r w:rsidR="004249C6">
        <w:t xml:space="preserve">. </w:t>
      </w:r>
    </w:p>
    <w:p w14:paraId="38735B97" w14:textId="039ABE71" w:rsidR="00320464" w:rsidRDefault="004249C6" w:rsidP="00C6464C">
      <w:pPr>
        <w:spacing w:line="480" w:lineRule="auto"/>
        <w:jc w:val="both"/>
      </w:pPr>
      <w:r>
        <w:t xml:space="preserve">After observing the learners, the whole class went on to complete the worksheets. The worksheets were not based on </w:t>
      </w:r>
      <w:proofErr w:type="gramStart"/>
      <w:r w:rsidR="00320464">
        <w:t>ability</w:t>
      </w:r>
      <w:proofErr w:type="gramEnd"/>
      <w:r w:rsidR="00320464">
        <w:t xml:space="preserve"> but the sums were in different order to allow to check the individuals learning. The first sheet had twenty sums with two minutes to complete, it was expected that everyone would miss some </w:t>
      </w:r>
      <w:proofErr w:type="gramStart"/>
      <w:r w:rsidR="00320464">
        <w:t>questions</w:t>
      </w:r>
      <w:proofErr w:type="gramEnd"/>
      <w:r w:rsidR="00320464">
        <w:t xml:space="preserve"> but it allowed for the researcher to check the difference in processing questions and how fast their brain could answer the sums.</w:t>
      </w:r>
    </w:p>
    <w:p w14:paraId="2D0FB33D" w14:textId="5899C52C" w:rsidR="00320464" w:rsidRDefault="00320464" w:rsidP="00C6464C">
      <w:pPr>
        <w:spacing w:line="480" w:lineRule="auto"/>
        <w:jc w:val="both"/>
      </w:pPr>
      <w:r>
        <w:t xml:space="preserve">The results of the addition and subtractions worksheets showed that on average FSM learners answered three questions and on average these learners only had one sum correct </w:t>
      </w:r>
      <w:r w:rsidR="006A4713">
        <w:t xml:space="preserve">and the highest score was five. The learner who had the highest score was the learner who was observed to be achieving higher to the other FSM learners, whereas the other FSM learners identified that the sums were hard and even though they attempted the sums there was a few learners who did not get any of the sums right. When comparing these results to </w:t>
      </w:r>
      <w:r w:rsidR="006A4713">
        <w:lastRenderedPageBreak/>
        <w:t xml:space="preserve">their learners in the class who were not eligible for </w:t>
      </w:r>
      <w:r w:rsidR="00523783">
        <w:t xml:space="preserve">FSM on average answered eight of the sums with an average of six correct sums and the highest being eight correct sums. </w:t>
      </w:r>
    </w:p>
    <w:p w14:paraId="775309C3" w14:textId="6DF3FCC8" w:rsidR="00523783" w:rsidRDefault="00523783" w:rsidP="00C6464C">
      <w:pPr>
        <w:spacing w:line="480" w:lineRule="auto"/>
        <w:jc w:val="both"/>
      </w:pPr>
      <w:r>
        <w:t xml:space="preserve">From the results of </w:t>
      </w:r>
      <w:r w:rsidR="005742E3">
        <w:t>the addition and subtraction worksheet it wa</w:t>
      </w:r>
      <w:r w:rsidR="00E40261">
        <w:t xml:space="preserve">s clear that there an attainment gap within </w:t>
      </w:r>
      <w:proofErr w:type="gramStart"/>
      <w:r w:rsidR="00E40261">
        <w:t>numeracy</w:t>
      </w:r>
      <w:proofErr w:type="gramEnd"/>
      <w:r w:rsidR="00E40261">
        <w:t xml:space="preserve"> but it was also clear that the gap is not just between FSM learners since some learners who were not eligible for FSM also did not get high marks but to check that the attainment gap was present within mathematics the learners also completed a multiplication worksheets. </w:t>
      </w:r>
    </w:p>
    <w:p w14:paraId="50AA6689" w14:textId="60ECBF8E" w:rsidR="00E40261" w:rsidRDefault="00E40261" w:rsidP="00C6464C">
      <w:pPr>
        <w:spacing w:line="480" w:lineRule="auto"/>
        <w:jc w:val="both"/>
      </w:pPr>
      <w:r>
        <w:t xml:space="preserve">The multiplication worksheets had 140 sums all in different order with </w:t>
      </w:r>
      <w:proofErr w:type="gramStart"/>
      <w:r>
        <w:t>time tables</w:t>
      </w:r>
      <w:proofErr w:type="gramEnd"/>
      <w:r>
        <w:t xml:space="preserve"> up to ten, the learners also had two minutes to complete this sheet. When looking at the FSM learners answers they typically tend to go in the order of the sheet and did not skip questions with the correct numbers ranging from four to </w:t>
      </w:r>
      <w:proofErr w:type="gramStart"/>
      <w:r>
        <w:t>fifty four</w:t>
      </w:r>
      <w:proofErr w:type="gramEnd"/>
      <w:r>
        <w:t xml:space="preserve"> this was a lot higher scores compared to the first sheet. This suggests that the learners are more confident answering these questions compared to addition and subtraction this could be because there is more of a focus on times tables during their learning.  When looking at the learners who were not eligible on average the scores ranged from fifteen to </w:t>
      </w:r>
      <w:r w:rsidR="001F26AB">
        <w:t>sixty.</w:t>
      </w:r>
    </w:p>
    <w:p w14:paraId="6CE648E7" w14:textId="051EAA8D" w:rsidR="001F26AB" w:rsidRPr="002105FA" w:rsidRDefault="001F26AB" w:rsidP="00C6464C">
      <w:pPr>
        <w:spacing w:line="480" w:lineRule="auto"/>
        <w:jc w:val="both"/>
      </w:pPr>
      <w:r>
        <w:t xml:space="preserve">From looking at the results of both sheets there is attainment gap between FSM learners and their peers within numeracy. The results of this case study supported the research that there is </w:t>
      </w:r>
      <w:proofErr w:type="gramStart"/>
      <w:r>
        <w:t>a</w:t>
      </w:r>
      <w:proofErr w:type="gramEnd"/>
      <w:r>
        <w:t xml:space="preserve"> attainment gap between FSM learners and their peers in the class. Research showed that FSM learners were more likely to have low attendance, this was present within the learners the research which conducted, their low attendance contributed to their low scores. Even though there was </w:t>
      </w:r>
      <w:proofErr w:type="gramStart"/>
      <w:r>
        <w:t>a</w:t>
      </w:r>
      <w:proofErr w:type="gramEnd"/>
      <w:r>
        <w:t xml:space="preserve"> attainment gap for FSM learners it was also clear that some </w:t>
      </w:r>
      <w:r>
        <w:lastRenderedPageBreak/>
        <w:t xml:space="preserve">of their peers did fit in the same ability criteria and that the area of the school could also impact the learners. </w:t>
      </w:r>
    </w:p>
    <w:p w14:paraId="7AAF88D9" w14:textId="77777777" w:rsidR="006A5DD1" w:rsidRDefault="006A5DD1" w:rsidP="00C6464C">
      <w:pPr>
        <w:spacing w:line="480" w:lineRule="auto"/>
        <w:jc w:val="both"/>
        <w:rPr>
          <w:b/>
          <w:bCs/>
          <w:u w:val="single"/>
        </w:rPr>
      </w:pPr>
    </w:p>
    <w:p w14:paraId="2E5ACA20" w14:textId="77777777" w:rsidR="00E2559A" w:rsidRDefault="006A5DD1" w:rsidP="00C6464C">
      <w:pPr>
        <w:spacing w:line="480" w:lineRule="auto"/>
        <w:jc w:val="both"/>
        <w:rPr>
          <w:b/>
          <w:bCs/>
          <w:u w:val="single"/>
        </w:rPr>
      </w:pPr>
      <w:r>
        <w:rPr>
          <w:b/>
          <w:bCs/>
          <w:u w:val="single"/>
        </w:rPr>
        <w:t xml:space="preserve">Conclusion </w:t>
      </w:r>
    </w:p>
    <w:p w14:paraId="74EA22EF" w14:textId="1E403932" w:rsidR="00E2559A" w:rsidRPr="00E2559A" w:rsidRDefault="00E2559A" w:rsidP="00C6464C">
      <w:pPr>
        <w:spacing w:line="480" w:lineRule="auto"/>
        <w:jc w:val="both"/>
        <w:rPr>
          <w:b/>
          <w:bCs/>
          <w:u w:val="single"/>
        </w:rPr>
      </w:pPr>
      <w:r>
        <w:t xml:space="preserve">To conclude this research, the research methods used to collect the data was very effective and reliable in identifying if an attainment gap is present between FSM learners and their peers. The research found </w:t>
      </w:r>
      <w:proofErr w:type="gramStart"/>
      <w:r>
        <w:t>is able to</w:t>
      </w:r>
      <w:proofErr w:type="gramEnd"/>
      <w:r>
        <w:t xml:space="preserve"> be generalised for all FSM learners </w:t>
      </w:r>
      <w:r w:rsidR="00D660D2">
        <w:t xml:space="preserve">within the area the research was conducted since the results of this research has been supported for other case studies conducted about the attainment gap between FSM pupils and their peers. In the future I would like to explore in more depth the attainment gap in other area of learnings and to see if the results are the same as numeracy and mathematics  as well as  how it affects the learners progressing in life and to explore  the percentage of FSM learners who go on to complete further education such as university and the qualifications they achieve and what jobs they progress in to, this would allow for me to identify if the attainment gap is only temporary or if it follows them through life. </w:t>
      </w:r>
    </w:p>
    <w:p w14:paraId="2420E6A3" w14:textId="77777777" w:rsidR="006A5DD1" w:rsidRDefault="006A5DD1" w:rsidP="00C6464C">
      <w:pPr>
        <w:spacing w:line="480" w:lineRule="auto"/>
        <w:jc w:val="both"/>
        <w:rPr>
          <w:b/>
          <w:bCs/>
          <w:u w:val="single"/>
        </w:rPr>
      </w:pPr>
    </w:p>
    <w:p w14:paraId="3E9030BF" w14:textId="33166AA3" w:rsidR="006A5DD1" w:rsidRDefault="006A5DD1" w:rsidP="00C6464C">
      <w:pPr>
        <w:spacing w:line="480" w:lineRule="auto"/>
        <w:jc w:val="both"/>
        <w:rPr>
          <w:b/>
          <w:bCs/>
          <w:u w:val="single"/>
        </w:rPr>
      </w:pPr>
      <w:r>
        <w:rPr>
          <w:b/>
          <w:bCs/>
          <w:u w:val="single"/>
        </w:rPr>
        <w:t xml:space="preserve">Recommendations </w:t>
      </w:r>
    </w:p>
    <w:p w14:paraId="3B5B99A9" w14:textId="0F3608AB" w:rsidR="006A5DD1" w:rsidRPr="006A5DD1" w:rsidRDefault="006A5DD1" w:rsidP="00C6464C">
      <w:pPr>
        <w:spacing w:line="480" w:lineRule="auto"/>
        <w:jc w:val="both"/>
      </w:pPr>
      <w:r>
        <w:t xml:space="preserve">From conducting this </w:t>
      </w:r>
      <w:r w:rsidR="009C448A">
        <w:t>research,</w:t>
      </w:r>
      <w:r>
        <w:t xml:space="preserve"> it was clear that the best approach that could be adaptable for </w:t>
      </w:r>
      <w:r w:rsidR="00372E7F">
        <w:t xml:space="preserve">all FSM learners </w:t>
      </w:r>
      <w:r w:rsidR="004A7C18">
        <w:t xml:space="preserve">within all areas of learning. Teacher always differentiation the work level </w:t>
      </w:r>
      <w:r w:rsidR="001F03FF">
        <w:t xml:space="preserve">to support the learners to result in all learners learning the same topic or area but it suitable </w:t>
      </w:r>
      <w:r w:rsidR="001F03FF">
        <w:lastRenderedPageBreak/>
        <w:t xml:space="preserve">for their level of work. But when it comes to testing </w:t>
      </w:r>
      <w:r w:rsidR="009C448A">
        <w:t>learners,</w:t>
      </w:r>
      <w:r w:rsidR="001F03FF">
        <w:t xml:space="preserve"> they all take the same test level in primary school, this suggests that the gap attainment is due to the level of work the learners are being taught at is not the same level they are being tested at. The recommendation from this knowledge is that primary schools should have different level of testing to allow for the learners to show their full academic potential that they have been working towards in their year. This recommendations has come from the </w:t>
      </w:r>
      <w:r w:rsidR="009C448A">
        <w:t xml:space="preserve">approaches of GCSE in secondary school, where the learners of different ability sit different exams to allow for the learners to achieve the grades they are expected and showcase their full potential. Another recommendation to support learners from conducting the research, since the research showed of lot of FSM learners had a low percentage of attendance sometimes, they had no control for these days off. To support these learners schools could offer catch up sessions to allow for the </w:t>
      </w:r>
      <w:r w:rsidR="00E2559A">
        <w:t xml:space="preserve">learner to catch up on the work they have missed to avoid gaps in their learning, </w:t>
      </w:r>
    </w:p>
    <w:p w14:paraId="5DE64777" w14:textId="77777777" w:rsidR="003D4B18" w:rsidRPr="00C97347" w:rsidRDefault="003D4B18" w:rsidP="00FD5B39">
      <w:pPr>
        <w:jc w:val="both"/>
      </w:pPr>
    </w:p>
    <w:p w14:paraId="53A6B655" w14:textId="7FC6A4B0" w:rsidR="00DD33DC" w:rsidRPr="00C6464C" w:rsidRDefault="00C6464C" w:rsidP="00FD5B39">
      <w:pPr>
        <w:jc w:val="both"/>
        <w:rPr>
          <w:b/>
          <w:bCs/>
          <w:u w:val="single"/>
        </w:rPr>
      </w:pPr>
      <w:r w:rsidRPr="00C6464C">
        <w:rPr>
          <w:b/>
          <w:bCs/>
          <w:u w:val="single"/>
        </w:rPr>
        <w:t>References</w:t>
      </w:r>
    </w:p>
    <w:p w14:paraId="40425B53" w14:textId="77777777" w:rsidR="00C6464C" w:rsidRDefault="00C6464C" w:rsidP="00C6464C">
      <w:pPr>
        <w:pStyle w:val="NormalWeb"/>
        <w:ind w:left="567" w:hanging="567"/>
        <w:rPr>
          <w:color w:val="000000"/>
        </w:rPr>
      </w:pPr>
      <w:r>
        <w:rPr>
          <w:color w:val="000000"/>
        </w:rPr>
        <w:t>(No date a)</w:t>
      </w:r>
      <w:r>
        <w:rPr>
          <w:rStyle w:val="apple-converted-space"/>
          <w:rFonts w:eastAsiaTheme="majorEastAsia"/>
          <w:color w:val="000000"/>
        </w:rPr>
        <w:t> </w:t>
      </w:r>
      <w:r>
        <w:rPr>
          <w:i/>
          <w:iCs/>
          <w:color w:val="000000"/>
        </w:rPr>
        <w:t>General election policy briefing - closing the attainment gap</w:t>
      </w:r>
      <w:r>
        <w:rPr>
          <w:color w:val="000000"/>
        </w:rPr>
        <w:t>. Available at: https://www.suttontrust.com/wp-content/uploads/2024/02/Closing-the-attainment-gap.pdf (Accessed: 07 May 2024).</w:t>
      </w:r>
      <w:r>
        <w:rPr>
          <w:rStyle w:val="apple-converted-space"/>
          <w:rFonts w:eastAsiaTheme="majorEastAsia"/>
          <w:color w:val="000000"/>
        </w:rPr>
        <w:t> </w:t>
      </w:r>
    </w:p>
    <w:p w14:paraId="4CB653AC" w14:textId="77777777" w:rsidR="00C6464C" w:rsidRDefault="00C6464C" w:rsidP="00C6464C">
      <w:pPr>
        <w:pStyle w:val="NormalWeb"/>
        <w:ind w:left="567" w:hanging="567"/>
        <w:rPr>
          <w:color w:val="000000"/>
        </w:rPr>
      </w:pPr>
      <w:r>
        <w:rPr>
          <w:color w:val="000000"/>
        </w:rPr>
        <w:t>(No date b)</w:t>
      </w:r>
      <w:r>
        <w:rPr>
          <w:rStyle w:val="apple-converted-space"/>
          <w:rFonts w:eastAsiaTheme="majorEastAsia"/>
          <w:color w:val="000000"/>
        </w:rPr>
        <w:t> </w:t>
      </w:r>
      <w:r>
        <w:rPr>
          <w:i/>
          <w:iCs/>
          <w:color w:val="000000"/>
        </w:rPr>
        <w:t xml:space="preserve">Food poverty: Households, Food </w:t>
      </w:r>
      <w:proofErr w:type="gramStart"/>
      <w:r>
        <w:rPr>
          <w:i/>
          <w:iCs/>
          <w:color w:val="000000"/>
        </w:rPr>
        <w:t>Banks</w:t>
      </w:r>
      <w:proofErr w:type="gramEnd"/>
      <w:r>
        <w:rPr>
          <w:i/>
          <w:iCs/>
          <w:color w:val="000000"/>
        </w:rPr>
        <w:t xml:space="preserve"> and Free School Meals</w:t>
      </w:r>
      <w:r>
        <w:rPr>
          <w:color w:val="000000"/>
        </w:rPr>
        <w:t>. Available at: https://researchbriefings.files.parliament.uk/documents/CBP-9209/CBP-9209.pdf (Accessed: 07 May 2024).</w:t>
      </w:r>
      <w:r>
        <w:rPr>
          <w:rStyle w:val="apple-converted-space"/>
          <w:rFonts w:eastAsiaTheme="majorEastAsia"/>
          <w:color w:val="000000"/>
        </w:rPr>
        <w:t> </w:t>
      </w:r>
    </w:p>
    <w:p w14:paraId="09B4C322" w14:textId="77777777" w:rsidR="00C6464C" w:rsidRDefault="00C6464C" w:rsidP="00C6464C">
      <w:pPr>
        <w:pStyle w:val="NormalWeb"/>
        <w:ind w:left="567" w:hanging="567"/>
        <w:rPr>
          <w:color w:val="000000"/>
        </w:rPr>
      </w:pPr>
      <w:r>
        <w:rPr>
          <w:i/>
          <w:iCs/>
          <w:color w:val="000000"/>
        </w:rPr>
        <w:t>Absenteeism from primary schools: September 2022 to August 2023</w:t>
      </w:r>
      <w:r>
        <w:rPr>
          <w:rStyle w:val="apple-converted-space"/>
          <w:rFonts w:eastAsiaTheme="majorEastAsia"/>
          <w:color w:val="000000"/>
        </w:rPr>
        <w:t> </w:t>
      </w:r>
      <w:r>
        <w:rPr>
          <w:color w:val="000000"/>
        </w:rPr>
        <w:t>(no date)</w:t>
      </w:r>
      <w:r>
        <w:rPr>
          <w:rStyle w:val="apple-converted-space"/>
          <w:rFonts w:eastAsiaTheme="majorEastAsia"/>
          <w:color w:val="000000"/>
        </w:rPr>
        <w:t> </w:t>
      </w:r>
      <w:r>
        <w:rPr>
          <w:i/>
          <w:iCs/>
          <w:color w:val="000000"/>
        </w:rPr>
        <w:t>GOV.WALES</w:t>
      </w:r>
      <w:r>
        <w:rPr>
          <w:color w:val="000000"/>
        </w:rPr>
        <w:t>. Available at: https://www.gov.wales/absenteeism-primary-schools-september-2022-august-2023-html#:~:text=Using%20the%2010%25%20threshold%2C%2051.7,pupils%2C%20in%202022%2F23. (Accessed: 07 May 2024).</w:t>
      </w:r>
      <w:r>
        <w:rPr>
          <w:rStyle w:val="apple-converted-space"/>
          <w:rFonts w:eastAsiaTheme="majorEastAsia"/>
          <w:color w:val="000000"/>
        </w:rPr>
        <w:t> </w:t>
      </w:r>
    </w:p>
    <w:p w14:paraId="76AE9410" w14:textId="77777777" w:rsidR="00C6464C" w:rsidRDefault="00C6464C" w:rsidP="00C6464C">
      <w:pPr>
        <w:pStyle w:val="NormalWeb"/>
        <w:ind w:left="567" w:hanging="567"/>
        <w:rPr>
          <w:color w:val="000000"/>
        </w:rPr>
      </w:pPr>
      <w:r>
        <w:rPr>
          <w:color w:val="000000"/>
        </w:rPr>
        <w:lastRenderedPageBreak/>
        <w:t>Brace, I. and Wang, Q. (2018)</w:t>
      </w:r>
      <w:r>
        <w:rPr>
          <w:rStyle w:val="apple-converted-space"/>
          <w:rFonts w:eastAsiaTheme="majorEastAsia"/>
          <w:color w:val="000000"/>
        </w:rPr>
        <w:t> </w:t>
      </w:r>
      <w:r>
        <w:rPr>
          <w:i/>
          <w:iCs/>
          <w:color w:val="000000"/>
        </w:rPr>
        <w:t xml:space="preserve">Wen Juan she ji: Ru He </w:t>
      </w:r>
      <w:proofErr w:type="spellStart"/>
      <w:r>
        <w:rPr>
          <w:i/>
          <w:iCs/>
          <w:color w:val="000000"/>
        </w:rPr>
        <w:t>Gui</w:t>
      </w:r>
      <w:proofErr w:type="spellEnd"/>
      <w:r>
        <w:rPr>
          <w:i/>
          <w:iCs/>
          <w:color w:val="000000"/>
        </w:rPr>
        <w:t xml:space="preserve"> Hua, Jian Gou Yu </w:t>
      </w:r>
      <w:proofErr w:type="spellStart"/>
      <w:r>
        <w:rPr>
          <w:i/>
          <w:iCs/>
          <w:color w:val="000000"/>
        </w:rPr>
        <w:t>Bian</w:t>
      </w:r>
      <w:proofErr w:type="spellEnd"/>
      <w:r>
        <w:rPr>
          <w:i/>
          <w:iCs/>
          <w:color w:val="000000"/>
        </w:rPr>
        <w:t xml:space="preserve"> </w:t>
      </w:r>
      <w:proofErr w:type="spellStart"/>
      <w:r>
        <w:rPr>
          <w:i/>
          <w:iCs/>
          <w:color w:val="000000"/>
        </w:rPr>
        <w:t>Xie</w:t>
      </w:r>
      <w:proofErr w:type="spellEnd"/>
      <w:r>
        <w:rPr>
          <w:i/>
          <w:iCs/>
          <w:color w:val="000000"/>
        </w:rPr>
        <w:t xml:space="preserve"> you Xiao Shi Chang Yan Jiu </w:t>
      </w:r>
      <w:proofErr w:type="spellStart"/>
      <w:r>
        <w:rPr>
          <w:i/>
          <w:iCs/>
          <w:color w:val="000000"/>
        </w:rPr>
        <w:t>Zhi</w:t>
      </w:r>
      <w:proofErr w:type="spellEnd"/>
      <w:r>
        <w:rPr>
          <w:i/>
          <w:iCs/>
          <w:color w:val="000000"/>
        </w:rPr>
        <w:t xml:space="preserve"> </w:t>
      </w:r>
      <w:proofErr w:type="spellStart"/>
      <w:r>
        <w:rPr>
          <w:i/>
          <w:iCs/>
          <w:color w:val="000000"/>
        </w:rPr>
        <w:t>Diao</w:t>
      </w:r>
      <w:proofErr w:type="spellEnd"/>
      <w:r>
        <w:rPr>
          <w:i/>
          <w:iCs/>
          <w:color w:val="000000"/>
        </w:rPr>
        <w:t xml:space="preserve"> Cha Zi Liao = questionnaire design: How to plan, structure and write survey material for effective market research</w:t>
      </w:r>
      <w:r>
        <w:rPr>
          <w:color w:val="000000"/>
        </w:rPr>
        <w:t xml:space="preserve">. </w:t>
      </w:r>
      <w:proofErr w:type="spellStart"/>
      <w:r>
        <w:rPr>
          <w:color w:val="000000"/>
        </w:rPr>
        <w:t>Taibei</w:t>
      </w:r>
      <w:proofErr w:type="spellEnd"/>
      <w:r>
        <w:rPr>
          <w:color w:val="000000"/>
        </w:rPr>
        <w:t xml:space="preserve"> Shi: Wu nan </w:t>
      </w:r>
      <w:proofErr w:type="spellStart"/>
      <w:r>
        <w:rPr>
          <w:color w:val="000000"/>
        </w:rPr>
        <w:t>tu</w:t>
      </w:r>
      <w:proofErr w:type="spellEnd"/>
      <w:r>
        <w:rPr>
          <w:color w:val="000000"/>
        </w:rPr>
        <w:t xml:space="preserve"> </w:t>
      </w:r>
      <w:proofErr w:type="spellStart"/>
      <w:r>
        <w:rPr>
          <w:color w:val="000000"/>
        </w:rPr>
        <w:t>shu</w:t>
      </w:r>
      <w:proofErr w:type="spellEnd"/>
      <w:r>
        <w:rPr>
          <w:color w:val="000000"/>
        </w:rPr>
        <w:t xml:space="preserve"> chu ban </w:t>
      </w:r>
      <w:proofErr w:type="spellStart"/>
      <w:r>
        <w:rPr>
          <w:color w:val="000000"/>
        </w:rPr>
        <w:t>gu</w:t>
      </w:r>
      <w:proofErr w:type="spellEnd"/>
      <w:r>
        <w:rPr>
          <w:color w:val="000000"/>
        </w:rPr>
        <w:t xml:space="preserve"> fen you </w:t>
      </w:r>
      <w:proofErr w:type="spellStart"/>
      <w:r>
        <w:rPr>
          <w:color w:val="000000"/>
        </w:rPr>
        <w:t>xian</w:t>
      </w:r>
      <w:proofErr w:type="spellEnd"/>
      <w:r>
        <w:rPr>
          <w:color w:val="000000"/>
        </w:rPr>
        <w:t xml:space="preserve"> gong </w:t>
      </w:r>
      <w:proofErr w:type="spellStart"/>
      <w:r>
        <w:rPr>
          <w:color w:val="000000"/>
        </w:rPr>
        <w:t>si</w:t>
      </w:r>
      <w:proofErr w:type="spellEnd"/>
      <w:r>
        <w:rPr>
          <w:color w:val="000000"/>
        </w:rPr>
        <w:t>.</w:t>
      </w:r>
      <w:r>
        <w:rPr>
          <w:rStyle w:val="apple-converted-space"/>
          <w:rFonts w:eastAsiaTheme="majorEastAsia"/>
          <w:color w:val="000000"/>
        </w:rPr>
        <w:t> </w:t>
      </w:r>
    </w:p>
    <w:p w14:paraId="22732A2B" w14:textId="77777777" w:rsidR="00C6464C" w:rsidRDefault="00C6464C" w:rsidP="00C6464C">
      <w:pPr>
        <w:pStyle w:val="NormalWeb"/>
        <w:ind w:left="567" w:hanging="567"/>
        <w:rPr>
          <w:color w:val="000000"/>
        </w:rPr>
      </w:pPr>
      <w:r>
        <w:rPr>
          <w:color w:val="000000"/>
        </w:rPr>
        <w:t>Easterbrook, M.J.</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(2022) ‘“people like me don’t do well at school”: The roles of identity compatibility and school context in explaining the socioeconomic attainment gap’,</w:t>
      </w:r>
      <w:r>
        <w:rPr>
          <w:rStyle w:val="apple-converted-space"/>
          <w:rFonts w:eastAsiaTheme="majorEastAsia"/>
          <w:color w:val="000000"/>
        </w:rPr>
        <w:t> </w:t>
      </w:r>
      <w:r>
        <w:rPr>
          <w:i/>
          <w:iCs/>
          <w:color w:val="000000"/>
        </w:rPr>
        <w:t>British Journal of Educational Psychology</w:t>
      </w:r>
      <w:r>
        <w:rPr>
          <w:color w:val="000000"/>
        </w:rPr>
        <w:t>, 92(3), pp. 1178–1195. doi:10.1111/bjep.12494.</w:t>
      </w:r>
      <w:r>
        <w:rPr>
          <w:rStyle w:val="apple-converted-space"/>
          <w:rFonts w:eastAsiaTheme="majorEastAsia"/>
          <w:color w:val="000000"/>
        </w:rPr>
        <w:t> </w:t>
      </w:r>
    </w:p>
    <w:p w14:paraId="37256CF1" w14:textId="77777777" w:rsidR="00C6464C" w:rsidRDefault="00C6464C" w:rsidP="00C6464C">
      <w:pPr>
        <w:pStyle w:val="NormalWeb"/>
        <w:ind w:left="567" w:hanging="567"/>
        <w:rPr>
          <w:color w:val="000000"/>
        </w:rPr>
      </w:pPr>
      <w:r>
        <w:rPr>
          <w:i/>
          <w:iCs/>
          <w:color w:val="000000"/>
        </w:rPr>
        <w:t>Ethical guidelines for educational research, Fourth edition (2018)</w:t>
      </w:r>
      <w:r>
        <w:rPr>
          <w:rStyle w:val="apple-converted-space"/>
          <w:rFonts w:eastAsiaTheme="majorEastAsia"/>
          <w:color w:val="000000"/>
        </w:rPr>
        <w:t> </w:t>
      </w:r>
      <w:r>
        <w:rPr>
          <w:color w:val="000000"/>
        </w:rPr>
        <w:t>(no date a)</w:t>
      </w:r>
      <w:r>
        <w:rPr>
          <w:rStyle w:val="apple-converted-space"/>
          <w:rFonts w:eastAsiaTheme="majorEastAsia"/>
          <w:color w:val="000000"/>
        </w:rPr>
        <w:t> </w:t>
      </w:r>
      <w:r>
        <w:rPr>
          <w:i/>
          <w:iCs/>
          <w:color w:val="000000"/>
        </w:rPr>
        <w:t>BERA</w:t>
      </w:r>
      <w:r>
        <w:rPr>
          <w:color w:val="000000"/>
        </w:rPr>
        <w:t>. Available at: https://www.bera.ac.uk/publication/ethical-guidelines-for-educational-research-2018 (Accessed: 07 May 2024).</w:t>
      </w:r>
      <w:r>
        <w:rPr>
          <w:rStyle w:val="apple-converted-space"/>
          <w:rFonts w:eastAsiaTheme="majorEastAsia"/>
          <w:color w:val="000000"/>
        </w:rPr>
        <w:t> </w:t>
      </w:r>
    </w:p>
    <w:p w14:paraId="31D131AB" w14:textId="77777777" w:rsidR="00C6464C" w:rsidRDefault="00C6464C" w:rsidP="00C6464C">
      <w:pPr>
        <w:pStyle w:val="NormalWeb"/>
        <w:ind w:left="567" w:hanging="567"/>
        <w:rPr>
          <w:color w:val="000000"/>
        </w:rPr>
      </w:pPr>
      <w:r>
        <w:rPr>
          <w:i/>
          <w:iCs/>
          <w:color w:val="000000"/>
        </w:rPr>
        <w:t>Ethical guidelines for educational research, Fourth edition (2018)</w:t>
      </w:r>
      <w:r>
        <w:rPr>
          <w:rStyle w:val="apple-converted-space"/>
          <w:rFonts w:eastAsiaTheme="majorEastAsia"/>
          <w:color w:val="000000"/>
        </w:rPr>
        <w:t> </w:t>
      </w:r>
      <w:r>
        <w:rPr>
          <w:color w:val="000000"/>
        </w:rPr>
        <w:t>(no date b)</w:t>
      </w:r>
      <w:r>
        <w:rPr>
          <w:rStyle w:val="apple-converted-space"/>
          <w:rFonts w:eastAsiaTheme="majorEastAsia"/>
          <w:color w:val="000000"/>
        </w:rPr>
        <w:t> </w:t>
      </w:r>
      <w:r>
        <w:rPr>
          <w:i/>
          <w:iCs/>
          <w:color w:val="000000"/>
        </w:rPr>
        <w:t>BERA</w:t>
      </w:r>
      <w:r>
        <w:rPr>
          <w:color w:val="000000"/>
        </w:rPr>
        <w:t>. Available at: https://www.bera.ac.uk/publication/ethical-guidelines-for-educational-research-2018 (Accessed: 07 May 2024).</w:t>
      </w:r>
      <w:r>
        <w:rPr>
          <w:rStyle w:val="apple-converted-space"/>
          <w:rFonts w:eastAsiaTheme="majorEastAsia"/>
          <w:color w:val="000000"/>
        </w:rPr>
        <w:t> </w:t>
      </w:r>
    </w:p>
    <w:p w14:paraId="416B37FA" w14:textId="77777777" w:rsidR="00C6464C" w:rsidRDefault="00C6464C" w:rsidP="00C6464C">
      <w:pPr>
        <w:pStyle w:val="NormalWeb"/>
        <w:ind w:left="567" w:hanging="567"/>
        <w:rPr>
          <w:color w:val="000000"/>
        </w:rPr>
      </w:pPr>
      <w:proofErr w:type="spellStart"/>
      <w:r>
        <w:rPr>
          <w:color w:val="000000"/>
        </w:rPr>
        <w:t>Hallgarten</w:t>
      </w:r>
      <w:proofErr w:type="spellEnd"/>
      <w:r>
        <w:rPr>
          <w:color w:val="000000"/>
        </w:rPr>
        <w:t>, J., Heseltine, C. and Ramaiah, B. (2020)</w:t>
      </w:r>
      <w:r>
        <w:rPr>
          <w:rStyle w:val="apple-converted-space"/>
          <w:rFonts w:eastAsiaTheme="majorEastAsia"/>
          <w:color w:val="000000"/>
        </w:rPr>
        <w:t> </w:t>
      </w:r>
      <w:r>
        <w:rPr>
          <w:i/>
          <w:iCs/>
          <w:color w:val="000000"/>
        </w:rPr>
        <w:t xml:space="preserve">Poverty and special needs: A quarter of FSM pupils have </w:t>
      </w:r>
      <w:proofErr w:type="gramStart"/>
      <w:r>
        <w:rPr>
          <w:i/>
          <w:iCs/>
          <w:color w:val="000000"/>
        </w:rPr>
        <w:t>send</w:t>
      </w:r>
      <w:proofErr w:type="gramEnd"/>
      <w:r>
        <w:rPr>
          <w:color w:val="000000"/>
        </w:rPr>
        <w:t>,</w:t>
      </w:r>
      <w:r>
        <w:rPr>
          <w:rStyle w:val="apple-converted-space"/>
          <w:rFonts w:eastAsiaTheme="majorEastAsia"/>
          <w:color w:val="000000"/>
        </w:rPr>
        <w:t> </w:t>
      </w:r>
      <w:proofErr w:type="spellStart"/>
      <w:r>
        <w:rPr>
          <w:i/>
          <w:iCs/>
          <w:color w:val="000000"/>
        </w:rPr>
        <w:t>CfEY</w:t>
      </w:r>
      <w:proofErr w:type="spellEnd"/>
      <w:r>
        <w:rPr>
          <w:color w:val="000000"/>
        </w:rPr>
        <w:t>. Available at: https://cfey.org/reports/2016/02/poverty-and-special-needs-a-quarter-of-fsm-pupils-have-send/ (Accessed: 07 May 2024).</w:t>
      </w:r>
      <w:r>
        <w:rPr>
          <w:rStyle w:val="apple-converted-space"/>
          <w:rFonts w:eastAsiaTheme="majorEastAsia"/>
          <w:color w:val="000000"/>
        </w:rPr>
        <w:t> </w:t>
      </w:r>
    </w:p>
    <w:p w14:paraId="494F36E7" w14:textId="77777777" w:rsidR="00C6464C" w:rsidRDefault="00C6464C" w:rsidP="00C6464C">
      <w:pPr>
        <w:pStyle w:val="NormalWeb"/>
        <w:ind w:left="567" w:hanging="567"/>
        <w:rPr>
          <w:color w:val="000000"/>
        </w:rPr>
      </w:pPr>
      <w:r>
        <w:rPr>
          <w:color w:val="000000"/>
        </w:rPr>
        <w:t>Johnson, E. (2023)</w:t>
      </w:r>
      <w:r>
        <w:rPr>
          <w:rStyle w:val="apple-converted-space"/>
          <w:rFonts w:eastAsiaTheme="majorEastAsia"/>
          <w:color w:val="000000"/>
        </w:rPr>
        <w:t> </w:t>
      </w:r>
      <w:r>
        <w:rPr>
          <w:i/>
          <w:iCs/>
          <w:color w:val="000000"/>
        </w:rPr>
        <w:t>The CPA approach: What it is &amp; how to use it in primary maths</w:t>
      </w:r>
      <w:r>
        <w:rPr>
          <w:color w:val="000000"/>
        </w:rPr>
        <w:t>,</w:t>
      </w:r>
      <w:r>
        <w:rPr>
          <w:rStyle w:val="apple-converted-space"/>
          <w:rFonts w:eastAsiaTheme="majorEastAsia"/>
          <w:color w:val="000000"/>
        </w:rPr>
        <w:t> </w:t>
      </w:r>
      <w:r>
        <w:rPr>
          <w:i/>
          <w:iCs/>
          <w:color w:val="000000"/>
        </w:rPr>
        <w:t>Third Space Learning</w:t>
      </w:r>
      <w:r>
        <w:rPr>
          <w:color w:val="000000"/>
        </w:rPr>
        <w:t>. Available at: https://thirdspacelearning.com/blog/concrete-pictorial-abstract-maths-cpa/ (Accessed: 07 May 2024).</w:t>
      </w:r>
      <w:r>
        <w:rPr>
          <w:rStyle w:val="apple-converted-space"/>
          <w:rFonts w:eastAsiaTheme="majorEastAsia"/>
          <w:color w:val="000000"/>
        </w:rPr>
        <w:t> </w:t>
      </w:r>
    </w:p>
    <w:p w14:paraId="7EFA27E3" w14:textId="77777777" w:rsidR="00C6464C" w:rsidRDefault="00C6464C" w:rsidP="00C6464C">
      <w:pPr>
        <w:pStyle w:val="NormalWeb"/>
        <w:ind w:left="567" w:hanging="567"/>
        <w:rPr>
          <w:color w:val="000000"/>
        </w:rPr>
      </w:pPr>
      <w:r>
        <w:rPr>
          <w:color w:val="000000"/>
        </w:rPr>
        <w:t xml:space="preserve">Kendra Cherry, </w:t>
      </w:r>
      <w:proofErr w:type="spellStart"/>
      <w:r>
        <w:rPr>
          <w:color w:val="000000"/>
        </w:rPr>
        <w:t>Mse</w:t>
      </w:r>
      <w:proofErr w:type="spellEnd"/>
      <w:r>
        <w:rPr>
          <w:color w:val="000000"/>
        </w:rPr>
        <w:t>. (2024)</w:t>
      </w:r>
      <w:r>
        <w:rPr>
          <w:rStyle w:val="apple-converted-space"/>
          <w:rFonts w:eastAsiaTheme="majorEastAsia"/>
          <w:color w:val="000000"/>
        </w:rPr>
        <w:t> </w:t>
      </w:r>
      <w:r>
        <w:rPr>
          <w:i/>
          <w:iCs/>
          <w:color w:val="000000"/>
        </w:rPr>
        <w:t xml:space="preserve">What is a case study in </w:t>
      </w:r>
      <w:proofErr w:type="gramStart"/>
      <w:r>
        <w:rPr>
          <w:i/>
          <w:iCs/>
          <w:color w:val="000000"/>
        </w:rPr>
        <w:t>psychology?</w:t>
      </w:r>
      <w:r>
        <w:rPr>
          <w:color w:val="000000"/>
        </w:rPr>
        <w:t>,</w:t>
      </w:r>
      <w:proofErr w:type="gramEnd"/>
      <w:r>
        <w:rPr>
          <w:rStyle w:val="apple-converted-space"/>
          <w:rFonts w:eastAsiaTheme="majorEastAsia"/>
          <w:color w:val="000000"/>
        </w:rPr>
        <w:t> </w:t>
      </w:r>
      <w:proofErr w:type="spellStart"/>
      <w:r>
        <w:rPr>
          <w:i/>
          <w:iCs/>
          <w:color w:val="000000"/>
        </w:rPr>
        <w:t>Verywell</w:t>
      </w:r>
      <w:proofErr w:type="spellEnd"/>
      <w:r>
        <w:rPr>
          <w:i/>
          <w:iCs/>
          <w:color w:val="000000"/>
        </w:rPr>
        <w:t xml:space="preserve"> Mind</w:t>
      </w:r>
      <w:r>
        <w:rPr>
          <w:color w:val="000000"/>
        </w:rPr>
        <w:t>. Available at: https://www.verywellmind.com/how-to-write-a-psychology-case-study-2795722#:~:text=The%20point%20of%20a%20case,results%20to%20a%20larger%20population. (Accessed: 07 May 2024).</w:t>
      </w:r>
      <w:r>
        <w:rPr>
          <w:rStyle w:val="apple-converted-space"/>
          <w:rFonts w:eastAsiaTheme="majorEastAsia"/>
          <w:color w:val="000000"/>
        </w:rPr>
        <w:t> </w:t>
      </w:r>
    </w:p>
    <w:p w14:paraId="5DD925DA" w14:textId="77777777" w:rsidR="00C6464C" w:rsidRDefault="00C6464C" w:rsidP="00C6464C">
      <w:pPr>
        <w:pStyle w:val="NormalWeb"/>
        <w:ind w:left="567" w:hanging="567"/>
        <w:rPr>
          <w:color w:val="000000"/>
        </w:rPr>
      </w:pPr>
      <w:proofErr w:type="spellStart"/>
      <w:r>
        <w:rPr>
          <w:i/>
          <w:iCs/>
          <w:color w:val="000000"/>
        </w:rPr>
        <w:t>Libguides</w:t>
      </w:r>
      <w:proofErr w:type="spellEnd"/>
      <w:r>
        <w:rPr>
          <w:i/>
          <w:iCs/>
          <w:color w:val="000000"/>
        </w:rPr>
        <w:t>: Research Writing and Analysis: Case Study</w:t>
      </w:r>
      <w:r>
        <w:rPr>
          <w:rStyle w:val="apple-converted-space"/>
          <w:rFonts w:eastAsiaTheme="majorEastAsia"/>
          <w:color w:val="000000"/>
        </w:rPr>
        <w:t> </w:t>
      </w:r>
      <w:r>
        <w:rPr>
          <w:color w:val="000000"/>
        </w:rPr>
        <w:t>(no date)</w:t>
      </w:r>
      <w:r>
        <w:rPr>
          <w:rStyle w:val="apple-converted-space"/>
          <w:rFonts w:eastAsiaTheme="majorEastAsia"/>
          <w:color w:val="000000"/>
        </w:rPr>
        <w:t> </w:t>
      </w:r>
      <w:r>
        <w:rPr>
          <w:i/>
          <w:iCs/>
          <w:color w:val="000000"/>
        </w:rPr>
        <w:t xml:space="preserve">Case Study - Research Writing and Analysis - </w:t>
      </w:r>
      <w:proofErr w:type="spellStart"/>
      <w:r>
        <w:rPr>
          <w:i/>
          <w:iCs/>
          <w:color w:val="000000"/>
        </w:rPr>
        <w:t>LibGuides</w:t>
      </w:r>
      <w:proofErr w:type="spellEnd"/>
      <w:r>
        <w:rPr>
          <w:i/>
          <w:iCs/>
          <w:color w:val="000000"/>
        </w:rPr>
        <w:t xml:space="preserve"> at National University</w:t>
      </w:r>
      <w:r>
        <w:rPr>
          <w:color w:val="000000"/>
        </w:rPr>
        <w:t>. Available at: https://resources.nu.edu/researchtools/casestudy#:~:text=A%20Case%20study%20is%3A,people%2C%20organization%2C%20or%20event. (Accessed: 07 May 2024).</w:t>
      </w:r>
      <w:r>
        <w:rPr>
          <w:rStyle w:val="apple-converted-space"/>
          <w:rFonts w:eastAsiaTheme="majorEastAsia"/>
          <w:color w:val="000000"/>
        </w:rPr>
        <w:t> </w:t>
      </w:r>
    </w:p>
    <w:p w14:paraId="6E8DF5BB" w14:textId="77777777" w:rsidR="00C6464C" w:rsidRDefault="00C6464C" w:rsidP="00C6464C">
      <w:pPr>
        <w:pStyle w:val="NormalWeb"/>
        <w:ind w:left="567" w:hanging="567"/>
        <w:rPr>
          <w:color w:val="000000"/>
        </w:rPr>
      </w:pPr>
      <w:r>
        <w:rPr>
          <w:color w:val="000000"/>
        </w:rPr>
        <w:t>Officer, M. (2022)</w:t>
      </w:r>
      <w:r>
        <w:rPr>
          <w:rStyle w:val="apple-converted-space"/>
          <w:rFonts w:eastAsiaTheme="majorEastAsia"/>
          <w:color w:val="000000"/>
        </w:rPr>
        <w:t> </w:t>
      </w:r>
      <w:r>
        <w:rPr>
          <w:i/>
          <w:iCs/>
          <w:color w:val="000000"/>
        </w:rPr>
        <w:t>Free school meals and other support for disadvantaged pupils - here’s what you need to know</w:t>
      </w:r>
      <w:r>
        <w:rPr>
          <w:color w:val="000000"/>
        </w:rPr>
        <w:t>,</w:t>
      </w:r>
      <w:r>
        <w:rPr>
          <w:rStyle w:val="apple-converted-space"/>
          <w:rFonts w:eastAsiaTheme="majorEastAsia"/>
          <w:color w:val="000000"/>
        </w:rPr>
        <w:t> </w:t>
      </w:r>
      <w:r>
        <w:rPr>
          <w:i/>
          <w:iCs/>
          <w:color w:val="000000"/>
        </w:rPr>
        <w:t>The Education Hub</w:t>
      </w:r>
      <w:r>
        <w:rPr>
          <w:color w:val="000000"/>
        </w:rPr>
        <w:t>. Available at: https://educationhub.blog.gov.uk/2022/05/31/free-school-meals-and-other-support-for-disadvantaged-pupils-heres-what-you-need-to-know/ (Accessed: 07 May 2024).</w:t>
      </w:r>
      <w:r>
        <w:rPr>
          <w:rStyle w:val="apple-converted-space"/>
          <w:rFonts w:eastAsiaTheme="majorEastAsia"/>
          <w:color w:val="000000"/>
        </w:rPr>
        <w:t> </w:t>
      </w:r>
    </w:p>
    <w:p w14:paraId="57190975" w14:textId="77777777" w:rsidR="00C6464C" w:rsidRDefault="00C6464C" w:rsidP="00C6464C">
      <w:pPr>
        <w:pStyle w:val="NormalWeb"/>
        <w:ind w:left="567" w:hanging="567"/>
        <w:rPr>
          <w:color w:val="000000"/>
        </w:rPr>
      </w:pPr>
      <w:r>
        <w:rPr>
          <w:i/>
          <w:iCs/>
          <w:color w:val="000000"/>
        </w:rPr>
        <w:t>Pupil development grant (PDG): Overview</w:t>
      </w:r>
      <w:r>
        <w:rPr>
          <w:rStyle w:val="apple-converted-space"/>
          <w:rFonts w:eastAsiaTheme="majorEastAsia"/>
          <w:color w:val="000000"/>
        </w:rPr>
        <w:t> </w:t>
      </w:r>
      <w:r>
        <w:rPr>
          <w:color w:val="000000"/>
        </w:rPr>
        <w:t>(no date)</w:t>
      </w:r>
      <w:r>
        <w:rPr>
          <w:rStyle w:val="apple-converted-space"/>
          <w:rFonts w:eastAsiaTheme="majorEastAsia"/>
          <w:color w:val="000000"/>
        </w:rPr>
        <w:t> </w:t>
      </w:r>
      <w:r>
        <w:rPr>
          <w:i/>
          <w:iCs/>
          <w:color w:val="000000"/>
        </w:rPr>
        <w:t>GOV.WALES</w:t>
      </w:r>
      <w:r>
        <w:rPr>
          <w:color w:val="000000"/>
        </w:rPr>
        <w:t>. Available at: https://www.gov.wales/pupil-development-grant-pdg-overview (Accessed: 07 May 2024).</w:t>
      </w:r>
      <w:r>
        <w:rPr>
          <w:rStyle w:val="apple-converted-space"/>
          <w:rFonts w:eastAsiaTheme="majorEastAsia"/>
          <w:color w:val="000000"/>
        </w:rPr>
        <w:t> </w:t>
      </w:r>
    </w:p>
    <w:p w14:paraId="6C9BA112" w14:textId="37202EAA" w:rsidR="00C6464C" w:rsidRPr="00DD56DA" w:rsidRDefault="00C6464C" w:rsidP="00FD5B39">
      <w:pPr>
        <w:jc w:val="both"/>
      </w:pPr>
    </w:p>
    <w:sectPr w:rsidR="00C6464C" w:rsidRPr="00DD56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winkl">
    <w:altName w:val="Calibri"/>
    <w:panose1 w:val="020B0604020202020204"/>
    <w:charset w:val="4D"/>
    <w:family w:val="auto"/>
    <w:pitch w:val="variable"/>
    <w:sig w:usb0="A00000AF" w:usb1="5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1A110B"/>
    <w:multiLevelType w:val="hybridMultilevel"/>
    <w:tmpl w:val="A8EAA4CE"/>
    <w:lvl w:ilvl="0" w:tplc="C97406F8">
      <w:start w:val="3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7573583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8C"/>
    <w:rsid w:val="000401ED"/>
    <w:rsid w:val="00133361"/>
    <w:rsid w:val="001759F0"/>
    <w:rsid w:val="001F03FF"/>
    <w:rsid w:val="001F26AB"/>
    <w:rsid w:val="001F2845"/>
    <w:rsid w:val="002105FA"/>
    <w:rsid w:val="00223DC8"/>
    <w:rsid w:val="00237750"/>
    <w:rsid w:val="0028335F"/>
    <w:rsid w:val="002C0522"/>
    <w:rsid w:val="0031339C"/>
    <w:rsid w:val="00320464"/>
    <w:rsid w:val="00372E7F"/>
    <w:rsid w:val="003A1E6F"/>
    <w:rsid w:val="003B14E1"/>
    <w:rsid w:val="003D3308"/>
    <w:rsid w:val="003D4B18"/>
    <w:rsid w:val="004249C6"/>
    <w:rsid w:val="00425F56"/>
    <w:rsid w:val="0048036C"/>
    <w:rsid w:val="004A7C18"/>
    <w:rsid w:val="00523783"/>
    <w:rsid w:val="005703EB"/>
    <w:rsid w:val="005742E3"/>
    <w:rsid w:val="00580C03"/>
    <w:rsid w:val="005B3541"/>
    <w:rsid w:val="00631F20"/>
    <w:rsid w:val="006403CB"/>
    <w:rsid w:val="006A4713"/>
    <w:rsid w:val="006A5DD1"/>
    <w:rsid w:val="006F7F29"/>
    <w:rsid w:val="007078EC"/>
    <w:rsid w:val="00715F8B"/>
    <w:rsid w:val="007403C1"/>
    <w:rsid w:val="00745917"/>
    <w:rsid w:val="007556E6"/>
    <w:rsid w:val="007C188C"/>
    <w:rsid w:val="0081305C"/>
    <w:rsid w:val="00820BE4"/>
    <w:rsid w:val="00826633"/>
    <w:rsid w:val="00880569"/>
    <w:rsid w:val="008D228D"/>
    <w:rsid w:val="009506FB"/>
    <w:rsid w:val="00952063"/>
    <w:rsid w:val="009C3778"/>
    <w:rsid w:val="009C448A"/>
    <w:rsid w:val="009C5125"/>
    <w:rsid w:val="00A80C10"/>
    <w:rsid w:val="00A84515"/>
    <w:rsid w:val="00AA6564"/>
    <w:rsid w:val="00B02EDC"/>
    <w:rsid w:val="00B11093"/>
    <w:rsid w:val="00B74E9A"/>
    <w:rsid w:val="00BA0EF1"/>
    <w:rsid w:val="00BF3B05"/>
    <w:rsid w:val="00C564AD"/>
    <w:rsid w:val="00C61D4C"/>
    <w:rsid w:val="00C6464C"/>
    <w:rsid w:val="00C97347"/>
    <w:rsid w:val="00D17E8E"/>
    <w:rsid w:val="00D261F3"/>
    <w:rsid w:val="00D51E6A"/>
    <w:rsid w:val="00D55A54"/>
    <w:rsid w:val="00D660D2"/>
    <w:rsid w:val="00D67EE9"/>
    <w:rsid w:val="00DA69AF"/>
    <w:rsid w:val="00DC1497"/>
    <w:rsid w:val="00DD18D4"/>
    <w:rsid w:val="00DD33DC"/>
    <w:rsid w:val="00DD56DA"/>
    <w:rsid w:val="00DE42B2"/>
    <w:rsid w:val="00E2559A"/>
    <w:rsid w:val="00E40261"/>
    <w:rsid w:val="00EB2CC4"/>
    <w:rsid w:val="00F916E9"/>
    <w:rsid w:val="00FC4815"/>
    <w:rsid w:val="00FD5B39"/>
    <w:rsid w:val="00FE4423"/>
    <w:rsid w:val="00FF4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CAD664"/>
  <w15:chartTrackingRefBased/>
  <w15:docId w15:val="{9565BF48-658D-E343-AC56-1D13F7DDF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C1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1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18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7C18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18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18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18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8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8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C18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18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18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7C18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18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18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18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18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188C"/>
    <w:rPr>
      <w:rFonts w:eastAsiaTheme="majorEastAsia" w:cstheme="majorBidi"/>
      <w:color w:val="272727" w:themeColor="text1" w:themeTint="D8"/>
    </w:rPr>
  </w:style>
  <w:style w:type="paragraph" w:styleId="Title">
    <w:name w:val="Title"/>
    <w:basedOn w:val="Normal"/>
    <w:next w:val="Normal"/>
    <w:link w:val="TitleChar"/>
    <w:uiPriority w:val="10"/>
    <w:qFormat/>
    <w:rsid w:val="007C18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8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18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18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88C"/>
    <w:pPr>
      <w:spacing w:before="160"/>
      <w:jc w:val="center"/>
    </w:pPr>
    <w:rPr>
      <w:i/>
      <w:iCs/>
      <w:color w:val="404040" w:themeColor="text1" w:themeTint="BF"/>
    </w:rPr>
  </w:style>
  <w:style w:type="character" w:customStyle="1" w:styleId="QuoteChar">
    <w:name w:val="Quote Char"/>
    <w:basedOn w:val="DefaultParagraphFont"/>
    <w:link w:val="Quote"/>
    <w:uiPriority w:val="29"/>
    <w:rsid w:val="007C188C"/>
    <w:rPr>
      <w:i/>
      <w:iCs/>
      <w:color w:val="404040" w:themeColor="text1" w:themeTint="BF"/>
    </w:rPr>
  </w:style>
  <w:style w:type="paragraph" w:styleId="ListParagraph">
    <w:name w:val="List Paragraph"/>
    <w:basedOn w:val="Normal"/>
    <w:uiPriority w:val="34"/>
    <w:qFormat/>
    <w:rsid w:val="007C188C"/>
    <w:pPr>
      <w:ind w:left="720"/>
      <w:contextualSpacing/>
    </w:pPr>
  </w:style>
  <w:style w:type="character" w:styleId="IntenseEmphasis">
    <w:name w:val="Intense Emphasis"/>
    <w:basedOn w:val="DefaultParagraphFont"/>
    <w:uiPriority w:val="21"/>
    <w:qFormat/>
    <w:rsid w:val="007C188C"/>
    <w:rPr>
      <w:i/>
      <w:iCs/>
      <w:color w:val="0F4761" w:themeColor="accent1" w:themeShade="BF"/>
    </w:rPr>
  </w:style>
  <w:style w:type="paragraph" w:styleId="IntenseQuote">
    <w:name w:val="Intense Quote"/>
    <w:basedOn w:val="Normal"/>
    <w:next w:val="Normal"/>
    <w:link w:val="IntenseQuoteChar"/>
    <w:uiPriority w:val="30"/>
    <w:qFormat/>
    <w:rsid w:val="007C1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188C"/>
    <w:rPr>
      <w:i/>
      <w:iCs/>
      <w:color w:val="0F4761" w:themeColor="accent1" w:themeShade="BF"/>
    </w:rPr>
  </w:style>
  <w:style w:type="character" w:styleId="IntenseReference">
    <w:name w:val="Intense Reference"/>
    <w:basedOn w:val="DefaultParagraphFont"/>
    <w:uiPriority w:val="32"/>
    <w:qFormat/>
    <w:rsid w:val="007C188C"/>
    <w:rPr>
      <w:b/>
      <w:bCs/>
      <w:smallCaps/>
      <w:color w:val="0F4761" w:themeColor="accent1" w:themeShade="BF"/>
      <w:spacing w:val="5"/>
    </w:rPr>
  </w:style>
  <w:style w:type="paragraph" w:styleId="NormalWeb">
    <w:name w:val="Normal (Web)"/>
    <w:basedOn w:val="Normal"/>
    <w:uiPriority w:val="99"/>
    <w:unhideWhenUsed/>
    <w:rsid w:val="00C6464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6464C"/>
  </w:style>
  <w:style w:type="paragraph" w:styleId="BodyText2">
    <w:name w:val="Body Text 2"/>
    <w:basedOn w:val="Normal"/>
    <w:link w:val="BodyText2Char"/>
    <w:uiPriority w:val="99"/>
    <w:rsid w:val="00C6464C"/>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C6464C"/>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C6464C"/>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C6464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6464C"/>
    <w:rPr>
      <w:rFonts w:ascii="Tahoma" w:eastAsia="Times New Roman" w:hAnsi="Tahoma" w:cs="Tahoma"/>
      <w:kern w:val="0"/>
      <w:sz w:val="16"/>
      <w:szCs w:val="16"/>
      <w14:ligatures w14:val="none"/>
    </w:rPr>
  </w:style>
  <w:style w:type="character" w:styleId="Hyperlink">
    <w:name w:val="Hyperlink"/>
    <w:rsid w:val="00C6464C"/>
    <w:rPr>
      <w:color w:val="0000FF"/>
      <w:u w:val="single"/>
    </w:rPr>
  </w:style>
  <w:style w:type="table" w:styleId="TableGrid">
    <w:name w:val="Table Grid"/>
    <w:basedOn w:val="TableNormal"/>
    <w:rsid w:val="00C6464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6464C"/>
    <w:rPr>
      <w:color w:val="800080"/>
      <w:u w:val="single"/>
    </w:rPr>
  </w:style>
  <w:style w:type="paragraph" w:styleId="Header">
    <w:name w:val="header"/>
    <w:basedOn w:val="Normal"/>
    <w:link w:val="HeaderChar"/>
    <w:uiPriority w:val="99"/>
    <w:semiHidden/>
    <w:rsid w:val="00C6464C"/>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C6464C"/>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C6464C"/>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C6464C"/>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C6464C"/>
    <w:rPr>
      <w:color w:val="535353"/>
      <w:u w:val="single"/>
      <w:effect w:val="none"/>
    </w:rPr>
  </w:style>
  <w:style w:type="paragraph" w:customStyle="1" w:styleId="NormalWeb1">
    <w:name w:val="Normal (Web)1"/>
    <w:basedOn w:val="Normal"/>
    <w:uiPriority w:val="99"/>
    <w:rsid w:val="00C6464C"/>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C6464C"/>
  </w:style>
  <w:style w:type="character" w:styleId="CommentReference">
    <w:name w:val="annotation reference"/>
    <w:uiPriority w:val="99"/>
    <w:semiHidden/>
    <w:unhideWhenUsed/>
    <w:rsid w:val="00C6464C"/>
    <w:rPr>
      <w:sz w:val="16"/>
      <w:szCs w:val="16"/>
    </w:rPr>
  </w:style>
  <w:style w:type="paragraph" w:styleId="CommentText">
    <w:name w:val="annotation text"/>
    <w:basedOn w:val="Normal"/>
    <w:link w:val="CommentTextChar"/>
    <w:uiPriority w:val="99"/>
    <w:semiHidden/>
    <w:unhideWhenUsed/>
    <w:rsid w:val="00C6464C"/>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C6464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6464C"/>
    <w:rPr>
      <w:b/>
      <w:bCs/>
    </w:rPr>
  </w:style>
  <w:style w:type="character" w:customStyle="1" w:styleId="CommentSubjectChar">
    <w:name w:val="Comment Subject Char"/>
    <w:basedOn w:val="CommentTextChar"/>
    <w:link w:val="CommentSubject"/>
    <w:uiPriority w:val="99"/>
    <w:semiHidden/>
    <w:rsid w:val="00C6464C"/>
    <w:rPr>
      <w:rFonts w:ascii="Times New Roman" w:eastAsia="Times New Roman" w:hAnsi="Times New Roman" w:cs="Times New Roman"/>
      <w:b/>
      <w:bCs/>
      <w:kern w:val="0"/>
      <w:sz w:val="20"/>
      <w:szCs w:val="20"/>
      <w14:ligatures w14:val="none"/>
    </w:rPr>
  </w:style>
  <w:style w:type="character" w:styleId="Strong">
    <w:name w:val="Strong"/>
    <w:uiPriority w:val="22"/>
    <w:qFormat/>
    <w:rsid w:val="00C6464C"/>
    <w:rPr>
      <w:b/>
      <w:bCs/>
    </w:rPr>
  </w:style>
  <w:style w:type="character" w:styleId="UnresolvedMention">
    <w:name w:val="Unresolved Mention"/>
    <w:basedOn w:val="DefaultParagraphFont"/>
    <w:uiPriority w:val="99"/>
    <w:semiHidden/>
    <w:unhideWhenUsed/>
    <w:rsid w:val="00C6464C"/>
    <w:rPr>
      <w:color w:val="605E5C"/>
      <w:shd w:val="clear" w:color="auto" w:fill="E1DFDD"/>
    </w:rPr>
  </w:style>
  <w:style w:type="paragraph" w:customStyle="1" w:styleId="TableParagraph">
    <w:name w:val="Table Paragraph"/>
    <w:basedOn w:val="Normal"/>
    <w:uiPriority w:val="1"/>
    <w:qFormat/>
    <w:rsid w:val="00C6464C"/>
    <w:pPr>
      <w:widowControl w:val="0"/>
      <w:autoSpaceDE w:val="0"/>
      <w:autoSpaceDN w:val="0"/>
      <w:spacing w:after="0" w:line="551" w:lineRule="exact"/>
      <w:ind w:right="540"/>
      <w:jc w:val="right"/>
    </w:pPr>
    <w:rPr>
      <w:rFonts w:ascii="Twinkl" w:eastAsia="Twinkl" w:hAnsi="Twinkl" w:cs="Twinkl"/>
      <w:kern w:val="0"/>
      <w:sz w:val="22"/>
      <w:szCs w:val="22"/>
      <w:lang w:val="en-US"/>
      <w14:ligatures w14:val="none"/>
    </w:rPr>
  </w:style>
  <w:style w:type="paragraph" w:styleId="BodyText">
    <w:name w:val="Body Text"/>
    <w:basedOn w:val="Normal"/>
    <w:link w:val="BodyTextChar"/>
    <w:uiPriority w:val="99"/>
    <w:semiHidden/>
    <w:unhideWhenUsed/>
    <w:rsid w:val="00631F20"/>
    <w:pPr>
      <w:spacing w:after="120"/>
    </w:pPr>
  </w:style>
  <w:style w:type="character" w:customStyle="1" w:styleId="BodyTextChar">
    <w:name w:val="Body Text Char"/>
    <w:basedOn w:val="DefaultParagraphFont"/>
    <w:link w:val="BodyText"/>
    <w:uiPriority w:val="99"/>
    <w:semiHidden/>
    <w:rsid w:val="00631F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91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4508</Words>
  <Characters>25700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Gardner (2300341)</dc:creator>
  <cp:keywords/>
  <dc:description/>
  <cp:lastModifiedBy>Chloe Gardner (2300341)</cp:lastModifiedBy>
  <cp:revision>3</cp:revision>
  <dcterms:created xsi:type="dcterms:W3CDTF">2024-05-07T17:41:00Z</dcterms:created>
  <dcterms:modified xsi:type="dcterms:W3CDTF">2024-05-07T17:45:00Z</dcterms:modified>
</cp:coreProperties>
</file>