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832D449" wp14:paraId="10B14D19" wp14:textId="15A75D5D">
      <w:pPr>
        <w:pStyle w:val="Title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  <w:r w:rsidRPr="1832D449" w:rsidR="413F5638">
        <w:rPr>
          <w:rFonts w:ascii="Calibri" w:hAnsi="Calibri" w:eastAsia="Calibri" w:cs="Calibri"/>
          <w:b w:val="1"/>
          <w:bCs w:val="1"/>
          <w:noProof w:val="0"/>
          <w:sz w:val="40"/>
          <w:szCs w:val="40"/>
          <w:u w:val="single"/>
          <w:lang w:val="en-US"/>
        </w:rPr>
        <w:t>Design and evaluation-AI-based digital twin for fault prediction in computer systems</w:t>
      </w:r>
    </w:p>
    <w:p xmlns:wp14="http://schemas.microsoft.com/office/word/2010/wordml" w:rsidP="1832D449" wp14:paraId="31A72586" wp14:textId="00476658">
      <w:pPr>
        <w:pStyle w:val="Normal"/>
        <w:shd w:val="clear" w:color="auto" w:fill="FFFFFF" w:themeFill="background1"/>
        <w:spacing w:before="0" w:beforeAutospacing="off" w:after="0" w:afterAutospacing="off"/>
        <w:jc w:val="center"/>
      </w:pPr>
      <w:r w:rsidRPr="1832D449" w:rsidR="413F563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1832D449" wp14:paraId="568217EB" wp14:textId="12E4CC45">
      <w:pPr>
        <w:pStyle w:val="Normal"/>
        <w:shd w:val="clear" w:color="auto" w:fill="FFFFFF" w:themeFill="background1"/>
        <w:spacing w:before="0" w:beforeAutospacing="off" w:after="0" w:afterAutospacing="off"/>
        <w:jc w:val="center"/>
      </w:pPr>
      <w:r w:rsidRPr="1832D449" w:rsidR="413F563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832D449" w:rsidR="649D886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L6 - Independent Project </w:t>
      </w:r>
      <w:r w:rsidRPr="1832D449" w:rsidR="5BB253D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</w:p>
    <w:p xmlns:wp14="http://schemas.microsoft.com/office/word/2010/wordml" w:rsidP="1832D449" wp14:paraId="654A56BA" wp14:textId="08F165AC">
      <w:pPr>
        <w:pStyle w:val="Normal"/>
        <w:shd w:val="clear" w:color="auto" w:fill="FFFFFF" w:themeFill="background1"/>
        <w:spacing w:before="0" w:beforeAutospacing="off" w:after="0" w:afterAutospacing="off"/>
        <w:jc w:val="center"/>
      </w:pPr>
      <w:r w:rsidRPr="1832D449" w:rsidR="649D886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ACCA6020</w:t>
      </w:r>
    </w:p>
    <w:p xmlns:wp14="http://schemas.microsoft.com/office/word/2010/wordml" w:rsidP="1FDA4048" wp14:paraId="17E5E9CE" wp14:textId="26A8DB3A">
      <w:pPr>
        <w:shd w:val="clear" w:color="auto" w:fill="FFFFFF" w:themeFill="background1"/>
        <w:spacing w:before="0" w:beforeAutospacing="off" w:after="140" w:afterAutospacing="off"/>
        <w:jc w:val="center"/>
      </w:pPr>
      <w:r w:rsidRPr="1FDA4048" w:rsidR="65E35BB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Student: Aaron Miles</w:t>
      </w:r>
    </w:p>
    <w:p xmlns:wp14="http://schemas.microsoft.com/office/word/2010/wordml" w:rsidP="1FDA4048" wp14:paraId="22854FC9" wp14:textId="7C7CFE94">
      <w:pPr>
        <w:shd w:val="clear" w:color="auto" w:fill="FFFFFF" w:themeFill="background1"/>
        <w:spacing w:before="0" w:beforeAutospacing="off" w:after="140" w:afterAutospacing="off"/>
        <w:jc w:val="center"/>
      </w:pPr>
      <w:r w:rsidRPr="1FDA4048" w:rsidR="65E35BB6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ID: 2404521</w:t>
      </w:r>
    </w:p>
    <w:p xmlns:wp14="http://schemas.microsoft.com/office/word/2010/wordml" w:rsidP="1832D449" wp14:paraId="3DEE562F" wp14:textId="29067B5E">
      <w:pPr>
        <w:shd w:val="clear" w:color="auto" w:fill="FFFFFF" w:themeFill="background1"/>
        <w:spacing w:before="0" w:beforeAutospacing="off" w:after="140" w:afterAutospacing="off"/>
        <w:jc w:val="center"/>
      </w:pPr>
      <w:r w:rsidRPr="1832D449" w:rsidR="649D886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Supervisor:</w:t>
      </w:r>
    </w:p>
    <w:sdt>
      <w:sdtPr>
        <w:id w:val="309634142"/>
        <w:docPartObj>
          <w:docPartGallery w:val="Table of Contents"/>
          <w:docPartUnique/>
        </w:docPartObj>
      </w:sdtPr>
      <w:sdtContent>
        <w:p xmlns:wp14="http://schemas.microsoft.com/office/word/2010/wordml" w:rsidP="1832D449" wp14:paraId="0867780D" wp14:textId="6E795FEA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r>
            <w:fldChar w:fldCharType="begin"/>
          </w:r>
          <w:r>
            <w:instrText xml:space="preserve">HYPERLINK  \l  "_Toc506726888" </w:instrText>
          </w:r>
          <w:r>
            <w:fldChar w:fldCharType="separate"/>
          </w:r>
          <w:r w:rsidR="1832D449">
            <w:rPr/>
            <w:t>Introduction and Research Problem</w:t>
          </w:r>
          <w:r>
            <w:tab/>
          </w:r>
          <w:r>
            <w:fldChar w:fldCharType="begin"/>
          </w:r>
          <w:r>
            <w:instrText xml:space="preserve">PAGEREF _Toc506726888 \h</w:instrText>
          </w:r>
          <w:r>
            <w:fldChar w:fldCharType="separate"/>
          </w:r>
          <w:r w:rsidR="1832D449">
            <w:rPr/>
            <w:t>1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1832D449" wp14:paraId="34795483" wp14:textId="4B47DA26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HYPERLINK  \l  "_Toc599193987" </w:instrText>
          </w:r>
          <w:r>
            <w:fldChar w:fldCharType="separate"/>
          </w:r>
          <w:r w:rsidR="1832D449">
            <w:rPr/>
            <w:t>Critical Literature Review</w:t>
          </w:r>
          <w:r>
            <w:tab/>
          </w:r>
          <w:r>
            <w:fldChar w:fldCharType="begin"/>
          </w:r>
          <w:r>
            <w:instrText xml:space="preserve">PAGEREF _Toc599193987 \h</w:instrText>
          </w:r>
          <w:r>
            <w:fldChar w:fldCharType="separate"/>
          </w:r>
          <w:r w:rsidR="1832D449">
            <w:rPr/>
            <w:t>1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1832D449" wp14:paraId="5397CC38" wp14:textId="0D8738C5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HYPERLINK  \l  "_Toc274512282" </w:instrText>
          </w:r>
          <w:r>
            <w:fldChar w:fldCharType="separate"/>
          </w:r>
          <w:r w:rsidR="1832D449">
            <w:rPr/>
            <w:t>Research Aim, Objectives and Hypothesis</w:t>
          </w:r>
          <w:r>
            <w:tab/>
          </w:r>
          <w:r>
            <w:fldChar w:fldCharType="begin"/>
          </w:r>
          <w:r>
            <w:instrText xml:space="preserve">PAGEREF _Toc274512282 \h</w:instrText>
          </w:r>
          <w:r>
            <w:fldChar w:fldCharType="separate"/>
          </w:r>
          <w:r w:rsidR="1832D449">
            <w:rPr/>
            <w:t>2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1832D449" wp14:paraId="3917BCAA" wp14:textId="50FA3474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HYPERLINK  \l  "_Toc654579498" </w:instrText>
          </w:r>
          <w:r>
            <w:fldChar w:fldCharType="separate"/>
          </w:r>
          <w:r w:rsidR="1832D449">
            <w:rPr/>
            <w:t>System Design and Methodological Justification</w:t>
          </w:r>
          <w:r>
            <w:tab/>
          </w:r>
          <w:r>
            <w:fldChar w:fldCharType="begin"/>
          </w:r>
          <w:r>
            <w:instrText xml:space="preserve">PAGEREF _Toc654579498 \h</w:instrText>
          </w:r>
          <w:r>
            <w:fldChar w:fldCharType="separate"/>
          </w:r>
          <w:r w:rsidR="1832D449">
            <w:rPr/>
            <w:t>3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1832D449" wp14:paraId="567755B6" wp14:textId="4286EA21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HYPERLINK  \l  "_Toc1508213756" </w:instrText>
          </w:r>
          <w:r>
            <w:fldChar w:fldCharType="separate"/>
          </w:r>
          <w:r w:rsidR="1832D449">
            <w:rPr/>
            <w:t>Evaluation and Statistical Analysis</w:t>
          </w:r>
          <w:r>
            <w:tab/>
          </w:r>
          <w:r>
            <w:fldChar w:fldCharType="begin"/>
          </w:r>
          <w:r>
            <w:instrText xml:space="preserve">PAGEREF _Toc1508213756 \h</w:instrText>
          </w:r>
          <w:r>
            <w:fldChar w:fldCharType="separate"/>
          </w:r>
          <w:r w:rsidR="1832D449">
            <w:rPr/>
            <w:t>3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1832D449" wp14:paraId="2DB7A827" wp14:textId="17BB7F6A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HYPERLINK  \l  "_Toc405010762" </w:instrText>
          </w:r>
          <w:r>
            <w:fldChar w:fldCharType="separate"/>
          </w:r>
          <w:r w:rsidR="1832D449">
            <w:rPr/>
            <w:t>Feasibility, Resources and Project Planning</w:t>
          </w:r>
          <w:r>
            <w:tab/>
          </w:r>
          <w:r>
            <w:fldChar w:fldCharType="begin"/>
          </w:r>
          <w:r>
            <w:instrText xml:space="preserve">PAGEREF _Toc405010762 \h</w:instrText>
          </w:r>
          <w:r>
            <w:fldChar w:fldCharType="separate"/>
          </w:r>
          <w:r w:rsidR="1832D449">
            <w:rPr/>
            <w:t>4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1832D449" wp14:paraId="6DD371A0" wp14:textId="1ABADC12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HYPERLINK  \l  "_Toc45469567" </w:instrText>
          </w:r>
          <w:r>
            <w:fldChar w:fldCharType="separate"/>
          </w:r>
          <w:r w:rsidR="1832D449">
            <w:rPr/>
            <w:t>Expected Contribution and Conclusion</w:t>
          </w:r>
          <w:r>
            <w:tab/>
          </w:r>
          <w:r>
            <w:fldChar w:fldCharType="begin"/>
          </w:r>
          <w:r>
            <w:instrText xml:space="preserve">PAGEREF _Toc45469567 \h</w:instrText>
          </w:r>
          <w:r>
            <w:fldChar w:fldCharType="separate"/>
          </w:r>
          <w:r w:rsidR="1832D449">
            <w:rPr/>
            <w:t>5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1832D449" wp14:paraId="4BDF8879" wp14:textId="475EF1B1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HYPERLINK  \l  "_Toc947264001" </w:instrText>
          </w:r>
          <w:r>
            <w:fldChar w:fldCharType="separate"/>
          </w:r>
          <w:r w:rsidR="1832D449">
            <w:rPr/>
            <w:t>Twelve-Week Project Plan</w:t>
          </w:r>
          <w:r>
            <w:tab/>
          </w:r>
          <w:r>
            <w:fldChar w:fldCharType="begin"/>
          </w:r>
          <w:r>
            <w:instrText xml:space="preserve">PAGEREF _Toc947264001 \h</w:instrText>
          </w:r>
          <w:r>
            <w:fldChar w:fldCharType="separate"/>
          </w:r>
          <w:r w:rsidR="1832D449">
            <w:rPr/>
            <w:t>5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1832D449" wp14:paraId="218E48EA" wp14:textId="21FE0A24">
          <w:pPr>
            <w:pStyle w:val="TOC1"/>
            <w:tabs>
              <w:tab w:val="right" w:leader="dot" w:pos="9360"/>
            </w:tabs>
            <w:bidi w:val="0"/>
          </w:pPr>
          <w:r>
            <w:fldChar w:fldCharType="begin"/>
          </w:r>
          <w:r>
            <w:instrText xml:space="preserve">HYPERLINK  \l  "_Toc896266906" </w:instrText>
          </w:r>
          <w:r>
            <w:fldChar w:fldCharType="separate"/>
          </w:r>
          <w:r w:rsidR="1832D449">
            <w:rPr/>
            <w:t>References</w:t>
          </w:r>
          <w:r>
            <w:tab/>
          </w:r>
          <w:r>
            <w:fldChar w:fldCharType="begin"/>
          </w:r>
          <w:r>
            <w:instrText xml:space="preserve">PAGEREF _Toc896266906 \h</w:instrText>
          </w:r>
          <w:r>
            <w:fldChar w:fldCharType="separate"/>
          </w:r>
          <w:r w:rsidR="1832D449">
            <w:rPr/>
            <w:t>6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1832D449" wp14:paraId="14555779" wp14:textId="46EEC3F6">
          <w:pPr>
            <w:bidi w:val="0"/>
            <w:spacing w:before="240" w:beforeAutospacing="off" w:after="240" w:afterAutospacing="off"/>
          </w:pPr>
          <w:r>
            <w:fldChar w:fldCharType="end"/>
          </w:r>
        </w:p>
      </w:sdtContent>
    </w:sdt>
    <w:p xmlns:wp14="http://schemas.microsoft.com/office/word/2010/wordml" w:rsidP="1832D449" wp14:paraId="673B4C43" wp14:textId="52300376">
      <w:pPr>
        <w:shd w:val="clear" w:color="auto" w:fill="FFFFFF" w:themeFill="background1"/>
        <w:spacing w:before="0" w:beforeAutospacing="off" w:after="140" w:afterAutospacing="off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832D449" wp14:paraId="07F8B5D7" wp14:textId="226D4581">
      <w:pPr>
        <w:shd w:val="clear" w:color="auto" w:fill="FFFFFF" w:themeFill="background1"/>
        <w:spacing w:before="0" w:beforeAutospacing="off" w:after="140" w:afterAutospacing="off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832D449" wp14:paraId="7BB13767" wp14:textId="3022EADD">
      <w:pPr>
        <w:shd w:val="clear" w:color="auto" w:fill="FFFFFF" w:themeFill="background1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bookmarkStart w:name="_Toc506726888" w:id="1041579861"/>
      <w:r w:rsidRPr="1832D449" w:rsidR="6CAA2DAD">
        <w:rPr>
          <w:rStyle w:val="Heading1Char"/>
          <w:rFonts w:ascii="Calibri" w:hAnsi="Calibri" w:eastAsia="Calibri" w:cs="Calibri"/>
          <w:b w:val="1"/>
          <w:bCs w:val="1"/>
          <w:color w:val="auto"/>
          <w:sz w:val="24"/>
          <w:szCs w:val="24"/>
          <w:u w:val="single"/>
        </w:rPr>
        <w:t>Introduction and Research Problem</w:t>
      </w:r>
      <w:bookmarkEnd w:id="1041579861"/>
      <w:r>
        <w:br/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Linux fault detection commonly uses fixed CPU,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memory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response-time thresholds. These can misclassify normal workload changes and miss subthreshold faults.</w:t>
      </w:r>
      <w:r>
        <w:br/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project therefore investigates lightweight predictive monitoring on an authorized Linux virtual machine (VM). It compares predicted and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observed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behavior. A predictive component will be treated as worthwhile only if it demonstrably improves detection after its computational and operational costs are taken into account.</w:t>
      </w:r>
      <w:r>
        <w:br/>
      </w:r>
    </w:p>
    <w:p xmlns:wp14="http://schemas.microsoft.com/office/word/2010/wordml" w:rsidP="1FDA4048" wp14:paraId="23CD5D76" wp14:textId="64621963">
      <w:pPr>
        <w:shd w:val="clear" w:color="auto" w:fill="FFFFFF" w:themeFill="background1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artefact will be described as a validated digital twin only if it meets stated real-time synchronization and prediction-accuracy requirements; otherwise, it will be referred to as a predictive digital shadow.</w:t>
      </w:r>
    </w:p>
    <w:p xmlns:wp14="http://schemas.microsoft.com/office/word/2010/wordml" w:rsidP="1FDA4048" wp14:paraId="5EB2F24C" wp14:textId="46241F84">
      <w:pPr>
        <w:shd w:val="clear" w:color="auto" w:fill="FFFFFF" w:themeFill="background1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Central research question</w:t>
      </w:r>
      <w:r>
        <w:br/>
      </w: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Does </w:t>
      </w:r>
      <w:r w:rsidRPr="1FDA4048" w:rsidR="5E784C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augment</w:t>
      </w: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Isolation Forest anomaly detection with prediction errors from workload-aware causal models improve the identification of held-out fault events on a Linux VM, </w:t>
      </w: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relative</w:t>
      </w: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an otherwise identical anomaly detector that does not use those prediction errors?</w:t>
      </w:r>
      <w:r>
        <w:br/>
      </w:r>
    </w:p>
    <w:p xmlns:wp14="http://schemas.microsoft.com/office/word/2010/wordml" w:rsidP="1832D449" wp14:paraId="19C4A476" wp14:textId="2925BB69">
      <w:pPr>
        <w:shd w:val="clear" w:color="auto" w:fill="FFFFFF" w:themeFill="background1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bookmarkStart w:name="_Toc599193987" w:id="1954747312"/>
      <w:r w:rsidRPr="1832D449" w:rsidR="649D886B">
        <w:rPr>
          <w:rStyle w:val="Heading1Char"/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Critical Literature Review</w:t>
      </w:r>
      <w:bookmarkEnd w:id="1954747312"/>
      <w:r>
        <w:br/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Digital-twin architectures are discussed by Tao et al. [1], Jones et al. [2] and Fuller et al. [3], while implementation and interoperability difficulties are discussed by Sharma et al. [12] and Mihai et al. [11]. These sources support connected VM models but do not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establish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superiority over simpler monitoring. Evidence drawn from industrial or application-specific deployments also cannot be transferred uncritically to a resource-constrained Linux VM.</w:t>
      </w:r>
      <w:r>
        <w:br/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Anomaly detection is formulated as deviation from expected statistical or contextual behaviors in Chandola et al. [4]. Liu et al. [5] introduce Isolation Forest, whose unsupervised operation and comparatively favorable computational profile suit the project’s constraints; ensemble-learning context is added by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Breiman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[6]. Because Isolation Forest can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operate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directly on workload-aware features, it is necessary to show that adding causal prediction errors provides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fault-detection value rather than unnecessary modelling complexity.</w:t>
      </w:r>
      <w:r>
        <w:br/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For sequence-based detection, USAD [7] and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TranAD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[8] demonstrate more expressive multivariate time-series modelling than linear forecasting, but also raise concerns about training requirements, parameter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sensitivity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inference cost. Recurrent sequence modelling and non-stationary behavior are further represented by Malhotra et al. [15] and Xu et al. [14]. Ridge regression is therefore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retained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the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initial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predictive baseline because it is interpretable and inexpensive, with its linearity acknowledged as a limitation where system behavior is non-linear.</w:t>
      </w:r>
      <w:r>
        <w:br/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Evaluation practice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remains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inconsistent across datasets, anomaly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definitions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experimental protocols, as emphasized by Schmidl et al. [10],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Zamanzadeh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Darban et al. [9] and Blázquez-García et al. [13]. Reported gains are difficult to compare.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Before claiming novelty, a literature search dated 2024–October 2026 will specifically seek closely related, negative and contradictory findings.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anticipated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contribution is a controlled comparison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establishing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whether prediction-residual features provide measurable benefit beyond an already workload-aware unsupervised detector.</w:t>
      </w:r>
      <w:r>
        <w:br/>
      </w:r>
    </w:p>
    <w:p xmlns:wp14="http://schemas.microsoft.com/office/word/2010/wordml" w:rsidP="1832D449" wp14:paraId="026F9D13" wp14:textId="1C5031E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bookmarkStart w:name="_Toc274512282" w:id="69268126"/>
      <w:r w:rsidRPr="1832D449" w:rsidR="649D886B">
        <w:rPr>
          <w:rStyle w:val="Heading1Char"/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 xml:space="preserve">Research Aim, </w:t>
      </w:r>
      <w:r w:rsidRPr="1832D449" w:rsidR="649D886B">
        <w:rPr>
          <w:rStyle w:val="Heading1Char"/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Objectives</w:t>
      </w:r>
      <w:r w:rsidRPr="1832D449" w:rsidR="649D886B">
        <w:rPr>
          <w:rStyle w:val="Heading1Char"/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 xml:space="preserve"> and Hypothesis</w:t>
      </w:r>
      <w:bookmarkEnd w:id="69268126"/>
      <w:r>
        <w:br/>
      </w:r>
      <w:r w:rsidRPr="1832D449" w:rsidR="649D886B">
        <w:rPr>
          <w:noProof w:val="0"/>
          <w:lang w:val="en-US"/>
        </w:rPr>
        <w:t>Aim:</w:t>
      </w:r>
      <w:r>
        <w:br/>
      </w:r>
      <w:r w:rsidRPr="1832D449" w:rsidR="649D886B">
        <w:rPr>
          <w:noProof w:val="0"/>
          <w:lang w:val="en-US"/>
        </w:rPr>
        <w:t>To design and critically evaluate a computationally efficient predictive-monitoring digital twin/shadow for fault detection in Linux operating systems.</w:t>
      </w:r>
      <w:r>
        <w:br/>
      </w:r>
      <w:r w:rsidRPr="1832D449" w:rsidR="649D886B">
        <w:rPr>
          <w:noProof w:val="0"/>
          <w:lang w:val="en-US"/>
        </w:rPr>
        <w:t xml:space="preserve">Research </w:t>
      </w:r>
      <w:r w:rsidRPr="1832D449" w:rsidR="649D886B">
        <w:rPr>
          <w:noProof w:val="0"/>
          <w:lang w:val="en-US"/>
        </w:rPr>
        <w:t>objectives</w:t>
      </w:r>
      <w:r w:rsidRPr="1832D449" w:rsidR="649D886B">
        <w:rPr>
          <w:noProof w:val="0"/>
          <w:lang w:val="en-US"/>
        </w:rPr>
        <w:t>:</w:t>
      </w:r>
      <w:r>
        <w:br/>
      </w:r>
      <w:r w:rsidRPr="1832D449" w:rsidR="649D886B">
        <w:rPr>
          <w:noProof w:val="0"/>
          <w:lang w:val="en-US"/>
        </w:rPr>
        <w:t xml:space="preserve">1. Conduct a critical review of at least 15 relevant academic sources on digital twins/shadows, predictive monitoring, anomaly/outlier </w:t>
      </w:r>
      <w:r w:rsidRPr="1832D449" w:rsidR="649D886B">
        <w:rPr>
          <w:noProof w:val="0"/>
          <w:lang w:val="en-US"/>
        </w:rPr>
        <w:t>detection</w:t>
      </w:r>
      <w:r w:rsidRPr="1832D449" w:rsidR="649D886B">
        <w:rPr>
          <w:noProof w:val="0"/>
          <w:lang w:val="en-US"/>
        </w:rPr>
        <w:t xml:space="preserve"> and related AI methods.</w:t>
      </w:r>
      <w:r>
        <w:br/>
      </w:r>
      <w:r w:rsidRPr="1832D449" w:rsidR="649D886B">
        <w:rPr>
          <w:noProof w:val="0"/>
          <w:lang w:val="en-US"/>
        </w:rPr>
        <w:t xml:space="preserve">2. Implement timestamped collection of Linux/application metrics, including CPU </w:t>
      </w:r>
      <w:r w:rsidRPr="1832D449" w:rsidR="649D886B">
        <w:rPr>
          <w:noProof w:val="0"/>
          <w:lang w:val="en-US"/>
        </w:rPr>
        <w:t>utilization</w:t>
      </w:r>
      <w:r w:rsidRPr="1832D449" w:rsidR="649D886B">
        <w:rPr>
          <w:noProof w:val="0"/>
          <w:lang w:val="en-US"/>
        </w:rPr>
        <w:t>, memory usage, request rates, and application latency.</w:t>
      </w:r>
      <w:r>
        <w:br/>
      </w:r>
      <w:r w:rsidRPr="1832D449" w:rsidR="649D886B">
        <w:rPr>
          <w:noProof w:val="0"/>
          <w:lang w:val="en-US"/>
        </w:rPr>
        <w:t>3. Develop threshold-based and Isolation Forest anomaly-detection baselines using workload-aware features.</w:t>
      </w:r>
      <w:r>
        <w:br/>
      </w:r>
      <w:r w:rsidRPr="1832D449" w:rsidR="649D886B">
        <w:rPr>
          <w:noProof w:val="0"/>
          <w:lang w:val="en-US"/>
        </w:rPr>
        <w:t xml:space="preserve">4. Develop workload-aware forecasting models, initially using Ridge regression, and derive causally </w:t>
      </w:r>
      <w:r w:rsidRPr="1832D449" w:rsidR="649D886B">
        <w:rPr>
          <w:noProof w:val="0"/>
          <w:lang w:val="en-US"/>
        </w:rPr>
        <w:t>appropriate prediction-residual</w:t>
      </w:r>
      <w:r w:rsidRPr="1832D449" w:rsidR="649D886B">
        <w:rPr>
          <w:noProof w:val="0"/>
          <w:lang w:val="en-US"/>
        </w:rPr>
        <w:t xml:space="preserve"> features using only past and present information relative to each prediction target.</w:t>
      </w:r>
      <w:r>
        <w:br/>
      </w:r>
      <w:r w:rsidRPr="1832D449" w:rsidR="649D886B">
        <w:rPr>
          <w:noProof w:val="0"/>
          <w:lang w:val="en-US"/>
        </w:rPr>
        <w:t xml:space="preserve">5. Validate twin/shadow suitability by </w:t>
      </w:r>
      <w:r w:rsidRPr="1832D449" w:rsidR="45E4260B">
        <w:rPr>
          <w:noProof w:val="0"/>
          <w:lang w:val="en-US"/>
        </w:rPr>
        <w:t>accessing</w:t>
      </w:r>
      <w:r w:rsidRPr="1832D449" w:rsidR="649D886B">
        <w:rPr>
          <w:noProof w:val="0"/>
          <w:lang w:val="en-US"/>
        </w:rPr>
        <w:t xml:space="preserve"> data-synchronization quality and forecasting accuracy before combined fault-detection evaluation.</w:t>
      </w:r>
      <w:r>
        <w:br/>
      </w:r>
      <w:r w:rsidRPr="1832D449" w:rsidR="649D886B">
        <w:rPr>
          <w:noProof w:val="0"/>
          <w:lang w:val="en-US"/>
        </w:rPr>
        <w:t xml:space="preserve">6. Compare detection on held-out faults using event-level F1 as the primary measure, with false-alarm behavior, warning lead time, computational </w:t>
      </w:r>
      <w:r w:rsidRPr="1832D449" w:rsidR="649D886B">
        <w:rPr>
          <w:noProof w:val="0"/>
          <w:lang w:val="en-US"/>
        </w:rPr>
        <w:t>overhead</w:t>
      </w:r>
      <w:r w:rsidRPr="1832D449" w:rsidR="649D886B">
        <w:rPr>
          <w:noProof w:val="0"/>
          <w:lang w:val="en-US"/>
        </w:rPr>
        <w:t xml:space="preserve"> and sustainability as exploratory outcomes.</w:t>
      </w:r>
      <w:r>
        <w:br/>
      </w:r>
      <w:r w:rsidRPr="1832D449" w:rsidR="649D886B">
        <w:rPr>
          <w:noProof w:val="0"/>
          <w:lang w:val="en-US"/>
        </w:rPr>
        <w:t>Primary hypothesis and decision rule:</w:t>
      </w:r>
      <w:r>
        <w:br/>
      </w:r>
      <w:r w:rsidRPr="1832D449" w:rsidR="649D886B">
        <w:rPr>
          <w:noProof w:val="0"/>
          <w:lang w:val="en-US"/>
        </w:rPr>
        <w:t>Paired held-out event-level F1 for Isolation Forest augmented with prediction residuals will be higher than for the matched detector without residuals.</w:t>
      </w:r>
      <w:r>
        <w:br/>
      </w:r>
      <w:r w:rsidRPr="1832D449" w:rsidR="649D886B">
        <w:rPr>
          <w:noProof w:val="0"/>
          <w:lang w:val="en-US"/>
        </w:rPr>
        <w:t>H₁: mean paired F1 improvement &gt; 0; H₀: mean paired F1 improvement ≤ 0.</w:t>
      </w:r>
      <w:r>
        <w:br/>
      </w:r>
    </w:p>
    <w:p xmlns:wp14="http://schemas.microsoft.com/office/word/2010/wordml" w:rsidP="1832D449" wp14:paraId="39D258CC" wp14:textId="7E0F9B38">
      <w:pPr>
        <w:shd w:val="clear" w:color="auto" w:fill="FFFFFF" w:themeFill="background1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bookmarkStart w:name="_Toc654579498" w:id="1377386958"/>
      <w:r w:rsidRPr="1832D449" w:rsidR="649D886B">
        <w:rPr>
          <w:rStyle w:val="Heading1Char"/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System Design and Methodological Justification</w:t>
      </w:r>
      <w:bookmarkEnd w:id="1377386958"/>
      <w:r>
        <w:br/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Experiments use an isolated Ubuntu 24.04 VM. Python-based instrumentation will record CPU, memory, request-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rate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latency measurements; the nominal 1 Hz sampling rate may be adjusted to 0.2 Hz or 2 Hz following piloting. Data quality will be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monitored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through timestamp alignment, missing-value accounting, sampling-jitter summaries, and update-latency checks. Prediction models will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observe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only data available before the target time, preventing leakage into residual-based anomaly features.</w:t>
      </w:r>
      <w:r>
        <w:br/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CPU, memory, and latency will be predicted from workload features and lagged system measurements using Ridge regression. Preprocessing, </w:t>
      </w:r>
      <w:r w:rsidRPr="1832D449" w:rsidR="00B8D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prediction of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horizons, and residual-scaling choices will be fixed using training/validation evidence only. Fault injection will produce controlled CPU saturation, memory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pressure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application delay under low,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medium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high workloads, with severity calibrated during piloting, randomized where practical and supported by VM resets. Independently checked onset labels and separate </w:t>
      </w:r>
      <w:r w:rsidRPr="1832D449" w:rsidR="4E5EA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training;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validation and test runs will prevent leakage. Three matched detectors will be compared: (A) static-threshold monitoring; (B) workload-aware Isolation Forest; and (C) the same Isolation Forest augmented with prediction residuals. They will receive comparable feature information, tuning effort, and alarm/false-alarm constraints. A dimension-matched non-predictive control and a residual-removal ablation will distinguish added predictive information from merely having extra features. Ridge underfitting will be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monitored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because unreliable forecasts can create misleading residual anomalies; predictive complexity will only be justified by clear detection benefit. The twin/shadow will be qualified for fault-detection experiments if at least 95% of paired telemetry samples are valid, the 95th-percentile state-update lag is no more than two seconds, and forecasting improves on persistence for at least two of the three monitored quantities.</w:t>
      </w:r>
      <w:r>
        <w:br/>
      </w:r>
    </w:p>
    <w:p xmlns:wp14="http://schemas.microsoft.com/office/word/2010/wordml" w:rsidP="1832D449" wp14:paraId="284A99F8" wp14:textId="20D9FE04">
      <w:pPr>
        <w:shd w:val="clear" w:color="auto" w:fill="FFFFFF" w:themeFill="background1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bookmarkStart w:name="_Toc1508213756" w:id="1884690789"/>
      <w:r w:rsidRPr="1832D449" w:rsidR="649D886B">
        <w:rPr>
          <w:rStyle w:val="Heading1Char"/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Evaluation and Statistical Analysis</w:t>
      </w:r>
      <w:bookmarkEnd w:id="1884690789"/>
      <w:r>
        <w:br/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Before held-out evaluation, annotations will distinguish between verified fault onset, sustained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degradation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trial end. Alarms closer than 30 seconds of healthy behavior will form one event; event-level TP, FP and FN counts will support pooled precision, recall and F1, avoiding invalid sample-level independence assumptions. FP rate per healthy hour, detection delay and lead time before degradation/onset will also be reported, with censored cases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retained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Models B and C will use identical held-out trials. The principal inference will resample complete experimental runs by paired bootstrap within workload/fault-family strata (healthy controls handled separately), recomputing pooled event-level F1 in each replicate to obtain a 95% CI for the paired improvement. Small trial counts and non-linear F1 limit inference. Sensitivity analyses will </w:t>
      </w:r>
      <w:r w:rsidRPr="1832D449" w:rsidR="2F428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vary in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severity classes, event-merging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behavior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matching windows; claims will be qualified accordingly. Interim success criteria (not currently met) are at least 0.05 higher pooled held-out F1 than the strongest simple/workload-aware baseline, no more than 10% higher event FP rate, at least ten seconds’ warning in half or more of detected onset/degradation trials and monitoring overhead below roughly five CPU percentage points/200 MB. Label uncertainty, alarm-budget differences, limited statistical power, feature-count effects, and single-VM transferability will all be reported.</w:t>
      </w:r>
      <w:r>
        <w:br/>
      </w:r>
    </w:p>
    <w:p xmlns:wp14="http://schemas.microsoft.com/office/word/2010/wordml" w:rsidP="1832D449" wp14:paraId="17222AA2" wp14:textId="6EFB32BF">
      <w:pPr>
        <w:pStyle w:val="Heading1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bookmarkStart w:name="_Toc405010762" w:id="1179107211"/>
      <w:r w:rsidRPr="1832D449" w:rsidR="649D886B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Feasibility, Resources and Project Planning</w:t>
      </w:r>
      <w:bookmarkEnd w:id="1179107211"/>
    </w:p>
    <w:p xmlns:wp14="http://schemas.microsoft.com/office/word/2010/wordml" w:rsidP="1FDA4048" wp14:paraId="31D0FF7D" wp14:textId="6D6CD29D">
      <w:pPr>
        <w:shd w:val="clear" w:color="auto" w:fill="FFFFFF" w:themeFill="background1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two-vCPU/4 GB VM on the four-core/8 GB host allows monitoring and load generation. Python with psutil, NumPy, pandas, scikit-learn, SciPy, matplotlib plus an HTTP load generator and bounded fault-injection utilities are planned. Reproducibility will use version control, fixed seeds, configuration files, environment pinning, and run manifests/snapshots.</w:t>
      </w:r>
      <w:r>
        <w:br/>
      </w:r>
    </w:p>
    <w:p xmlns:wp14="http://schemas.microsoft.com/office/word/2010/wordml" w:rsidP="1832D449" wp14:paraId="0A92874C" wp14:textId="0A9E99C6">
      <w:pPr>
        <w:shd w:val="clear" w:color="auto" w:fill="FFFFFF" w:themeFill="background1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full design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comprises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90 fault-injection trials: three repetitions of all 27 combinations (three workloads × three target metrics × three severities = 81), plus one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repetition of each of the nine medium-severity workload–metric combinations. Fifteen healthy controls bring the total to 105 runs, approximately 12 minutes each (21 VM hours) within a 45.25-hour effort estimate excluding development and writing. If Week-8 piloting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identifies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excessive per-trial overhead, a pre-specified, outcome-independent fallback will use 45 fault trials: all 27 combinations once, plus two further repetitions of each of the nine medium-severity workload–metric combinations. The 15 healthy controls will be 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retained</w:t>
      </w:r>
      <w:r w:rsidRPr="1832D449" w:rsidR="649D88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(60 runs; 12 VM hours). Over twelve weeks: literature/ethics (1–2), instrumentation (3–4), baselines (5–6), prediction/piloting (7–8), held-out evaluation (9–10), analysis (11) and reporting (12). Ethics approval, twin qualification and Week-8 feasibility are formal go/no-go gates.</w:t>
      </w:r>
      <w:r>
        <w:br/>
      </w:r>
    </w:p>
    <w:p xmlns:wp14="http://schemas.microsoft.com/office/word/2010/wordml" w:rsidP="1832D449" wp14:paraId="4BECE113" wp14:textId="47CB57C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1832D449" w:rsidR="649D886B">
        <w:rPr>
          <w:noProof w:val="0"/>
          <w:lang w:val="en-US"/>
        </w:rPr>
        <w:t>Ethics, Data Protection and Sustainability</w:t>
      </w:r>
      <w:r>
        <w:br/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 xml:space="preserve">No human-participant data is involved. Work will occur only in an authorized isolated VM after following the applicable UWTSD undergraduate research-ethics route. Records will 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>identify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 xml:space="preserve"> authorization, ownership, dates, encrypted storage, access control, backup, and retention. Data </w:t>
      </w:r>
      <w:r w:rsidRPr="1832D449" w:rsidR="426ED0A4">
        <w:rPr>
          <w:rFonts w:ascii="Calibri" w:hAnsi="Calibri" w:eastAsia="Calibri" w:cs="Calibri"/>
          <w:noProof w:val="0"/>
          <w:color w:val="auto"/>
          <w:lang w:val="en-US"/>
        </w:rPr>
        <w:t>excludes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 xml:space="preserve"> usernames, 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>identifying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 xml:space="preserve"> IPs, </w:t>
      </w:r>
      <w:r w:rsidRPr="1832D449" w:rsidR="31C53DD9">
        <w:rPr>
          <w:rFonts w:ascii="Calibri" w:hAnsi="Calibri" w:eastAsia="Calibri" w:cs="Calibri"/>
          <w:noProof w:val="0"/>
          <w:color w:val="auto"/>
          <w:lang w:val="en-US"/>
        </w:rPr>
        <w:t>credentials,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 xml:space="preserve"> and personal requests. Sustainability will estimate energy from measured execution time and typical server energy-per-CPU-hour assumptions (labelled as estimates), track storage/CPU overheads, and justify added energy through detection benefit. Snapshots, bounded fault duration/severity, resource limits, host monitoring, immediate-fault-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>reversal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 xml:space="preserve"> and idle-shutdown/retry caps 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>contain</w:t>
      </w:r>
      <w:r w:rsidRPr="1832D449" w:rsidR="649D886B">
        <w:rPr>
          <w:rFonts w:ascii="Calibri" w:hAnsi="Calibri" w:eastAsia="Calibri" w:cs="Calibri"/>
          <w:noProof w:val="0"/>
          <w:color w:val="auto"/>
          <w:lang w:val="en-US"/>
        </w:rPr>
        <w:t xml:space="preserve"> technical, safety and environmental risks.</w:t>
      </w:r>
      <w:r>
        <w:br/>
      </w:r>
    </w:p>
    <w:p xmlns:wp14="http://schemas.microsoft.com/office/word/2010/wordml" w:rsidP="1832D449" wp14:paraId="055EA641" wp14:textId="6AEA8DA3">
      <w:pPr>
        <w:pStyle w:val="Heading1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bookmarkStart w:name="_Toc45469567" w:id="2025381024"/>
      <w:r w:rsidRPr="1832D449" w:rsidR="649D886B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Expected Contribution and Conclusion</w:t>
      </w:r>
      <w:bookmarkEnd w:id="2025381024"/>
    </w:p>
    <w:p xmlns:wp14="http://schemas.microsoft.com/office/word/2010/wordml" w:rsidP="1FDA4048" wp14:paraId="308990E2" wp14:textId="1C2E4FA5">
      <w:pPr>
        <w:shd w:val="clear" w:color="auto" w:fill="FFFFFF" w:themeFill="background1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expected contribution is a reproducible matched-pair evaluation of whether twin/predictive residuals genuinely improve Linux VM anomaly detection over simpler baselines, quantifying F1, precision/recall, false-alarm cost, warning lead time, </w:t>
      </w: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robustness</w:t>
      </w: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compute/memory overhead. If informative, null/negative results would show added predictive </w:t>
      </w:r>
      <w:r w:rsidRPr="1FDA4048" w:rsidR="548E96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complexity,</w:t>
      </w:r>
      <w:r w:rsidRPr="1FDA4048" w:rsidR="65E35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offers limited benefit over workload-aware Isolation Forest for these metrics/workloads. Claims apply only to tested configurations and faults.</w:t>
      </w:r>
    </w:p>
    <w:p xmlns:wp14="http://schemas.microsoft.com/office/word/2010/wordml" w:rsidP="1832D449" wp14:paraId="31E65CAF" wp14:textId="27E61C2C">
      <w:pPr>
        <w:pStyle w:val="Heading1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bookmarkStart w:name="_Toc947264001" w:id="1868700208"/>
      <w:r w:rsidRPr="1832D449" w:rsidR="649D886B">
        <w:rPr>
          <w:rFonts w:ascii="Calibri" w:hAnsi="Calibri" w:eastAsia="Calibri" w:cs="Calibri"/>
          <w:b w:val="1"/>
          <w:bCs w:val="1"/>
          <w:noProof w:val="0"/>
          <w:color w:val="auto"/>
          <w:sz w:val="24"/>
          <w:szCs w:val="24"/>
          <w:u w:val="single"/>
          <w:lang w:val="en-US"/>
        </w:rPr>
        <w:t>Twelve-Week Project Plan</w:t>
      </w:r>
      <w:bookmarkEnd w:id="1868700208"/>
    </w:p>
    <w:tbl>
      <w:tblPr>
        <w:tblStyle w:val="TableNormal"/>
        <w:bidiVisual w:val="0"/>
        <w:tblW w:w="0" w:type="auto"/>
        <w:tblBorders>
          <w:top w:val="single" w:sz="0"/>
          <w:left w:val="single" w:sz="0"/>
          <w:bottom w:val="single" w:sz="0"/>
          <w:right w:val="single" w:sz="0"/>
        </w:tblBorders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1FDA4048" w:rsidTr="1FDA4048" w14:paraId="14D06DBF">
        <w:trPr>
          <w:trHeight w:val="300"/>
        </w:trPr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6BF92DF0" w14:textId="57AF260A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Weeks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5E088199" w14:textId="7F43D63D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Work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70DD458B" w14:textId="56A950A7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Exit criterion</w:t>
            </w:r>
          </w:p>
        </w:tc>
      </w:tr>
      <w:tr w:rsidR="1FDA4048" w:rsidTr="1FDA4048" w14:paraId="5D8D93FB">
        <w:trPr>
          <w:trHeight w:val="300"/>
        </w:trPr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14E9B7EB" w14:textId="7CF14B64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1–2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2B6D95CB" w14:textId="47D31974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Literature screening; ethics submission; protocol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233FBEAE" w14:textId="166B5203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Screening log, approved definitions</w:t>
            </w:r>
          </w:p>
        </w:tc>
      </w:tr>
      <w:tr w:rsidR="1FDA4048" w:rsidTr="1FDA4048" w14:paraId="28298FF4">
        <w:trPr>
          <w:trHeight w:val="300"/>
        </w:trPr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66BA449F" w14:textId="43592B7B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3–4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590C62A6" w14:textId="7972733F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VM, telemetry, workload and ground truth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63E364A7" w14:textId="1033CD82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Timestamp and recovery checks</w:t>
            </w:r>
          </w:p>
        </w:tc>
      </w:tr>
      <w:tr w:rsidR="1FDA4048" w:rsidTr="1FDA4048" w14:paraId="4C7DF6F6">
        <w:trPr>
          <w:trHeight w:val="300"/>
        </w:trPr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5874AD99" w14:textId="780E396A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5–6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399C4D9B" w14:textId="1C893C3C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Threshold and Isolation Forest baselines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7C0261CB" w14:textId="623E8EEF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Matched validation alarm budget</w:t>
            </w:r>
          </w:p>
        </w:tc>
      </w:tr>
      <w:tr w:rsidR="1FDA4048" w:rsidTr="1FDA4048" w14:paraId="1E5E7FF1">
        <w:trPr>
          <w:trHeight w:val="300"/>
        </w:trPr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638102C6" w14:textId="6F23C0B3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7–8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68020F36" w14:textId="1A7125EB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Twin model, residuals, pilots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0D756F14" w14:textId="310C1E17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Fidelity gates and timing gate</w:t>
            </w:r>
          </w:p>
        </w:tc>
      </w:tr>
      <w:tr w:rsidR="1FDA4048" w:rsidTr="1FDA4048" w14:paraId="54A491F5">
        <w:trPr>
          <w:trHeight w:val="300"/>
        </w:trPr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0DB2A82A" w14:textId="43EF0DFA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9–10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706EC1FA" w14:textId="705901F4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Blocked fault/control trials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6D37B0C5" w14:textId="72A3E5C6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Frozen held-out dataset</w:t>
            </w:r>
          </w:p>
        </w:tc>
      </w:tr>
      <w:tr w:rsidR="1FDA4048" w:rsidTr="1FDA4048" w14:paraId="0D9ACD8F">
        <w:trPr>
          <w:trHeight w:val="300"/>
        </w:trPr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07479758" w14:textId="327A5A5F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11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69CE6F09" w14:textId="03923B0A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Paired analysis, ablations, robustness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1815E515" w14:textId="1DFC3DD5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Intervals and cost comparison</w:t>
            </w:r>
          </w:p>
        </w:tc>
      </w:tr>
      <w:tr w:rsidR="1FDA4048" w:rsidTr="1FDA4048" w14:paraId="1A774B55">
        <w:trPr>
          <w:trHeight w:val="300"/>
        </w:trPr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12F9DD11" w14:textId="613DB9A9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12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1B875732" w14:textId="63F21E80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Report, supervisor feedback, final QA</w:t>
            </w:r>
          </w:p>
        </w:tc>
        <w:tc>
          <w:tcPr>
            <w:tcW w:w="312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FFF" w:themeFill="background1"/>
            <w:tcMar>
              <w:left w:w="108" w:type="dxa"/>
              <w:right w:w="108" w:type="dxa"/>
            </w:tcMar>
            <w:vAlign w:val="top"/>
          </w:tcPr>
          <w:p w:rsidR="1FDA4048" w:rsidP="1FDA4048" w:rsidRDefault="1FDA4048" w14:paraId="322115A8" w14:textId="41D95868">
            <w:pPr>
              <w:spacing w:before="0" w:beforeAutospacing="off" w:after="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</w:pPr>
            <w:r w:rsidRPr="1FDA4048" w:rsidR="1FDA40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u w:val="none"/>
              </w:rPr>
              <w:t>Complete submission package</w:t>
            </w:r>
          </w:p>
        </w:tc>
      </w:tr>
    </w:tbl>
    <w:p xmlns:wp14="http://schemas.microsoft.com/office/word/2010/wordml" w:rsidP="1832D449" wp14:paraId="6DFBA310" wp14:textId="43433BB5">
      <w:pPr>
        <w:pStyle w:val="Heading1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bookmarkStart w:name="_Toc896266906" w:id="1577035261"/>
      <w:r w:rsidRPr="1832D449" w:rsidR="649D886B">
        <w:rPr>
          <w:rFonts w:ascii="Calibri" w:hAnsi="Calibri" w:eastAsia="Calibri" w:cs="Calibri"/>
          <w:b w:val="1"/>
          <w:bCs w:val="1"/>
          <w:noProof w:val="0"/>
          <w:u w:val="single"/>
          <w:lang w:val="en-US"/>
        </w:rPr>
        <w:t>References</w:t>
      </w:r>
      <w:bookmarkEnd w:id="1577035261"/>
    </w:p>
    <w:p xmlns:wp14="http://schemas.microsoft.com/office/word/2010/wordml" w:rsidP="1832D449" wp14:paraId="2FCD9CEC" wp14:textId="19C36188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[1] F. Tao, H. Zhang, A. Liu, and A. Y. C. Nee, “Digital Twin in Industry: State-of-the-Art,” IEEE Trans. Ind. Informat., vol. 15, no. 4, pp. 2405–2415, 2019, doi: 10.1109/TII.2018.2873186.</w:t>
      </w:r>
    </w:p>
    <w:p xmlns:wp14="http://schemas.microsoft.com/office/word/2010/wordml" w:rsidP="1832D449" wp14:paraId="354C2350" wp14:textId="07E9F74B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[2] D. Jones, C. Snider, A. Nassehi, J. Yon, and B. Hicks, “Characterising the Digital Twin: A systematic literature review,” CIRP J. Manuf. Sci. Technol., vol. 29, pp. 36–52, 2020, doi: 10.1016/j.cirpj.2020.02.002.</w:t>
      </w:r>
    </w:p>
    <w:p xmlns:wp14="http://schemas.microsoft.com/office/word/2010/wordml" w:rsidP="1832D449" wp14:paraId="1EACFBC0" wp14:textId="6233D0BA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[3] A. Fuller, Z. Fan, C. Day, and C. Barlow, “Digital Twin: Enabling Technologies, Challenges and Open Research,” IEEE Access, vol. 8, pp. 108952–108971, 2020, doi: 10.1109/ACCESS.2020.2998358.</w:t>
      </w:r>
    </w:p>
    <w:p xmlns:wp14="http://schemas.microsoft.com/office/word/2010/wordml" w:rsidP="1832D449" wp14:paraId="4A8A19CA" wp14:textId="647E878C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[4] V. Chandola, A. Banerjee, and V. Kumar, “Anomaly Detection: A Survey,” ACM Comput. Surv., vol. 41, no. 3, Art. no. 15, 2009, doi: 10.1145/1541880.1541882.</w:t>
      </w:r>
    </w:p>
    <w:p xmlns:wp14="http://schemas.microsoft.com/office/word/2010/wordml" w:rsidP="1832D449" wp14:paraId="0EE4092E" wp14:textId="6E2CDCCA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[5] F. T. Liu, K. M. Ting, and Z.-H. Zhou, “Isolation Forest,” in Proc. IEEE ICDM, pp. 413–422, 2008, doi: 10.1109/ICDM.2008.17.</w:t>
      </w:r>
    </w:p>
    <w:p xmlns:wp14="http://schemas.microsoft.com/office/word/2010/wordml" w:rsidP="1832D449" wp14:paraId="7E92B766" wp14:textId="019860F3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[6] L. Breiman, “Random Forests,” Mach. Learn., vol. 45, pp. 5–32, 2001, doi: 10.1023/A:1010933404324.</w:t>
      </w:r>
    </w:p>
    <w:p xmlns:wp14="http://schemas.microsoft.com/office/word/2010/wordml" w:rsidP="1832D449" wp14:paraId="2F4C09AC" wp14:textId="5E21DE3F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[7] J. Audibert, P. Michiardi, F. Guyard, S. Marti, and M. A. Zuluaga, “USAD: Unsupervised Anomaly Detection on Multivariate Time Series,” in Proc. ACM SIGKDD, 2020, doi: 10.1145/3394486.3403392.</w:t>
      </w:r>
    </w:p>
    <w:p xmlns:wp14="http://schemas.microsoft.com/office/word/2010/wordml" w:rsidP="1832D449" wp14:paraId="76FEC2C8" wp14:textId="2599F163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[8] S. Tuli, G. Casale, and N. R. Jennings, “TranAD: Deep Transformer Networks for Anomaly Detection in Multivariate Time Series Data,” Proc. VLDB Endow., vol. 15, no. 6, pp. 1201–1214, 2022, doi: 10.14778/3514061.3514067.</w:t>
      </w:r>
    </w:p>
    <w:p xmlns:wp14="http://schemas.microsoft.com/office/word/2010/wordml" w:rsidP="1832D449" wp14:paraId="65FEE080" wp14:textId="623DA040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[9] Z. Zamanzadeh Darban, G. I. Webb, S. Pan, C. C. Aggarwal, and M. Salehi, “Deep Learning for Time Series Anomaly Detection: A Survey,” ACM Comput. Surv., vol. 57, no. 1, Art. no. 15, pp. 1–42, 2025, doi: 10.1145/3691338.</w:t>
      </w:r>
    </w:p>
    <w:p xmlns:wp14="http://schemas.microsoft.com/office/word/2010/wordml" w:rsidP="1832D449" wp14:paraId="5C81A955" wp14:textId="7225559F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[10] S. Schmidl, P. Wenig, and T. Papenbrock, “Anomaly Detection in Time Series: A Comprehensive Evaluation,” Proc. VLDB Endow., vol. 15, no. 9, pp. 1779–1797, 2022, doi: 10.14778/3538598.3538602.</w:t>
      </w:r>
    </w:p>
    <w:p xmlns:wp14="http://schemas.microsoft.com/office/word/2010/wordml" w:rsidP="1832D449" wp14:paraId="719C023D" wp14:textId="3B946F3B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[11] S. Mihai et al., “Digital Twins: A Survey on Enabling Technologies, Challenges, Trends and Future Prospects,” IEEE Commun. Surv. Tutor., vol. 24, no. 4, pp. 2255–2291, 2022, doi: 10.1109/COMST.2022.3208773.</w:t>
      </w:r>
    </w:p>
    <w:p xmlns:wp14="http://schemas.microsoft.com/office/word/2010/wordml" w:rsidP="1832D449" wp14:paraId="1824DE77" wp14:textId="45CF2796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[12] A. Sharma, E. Kosasih, J. Zhang, A. Brintrup, and A. Calinescu, “Digital Twins: State of the art theory and practice, challenges, and open research questions,” J. Ind. Inf. Integr., vol. 30, Art. no. 100383, 2022, doi: 10.1016/j.jii.2022.100383.</w:t>
      </w:r>
    </w:p>
    <w:p xmlns:wp14="http://schemas.microsoft.com/office/word/2010/wordml" w:rsidP="1832D449" wp14:paraId="6DB5AC5C" wp14:textId="0B0544EE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[13] A. Blázquez-García, A. Conde, U. Mori, and J. A. Lozano, “A Review on Outlier/Anomaly Detection in Time Series Data,” ACM Comput. Surv., vol. 54, no. 3, Art. no. 56, pp. 1–33, 2022, doi: 10.1145/3444690.</w:t>
      </w:r>
    </w:p>
    <w:p xmlns:wp14="http://schemas.microsoft.com/office/word/2010/wordml" w:rsidP="1832D449" wp14:paraId="001329AD" wp14:textId="2457C34C">
      <w:pPr>
        <w:pStyle w:val="Bibliography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832D449" w:rsidR="649D886B">
        <w:rPr>
          <w:noProof w:val="0"/>
          <w:lang w:val="en-US"/>
        </w:rPr>
        <w:t>[14] H. Xu et al., “Unsupervised Anomaly Detection via Variational Auto-Encoder for Seasonal KPIs in Web Applications,” in Proc. WWW, pp. 187–196, 2018, doi: 10.1145/3178876.3185996.</w:t>
      </w:r>
    </w:p>
    <w:p xmlns:wp14="http://schemas.microsoft.com/office/word/2010/wordml" w:rsidP="1832D449" wp14:paraId="0DC2D09C" wp14:textId="7A04E1CC">
      <w:pPr>
        <w:pStyle w:val="Bibliography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1832D449" w:rsidR="649D886B">
        <w:rPr>
          <w:noProof w:val="0"/>
          <w:lang w:val="en-US"/>
        </w:rPr>
        <w:t xml:space="preserve">[15] P. Malhotra, L. Vig, G. Shroff, and P. Agarwal, “Long Short Term Memory Networks for Anomaly Detection in Time Series,” in Proc. ESANN, 2015. [Online]. Available: </w:t>
      </w:r>
      <w:hyperlink r:id="R979da6ae81ed4d99">
        <w:r w:rsidRPr="1832D449" w:rsidR="649D886B">
          <w:rPr>
            <w:rStyle w:val="Hyperlink"/>
            <w:noProof w:val="0"/>
            <w:lang w:val="en-US"/>
          </w:rPr>
          <w:t>https://www.esann.org/sites/default/files/proceedings/legacy/es2015-56.pdf</w:t>
        </w:r>
      </w:hyperlink>
    </w:p>
    <w:p xmlns:wp14="http://schemas.microsoft.com/office/word/2010/wordml" w:rsidP="1FDA4048" wp14:paraId="75DFFDA5" wp14:textId="11FC2682">
      <w:pPr>
        <w:bidi w:val="0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xmlns:wp14="http://schemas.microsoft.com/office/word/2010/wordml" wp14:paraId="2C078E63" wp14:textId="5B78CABC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583766a05204330"/>
      <w:footerReference w:type="default" r:id="Rb4bdc04bd60e4df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832D449" w:rsidTr="1832D449" w14:paraId="0D773554">
      <w:trPr>
        <w:trHeight w:val="300"/>
      </w:trPr>
      <w:tc>
        <w:tcPr>
          <w:tcW w:w="3120" w:type="dxa"/>
          <w:tcMar/>
        </w:tcPr>
        <w:p w:rsidR="1832D449" w:rsidP="1832D449" w:rsidRDefault="1832D449" w14:paraId="1BFD3C74" w14:textId="34AF7F2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832D449" w:rsidP="1832D449" w:rsidRDefault="1832D449" w14:paraId="38D14410" w14:textId="63E823F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832D449" w:rsidP="1832D449" w:rsidRDefault="1832D449" w14:paraId="40E9EE46" w14:textId="6A3F1CCE">
          <w:pPr>
            <w:pStyle w:val="Header"/>
            <w:bidi w:val="0"/>
            <w:ind w:right="-115"/>
            <w:jc w:val="right"/>
          </w:pPr>
        </w:p>
      </w:tc>
    </w:tr>
  </w:tbl>
  <w:p w:rsidR="1832D449" w:rsidP="1832D449" w:rsidRDefault="1832D449" w14:paraId="7D3F42FA" w14:textId="5A172C4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832D449" w:rsidTr="1832D449" w14:paraId="7481FEDF">
      <w:trPr>
        <w:trHeight w:val="300"/>
      </w:trPr>
      <w:tc>
        <w:tcPr>
          <w:tcW w:w="3120" w:type="dxa"/>
          <w:tcMar/>
        </w:tcPr>
        <w:p w:rsidR="1832D449" w:rsidP="1832D449" w:rsidRDefault="1832D449" w14:paraId="418B21DA" w14:textId="5C8B7A3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832D449" w:rsidP="1832D449" w:rsidRDefault="1832D449" w14:paraId="7B1213EE" w14:textId="56F11A3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832D449" w:rsidP="1832D449" w:rsidRDefault="1832D449" w14:paraId="1741F6D5" w14:textId="65D3A231">
          <w:pPr>
            <w:pStyle w:val="Header"/>
            <w:bidi w:val="0"/>
            <w:ind w:right="-115"/>
            <w:jc w:val="right"/>
          </w:pPr>
        </w:p>
      </w:tc>
    </w:tr>
  </w:tbl>
  <w:p w:rsidR="1832D449" w:rsidP="1832D449" w:rsidRDefault="1832D449" w14:paraId="28BED7C0" w14:textId="7D71B22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4e4af8c3"/>
    <w:multiLevelType xmlns:w="http://schemas.openxmlformats.org/wordprocessingml/2006/main" w:val="hybridMultilevel"/>
    <w:lvl xmlns:w="http://schemas.openxmlformats.org/wordprocessingml/2006/main" w:ilvl="0">
      <w:start w:val="8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048538b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3f53e55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9696fda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203ae43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e8e1537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825cfd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7BBBBD"/>
    <w:rsid w:val="00788743"/>
    <w:rsid w:val="00B8D196"/>
    <w:rsid w:val="08AEFD07"/>
    <w:rsid w:val="08ED7AEE"/>
    <w:rsid w:val="0AE7FCED"/>
    <w:rsid w:val="0C57B36B"/>
    <w:rsid w:val="0D7BBBBD"/>
    <w:rsid w:val="0E60EDC1"/>
    <w:rsid w:val="128836DF"/>
    <w:rsid w:val="15CC5087"/>
    <w:rsid w:val="1832D449"/>
    <w:rsid w:val="1D0FF95B"/>
    <w:rsid w:val="1E7F009B"/>
    <w:rsid w:val="1FDA4048"/>
    <w:rsid w:val="21C0BB5F"/>
    <w:rsid w:val="2E85709D"/>
    <w:rsid w:val="2F4287B3"/>
    <w:rsid w:val="2F45B3E8"/>
    <w:rsid w:val="3066E37A"/>
    <w:rsid w:val="31BE3B42"/>
    <w:rsid w:val="31C53DD9"/>
    <w:rsid w:val="324D702D"/>
    <w:rsid w:val="362B5D6C"/>
    <w:rsid w:val="36815CAE"/>
    <w:rsid w:val="38EF88FC"/>
    <w:rsid w:val="3B9A6394"/>
    <w:rsid w:val="3B9A6394"/>
    <w:rsid w:val="3F183043"/>
    <w:rsid w:val="3F183043"/>
    <w:rsid w:val="3F4E0FAF"/>
    <w:rsid w:val="413F5638"/>
    <w:rsid w:val="426ED0A4"/>
    <w:rsid w:val="45E4260B"/>
    <w:rsid w:val="4C04D9A6"/>
    <w:rsid w:val="4E43A2E8"/>
    <w:rsid w:val="4E5EAF3A"/>
    <w:rsid w:val="508C8792"/>
    <w:rsid w:val="548E96C9"/>
    <w:rsid w:val="593170D4"/>
    <w:rsid w:val="5981302E"/>
    <w:rsid w:val="5BB253D1"/>
    <w:rsid w:val="5D02C67E"/>
    <w:rsid w:val="5D561D7F"/>
    <w:rsid w:val="5E784CA3"/>
    <w:rsid w:val="61127E57"/>
    <w:rsid w:val="6144D204"/>
    <w:rsid w:val="617E8DB2"/>
    <w:rsid w:val="649D886B"/>
    <w:rsid w:val="65E35BB6"/>
    <w:rsid w:val="66E76888"/>
    <w:rsid w:val="69BF7610"/>
    <w:rsid w:val="6CAA2DAD"/>
    <w:rsid w:val="70F2A0A3"/>
    <w:rsid w:val="7199862B"/>
    <w:rsid w:val="7404892D"/>
    <w:rsid w:val="755AA819"/>
    <w:rsid w:val="7AB724E1"/>
    <w:rsid w:val="7B87A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D6256"/>
  <w15:chartTrackingRefBased/>
  <w15:docId w15:val="{81DB20AB-C9D0-4FF2-9CB6-0A1F802684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FDA404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FDA404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1832D44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1832D449"/>
    <w:pPr>
      <w:spacing w:after="100"/>
    </w:pPr>
  </w:style>
  <w:style w:type="paragraph" w:styleId="Footer">
    <w:uiPriority w:val="99"/>
    <w:name w:val="footer"/>
    <w:basedOn w:val="Normal"/>
    <w:unhideWhenUsed/>
    <w:rsid w:val="1832D449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eading1Char" w:customStyle="true">
    <w:uiPriority w:val="9"/>
    <w:name w:val="Heading 1 Char"/>
    <w:basedOn w:val="DefaultParagraphFont"/>
    <w:link w:val="Heading1"/>
    <w:rsid w:val="1832D44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Title">
    <w:uiPriority w:val="10"/>
    <w:name w:val="Title"/>
    <w:basedOn w:val="Normal"/>
    <w:next w:val="Normal"/>
    <w:link w:val="TitleChar"/>
    <w:qFormat/>
    <w:rsid w:val="1832D44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832D449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SubtitleChar" w:customStyle="true">
    <w:uiPriority w:val="11"/>
    <w:name w:val="Subtitle Char"/>
    <w:basedOn w:val="DefaultParagraphFont"/>
    <w:link w:val="Subtitle"/>
    <w:rsid w:val="1832D449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TitleChar" w:customStyle="true">
    <w:uiPriority w:val="10"/>
    <w:name w:val="Title Char"/>
    <w:basedOn w:val="DefaultParagraphFont"/>
    <w:link w:val="Title"/>
    <w:rsid w:val="1832D449"/>
    <w:rPr>
      <w:rFonts w:ascii="Aptos Display" w:hAnsi="Aptos Display" w:eastAsia="" w:cs="" w:asciiTheme="majorAscii" w:hAnsiTheme="majorAscii" w:eastAsiaTheme="majorEastAsia" w:cstheme="majorBidi"/>
      <w:sz w:val="56"/>
      <w:szCs w:val="56"/>
    </w:rPr>
  </w:style>
  <w:style w:type="character" w:styleId="IntenseReference">
    <w:uiPriority w:val="32"/>
    <w:name w:val="Intense Reference"/>
    <w:basedOn w:val="DefaultParagraphFont"/>
    <w:qFormat/>
    <w:rsid w:val="1832D449"/>
    <w:rPr>
      <w:b w:val="1"/>
      <w:bCs w:val="1"/>
      <w:smallCaps w:val="1"/>
      <w:color w:val="0F4761" w:themeColor="accent1" w:themeTint="FF" w:themeShade="BF"/>
    </w:rPr>
  </w:style>
  <w:style w:type="paragraph" w:styleId="Bibliography">
    <w:uiPriority w:val="37"/>
    <w:name w:val="Bibliography"/>
    <w:basedOn w:val="Normal"/>
    <w:next w:val="Normal"/>
    <w:unhideWhenUsed/>
    <w:rsid w:val="1832D449"/>
  </w:style>
  <w:style w:type="character" w:styleId="Heading2Char" w:customStyle="true">
    <w:uiPriority w:val="9"/>
    <w:name w:val="Heading 2 Char"/>
    <w:basedOn w:val="DefaultParagraphFont"/>
    <w:rsid w:val="1832D44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paragraph" w:styleId="Heading1">
    <w:uiPriority w:val="9"/>
    <w:name w:val="heading 1"/>
    <w:basedOn w:val="Normal"/>
    <w:next w:val="Normal"/>
    <w:link w:val="Heading1Char"/>
    <w:qFormat/>
    <w:rsid w:val="1832D44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ad7119e8b4042ac" /><Relationship Type="http://schemas.openxmlformats.org/officeDocument/2006/relationships/hyperlink" Target="https://www.esann.org/sites/default/files/proceedings/legacy/es2015-56.pdf" TargetMode="External" Id="R979da6ae81ed4d99" /><Relationship Type="http://schemas.openxmlformats.org/officeDocument/2006/relationships/header" Target="header.xml" Id="Rd583766a05204330" /><Relationship Type="http://schemas.openxmlformats.org/officeDocument/2006/relationships/footer" Target="footer.xml" Id="Rb4bdc04bd60e4d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2026-10-20T09:20:31.4042003Z</dcterms:created>
  <dcterms:modified xsi:type="dcterms:W3CDTF">2026-10-20T10:59:25.0012777Z</dcterms:modified>
  <dc:creator>Aaron Miles (2404521)</dc:creator>
  <lastModifiedBy>Aaron Miles (2404521)</lastModifiedBy>
</coreProperties>
</file>