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46CB52" w14:textId="77777777" w:rsidR="000C2F67" w:rsidRPr="001F5A77" w:rsidRDefault="00E46677">
      <w:pPr>
        <w:pStyle w:val="Heading1"/>
        <w:rPr>
          <w:rFonts w:ascii="Arial" w:hAnsi="Arial" w:cs="Arial"/>
          <w:color w:val="000000" w:themeColor="text1"/>
          <w:sz w:val="24"/>
          <w:szCs w:val="24"/>
          <w:u w:val="single"/>
          <w:lang w:val="en-GB"/>
        </w:rPr>
      </w:pPr>
      <w:r w:rsidRPr="001F5A77">
        <w:rPr>
          <w:rFonts w:ascii="Arial" w:hAnsi="Arial" w:cs="Arial"/>
          <w:color w:val="000000" w:themeColor="text1"/>
          <w:sz w:val="24"/>
          <w:szCs w:val="24"/>
          <w:u w:val="single"/>
          <w:lang w:val="en-GB"/>
        </w:rPr>
        <w:t>A Critical Analysis of External Factors Influencing the UK Electric Vehicle Industry</w:t>
      </w:r>
    </w:p>
    <w:p w14:paraId="2299CB92" w14:textId="77777777" w:rsidR="00294217" w:rsidRPr="001F5A77" w:rsidRDefault="00294217">
      <w:pPr>
        <w:spacing w:line="360" w:lineRule="auto"/>
        <w:jc w:val="both"/>
        <w:rPr>
          <w:lang w:val="en-GB"/>
        </w:rPr>
      </w:pPr>
    </w:p>
    <w:p w14:paraId="18F2DAFD" w14:textId="6C4B5F74" w:rsidR="000C2F67" w:rsidRPr="001F5A77" w:rsidRDefault="00E46677">
      <w:pPr>
        <w:spacing w:line="360" w:lineRule="auto"/>
        <w:jc w:val="both"/>
        <w:rPr>
          <w:lang w:val="en-GB"/>
        </w:rPr>
      </w:pPr>
      <w:r w:rsidRPr="001F5A77">
        <w:rPr>
          <w:lang w:val="en-GB"/>
        </w:rPr>
        <w:t>Student Name: Ahmed Noor</w:t>
      </w:r>
    </w:p>
    <w:p w14:paraId="37C7D95A" w14:textId="77777777" w:rsidR="000C2F67" w:rsidRPr="001F5A77" w:rsidRDefault="00E46677">
      <w:pPr>
        <w:spacing w:line="360" w:lineRule="auto"/>
        <w:jc w:val="both"/>
        <w:rPr>
          <w:lang w:val="en-GB"/>
        </w:rPr>
      </w:pPr>
      <w:r w:rsidRPr="001F5A77">
        <w:rPr>
          <w:lang w:val="en-GB"/>
        </w:rPr>
        <w:t>Student Number: 2439270</w:t>
      </w:r>
    </w:p>
    <w:p w14:paraId="08EA2971" w14:textId="77777777" w:rsidR="000C2F67" w:rsidRPr="001F5A77" w:rsidRDefault="00E46677">
      <w:pPr>
        <w:spacing w:line="360" w:lineRule="auto"/>
        <w:jc w:val="both"/>
        <w:rPr>
          <w:lang w:val="en-GB"/>
        </w:rPr>
      </w:pPr>
      <w:r w:rsidRPr="001F5A77">
        <w:rPr>
          <w:lang w:val="en-GB"/>
        </w:rPr>
        <w:t>Module: Problem Solving and Innovation</w:t>
      </w:r>
    </w:p>
    <w:p w14:paraId="1A447C11" w14:textId="77777777" w:rsidR="000C2F67" w:rsidRPr="001F5A77" w:rsidRDefault="00E46677">
      <w:pPr>
        <w:spacing w:line="360" w:lineRule="auto"/>
        <w:jc w:val="both"/>
        <w:rPr>
          <w:lang w:val="en-GB"/>
        </w:rPr>
      </w:pPr>
      <w:r w:rsidRPr="001F5A77">
        <w:rPr>
          <w:lang w:val="en-GB"/>
        </w:rPr>
        <w:t>Module Code: BMSW4014</w:t>
      </w:r>
    </w:p>
    <w:p w14:paraId="50584B80" w14:textId="77777777" w:rsidR="000C2F67" w:rsidRPr="001F5A77" w:rsidRDefault="00E46677">
      <w:pPr>
        <w:spacing w:line="360" w:lineRule="auto"/>
        <w:jc w:val="both"/>
        <w:rPr>
          <w:lang w:val="en-GB"/>
        </w:rPr>
      </w:pPr>
      <w:r w:rsidRPr="001F5A77">
        <w:rPr>
          <w:lang w:val="en-GB"/>
        </w:rPr>
        <w:t>Lecturer: Jaliya de Silva</w:t>
      </w:r>
    </w:p>
    <w:p w14:paraId="7A6CD436" w14:textId="77777777" w:rsidR="00C1185B" w:rsidRPr="001F5A77" w:rsidRDefault="00C1185B">
      <w:pPr>
        <w:rPr>
          <w:lang w:val="en-GB"/>
        </w:rPr>
      </w:pPr>
    </w:p>
    <w:p w14:paraId="08E242F8" w14:textId="77777777" w:rsidR="00C1185B" w:rsidRPr="001F5A77" w:rsidRDefault="00C1185B" w:rsidP="00C1185B">
      <w:pPr>
        <w:pStyle w:val="Heading1"/>
        <w:rPr>
          <w:rFonts w:ascii="Arial" w:eastAsia="Times New Roman" w:hAnsi="Arial" w:cs="Arial"/>
          <w:color w:val="000000"/>
          <w:sz w:val="48"/>
          <w:u w:val="single"/>
          <w:lang w:val="en-GB"/>
        </w:rPr>
      </w:pPr>
      <w:r w:rsidRPr="001F5A77">
        <w:rPr>
          <w:rStyle w:val="Strong"/>
          <w:rFonts w:ascii="Arial" w:hAnsi="Arial" w:cs="Arial"/>
          <w:b/>
          <w:bCs/>
          <w:color w:val="000000"/>
          <w:u w:val="single"/>
          <w:lang w:val="en-GB"/>
        </w:rPr>
        <w:t>Contents</w:t>
      </w:r>
    </w:p>
    <w:p w14:paraId="6B2FD1DF" w14:textId="31477B3C" w:rsidR="00C1185B" w:rsidRPr="001F5A77" w:rsidRDefault="00C1185B" w:rsidP="00C1185B">
      <w:pPr>
        <w:pStyle w:val="NormalWeb"/>
        <w:numPr>
          <w:ilvl w:val="0"/>
          <w:numId w:val="10"/>
        </w:numPr>
        <w:rPr>
          <w:rFonts w:ascii="Arial" w:hAnsi="Arial" w:cs="Arial"/>
          <w:color w:val="000000"/>
        </w:rPr>
      </w:pPr>
      <w:r w:rsidRPr="001F5A77">
        <w:rPr>
          <w:rFonts w:ascii="Arial" w:hAnsi="Arial" w:cs="Arial"/>
          <w:color w:val="000000"/>
        </w:rPr>
        <w:t xml:space="preserve">Introduction </w:t>
      </w:r>
    </w:p>
    <w:p w14:paraId="2493578B" w14:textId="3F0D1613" w:rsidR="00C1185B" w:rsidRPr="001F5A77" w:rsidRDefault="00C1185B" w:rsidP="00C1185B">
      <w:pPr>
        <w:pStyle w:val="NormalWeb"/>
        <w:numPr>
          <w:ilvl w:val="0"/>
          <w:numId w:val="10"/>
        </w:numPr>
        <w:rPr>
          <w:rFonts w:ascii="Arial" w:hAnsi="Arial" w:cs="Arial"/>
          <w:color w:val="000000"/>
        </w:rPr>
      </w:pPr>
      <w:r w:rsidRPr="001F5A77">
        <w:rPr>
          <w:rFonts w:ascii="Arial" w:hAnsi="Arial" w:cs="Arial"/>
          <w:color w:val="000000"/>
        </w:rPr>
        <w:t xml:space="preserve">Findings </w:t>
      </w:r>
      <w:r w:rsidRPr="001F5A77">
        <w:rPr>
          <w:rFonts w:ascii="Arial" w:hAnsi="Arial" w:cs="Arial"/>
          <w:color w:val="000000"/>
        </w:rPr>
        <w:br/>
      </w:r>
      <w:r w:rsidRPr="001F5A77">
        <w:rPr>
          <w:rFonts w:ascii="Arial" w:hAnsi="Arial" w:cs="Arial"/>
          <w:color w:val="000000"/>
        </w:rPr>
        <w:t> </w:t>
      </w:r>
      <w:r w:rsidRPr="001F5A77">
        <w:rPr>
          <w:rFonts w:ascii="Arial" w:hAnsi="Arial" w:cs="Arial"/>
          <w:color w:val="000000"/>
        </w:rPr>
        <w:t xml:space="preserve">2.1 PESTLE Analysis </w:t>
      </w:r>
      <w:r w:rsidRPr="001F5A77">
        <w:rPr>
          <w:rFonts w:ascii="Arial" w:hAnsi="Arial" w:cs="Arial"/>
          <w:color w:val="000000"/>
        </w:rPr>
        <w:br/>
      </w:r>
      <w:r w:rsidRPr="001F5A77">
        <w:rPr>
          <w:rFonts w:ascii="Arial" w:hAnsi="Arial" w:cs="Arial"/>
          <w:color w:val="000000"/>
        </w:rPr>
        <w:t> </w:t>
      </w:r>
      <w:r w:rsidRPr="001F5A77">
        <w:rPr>
          <w:rFonts w:ascii="Arial" w:hAnsi="Arial" w:cs="Arial"/>
          <w:color w:val="000000"/>
        </w:rPr>
        <w:t xml:space="preserve">2.2 SWOT Analysis </w:t>
      </w:r>
      <w:r w:rsidRPr="001F5A77">
        <w:rPr>
          <w:rFonts w:ascii="Arial" w:hAnsi="Arial" w:cs="Arial"/>
          <w:color w:val="000000"/>
        </w:rPr>
        <w:br/>
      </w:r>
      <w:r w:rsidRPr="001F5A77">
        <w:rPr>
          <w:rFonts w:ascii="Arial" w:hAnsi="Arial" w:cs="Arial"/>
          <w:color w:val="000000"/>
        </w:rPr>
        <w:t> </w:t>
      </w:r>
      <w:r w:rsidRPr="001F5A77">
        <w:rPr>
          <w:rFonts w:ascii="Arial" w:hAnsi="Arial" w:cs="Arial"/>
          <w:color w:val="000000"/>
        </w:rPr>
        <w:t xml:space="preserve">2.3 The Role of Innovation </w:t>
      </w:r>
    </w:p>
    <w:p w14:paraId="439228F7" w14:textId="7414BADB" w:rsidR="00C1185B" w:rsidRPr="001F5A77" w:rsidRDefault="00C1185B" w:rsidP="00C1185B">
      <w:pPr>
        <w:pStyle w:val="NormalWeb"/>
        <w:numPr>
          <w:ilvl w:val="0"/>
          <w:numId w:val="10"/>
        </w:numPr>
        <w:rPr>
          <w:rFonts w:ascii="Arial" w:hAnsi="Arial" w:cs="Arial"/>
          <w:color w:val="000000"/>
        </w:rPr>
      </w:pPr>
      <w:r w:rsidRPr="001F5A77">
        <w:rPr>
          <w:rFonts w:ascii="Arial" w:hAnsi="Arial" w:cs="Arial"/>
          <w:color w:val="000000"/>
        </w:rPr>
        <w:t xml:space="preserve">Conclusion </w:t>
      </w:r>
    </w:p>
    <w:p w14:paraId="593A71C8" w14:textId="5A51493C" w:rsidR="00C1185B" w:rsidRPr="001F5A77" w:rsidRDefault="00C1185B" w:rsidP="00C1185B">
      <w:pPr>
        <w:pStyle w:val="NormalWeb"/>
        <w:numPr>
          <w:ilvl w:val="0"/>
          <w:numId w:val="10"/>
        </w:numPr>
        <w:rPr>
          <w:rFonts w:ascii="Arial" w:hAnsi="Arial" w:cs="Arial"/>
          <w:color w:val="000000"/>
        </w:rPr>
      </w:pPr>
      <w:r w:rsidRPr="001F5A77">
        <w:rPr>
          <w:rFonts w:ascii="Arial" w:hAnsi="Arial" w:cs="Arial"/>
          <w:color w:val="000000"/>
        </w:rPr>
        <w:t xml:space="preserve">Recommendations </w:t>
      </w:r>
    </w:p>
    <w:p w14:paraId="322BEEA2" w14:textId="7B736F5D" w:rsidR="00C1185B" w:rsidRPr="001F5A77" w:rsidRDefault="00C1185B" w:rsidP="00C1185B">
      <w:pPr>
        <w:pStyle w:val="NormalWeb"/>
        <w:numPr>
          <w:ilvl w:val="0"/>
          <w:numId w:val="10"/>
        </w:numPr>
        <w:rPr>
          <w:rFonts w:ascii="Arial" w:hAnsi="Arial" w:cs="Arial"/>
          <w:color w:val="000000"/>
        </w:rPr>
      </w:pPr>
      <w:r w:rsidRPr="001F5A77">
        <w:rPr>
          <w:rFonts w:ascii="Arial" w:hAnsi="Arial" w:cs="Arial"/>
          <w:color w:val="000000"/>
        </w:rPr>
        <w:t xml:space="preserve">References </w:t>
      </w:r>
    </w:p>
    <w:p w14:paraId="5A6E82AF" w14:textId="16ACB57A" w:rsidR="00C1185B" w:rsidRPr="001F5A77" w:rsidRDefault="00C1185B" w:rsidP="00C1185B">
      <w:pPr>
        <w:rPr>
          <w:lang w:val="en-GB"/>
        </w:rPr>
      </w:pPr>
    </w:p>
    <w:p w14:paraId="0B0D8D76" w14:textId="0BACACC6" w:rsidR="000C2F67" w:rsidRPr="001F5A77" w:rsidRDefault="00E46677">
      <w:pPr>
        <w:rPr>
          <w:lang w:val="en-GB"/>
        </w:rPr>
      </w:pPr>
      <w:r w:rsidRPr="001F5A77">
        <w:rPr>
          <w:lang w:val="en-GB"/>
        </w:rPr>
        <w:br w:type="page"/>
      </w:r>
    </w:p>
    <w:p w14:paraId="21F89474" w14:textId="77777777" w:rsidR="000C2F67" w:rsidRPr="001F5A77" w:rsidRDefault="00E46677">
      <w:pPr>
        <w:spacing w:line="360" w:lineRule="auto"/>
        <w:jc w:val="both"/>
        <w:rPr>
          <w:b/>
          <w:bCs/>
          <w:u w:val="single"/>
          <w:lang w:val="en-GB"/>
        </w:rPr>
      </w:pPr>
      <w:r w:rsidRPr="001F5A77">
        <w:rPr>
          <w:b/>
          <w:bCs/>
          <w:u w:val="single"/>
          <w:lang w:val="en-GB"/>
        </w:rPr>
        <w:lastRenderedPageBreak/>
        <w:t>1. Introduction</w:t>
      </w:r>
    </w:p>
    <w:p w14:paraId="2900F2BB" w14:textId="77777777" w:rsidR="00824EE2" w:rsidRDefault="00E46677">
      <w:pPr>
        <w:spacing w:line="360" w:lineRule="auto"/>
        <w:jc w:val="both"/>
        <w:rPr>
          <w:lang w:val="en-GB"/>
        </w:rPr>
      </w:pPr>
      <w:r w:rsidRPr="001F5A77">
        <w:rPr>
          <w:lang w:val="en-GB"/>
        </w:rPr>
        <w:t>The UK electric vehicle (EV) industry has grown rapidly over the past decade, becoming a central part of the country’s transition towards a low-carbon economy. Sales of EVs have increased significantly as consumers become more environmentally conscious and government policies encourage the shift away from petrol and diesel vehicles. The sector now plays a strategic role in meeting the UK’s net-zero targets, and the government frequently highlights EVs as essential to achieving cleaner transport and reducing</w:t>
      </w:r>
      <w:r w:rsidRPr="001F5A77">
        <w:rPr>
          <w:lang w:val="en-GB"/>
        </w:rPr>
        <w:t xml:space="preserve"> national emissions.</w:t>
      </w:r>
      <w:r w:rsidR="001F5A77">
        <w:rPr>
          <w:lang w:val="en-GB"/>
        </w:rPr>
        <w:t xml:space="preserve"> </w:t>
      </w:r>
    </w:p>
    <w:p w14:paraId="5863DC8A" w14:textId="618B2DDE" w:rsidR="000C2F67" w:rsidRPr="001F5A77" w:rsidRDefault="00E46677">
      <w:pPr>
        <w:spacing w:line="360" w:lineRule="auto"/>
        <w:jc w:val="both"/>
        <w:rPr>
          <w:lang w:val="en-GB"/>
        </w:rPr>
      </w:pPr>
      <w:r w:rsidRPr="001F5A77">
        <w:rPr>
          <w:lang w:val="en-GB"/>
        </w:rPr>
        <w:t>T</w:t>
      </w:r>
      <w:r w:rsidR="00824EE2">
        <w:rPr>
          <w:lang w:val="en-GB"/>
        </w:rPr>
        <w:t xml:space="preserve">he </w:t>
      </w:r>
      <w:r w:rsidRPr="001F5A77">
        <w:rPr>
          <w:lang w:val="en-GB"/>
        </w:rPr>
        <w:t>industry</w:t>
      </w:r>
      <w:r w:rsidR="001F5A77">
        <w:rPr>
          <w:lang w:val="en-GB"/>
        </w:rPr>
        <w:t xml:space="preserve"> </w:t>
      </w:r>
      <w:r w:rsidRPr="001F5A77">
        <w:rPr>
          <w:lang w:val="en-GB"/>
        </w:rPr>
        <w:t>is</w:t>
      </w:r>
      <w:r w:rsidR="001F5A77">
        <w:rPr>
          <w:lang w:val="en-GB"/>
        </w:rPr>
        <w:t xml:space="preserve"> </w:t>
      </w:r>
      <w:r w:rsidRPr="001F5A77">
        <w:rPr>
          <w:lang w:val="en-GB"/>
        </w:rPr>
        <w:t>driven</w:t>
      </w:r>
      <w:r w:rsidR="001F5A77">
        <w:rPr>
          <w:lang w:val="en-GB"/>
        </w:rPr>
        <w:t xml:space="preserve"> </w:t>
      </w:r>
      <w:r w:rsidRPr="001F5A77">
        <w:rPr>
          <w:lang w:val="en-GB"/>
        </w:rPr>
        <w:t>by</w:t>
      </w:r>
      <w:r w:rsidR="001F5A77">
        <w:rPr>
          <w:lang w:val="en-GB"/>
        </w:rPr>
        <w:t xml:space="preserve"> </w:t>
      </w:r>
      <w:r w:rsidR="001F5A77" w:rsidRPr="001F5A77">
        <w:rPr>
          <w:lang w:val="en-GB"/>
        </w:rPr>
        <w:t>technological</w:t>
      </w:r>
      <w:r w:rsidR="001F5A77">
        <w:rPr>
          <w:lang w:val="en-GB"/>
        </w:rPr>
        <w:t xml:space="preserve"> </w:t>
      </w:r>
      <w:r w:rsidR="001F5A77" w:rsidRPr="001F5A77">
        <w:rPr>
          <w:lang w:val="en-GB"/>
        </w:rPr>
        <w:t>innovation, environmental</w:t>
      </w:r>
      <w:r w:rsidRPr="001F5A77">
        <w:rPr>
          <w:lang w:val="en-GB"/>
        </w:rPr>
        <w:t xml:space="preserve"> pressures, infrastructure development, and strong political commitments to reach net-zero emissions by 2050. At the same time, the sector faces important challenges, including economic uncertainty, limited public charging accessibility, supply-chain disruptions caused by global shortages, and rising international competition. Th</w:t>
      </w:r>
      <w:r w:rsidR="001F5A77">
        <w:rPr>
          <w:lang w:val="en-GB"/>
        </w:rPr>
        <w:t xml:space="preserve">is </w:t>
      </w:r>
      <w:r w:rsidRPr="001F5A77">
        <w:rPr>
          <w:lang w:val="en-GB"/>
        </w:rPr>
        <w:t>issue</w:t>
      </w:r>
      <w:r w:rsidRPr="001F5A77">
        <w:rPr>
          <w:lang w:val="en-GB"/>
        </w:rPr>
        <w:t xml:space="preserve"> shape</w:t>
      </w:r>
      <w:r w:rsidR="001F5A77">
        <w:rPr>
          <w:lang w:val="en-GB"/>
        </w:rPr>
        <w:t>s</w:t>
      </w:r>
      <w:r w:rsidRPr="001F5A77">
        <w:rPr>
          <w:lang w:val="en-GB"/>
        </w:rPr>
        <w:t xml:space="preserve"> how EV companies operate, invest, and make strategic decisions.</w:t>
      </w:r>
    </w:p>
    <w:p w14:paraId="48BF8C3E" w14:textId="3899CFB7" w:rsidR="00824EE2" w:rsidRPr="00824EE2" w:rsidRDefault="00824EE2">
      <w:pPr>
        <w:spacing w:line="360" w:lineRule="auto"/>
        <w:jc w:val="both"/>
        <w:rPr>
          <w:rFonts w:cs="Arial"/>
          <w:b/>
          <w:bCs/>
          <w:szCs w:val="24"/>
          <w:u w:val="single"/>
          <w:lang w:val="en-GB"/>
        </w:rPr>
      </w:pPr>
      <w:r w:rsidRPr="00824EE2">
        <w:rPr>
          <w:rFonts w:cs="Arial"/>
          <w:color w:val="000000"/>
          <w:szCs w:val="24"/>
        </w:rPr>
        <w:t xml:space="preserve">The purpose of this report is to provide a critical examination of the external environment that is shaping the UK electric vehicle sector. By applying PESTLE and SWOT analysis, the report explores the political, economic, social, technological, legal, and environmental influences affecting the industry. The findings also consider the role of innovation, especially developments in battery technology, charging infrastructure, and digital systems, and how these contribute to competitiveness and </w:t>
      </w:r>
      <w:r w:rsidRPr="00824EE2">
        <w:rPr>
          <w:rFonts w:cs="Arial"/>
          <w:color w:val="000000"/>
          <w:szCs w:val="24"/>
        </w:rPr>
        <w:t>long-term</w:t>
      </w:r>
      <w:r w:rsidRPr="00824EE2">
        <w:rPr>
          <w:rFonts w:cs="Arial"/>
          <w:color w:val="000000"/>
          <w:szCs w:val="24"/>
        </w:rPr>
        <w:t xml:space="preserve"> resilience. The discussion is supported by relevant theories, government policies, and recent industry evidence to ensure a balanced and </w:t>
      </w:r>
      <w:r w:rsidRPr="00824EE2">
        <w:rPr>
          <w:rFonts w:cs="Arial"/>
          <w:color w:val="000000"/>
          <w:szCs w:val="24"/>
        </w:rPr>
        <w:t>well-informed</w:t>
      </w:r>
      <w:r w:rsidRPr="00824EE2">
        <w:rPr>
          <w:rFonts w:cs="Arial"/>
          <w:color w:val="000000"/>
          <w:szCs w:val="24"/>
        </w:rPr>
        <w:t xml:space="preserve"> evaluation. Overall, the report aims to present a clear understanding of the main opportunities and challenges facing UK EV companies, before offering recommendations on how businesses can respond effectively to these external pressures.</w:t>
      </w:r>
    </w:p>
    <w:p w14:paraId="338031AA" w14:textId="00048719" w:rsidR="000C2F67" w:rsidRPr="001F5A77" w:rsidRDefault="00E46677">
      <w:pPr>
        <w:spacing w:line="360" w:lineRule="auto"/>
        <w:jc w:val="both"/>
        <w:rPr>
          <w:b/>
          <w:bCs/>
          <w:u w:val="single"/>
          <w:lang w:val="en-GB"/>
        </w:rPr>
      </w:pPr>
      <w:r w:rsidRPr="001F5A77">
        <w:rPr>
          <w:b/>
          <w:bCs/>
          <w:u w:val="single"/>
          <w:lang w:val="en-GB"/>
        </w:rPr>
        <w:t>2. Findings</w:t>
      </w:r>
    </w:p>
    <w:p w14:paraId="57FE2398" w14:textId="77777777" w:rsidR="000C2F67" w:rsidRPr="00824EE2" w:rsidRDefault="00E46677">
      <w:pPr>
        <w:spacing w:line="360" w:lineRule="auto"/>
        <w:jc w:val="both"/>
        <w:rPr>
          <w:b/>
          <w:bCs/>
          <w:u w:val="single"/>
          <w:lang w:val="en-GB"/>
        </w:rPr>
      </w:pPr>
      <w:r w:rsidRPr="00824EE2">
        <w:rPr>
          <w:b/>
          <w:bCs/>
          <w:u w:val="single"/>
          <w:lang w:val="en-GB"/>
        </w:rPr>
        <w:t>2.1 PESTLE Analysis</w:t>
      </w:r>
    </w:p>
    <w:p w14:paraId="4BA85A15" w14:textId="77777777" w:rsidR="000C2F67" w:rsidRPr="00824EE2" w:rsidRDefault="00E46677">
      <w:pPr>
        <w:spacing w:line="360" w:lineRule="auto"/>
        <w:jc w:val="both"/>
        <w:rPr>
          <w:b/>
          <w:bCs/>
          <w:lang w:val="en-GB"/>
        </w:rPr>
      </w:pPr>
      <w:r w:rsidRPr="00824EE2">
        <w:rPr>
          <w:b/>
          <w:bCs/>
          <w:lang w:val="en-GB"/>
        </w:rPr>
        <w:lastRenderedPageBreak/>
        <w:t>Political Factors</w:t>
      </w:r>
    </w:p>
    <w:p w14:paraId="1494A5A2" w14:textId="77777777" w:rsidR="000C2F67" w:rsidRPr="001F5A77" w:rsidRDefault="00E46677">
      <w:pPr>
        <w:spacing w:line="360" w:lineRule="auto"/>
        <w:jc w:val="both"/>
        <w:rPr>
          <w:lang w:val="en-GB"/>
        </w:rPr>
      </w:pPr>
      <w:r w:rsidRPr="001F5A77">
        <w:rPr>
          <w:lang w:val="en-GB"/>
        </w:rPr>
        <w:t>Political influences play a crucial role in shaping the EV industry. The UK Government has introduced several long-term strategies, including the ban on new petrol and diesel vehicles by 2035 and the Zero-Emission Vehicle mandate, which requires manufacturers to sell a minimum percentage of zero-emission cars each year. These policies create a clear direction for the market and encourage both domestic and international investment. Local authorities also support EV adoption through clean-air zones, grants, a</w:t>
      </w:r>
      <w:r w:rsidRPr="001F5A77">
        <w:rPr>
          <w:lang w:val="en-GB"/>
        </w:rPr>
        <w:t>nd planning requirements for charging points in new developments.</w:t>
      </w:r>
    </w:p>
    <w:p w14:paraId="25A2EEB3" w14:textId="2DA79529" w:rsidR="000C2F67" w:rsidRPr="001F5A77" w:rsidRDefault="00E46677">
      <w:pPr>
        <w:spacing w:line="360" w:lineRule="auto"/>
        <w:jc w:val="both"/>
        <w:rPr>
          <w:lang w:val="en-GB"/>
        </w:rPr>
      </w:pPr>
      <w:r w:rsidRPr="001F5A77">
        <w:rPr>
          <w:lang w:val="en-GB"/>
        </w:rPr>
        <w:t>However, political uncertainty creates risks. Frequent policy changes</w:t>
      </w:r>
      <w:r w:rsidR="00824EE2">
        <w:rPr>
          <w:lang w:val="en-GB"/>
        </w:rPr>
        <w:t xml:space="preserve"> </w:t>
      </w:r>
      <w:r w:rsidRPr="001F5A77">
        <w:rPr>
          <w:lang w:val="en-GB"/>
        </w:rPr>
        <w:t>such as</w:t>
      </w:r>
      <w:r w:rsidR="00824EE2">
        <w:rPr>
          <w:lang w:val="en-GB"/>
        </w:rPr>
        <w:t>,</w:t>
      </w:r>
      <w:r w:rsidRPr="001F5A77">
        <w:rPr>
          <w:lang w:val="en-GB"/>
        </w:rPr>
        <w:t xml:space="preserve"> delaying the petrol-diesel ban</w:t>
      </w:r>
      <w:r w:rsidR="00824EE2">
        <w:rPr>
          <w:lang w:val="en-GB"/>
        </w:rPr>
        <w:t xml:space="preserve"> which </w:t>
      </w:r>
      <w:r w:rsidRPr="001F5A77">
        <w:rPr>
          <w:lang w:val="en-GB"/>
        </w:rPr>
        <w:t>affect investor confidence. Brexit also influences the political environment by complicating trade agreements for batteries and vehicle components, which are essential for EV production. This means UK manufacturers must constantly adapt their strategies to stay compliant and competitive.</w:t>
      </w:r>
    </w:p>
    <w:p w14:paraId="76AC215D" w14:textId="77777777" w:rsidR="000C2F67" w:rsidRPr="001F5A77" w:rsidRDefault="00E46677">
      <w:pPr>
        <w:spacing w:line="360" w:lineRule="auto"/>
        <w:jc w:val="both"/>
        <w:rPr>
          <w:b/>
          <w:bCs/>
          <w:lang w:val="en-GB"/>
        </w:rPr>
      </w:pPr>
      <w:r w:rsidRPr="001F5A77">
        <w:rPr>
          <w:b/>
          <w:bCs/>
          <w:lang w:val="en-GB"/>
        </w:rPr>
        <w:t>Economic Factors</w:t>
      </w:r>
    </w:p>
    <w:p w14:paraId="4488F2E8" w14:textId="77777777" w:rsidR="000C2F67" w:rsidRPr="001F5A77" w:rsidRDefault="00E46677">
      <w:pPr>
        <w:spacing w:line="360" w:lineRule="auto"/>
        <w:jc w:val="both"/>
        <w:rPr>
          <w:lang w:val="en-GB"/>
        </w:rPr>
      </w:pPr>
      <w:r w:rsidRPr="001F5A77">
        <w:rPr>
          <w:lang w:val="en-GB"/>
        </w:rPr>
        <w:t>The economic environment significantly influences consumer behaviour and the financial performance of EV companies. High inflation, rising interest rates, and the cost-of-living crisis have made it harder for households to afford new vehicles, particularly because EVs remain more expensive upfront than petrol models. Production costs have increased due to rising prices for lithium, nickel, and cobalt—key battery materials.</w:t>
      </w:r>
    </w:p>
    <w:p w14:paraId="54DB8D84" w14:textId="77777777" w:rsidR="000C2F67" w:rsidRPr="001F5A77" w:rsidRDefault="00E46677">
      <w:pPr>
        <w:spacing w:line="360" w:lineRule="auto"/>
        <w:jc w:val="both"/>
        <w:rPr>
          <w:lang w:val="en-GB"/>
        </w:rPr>
      </w:pPr>
      <w:r w:rsidRPr="001F5A77">
        <w:rPr>
          <w:lang w:val="en-GB"/>
        </w:rPr>
        <w:t>Nevertheless, the sector benefits from large-scale investments such as the development of UK gigafactories, which aim to reduce reliance on imported batteries. The EV sector also stimulates economic growth through job creation in manufacturing, engineering, and energy sectors. Government grants, company car tax incentives, and long-term fuel savings continue to support demand. Economically, the sector faces short-term pressures but continues to offer strong long-term opportunities if supply-chain resilience</w:t>
      </w:r>
      <w:r w:rsidRPr="001F5A77">
        <w:rPr>
          <w:lang w:val="en-GB"/>
        </w:rPr>
        <w:t xml:space="preserve"> improves.</w:t>
      </w:r>
    </w:p>
    <w:p w14:paraId="05D0D5A0" w14:textId="77777777" w:rsidR="000C2F67" w:rsidRPr="001F5A77" w:rsidRDefault="00E46677">
      <w:pPr>
        <w:spacing w:line="360" w:lineRule="auto"/>
        <w:jc w:val="both"/>
        <w:rPr>
          <w:b/>
          <w:bCs/>
          <w:lang w:val="en-GB"/>
        </w:rPr>
      </w:pPr>
      <w:r w:rsidRPr="001F5A77">
        <w:rPr>
          <w:b/>
          <w:bCs/>
          <w:lang w:val="en-GB"/>
        </w:rPr>
        <w:lastRenderedPageBreak/>
        <w:t>Social Factors</w:t>
      </w:r>
    </w:p>
    <w:p w14:paraId="37A01858" w14:textId="77777777" w:rsidR="000C2F67" w:rsidRPr="001F5A77" w:rsidRDefault="00E46677">
      <w:pPr>
        <w:spacing w:line="360" w:lineRule="auto"/>
        <w:jc w:val="both"/>
        <w:rPr>
          <w:lang w:val="en-GB"/>
        </w:rPr>
      </w:pPr>
      <w:r w:rsidRPr="001F5A77">
        <w:rPr>
          <w:lang w:val="en-GB"/>
        </w:rPr>
        <w:t>Social attitudes towards sustainability and climate change continue to shift in favour of EV adoption. More consumers recognise the environmental benefits of EVs and the importance of reducing emissions. However, concerns remain about charging availability, driving range, and overall affordability. Adoption rates are higher in urban regions with better infrastructure, while rural areas face barriers such as long distances and fewer charging stations.</w:t>
      </w:r>
    </w:p>
    <w:p w14:paraId="13D2AACF" w14:textId="77777777" w:rsidR="000C2F67" w:rsidRPr="001F5A77" w:rsidRDefault="00E46677">
      <w:pPr>
        <w:spacing w:line="360" w:lineRule="auto"/>
        <w:jc w:val="both"/>
        <w:rPr>
          <w:lang w:val="en-GB"/>
        </w:rPr>
      </w:pPr>
      <w:r w:rsidRPr="001F5A77">
        <w:rPr>
          <w:lang w:val="en-GB"/>
        </w:rPr>
        <w:t>Lifestyle changes are also influencing EV demand. Remote working reduces daily journeys for many people, while rising fuel prices make EVs appear more attractive. Social expectations increasingly pressure companies to improve convenience, transparency, and sustainability, meaning firms must engage with consumers more effectively to build trust and confidence.</w:t>
      </w:r>
    </w:p>
    <w:p w14:paraId="13EF7B94" w14:textId="77777777" w:rsidR="000C2F67" w:rsidRPr="001F5A77" w:rsidRDefault="00E46677">
      <w:pPr>
        <w:spacing w:line="360" w:lineRule="auto"/>
        <w:jc w:val="both"/>
        <w:rPr>
          <w:b/>
          <w:bCs/>
          <w:lang w:val="en-GB"/>
        </w:rPr>
      </w:pPr>
      <w:r w:rsidRPr="001F5A77">
        <w:rPr>
          <w:b/>
          <w:bCs/>
          <w:lang w:val="en-GB"/>
        </w:rPr>
        <w:t>Technological Factors</w:t>
      </w:r>
    </w:p>
    <w:p w14:paraId="65648EF7" w14:textId="77777777" w:rsidR="000C2F67" w:rsidRPr="001F5A77" w:rsidRDefault="00E46677">
      <w:pPr>
        <w:spacing w:line="360" w:lineRule="auto"/>
        <w:jc w:val="both"/>
        <w:rPr>
          <w:lang w:val="en-GB"/>
        </w:rPr>
      </w:pPr>
      <w:r w:rsidRPr="001F5A77">
        <w:rPr>
          <w:lang w:val="en-GB"/>
        </w:rPr>
        <w:t>Technology is one of the strongest drivers of EV growth. Battery technology is advancing rapidly, with developments such as solid-state batteries promising faster charging, longer range, and improved safety. Companies like Tesla, Nissan, and emerging UK battery manufacturers continue to push innovation.</w:t>
      </w:r>
    </w:p>
    <w:p w14:paraId="5DCD8E64" w14:textId="77777777" w:rsidR="000C2F67" w:rsidRPr="001F5A77" w:rsidRDefault="00E46677">
      <w:pPr>
        <w:spacing w:line="360" w:lineRule="auto"/>
        <w:jc w:val="both"/>
        <w:rPr>
          <w:lang w:val="en-GB"/>
        </w:rPr>
      </w:pPr>
      <w:r w:rsidRPr="001F5A77">
        <w:rPr>
          <w:lang w:val="en-GB"/>
        </w:rPr>
        <w:t>Artificial intelligence and digital connectivity enhance vehicle performance, efficiency, and user experience through features such as driver-assistance systems and real-time range optimisation. Charging infrastructure is expanding, with ultra-rapid chargers reducing waiting times. Smart-charging systems help balance national electricity demand, reducing strain on the grid.</w:t>
      </w:r>
    </w:p>
    <w:p w14:paraId="31DC8B6A" w14:textId="77777777" w:rsidR="000C2F67" w:rsidRPr="001F5A77" w:rsidRDefault="00E46677">
      <w:pPr>
        <w:spacing w:line="360" w:lineRule="auto"/>
        <w:jc w:val="both"/>
        <w:rPr>
          <w:lang w:val="en-GB"/>
        </w:rPr>
      </w:pPr>
      <w:r w:rsidRPr="001F5A77">
        <w:rPr>
          <w:lang w:val="en-GB"/>
        </w:rPr>
        <w:t>New technologies such as vehicle-to-grid (V2G) integration enable EVs to store and return energy to the grid. Companies that continuously invest in technology gain a major competitive advantage, while those that fail to innovate risk falling behind international competitors.</w:t>
      </w:r>
    </w:p>
    <w:p w14:paraId="74DD295C" w14:textId="03BB1B37" w:rsidR="000C2F67" w:rsidRPr="001F5A77" w:rsidRDefault="00E46677">
      <w:pPr>
        <w:spacing w:line="360" w:lineRule="auto"/>
        <w:jc w:val="both"/>
        <w:rPr>
          <w:b/>
          <w:bCs/>
          <w:lang w:val="en-GB"/>
        </w:rPr>
      </w:pPr>
      <w:r w:rsidRPr="001F5A77">
        <w:rPr>
          <w:b/>
          <w:bCs/>
          <w:lang w:val="en-GB"/>
        </w:rPr>
        <w:t>Legal Factors</w:t>
      </w:r>
    </w:p>
    <w:p w14:paraId="6388B60A" w14:textId="52222A3C" w:rsidR="000C2F67" w:rsidRPr="001F5A77" w:rsidRDefault="00E46677">
      <w:pPr>
        <w:spacing w:line="360" w:lineRule="auto"/>
        <w:jc w:val="both"/>
        <w:rPr>
          <w:lang w:val="en-GB"/>
        </w:rPr>
      </w:pPr>
      <w:r w:rsidRPr="001F5A77">
        <w:rPr>
          <w:lang w:val="en-GB"/>
        </w:rPr>
        <w:lastRenderedPageBreak/>
        <w:t>The</w:t>
      </w:r>
      <w:r w:rsidR="00C1185B" w:rsidRPr="001F5A77">
        <w:rPr>
          <w:lang w:val="en-GB"/>
        </w:rPr>
        <w:t xml:space="preserve"> </w:t>
      </w:r>
      <w:r w:rsidRPr="001F5A77">
        <w:rPr>
          <w:lang w:val="en-GB"/>
        </w:rPr>
        <w:t>legal</w:t>
      </w:r>
      <w:r w:rsidR="00C1185B" w:rsidRPr="001F5A77">
        <w:rPr>
          <w:lang w:val="en-GB"/>
        </w:rPr>
        <w:t xml:space="preserve"> </w:t>
      </w:r>
      <w:r w:rsidRPr="001F5A77">
        <w:rPr>
          <w:lang w:val="en-GB"/>
        </w:rPr>
        <w:t>environment shapes the responsibilities and practices of EV manufacturers. Strict emissions regulations require automakers to meet annual targets for the proportion of zero-emission vehicles sold. Safety standards apply to both vehicles and batteries, while consumer protection laws require companies to be transparent about range, charging times, and costs.</w:t>
      </w:r>
    </w:p>
    <w:p w14:paraId="0EBC9526" w14:textId="792A2296" w:rsidR="000C2F67" w:rsidRPr="001F5A77" w:rsidRDefault="00E46677">
      <w:pPr>
        <w:spacing w:line="360" w:lineRule="auto"/>
        <w:jc w:val="both"/>
        <w:rPr>
          <w:lang w:val="en-GB"/>
        </w:rPr>
      </w:pPr>
      <w:r w:rsidRPr="001F5A77">
        <w:rPr>
          <w:lang w:val="en-GB"/>
        </w:rPr>
        <w:t xml:space="preserve">Data protection laws are increasingly important, as EVs collect large amounts of driver and </w:t>
      </w:r>
      <w:proofErr w:type="spellStart"/>
      <w:r w:rsidRPr="001F5A77">
        <w:rPr>
          <w:lang w:val="en-GB"/>
        </w:rPr>
        <w:t>vehicle</w:t>
      </w:r>
      <w:r w:rsidRPr="001F5A77">
        <w:rPr>
          <w:lang w:val="en-GB"/>
        </w:rPr>
        <w:t>data</w:t>
      </w:r>
      <w:proofErr w:type="spellEnd"/>
      <w:r w:rsidRPr="001F5A77">
        <w:rPr>
          <w:lang w:val="en-GB"/>
        </w:rPr>
        <w:t>. Manufacturers must comply with GDPR and cybersecurity standards to protect users. Regulations on battery disposal and recycling also require companies to invest in sustainable production and end-of-life processes. As legal requirements grow, compliance becomes both a cost and a competitive advantage.</w:t>
      </w:r>
    </w:p>
    <w:p w14:paraId="73B27B6A" w14:textId="77777777" w:rsidR="000C2F67" w:rsidRPr="001F5A77" w:rsidRDefault="00E46677">
      <w:pPr>
        <w:spacing w:line="360" w:lineRule="auto"/>
        <w:jc w:val="both"/>
        <w:rPr>
          <w:b/>
          <w:bCs/>
          <w:lang w:val="en-GB"/>
        </w:rPr>
      </w:pPr>
      <w:r w:rsidRPr="001F5A77">
        <w:rPr>
          <w:b/>
          <w:bCs/>
          <w:lang w:val="en-GB"/>
        </w:rPr>
        <w:t>Environmental Factors</w:t>
      </w:r>
    </w:p>
    <w:p w14:paraId="21357C95" w14:textId="77777777" w:rsidR="000C2F67" w:rsidRPr="001F5A77" w:rsidRDefault="00E46677">
      <w:pPr>
        <w:spacing w:line="360" w:lineRule="auto"/>
        <w:jc w:val="both"/>
        <w:rPr>
          <w:lang w:val="en-GB"/>
        </w:rPr>
      </w:pPr>
      <w:r w:rsidRPr="001F5A77">
        <w:rPr>
          <w:lang w:val="en-GB"/>
        </w:rPr>
        <w:t>Environmental pressures strongly influence the EV industry. The UK’s commitment to lowering greenhouse-gas emissions positions EVs as a central solution for sustainable transport. Electric vehicles help reduce air pollution and support cleaner cities.</w:t>
      </w:r>
    </w:p>
    <w:p w14:paraId="1BF92956" w14:textId="77777777" w:rsidR="000C2F67" w:rsidRPr="001F5A77" w:rsidRDefault="00E46677">
      <w:pPr>
        <w:spacing w:line="360" w:lineRule="auto"/>
        <w:jc w:val="both"/>
        <w:rPr>
          <w:lang w:val="en-GB"/>
        </w:rPr>
      </w:pPr>
      <w:r w:rsidRPr="001F5A77">
        <w:rPr>
          <w:lang w:val="en-GB"/>
        </w:rPr>
        <w:t>However, the environmental impact of battery production raises concerns related to mining, energy usage, and waste. This increases pressure on companies to adopt sustainable practices and improve supply-chain transparency. Recycling technologies, renewable-energy integration, and circular-economy strategies are becoming essential. Environmental expectations will continue to rise, motivating companies to innovate and operate more responsibly.</w:t>
      </w:r>
    </w:p>
    <w:p w14:paraId="40B38D7A" w14:textId="77777777" w:rsidR="000C2F67" w:rsidRPr="001F5A77" w:rsidRDefault="00E46677">
      <w:pPr>
        <w:spacing w:line="360" w:lineRule="auto"/>
        <w:jc w:val="both"/>
        <w:rPr>
          <w:b/>
          <w:bCs/>
          <w:u w:val="single"/>
          <w:lang w:val="en-GB"/>
        </w:rPr>
      </w:pPr>
      <w:r w:rsidRPr="001F5A77">
        <w:rPr>
          <w:b/>
          <w:bCs/>
          <w:u w:val="single"/>
          <w:lang w:val="en-GB"/>
        </w:rPr>
        <w:t>2.2 SWOT Analysis</w:t>
      </w:r>
    </w:p>
    <w:p w14:paraId="434754DE" w14:textId="77777777" w:rsidR="000C2F67" w:rsidRPr="001F5A77" w:rsidRDefault="00E46677">
      <w:pPr>
        <w:spacing w:line="360" w:lineRule="auto"/>
        <w:jc w:val="both"/>
        <w:rPr>
          <w:b/>
          <w:bCs/>
          <w:i/>
          <w:iCs/>
          <w:lang w:val="en-GB"/>
        </w:rPr>
      </w:pPr>
      <w:r w:rsidRPr="001F5A77">
        <w:rPr>
          <w:b/>
          <w:bCs/>
          <w:i/>
          <w:iCs/>
          <w:lang w:val="en-GB"/>
        </w:rPr>
        <w:t>Strengths</w:t>
      </w:r>
    </w:p>
    <w:p w14:paraId="228F906F" w14:textId="77777777" w:rsidR="000C2F67" w:rsidRPr="001F5A77" w:rsidRDefault="00E46677">
      <w:pPr>
        <w:spacing w:line="360" w:lineRule="auto"/>
        <w:jc w:val="both"/>
        <w:rPr>
          <w:lang w:val="en-GB"/>
        </w:rPr>
      </w:pPr>
      <w:r w:rsidRPr="001F5A77">
        <w:rPr>
          <w:lang w:val="en-GB"/>
        </w:rPr>
        <w:t xml:space="preserve">The UK EV industry benefits from strong government support, rising consumer interest in sustainability, and rapid technological innovation. Major investments in battery manufacturing and charging infrastructure demonstrate long-term confidence in the sector. The UK also has a skilled engineering workforce and </w:t>
      </w:r>
      <w:r w:rsidRPr="001F5A77">
        <w:rPr>
          <w:lang w:val="en-GB"/>
        </w:rPr>
        <w:lastRenderedPageBreak/>
        <w:t>established automotive manufacturing capabilities. EVs also require less maintenance than petrol vehicles, which is an advantage that supports long-term adoption.</w:t>
      </w:r>
    </w:p>
    <w:p w14:paraId="78A4A63F" w14:textId="77777777" w:rsidR="000C2F67" w:rsidRPr="001F5A77" w:rsidRDefault="00E46677">
      <w:pPr>
        <w:spacing w:line="360" w:lineRule="auto"/>
        <w:jc w:val="both"/>
        <w:rPr>
          <w:b/>
          <w:bCs/>
          <w:lang w:val="en-GB"/>
        </w:rPr>
      </w:pPr>
      <w:r w:rsidRPr="001F5A77">
        <w:rPr>
          <w:b/>
          <w:bCs/>
          <w:lang w:val="en-GB"/>
        </w:rPr>
        <w:t>Weaknesses</w:t>
      </w:r>
    </w:p>
    <w:p w14:paraId="5F8ABA5E" w14:textId="5F90AAD3" w:rsidR="000C2F67" w:rsidRPr="001F5A77" w:rsidRDefault="00294217">
      <w:pPr>
        <w:spacing w:line="360" w:lineRule="auto"/>
        <w:jc w:val="both"/>
        <w:rPr>
          <w:lang w:val="en-GB"/>
        </w:rPr>
      </w:pPr>
      <w:proofErr w:type="gramStart"/>
      <w:r w:rsidRPr="001F5A77">
        <w:rPr>
          <w:lang w:val="en-GB"/>
        </w:rPr>
        <w:t>High upfront vehicle costs,</w:t>
      </w:r>
      <w:proofErr w:type="gramEnd"/>
      <w:r w:rsidR="00E46677" w:rsidRPr="001F5A77">
        <w:rPr>
          <w:lang w:val="en-GB"/>
        </w:rPr>
        <w:t xml:space="preserve"> limited rural charging infrastructure, and dependence on imported batteries are major weaknesses. Supply-chain vulnerabilities increase production delays, while consumer uncertainty about long-term costs slows adoption. The industry also struggles with second-hand EV price drops, which reduce confidence. Companies must address these weaknesses through investment, partnerships, and transparent communication.</w:t>
      </w:r>
    </w:p>
    <w:p w14:paraId="681C8F2C" w14:textId="77777777" w:rsidR="000C2F67" w:rsidRPr="001F5A77" w:rsidRDefault="00E46677">
      <w:pPr>
        <w:spacing w:line="360" w:lineRule="auto"/>
        <w:jc w:val="both"/>
        <w:rPr>
          <w:b/>
          <w:bCs/>
          <w:lang w:val="en-GB"/>
        </w:rPr>
      </w:pPr>
      <w:r w:rsidRPr="001F5A77">
        <w:rPr>
          <w:b/>
          <w:bCs/>
          <w:lang w:val="en-GB"/>
        </w:rPr>
        <w:t>Opportunities</w:t>
      </w:r>
    </w:p>
    <w:p w14:paraId="2AAD81D3" w14:textId="77777777" w:rsidR="000C2F67" w:rsidRPr="001F5A77" w:rsidRDefault="00E46677">
      <w:pPr>
        <w:spacing w:line="360" w:lineRule="auto"/>
        <w:jc w:val="both"/>
        <w:rPr>
          <w:lang w:val="en-GB"/>
        </w:rPr>
      </w:pPr>
      <w:r w:rsidRPr="001F5A77">
        <w:rPr>
          <w:lang w:val="en-GB"/>
        </w:rPr>
        <w:t>There are significant opportunities in expanding national charging networks, developing local gigafactories, and improving battery recycling. Technological advancements allow companies to differentiate their products and improve energy efficiency. Global demand for sustainable vehicles also creates export opportunities for UK manufacturers, especially in Europe and emerging markets. Growth in renewable-energy systems also supports EV adoption, as consumers increasingly want cleaner charging solutions.</w:t>
      </w:r>
    </w:p>
    <w:p w14:paraId="5D5A3246" w14:textId="77777777" w:rsidR="000C2F67" w:rsidRPr="001F5A77" w:rsidRDefault="00E46677">
      <w:pPr>
        <w:spacing w:line="360" w:lineRule="auto"/>
        <w:jc w:val="both"/>
        <w:rPr>
          <w:b/>
          <w:bCs/>
          <w:lang w:val="en-GB"/>
        </w:rPr>
      </w:pPr>
      <w:r w:rsidRPr="001F5A77">
        <w:rPr>
          <w:b/>
          <w:bCs/>
          <w:lang w:val="en-GB"/>
        </w:rPr>
        <w:t>Threats</w:t>
      </w:r>
    </w:p>
    <w:p w14:paraId="6847913A" w14:textId="77777777" w:rsidR="000C2F67" w:rsidRPr="001F5A77" w:rsidRDefault="00E46677">
      <w:pPr>
        <w:spacing w:line="360" w:lineRule="auto"/>
        <w:jc w:val="both"/>
        <w:rPr>
          <w:lang w:val="en-GB"/>
        </w:rPr>
      </w:pPr>
      <w:r w:rsidRPr="001F5A77">
        <w:rPr>
          <w:lang w:val="en-GB"/>
        </w:rPr>
        <w:t>Competition from China, the US, and Europe poses a major threat to UK companies. Chinese manufacturers</w:t>
      </w:r>
      <w:proofErr w:type="gramStart"/>
      <w:r w:rsidRPr="001F5A77">
        <w:rPr>
          <w:lang w:val="en-GB"/>
        </w:rPr>
        <w:t>, in particular, produce</w:t>
      </w:r>
      <w:proofErr w:type="gramEnd"/>
      <w:r w:rsidRPr="001F5A77">
        <w:rPr>
          <w:lang w:val="en-GB"/>
        </w:rPr>
        <w:t xml:space="preserve"> cheaper EVs, which could challenge UK-based brands. Global economic volatility, raw-material shortages, and shifts in government policy can disrupt industry growth. Environmental risks and rising production costs may also threaten competitiveness. Cybersecurity threats related to connected-car technology are also emerging concerns.</w:t>
      </w:r>
    </w:p>
    <w:p w14:paraId="1C9B4A32" w14:textId="77777777" w:rsidR="000C2F67" w:rsidRPr="001F5A77" w:rsidRDefault="00E46677">
      <w:pPr>
        <w:spacing w:line="360" w:lineRule="auto"/>
        <w:jc w:val="both"/>
        <w:rPr>
          <w:b/>
          <w:bCs/>
          <w:u w:val="single"/>
          <w:lang w:val="en-GB"/>
        </w:rPr>
      </w:pPr>
      <w:r w:rsidRPr="001F5A77">
        <w:rPr>
          <w:b/>
          <w:bCs/>
          <w:u w:val="single"/>
          <w:lang w:val="en-GB"/>
        </w:rPr>
        <w:t>2.3 The Role of Innovation</w:t>
      </w:r>
    </w:p>
    <w:p w14:paraId="0C7A17C4" w14:textId="27C3BA81" w:rsidR="000C2F67" w:rsidRPr="001F5A77" w:rsidRDefault="00E46677">
      <w:pPr>
        <w:spacing w:line="360" w:lineRule="auto"/>
        <w:jc w:val="both"/>
        <w:rPr>
          <w:lang w:val="en-GB"/>
        </w:rPr>
      </w:pPr>
      <w:r w:rsidRPr="001F5A77">
        <w:rPr>
          <w:lang w:val="en-GB"/>
        </w:rPr>
        <w:lastRenderedPageBreak/>
        <w:t>Innovation is central to the success and resilience of the UK EV industry. Incremental innovations</w:t>
      </w:r>
      <w:r w:rsidR="00E05D80">
        <w:rPr>
          <w:lang w:val="en-GB"/>
        </w:rPr>
        <w:t xml:space="preserve"> </w:t>
      </w:r>
      <w:r w:rsidRPr="001F5A77">
        <w:rPr>
          <w:lang w:val="en-GB"/>
        </w:rPr>
        <w:t>such as</w:t>
      </w:r>
      <w:r w:rsidR="00E05D80">
        <w:rPr>
          <w:lang w:val="en-GB"/>
        </w:rPr>
        <w:t>,</w:t>
      </w:r>
      <w:r w:rsidRPr="001F5A77">
        <w:rPr>
          <w:lang w:val="en-GB"/>
        </w:rPr>
        <w:t xml:space="preserve"> improving battery lifespan, reducing charging times,</w:t>
      </w:r>
      <w:r w:rsidR="00E05D80">
        <w:rPr>
          <w:lang w:val="en-GB"/>
        </w:rPr>
        <w:t xml:space="preserve"> </w:t>
      </w:r>
      <w:r w:rsidRPr="001F5A77">
        <w:rPr>
          <w:lang w:val="en-GB"/>
        </w:rPr>
        <w:t>and enhancing vehicle software</w:t>
      </w:r>
      <w:r w:rsidR="00E05D80">
        <w:rPr>
          <w:lang w:val="en-GB"/>
        </w:rPr>
        <w:t xml:space="preserve"> </w:t>
      </w:r>
      <w:r w:rsidRPr="001F5A77">
        <w:rPr>
          <w:lang w:val="en-GB"/>
        </w:rPr>
        <w:t>help companies improve customer satisfaction and operational efficiency. Radical innovations, including solid-state batteries and autonomous driving technology, have the potential to reshape the industry completely.</w:t>
      </w:r>
    </w:p>
    <w:p w14:paraId="42EE6523" w14:textId="77777777" w:rsidR="000C2F67" w:rsidRPr="001F5A77" w:rsidRDefault="00E46677">
      <w:pPr>
        <w:spacing w:line="360" w:lineRule="auto"/>
        <w:jc w:val="both"/>
        <w:rPr>
          <w:lang w:val="en-GB"/>
        </w:rPr>
      </w:pPr>
      <w:r w:rsidRPr="001F5A77">
        <w:rPr>
          <w:lang w:val="en-GB"/>
        </w:rPr>
        <w:t>The establishment of UK battery gigafactories supports domestic innovation, reduces supply-chain risks, and encourages research partnerships between universities, car manufacturers, and technology companies. Innovation also supports environmental sustainability through recycling technologies, energy-efficient production methods, and circular-economy models.</w:t>
      </w:r>
    </w:p>
    <w:p w14:paraId="4EAACCA0" w14:textId="77777777" w:rsidR="000C2F67" w:rsidRPr="001F5A77" w:rsidRDefault="00E46677">
      <w:pPr>
        <w:spacing w:line="360" w:lineRule="auto"/>
        <w:jc w:val="both"/>
        <w:rPr>
          <w:lang w:val="en-GB"/>
        </w:rPr>
      </w:pPr>
      <w:r w:rsidRPr="001F5A77">
        <w:rPr>
          <w:lang w:val="en-GB"/>
        </w:rPr>
        <w:t xml:space="preserve">Theories such as Rogers’ Diffusion of Innovation explain why early adopters help accelerate market acceptance. As EV technologies advance, more consumers move from early adoption to early majority, driving wider market growth. This means companies must continuously innovate to stay relevant. Firms that fail to invest in research, digital systems, and infrastructure risk falling behind </w:t>
      </w:r>
      <w:r w:rsidRPr="001F5A77">
        <w:rPr>
          <w:lang w:val="en-GB"/>
        </w:rPr>
        <w:t>international competitors.</w:t>
      </w:r>
    </w:p>
    <w:p w14:paraId="0978F8F6" w14:textId="77777777" w:rsidR="000C2F67" w:rsidRPr="001F5A77" w:rsidRDefault="00E46677">
      <w:pPr>
        <w:spacing w:line="360" w:lineRule="auto"/>
        <w:jc w:val="both"/>
        <w:rPr>
          <w:b/>
          <w:bCs/>
          <w:u w:val="single"/>
          <w:lang w:val="en-GB"/>
        </w:rPr>
      </w:pPr>
      <w:r w:rsidRPr="001F5A77">
        <w:rPr>
          <w:b/>
          <w:bCs/>
          <w:u w:val="single"/>
          <w:lang w:val="en-GB"/>
        </w:rPr>
        <w:t>3. Conclusion</w:t>
      </w:r>
    </w:p>
    <w:p w14:paraId="00F398E3" w14:textId="77777777" w:rsidR="000C2F67" w:rsidRPr="001F5A77" w:rsidRDefault="00E46677">
      <w:pPr>
        <w:spacing w:line="360" w:lineRule="auto"/>
        <w:jc w:val="both"/>
        <w:rPr>
          <w:lang w:val="en-GB"/>
        </w:rPr>
      </w:pPr>
      <w:r w:rsidRPr="001F5A77">
        <w:rPr>
          <w:lang w:val="en-GB"/>
        </w:rPr>
        <w:t>The UK EV sector operates within a complex external environment shaped by political commitments, economic fluctuations, social expectations, rapid technological advances, strict legal requirements, and environmental pressures. The PESTLE and SWOT analyses show that while the industry faces challenges such as high costs, global competition, and infrastructure gaps, it also benefits from strong opportunities through innovation, investment, and long-term sustainability goals. Innovation remains essential for a</w:t>
      </w:r>
      <w:r w:rsidRPr="001F5A77">
        <w:rPr>
          <w:lang w:val="en-GB"/>
        </w:rPr>
        <w:t>ddressing weaknesses and enhancing competitiveness.</w:t>
      </w:r>
    </w:p>
    <w:p w14:paraId="4E07BDA7" w14:textId="77777777" w:rsidR="00C1185B" w:rsidRPr="001F5A77" w:rsidRDefault="00C1185B">
      <w:pPr>
        <w:spacing w:line="360" w:lineRule="auto"/>
        <w:jc w:val="both"/>
        <w:rPr>
          <w:b/>
          <w:bCs/>
          <w:u w:val="single"/>
          <w:lang w:val="en-GB"/>
        </w:rPr>
      </w:pPr>
    </w:p>
    <w:p w14:paraId="72951E9B" w14:textId="77777777" w:rsidR="00C1185B" w:rsidRPr="001F5A77" w:rsidRDefault="00C1185B">
      <w:pPr>
        <w:spacing w:line="360" w:lineRule="auto"/>
        <w:jc w:val="both"/>
        <w:rPr>
          <w:b/>
          <w:bCs/>
          <w:u w:val="single"/>
          <w:lang w:val="en-GB"/>
        </w:rPr>
      </w:pPr>
    </w:p>
    <w:p w14:paraId="3C934A9F" w14:textId="2C8B2EF4" w:rsidR="00294217" w:rsidRPr="001F5A77" w:rsidRDefault="00E46677">
      <w:pPr>
        <w:spacing w:line="360" w:lineRule="auto"/>
        <w:jc w:val="both"/>
        <w:rPr>
          <w:b/>
          <w:bCs/>
          <w:u w:val="single"/>
          <w:lang w:val="en-GB"/>
        </w:rPr>
      </w:pPr>
      <w:r w:rsidRPr="001F5A77">
        <w:rPr>
          <w:b/>
          <w:bCs/>
          <w:u w:val="single"/>
          <w:lang w:val="en-GB"/>
        </w:rPr>
        <w:lastRenderedPageBreak/>
        <w:t>4. Recommendations</w:t>
      </w:r>
    </w:p>
    <w:p w14:paraId="19473566" w14:textId="0CA18C2C" w:rsidR="00294217" w:rsidRPr="001F5A77" w:rsidRDefault="00294217">
      <w:pPr>
        <w:spacing w:line="360" w:lineRule="auto"/>
        <w:jc w:val="both"/>
        <w:rPr>
          <w:b/>
          <w:bCs/>
          <w:lang w:val="en-GB"/>
        </w:rPr>
      </w:pPr>
      <w:r w:rsidRPr="001F5A77">
        <w:rPr>
          <w:b/>
          <w:bCs/>
          <w:lang w:val="en-GB"/>
        </w:rPr>
        <w:t>Recommendation 1: Expand charging infrastructure through strategic</w:t>
      </w:r>
      <w:r w:rsidR="00C1185B" w:rsidRPr="001F5A77">
        <w:rPr>
          <w:b/>
          <w:bCs/>
          <w:lang w:val="en-GB"/>
        </w:rPr>
        <w:t xml:space="preserve"> partnerships</w:t>
      </w:r>
    </w:p>
    <w:p w14:paraId="42619822" w14:textId="7B7AB6C0" w:rsidR="000C2F67" w:rsidRPr="001F5A77" w:rsidRDefault="00E46677">
      <w:pPr>
        <w:spacing w:line="360" w:lineRule="auto"/>
        <w:jc w:val="both"/>
        <w:rPr>
          <w:lang w:val="en-GB"/>
        </w:rPr>
      </w:pPr>
      <w:r w:rsidRPr="001F5A77">
        <w:rPr>
          <w:lang w:val="en-GB"/>
        </w:rPr>
        <w:t>EV companies should collaborate with government bodies, energy providers, supermarket chains, service stations, and private investors to expand charging networks, particularly in rural areas. This will reduce range anxiety, support wider adoption, and improve consumer confidence. Although infrastructure projects require significant investment, shared funding lowers costs and accelerates deployment, improving long-term competitiveness.</w:t>
      </w:r>
    </w:p>
    <w:p w14:paraId="351619A2" w14:textId="77777777" w:rsidR="000C2F67" w:rsidRPr="001F5A77" w:rsidRDefault="00E46677">
      <w:pPr>
        <w:spacing w:line="360" w:lineRule="auto"/>
        <w:jc w:val="both"/>
        <w:rPr>
          <w:b/>
          <w:bCs/>
          <w:lang w:val="en-GB"/>
        </w:rPr>
      </w:pPr>
      <w:r w:rsidRPr="001F5A77">
        <w:rPr>
          <w:b/>
          <w:bCs/>
          <w:lang w:val="en-GB"/>
        </w:rPr>
        <w:t>Recommendation 2: Strengthen Domestic Battery Supply Chains</w:t>
      </w:r>
    </w:p>
    <w:p w14:paraId="2BE2280E" w14:textId="77777777" w:rsidR="000C2F67" w:rsidRPr="001F5A77" w:rsidRDefault="00E46677">
      <w:pPr>
        <w:spacing w:line="360" w:lineRule="auto"/>
        <w:jc w:val="both"/>
        <w:rPr>
          <w:lang w:val="en-GB"/>
        </w:rPr>
      </w:pPr>
      <w:r w:rsidRPr="001F5A77">
        <w:rPr>
          <w:lang w:val="en-GB"/>
        </w:rPr>
        <w:t>Manufacturers should invest in UK-based battery production and recycling facilities. Local production reduces dependency on global markets, lowers transportation costs, and supports national sustainability objectives. Developing advanced recycling systems creates long-term cost savings, reduces environmental harm, and ensures greater supply-chain stability in the future.</w:t>
      </w:r>
    </w:p>
    <w:p w14:paraId="7BD36AC9" w14:textId="77777777" w:rsidR="00E05D80" w:rsidRDefault="00E05D80" w:rsidP="00E05D80">
      <w:pPr>
        <w:pStyle w:val="NormalWeb"/>
        <w:rPr>
          <w:rStyle w:val="Strong"/>
          <w:color w:val="000000"/>
        </w:rPr>
      </w:pPr>
    </w:p>
    <w:p w14:paraId="42CDEE25" w14:textId="77777777" w:rsidR="00E05D80" w:rsidRDefault="00E05D80" w:rsidP="00E05D80">
      <w:pPr>
        <w:pStyle w:val="NormalWeb"/>
        <w:rPr>
          <w:rStyle w:val="Strong"/>
          <w:color w:val="000000"/>
        </w:rPr>
      </w:pPr>
    </w:p>
    <w:p w14:paraId="3C3B1308" w14:textId="77777777" w:rsidR="00E05D80" w:rsidRDefault="00E05D80" w:rsidP="00E05D80">
      <w:pPr>
        <w:pStyle w:val="NormalWeb"/>
        <w:rPr>
          <w:rStyle w:val="Strong"/>
          <w:color w:val="000000"/>
        </w:rPr>
      </w:pPr>
    </w:p>
    <w:p w14:paraId="1AC2290F" w14:textId="77777777" w:rsidR="00E05D80" w:rsidRDefault="00E05D80" w:rsidP="00E05D80">
      <w:pPr>
        <w:pStyle w:val="NormalWeb"/>
        <w:rPr>
          <w:rStyle w:val="Strong"/>
          <w:color w:val="000000"/>
        </w:rPr>
      </w:pPr>
    </w:p>
    <w:p w14:paraId="1C498DDB" w14:textId="77777777" w:rsidR="00E05D80" w:rsidRDefault="00E05D80" w:rsidP="00E05D80">
      <w:pPr>
        <w:pStyle w:val="NormalWeb"/>
        <w:rPr>
          <w:rStyle w:val="Strong"/>
          <w:color w:val="000000"/>
        </w:rPr>
      </w:pPr>
    </w:p>
    <w:p w14:paraId="721731F9" w14:textId="77777777" w:rsidR="00E05D80" w:rsidRDefault="00E05D80" w:rsidP="00E05D80">
      <w:pPr>
        <w:pStyle w:val="NormalWeb"/>
        <w:rPr>
          <w:rStyle w:val="Strong"/>
          <w:color w:val="000000"/>
        </w:rPr>
      </w:pPr>
    </w:p>
    <w:p w14:paraId="35CF783B" w14:textId="77777777" w:rsidR="00E05D80" w:rsidRDefault="00E05D80" w:rsidP="00E05D80">
      <w:pPr>
        <w:pStyle w:val="NormalWeb"/>
        <w:rPr>
          <w:rStyle w:val="Strong"/>
          <w:color w:val="000000"/>
        </w:rPr>
      </w:pPr>
    </w:p>
    <w:p w14:paraId="1B26B1D9" w14:textId="77777777" w:rsidR="00E05D80" w:rsidRDefault="00E05D80" w:rsidP="00E05D80">
      <w:pPr>
        <w:pStyle w:val="NormalWeb"/>
        <w:rPr>
          <w:rStyle w:val="Strong"/>
          <w:color w:val="000000"/>
        </w:rPr>
      </w:pPr>
    </w:p>
    <w:p w14:paraId="25E34B55" w14:textId="77777777" w:rsidR="00E05D80" w:rsidRDefault="00E05D80" w:rsidP="00E05D80">
      <w:pPr>
        <w:pStyle w:val="NormalWeb"/>
        <w:rPr>
          <w:rStyle w:val="Strong"/>
          <w:color w:val="000000"/>
        </w:rPr>
      </w:pPr>
    </w:p>
    <w:p w14:paraId="41171654" w14:textId="77777777" w:rsidR="00E05D80" w:rsidRDefault="00E05D80" w:rsidP="00E05D80">
      <w:pPr>
        <w:pStyle w:val="NormalWeb"/>
        <w:rPr>
          <w:rStyle w:val="Strong"/>
          <w:color w:val="000000"/>
        </w:rPr>
      </w:pPr>
    </w:p>
    <w:p w14:paraId="4A116DD5" w14:textId="0F35134F" w:rsidR="00E05D80" w:rsidRPr="00E46677" w:rsidRDefault="00E05D80" w:rsidP="00E05D80">
      <w:pPr>
        <w:pStyle w:val="NormalWeb"/>
        <w:rPr>
          <w:rStyle w:val="Strong"/>
          <w:rFonts w:ascii="Arial" w:hAnsi="Arial" w:cs="Arial"/>
          <w:color w:val="000000"/>
          <w:u w:val="single"/>
        </w:rPr>
      </w:pPr>
      <w:r w:rsidRPr="00E46677">
        <w:rPr>
          <w:rStyle w:val="Strong"/>
          <w:rFonts w:ascii="Arial" w:hAnsi="Arial" w:cs="Arial"/>
          <w:color w:val="000000"/>
          <w:u w:val="single"/>
        </w:rPr>
        <w:lastRenderedPageBreak/>
        <w:t>R</w:t>
      </w:r>
      <w:r w:rsidR="00E46677" w:rsidRPr="00E46677">
        <w:rPr>
          <w:rStyle w:val="Strong"/>
          <w:rFonts w:ascii="Arial" w:hAnsi="Arial" w:cs="Arial"/>
          <w:color w:val="000000"/>
          <w:u w:val="single"/>
        </w:rPr>
        <w:t>eference list</w:t>
      </w:r>
    </w:p>
    <w:p w14:paraId="1789A303" w14:textId="2DC06C8F" w:rsidR="00E05D80" w:rsidRPr="00E46677" w:rsidRDefault="00E05D80" w:rsidP="00E05D80">
      <w:pPr>
        <w:pStyle w:val="NormalWeb"/>
        <w:rPr>
          <w:rFonts w:ascii="Arial" w:hAnsi="Arial" w:cs="Arial"/>
          <w:color w:val="000000"/>
        </w:rPr>
      </w:pPr>
      <w:r w:rsidRPr="00E46677">
        <w:rPr>
          <w:rStyle w:val="Strong"/>
          <w:rFonts w:ascii="Arial" w:hAnsi="Arial" w:cs="Arial"/>
          <w:color w:val="000000"/>
        </w:rPr>
        <w:t>1</w:t>
      </w:r>
      <w:r w:rsidRPr="00E46677">
        <w:rPr>
          <w:rStyle w:val="Strong"/>
          <w:rFonts w:ascii="Arial" w:hAnsi="Arial" w:cs="Arial"/>
          <w:color w:val="000000"/>
        </w:rPr>
        <w:t>. Department for Transport (DfT)</w:t>
      </w:r>
      <w:r w:rsidRPr="00E46677">
        <w:rPr>
          <w:rStyle w:val="apple-converted-space"/>
          <w:rFonts w:ascii="Arial" w:hAnsi="Arial" w:cs="Arial"/>
          <w:color w:val="000000"/>
        </w:rPr>
        <w:t> </w:t>
      </w:r>
      <w:r w:rsidRPr="00E46677">
        <w:rPr>
          <w:rFonts w:ascii="Arial" w:hAnsi="Arial" w:cs="Arial"/>
          <w:color w:val="000000"/>
        </w:rPr>
        <w:t>(2022)</w:t>
      </w:r>
      <w:r w:rsidRPr="00E46677">
        <w:rPr>
          <w:rStyle w:val="apple-converted-space"/>
          <w:rFonts w:ascii="Arial" w:hAnsi="Arial" w:cs="Arial"/>
          <w:color w:val="000000"/>
        </w:rPr>
        <w:t> </w:t>
      </w:r>
      <w:r w:rsidRPr="00E46677">
        <w:rPr>
          <w:rStyle w:val="Emphasis"/>
          <w:rFonts w:ascii="Arial" w:hAnsi="Arial" w:cs="Arial"/>
          <w:color w:val="000000"/>
        </w:rPr>
        <w:t>UK Electric Vehicle Infrastructure Strategy</w:t>
      </w:r>
      <w:r w:rsidRPr="00E46677">
        <w:rPr>
          <w:rFonts w:ascii="Arial" w:hAnsi="Arial" w:cs="Arial"/>
          <w:color w:val="000000"/>
        </w:rPr>
        <w:t>. London: UK Government.</w:t>
      </w:r>
    </w:p>
    <w:p w14:paraId="163F5EEB" w14:textId="77777777" w:rsidR="00E05D80" w:rsidRPr="00E46677" w:rsidRDefault="00E05D80" w:rsidP="00E05D80">
      <w:pPr>
        <w:pStyle w:val="NormalWeb"/>
        <w:rPr>
          <w:rFonts w:ascii="Arial" w:hAnsi="Arial" w:cs="Arial"/>
          <w:color w:val="000000"/>
        </w:rPr>
      </w:pPr>
      <w:r w:rsidRPr="00E46677">
        <w:rPr>
          <w:rStyle w:val="Strong"/>
          <w:rFonts w:ascii="Arial" w:hAnsi="Arial" w:cs="Arial"/>
          <w:color w:val="000000"/>
        </w:rPr>
        <w:t>2. House of Commons Library</w:t>
      </w:r>
      <w:r w:rsidRPr="00E46677">
        <w:rPr>
          <w:rStyle w:val="apple-converted-space"/>
          <w:rFonts w:ascii="Arial" w:hAnsi="Arial" w:cs="Arial"/>
          <w:color w:val="000000"/>
        </w:rPr>
        <w:t> </w:t>
      </w:r>
      <w:r w:rsidRPr="00E46677">
        <w:rPr>
          <w:rFonts w:ascii="Arial" w:hAnsi="Arial" w:cs="Arial"/>
          <w:color w:val="000000"/>
        </w:rPr>
        <w:t>(2025)</w:t>
      </w:r>
      <w:r w:rsidRPr="00E46677">
        <w:rPr>
          <w:rStyle w:val="apple-converted-space"/>
          <w:rFonts w:ascii="Arial" w:hAnsi="Arial" w:cs="Arial"/>
          <w:color w:val="000000"/>
        </w:rPr>
        <w:t> </w:t>
      </w:r>
      <w:r w:rsidRPr="00E46677">
        <w:rPr>
          <w:rStyle w:val="Emphasis"/>
          <w:rFonts w:ascii="Arial" w:hAnsi="Arial" w:cs="Arial"/>
          <w:color w:val="000000"/>
        </w:rPr>
        <w:t>Electric Vehicles and Infrastructure</w:t>
      </w:r>
      <w:r w:rsidRPr="00E46677">
        <w:rPr>
          <w:rFonts w:ascii="Arial" w:hAnsi="Arial" w:cs="Arial"/>
          <w:color w:val="000000"/>
        </w:rPr>
        <w:t>. London: UK Parliament.</w:t>
      </w:r>
    </w:p>
    <w:p w14:paraId="18291306" w14:textId="77777777" w:rsidR="00E05D80" w:rsidRPr="00E46677" w:rsidRDefault="00E05D80" w:rsidP="00E05D80">
      <w:pPr>
        <w:pStyle w:val="NormalWeb"/>
        <w:rPr>
          <w:rFonts w:ascii="Arial" w:hAnsi="Arial" w:cs="Arial"/>
          <w:color w:val="000000"/>
        </w:rPr>
      </w:pPr>
      <w:r w:rsidRPr="00E46677">
        <w:rPr>
          <w:rStyle w:val="Strong"/>
          <w:rFonts w:ascii="Arial" w:hAnsi="Arial" w:cs="Arial"/>
          <w:color w:val="000000"/>
        </w:rPr>
        <w:t>3. Zaino, R., Koleva, N., Franca, L. and Zhang, T.</w:t>
      </w:r>
      <w:r w:rsidRPr="00E46677">
        <w:rPr>
          <w:rStyle w:val="apple-converted-space"/>
          <w:rFonts w:ascii="Arial" w:hAnsi="Arial" w:cs="Arial"/>
          <w:color w:val="000000"/>
        </w:rPr>
        <w:t> </w:t>
      </w:r>
      <w:r w:rsidRPr="00E46677">
        <w:rPr>
          <w:rFonts w:ascii="Arial" w:hAnsi="Arial" w:cs="Arial"/>
          <w:color w:val="000000"/>
        </w:rPr>
        <w:t>(2024) ‘Electric vehicle adoption: A comprehensive systematic review of technological, environmental, organisational and policy impacts’,</w:t>
      </w:r>
      <w:r w:rsidRPr="00E46677">
        <w:rPr>
          <w:rStyle w:val="apple-converted-space"/>
          <w:rFonts w:ascii="Arial" w:hAnsi="Arial" w:cs="Arial"/>
          <w:color w:val="000000"/>
        </w:rPr>
        <w:t> </w:t>
      </w:r>
      <w:r w:rsidRPr="00E46677">
        <w:rPr>
          <w:rStyle w:val="Emphasis"/>
          <w:rFonts w:ascii="Arial" w:hAnsi="Arial" w:cs="Arial"/>
          <w:color w:val="000000"/>
        </w:rPr>
        <w:t>World Electric Vehicle Journal</w:t>
      </w:r>
      <w:r w:rsidRPr="00E46677">
        <w:rPr>
          <w:rFonts w:ascii="Arial" w:hAnsi="Arial" w:cs="Arial"/>
          <w:color w:val="000000"/>
        </w:rPr>
        <w:t>, 15(8), p. 375.</w:t>
      </w:r>
    </w:p>
    <w:p w14:paraId="7ACB82C0" w14:textId="77777777" w:rsidR="00E05D80" w:rsidRPr="00E46677" w:rsidRDefault="00E05D80" w:rsidP="00E05D80">
      <w:pPr>
        <w:pStyle w:val="NormalWeb"/>
        <w:rPr>
          <w:rFonts w:ascii="Arial" w:hAnsi="Arial" w:cs="Arial"/>
          <w:color w:val="000000"/>
        </w:rPr>
      </w:pPr>
      <w:r w:rsidRPr="00E46677">
        <w:rPr>
          <w:rStyle w:val="Strong"/>
          <w:rFonts w:ascii="Arial" w:hAnsi="Arial" w:cs="Arial"/>
          <w:color w:val="000000"/>
        </w:rPr>
        <w:t>4. Kempston, H., Doolan, M. and Wang, Y.</w:t>
      </w:r>
      <w:r w:rsidRPr="00E46677">
        <w:rPr>
          <w:rStyle w:val="apple-converted-space"/>
          <w:rFonts w:ascii="Arial" w:hAnsi="Arial" w:cs="Arial"/>
          <w:color w:val="000000"/>
        </w:rPr>
        <w:t> </w:t>
      </w:r>
      <w:r w:rsidRPr="00E46677">
        <w:rPr>
          <w:rFonts w:ascii="Arial" w:hAnsi="Arial" w:cs="Arial"/>
          <w:color w:val="000000"/>
        </w:rPr>
        <w:t>(2025) ‘UK electric vehicle battery supply chain sustainability: A critical review’,</w:t>
      </w:r>
      <w:r w:rsidRPr="00E46677">
        <w:rPr>
          <w:rStyle w:val="apple-converted-space"/>
          <w:rFonts w:ascii="Arial" w:hAnsi="Arial" w:cs="Arial"/>
          <w:color w:val="000000"/>
        </w:rPr>
        <w:t> </w:t>
      </w:r>
      <w:r w:rsidRPr="00E46677">
        <w:rPr>
          <w:rStyle w:val="Emphasis"/>
          <w:rFonts w:ascii="Arial" w:hAnsi="Arial" w:cs="Arial"/>
          <w:color w:val="000000"/>
        </w:rPr>
        <w:t>Renewable and Sustainable Energy Reviews</w:t>
      </w:r>
      <w:r w:rsidRPr="00E46677">
        <w:rPr>
          <w:rFonts w:ascii="Arial" w:hAnsi="Arial" w:cs="Arial"/>
          <w:color w:val="000000"/>
        </w:rPr>
        <w:t>, 208, pp. 1–18.</w:t>
      </w:r>
    </w:p>
    <w:p w14:paraId="6C63FB14" w14:textId="77777777" w:rsidR="00E05D80" w:rsidRPr="00E46677" w:rsidRDefault="00E05D80" w:rsidP="00E05D80">
      <w:pPr>
        <w:pStyle w:val="NormalWeb"/>
        <w:rPr>
          <w:rFonts w:ascii="Arial" w:hAnsi="Arial" w:cs="Arial"/>
          <w:color w:val="000000"/>
        </w:rPr>
      </w:pPr>
      <w:r w:rsidRPr="00E46677">
        <w:rPr>
          <w:rStyle w:val="Strong"/>
          <w:rFonts w:ascii="Arial" w:hAnsi="Arial" w:cs="Arial"/>
          <w:color w:val="000000"/>
        </w:rPr>
        <w:t>5. Technology and Engineering Research Group (TERG)</w:t>
      </w:r>
      <w:r w:rsidRPr="00E46677">
        <w:rPr>
          <w:rStyle w:val="apple-converted-space"/>
          <w:rFonts w:ascii="Arial" w:hAnsi="Arial" w:cs="Arial"/>
          <w:color w:val="000000"/>
        </w:rPr>
        <w:t> </w:t>
      </w:r>
      <w:r w:rsidRPr="00E46677">
        <w:rPr>
          <w:rFonts w:ascii="Arial" w:hAnsi="Arial" w:cs="Arial"/>
          <w:color w:val="000000"/>
        </w:rPr>
        <w:t>(2024)</w:t>
      </w:r>
      <w:r w:rsidRPr="00E46677">
        <w:rPr>
          <w:rStyle w:val="apple-converted-space"/>
          <w:rFonts w:ascii="Arial" w:hAnsi="Arial" w:cs="Arial"/>
          <w:color w:val="000000"/>
        </w:rPr>
        <w:t> </w:t>
      </w:r>
      <w:r w:rsidRPr="00E46677">
        <w:rPr>
          <w:rStyle w:val="Emphasis"/>
          <w:rFonts w:ascii="Arial" w:hAnsi="Arial" w:cs="Arial"/>
          <w:color w:val="000000"/>
        </w:rPr>
        <w:t>Challenges and Opportunities in the UK Electric Vehicle Transition</w:t>
      </w:r>
      <w:r w:rsidRPr="00E46677">
        <w:rPr>
          <w:rFonts w:ascii="Arial" w:hAnsi="Arial" w:cs="Arial"/>
          <w:color w:val="000000"/>
        </w:rPr>
        <w:t>. University of the West of Scotland.</w:t>
      </w:r>
    </w:p>
    <w:p w14:paraId="52A42DDE" w14:textId="77777777" w:rsidR="00E05D80" w:rsidRPr="00E46677" w:rsidRDefault="00E05D80" w:rsidP="00E05D80">
      <w:pPr>
        <w:pStyle w:val="NormalWeb"/>
        <w:rPr>
          <w:rFonts w:ascii="Arial" w:hAnsi="Arial" w:cs="Arial"/>
          <w:color w:val="000000"/>
        </w:rPr>
      </w:pPr>
      <w:r w:rsidRPr="00E46677">
        <w:rPr>
          <w:rStyle w:val="Strong"/>
          <w:rFonts w:ascii="Arial" w:hAnsi="Arial" w:cs="Arial"/>
          <w:color w:val="000000"/>
        </w:rPr>
        <w:t xml:space="preserve">6. </w:t>
      </w:r>
      <w:proofErr w:type="spellStart"/>
      <w:r w:rsidRPr="00E46677">
        <w:rPr>
          <w:rStyle w:val="Strong"/>
          <w:rFonts w:ascii="Arial" w:hAnsi="Arial" w:cs="Arial"/>
          <w:color w:val="000000"/>
        </w:rPr>
        <w:t>Gridserve</w:t>
      </w:r>
      <w:proofErr w:type="spellEnd"/>
      <w:r w:rsidRPr="00E46677">
        <w:rPr>
          <w:rStyle w:val="apple-converted-space"/>
          <w:rFonts w:ascii="Arial" w:hAnsi="Arial" w:cs="Arial"/>
          <w:color w:val="000000"/>
        </w:rPr>
        <w:t> </w:t>
      </w:r>
      <w:r w:rsidRPr="00E46677">
        <w:rPr>
          <w:rFonts w:ascii="Arial" w:hAnsi="Arial" w:cs="Arial"/>
          <w:color w:val="000000"/>
        </w:rPr>
        <w:t>(2025)</w:t>
      </w:r>
      <w:r w:rsidRPr="00E46677">
        <w:rPr>
          <w:rStyle w:val="apple-converted-space"/>
          <w:rFonts w:ascii="Arial" w:hAnsi="Arial" w:cs="Arial"/>
          <w:color w:val="000000"/>
        </w:rPr>
        <w:t> </w:t>
      </w:r>
      <w:r w:rsidRPr="00E46677">
        <w:rPr>
          <w:rStyle w:val="Emphasis"/>
          <w:rFonts w:ascii="Arial" w:hAnsi="Arial" w:cs="Arial"/>
          <w:color w:val="000000"/>
        </w:rPr>
        <w:t>The Future of Electric Vehicles in the UK: Policy and Market Trends</w:t>
      </w:r>
      <w:r w:rsidRPr="00E46677">
        <w:rPr>
          <w:rFonts w:ascii="Arial" w:hAnsi="Arial" w:cs="Arial"/>
          <w:color w:val="000000"/>
        </w:rPr>
        <w:t xml:space="preserve">. </w:t>
      </w:r>
      <w:proofErr w:type="spellStart"/>
      <w:r w:rsidRPr="00E46677">
        <w:rPr>
          <w:rFonts w:ascii="Arial" w:hAnsi="Arial" w:cs="Arial"/>
          <w:color w:val="000000"/>
        </w:rPr>
        <w:t>Gridserve</w:t>
      </w:r>
      <w:proofErr w:type="spellEnd"/>
      <w:r w:rsidRPr="00E46677">
        <w:rPr>
          <w:rFonts w:ascii="Arial" w:hAnsi="Arial" w:cs="Arial"/>
          <w:color w:val="000000"/>
        </w:rPr>
        <w:t xml:space="preserve"> Research Report.</w:t>
      </w:r>
    </w:p>
    <w:p w14:paraId="7F80845F" w14:textId="77777777" w:rsidR="00E05D80" w:rsidRPr="00E46677" w:rsidRDefault="00E05D80" w:rsidP="00E05D80">
      <w:pPr>
        <w:pStyle w:val="NormalWeb"/>
        <w:rPr>
          <w:rFonts w:ascii="Arial" w:hAnsi="Arial" w:cs="Arial"/>
          <w:color w:val="000000"/>
        </w:rPr>
      </w:pPr>
      <w:r w:rsidRPr="00E46677">
        <w:rPr>
          <w:rStyle w:val="Strong"/>
          <w:rFonts w:ascii="Arial" w:hAnsi="Arial" w:cs="Arial"/>
          <w:color w:val="000000"/>
        </w:rPr>
        <w:t xml:space="preserve">7. </w:t>
      </w:r>
      <w:proofErr w:type="spellStart"/>
      <w:r w:rsidRPr="00E46677">
        <w:rPr>
          <w:rStyle w:val="Strong"/>
          <w:rFonts w:ascii="Arial" w:hAnsi="Arial" w:cs="Arial"/>
          <w:color w:val="000000"/>
        </w:rPr>
        <w:t>Budnitz</w:t>
      </w:r>
      <w:proofErr w:type="spellEnd"/>
      <w:r w:rsidRPr="00E46677">
        <w:rPr>
          <w:rStyle w:val="Strong"/>
          <w:rFonts w:ascii="Arial" w:hAnsi="Arial" w:cs="Arial"/>
          <w:color w:val="000000"/>
        </w:rPr>
        <w:t>, H., Clarke, S., Aldred, R. and Lyons, G.</w:t>
      </w:r>
      <w:r w:rsidRPr="00E46677">
        <w:rPr>
          <w:rStyle w:val="apple-converted-space"/>
          <w:rFonts w:ascii="Arial" w:hAnsi="Arial" w:cs="Arial"/>
          <w:color w:val="000000"/>
        </w:rPr>
        <w:t> </w:t>
      </w:r>
      <w:r w:rsidRPr="00E46677">
        <w:rPr>
          <w:rFonts w:ascii="Arial" w:hAnsi="Arial" w:cs="Arial"/>
          <w:color w:val="000000"/>
        </w:rPr>
        <w:t>(2024) ‘Electric vehicle adoption intentions among UK residents: The role of shared and public parking’,</w:t>
      </w:r>
      <w:r w:rsidRPr="00E46677">
        <w:rPr>
          <w:rStyle w:val="apple-converted-space"/>
          <w:rFonts w:ascii="Arial" w:hAnsi="Arial" w:cs="Arial"/>
          <w:color w:val="000000"/>
        </w:rPr>
        <w:t> </w:t>
      </w:r>
      <w:r w:rsidRPr="00E46677">
        <w:rPr>
          <w:rStyle w:val="Emphasis"/>
          <w:rFonts w:ascii="Arial" w:hAnsi="Arial" w:cs="Arial"/>
          <w:color w:val="000000"/>
        </w:rPr>
        <w:t>Transportation</w:t>
      </w:r>
      <w:r w:rsidRPr="00E46677">
        <w:rPr>
          <w:rFonts w:ascii="Arial" w:hAnsi="Arial" w:cs="Arial"/>
          <w:color w:val="000000"/>
        </w:rPr>
        <w:t>.</w:t>
      </w:r>
    </w:p>
    <w:p w14:paraId="006331D8" w14:textId="77777777" w:rsidR="00E05D80" w:rsidRPr="00E46677" w:rsidRDefault="00E05D80" w:rsidP="00E05D80">
      <w:pPr>
        <w:pStyle w:val="NormalWeb"/>
        <w:rPr>
          <w:rFonts w:ascii="Arial" w:hAnsi="Arial" w:cs="Arial"/>
          <w:color w:val="000000"/>
        </w:rPr>
      </w:pPr>
      <w:r w:rsidRPr="00E46677">
        <w:rPr>
          <w:rStyle w:val="Strong"/>
          <w:rFonts w:ascii="Arial" w:hAnsi="Arial" w:cs="Arial"/>
          <w:color w:val="000000"/>
        </w:rPr>
        <w:t>8. Sun, J., Lee, S. and Banister, D.</w:t>
      </w:r>
      <w:r w:rsidRPr="00E46677">
        <w:rPr>
          <w:rStyle w:val="apple-converted-space"/>
          <w:rFonts w:ascii="Arial" w:hAnsi="Arial" w:cs="Arial"/>
          <w:color w:val="000000"/>
        </w:rPr>
        <w:t> </w:t>
      </w:r>
      <w:r w:rsidRPr="00E46677">
        <w:rPr>
          <w:rFonts w:ascii="Arial" w:hAnsi="Arial" w:cs="Arial"/>
          <w:color w:val="000000"/>
        </w:rPr>
        <w:t>(2024) ‘Charging change: Analysing the UK’s electric vehicle transition through stakeholder interactions’,</w:t>
      </w:r>
      <w:r w:rsidRPr="00E46677">
        <w:rPr>
          <w:rStyle w:val="apple-converted-space"/>
          <w:rFonts w:ascii="Arial" w:hAnsi="Arial" w:cs="Arial"/>
          <w:color w:val="000000"/>
        </w:rPr>
        <w:t> </w:t>
      </w:r>
      <w:r w:rsidRPr="00E46677">
        <w:rPr>
          <w:rStyle w:val="Emphasis"/>
          <w:rFonts w:ascii="Arial" w:hAnsi="Arial" w:cs="Arial"/>
          <w:color w:val="000000"/>
        </w:rPr>
        <w:t>Energy Policy</w:t>
      </w:r>
      <w:r w:rsidRPr="00E46677">
        <w:rPr>
          <w:rFonts w:ascii="Arial" w:hAnsi="Arial" w:cs="Arial"/>
          <w:color w:val="000000"/>
        </w:rPr>
        <w:t>, 184, pp. 1–12.</w:t>
      </w:r>
    </w:p>
    <w:p w14:paraId="787BCC5C" w14:textId="77777777" w:rsidR="00E05D80" w:rsidRPr="00E46677" w:rsidRDefault="00E05D80" w:rsidP="00E05D80">
      <w:pPr>
        <w:pStyle w:val="NormalWeb"/>
        <w:rPr>
          <w:rFonts w:ascii="Arial" w:hAnsi="Arial" w:cs="Arial"/>
          <w:color w:val="000000"/>
        </w:rPr>
      </w:pPr>
      <w:r w:rsidRPr="00E46677">
        <w:rPr>
          <w:rStyle w:val="Strong"/>
          <w:rFonts w:ascii="Arial" w:hAnsi="Arial" w:cs="Arial"/>
          <w:color w:val="000000"/>
        </w:rPr>
        <w:t>9. Singh, A., Desai, R. and Qureshi, M.</w:t>
      </w:r>
      <w:r w:rsidRPr="00E46677">
        <w:rPr>
          <w:rStyle w:val="apple-converted-space"/>
          <w:rFonts w:ascii="Arial" w:hAnsi="Arial" w:cs="Arial"/>
          <w:color w:val="000000"/>
        </w:rPr>
        <w:t> </w:t>
      </w:r>
      <w:r w:rsidRPr="00E46677">
        <w:rPr>
          <w:rFonts w:ascii="Arial" w:hAnsi="Arial" w:cs="Arial"/>
          <w:color w:val="000000"/>
        </w:rPr>
        <w:t>(2025) ‘Electric vehicle evolution in the United Kingdom and India: A comparative case analysis for stakeholders’,</w:t>
      </w:r>
      <w:r w:rsidRPr="00E46677">
        <w:rPr>
          <w:rStyle w:val="apple-converted-space"/>
          <w:rFonts w:ascii="Arial" w:hAnsi="Arial" w:cs="Arial"/>
          <w:color w:val="000000"/>
        </w:rPr>
        <w:t> </w:t>
      </w:r>
      <w:proofErr w:type="spellStart"/>
      <w:r w:rsidRPr="00E46677">
        <w:rPr>
          <w:rStyle w:val="Emphasis"/>
          <w:rFonts w:ascii="Arial" w:hAnsi="Arial" w:cs="Arial"/>
          <w:color w:val="000000"/>
        </w:rPr>
        <w:t>Cureus</w:t>
      </w:r>
      <w:proofErr w:type="spellEnd"/>
      <w:r w:rsidRPr="00E46677">
        <w:rPr>
          <w:rStyle w:val="Emphasis"/>
          <w:rFonts w:ascii="Arial" w:hAnsi="Arial" w:cs="Arial"/>
          <w:color w:val="000000"/>
        </w:rPr>
        <w:t xml:space="preserve"> Journal of Environmental Studies</w:t>
      </w:r>
      <w:r w:rsidRPr="00E46677">
        <w:rPr>
          <w:rFonts w:ascii="Arial" w:hAnsi="Arial" w:cs="Arial"/>
          <w:color w:val="000000"/>
        </w:rPr>
        <w:t>, 14(2), pp. 1–10.</w:t>
      </w:r>
    </w:p>
    <w:p w14:paraId="405BDBA9" w14:textId="77777777" w:rsidR="00E05D80" w:rsidRPr="00E46677" w:rsidRDefault="00E05D80" w:rsidP="00E05D80">
      <w:pPr>
        <w:pStyle w:val="NormalWeb"/>
        <w:rPr>
          <w:rFonts w:ascii="Arial" w:hAnsi="Arial" w:cs="Arial"/>
          <w:color w:val="000000"/>
        </w:rPr>
      </w:pPr>
      <w:r w:rsidRPr="00E46677">
        <w:rPr>
          <w:rStyle w:val="Strong"/>
          <w:rFonts w:ascii="Arial" w:hAnsi="Arial" w:cs="Arial"/>
          <w:color w:val="000000"/>
        </w:rPr>
        <w:t>10. UK Government</w:t>
      </w:r>
      <w:r w:rsidRPr="00E46677">
        <w:rPr>
          <w:rStyle w:val="apple-converted-space"/>
          <w:rFonts w:ascii="Arial" w:hAnsi="Arial" w:cs="Arial"/>
          <w:color w:val="000000"/>
        </w:rPr>
        <w:t> </w:t>
      </w:r>
      <w:r w:rsidRPr="00E46677">
        <w:rPr>
          <w:rFonts w:ascii="Arial" w:hAnsi="Arial" w:cs="Arial"/>
          <w:color w:val="000000"/>
        </w:rPr>
        <w:t>(2023)</w:t>
      </w:r>
      <w:r w:rsidRPr="00E46677">
        <w:rPr>
          <w:rStyle w:val="apple-converted-space"/>
          <w:rFonts w:ascii="Arial" w:hAnsi="Arial" w:cs="Arial"/>
          <w:color w:val="000000"/>
        </w:rPr>
        <w:t> </w:t>
      </w:r>
      <w:r w:rsidRPr="00E46677">
        <w:rPr>
          <w:rStyle w:val="Emphasis"/>
          <w:rFonts w:ascii="Arial" w:hAnsi="Arial" w:cs="Arial"/>
          <w:color w:val="000000"/>
        </w:rPr>
        <w:t>EV Adoption and Smart Charging for Electric Vans and Lighter Duty Vehicles</w:t>
      </w:r>
      <w:r w:rsidRPr="00E46677">
        <w:rPr>
          <w:rFonts w:ascii="Arial" w:hAnsi="Arial" w:cs="Arial"/>
          <w:color w:val="000000"/>
        </w:rPr>
        <w:t>. London: Department for Transport.</w:t>
      </w:r>
    </w:p>
    <w:p w14:paraId="1F06BC63" w14:textId="77777777" w:rsidR="00E05D80" w:rsidRPr="00E46677" w:rsidRDefault="00E05D80" w:rsidP="00E05D80">
      <w:pPr>
        <w:pStyle w:val="NormalWeb"/>
        <w:rPr>
          <w:rFonts w:ascii="Arial" w:hAnsi="Arial" w:cs="Arial"/>
          <w:color w:val="000000"/>
        </w:rPr>
      </w:pPr>
      <w:r w:rsidRPr="00E46677">
        <w:rPr>
          <w:rStyle w:val="Strong"/>
          <w:rFonts w:ascii="Arial" w:hAnsi="Arial" w:cs="Arial"/>
          <w:color w:val="000000"/>
        </w:rPr>
        <w:t>11. Faraday Institution</w:t>
      </w:r>
      <w:r w:rsidRPr="00E46677">
        <w:rPr>
          <w:rStyle w:val="apple-converted-space"/>
          <w:rFonts w:ascii="Arial" w:hAnsi="Arial" w:cs="Arial"/>
          <w:color w:val="000000"/>
        </w:rPr>
        <w:t> </w:t>
      </w:r>
      <w:r w:rsidRPr="00E46677">
        <w:rPr>
          <w:rFonts w:ascii="Arial" w:hAnsi="Arial" w:cs="Arial"/>
          <w:color w:val="000000"/>
        </w:rPr>
        <w:t>(2022)</w:t>
      </w:r>
      <w:r w:rsidRPr="00E46677">
        <w:rPr>
          <w:rStyle w:val="apple-converted-space"/>
          <w:rFonts w:ascii="Arial" w:hAnsi="Arial" w:cs="Arial"/>
          <w:color w:val="000000"/>
        </w:rPr>
        <w:t> </w:t>
      </w:r>
      <w:r w:rsidRPr="00E46677">
        <w:rPr>
          <w:rStyle w:val="Emphasis"/>
          <w:rFonts w:ascii="Arial" w:hAnsi="Arial" w:cs="Arial"/>
          <w:color w:val="000000"/>
        </w:rPr>
        <w:t>The Importance of Charging Infrastructure to the Electric Vehicle Transition in the UK</w:t>
      </w:r>
      <w:r w:rsidRPr="00E46677">
        <w:rPr>
          <w:rFonts w:ascii="Arial" w:hAnsi="Arial" w:cs="Arial"/>
          <w:color w:val="000000"/>
        </w:rPr>
        <w:t>. Faraday Insights Series.</w:t>
      </w:r>
    </w:p>
    <w:p w14:paraId="6075DB35" w14:textId="77777777" w:rsidR="00E05D80" w:rsidRPr="00E46677" w:rsidRDefault="00E05D80" w:rsidP="00E05D80">
      <w:pPr>
        <w:pStyle w:val="NormalWeb"/>
        <w:rPr>
          <w:rFonts w:ascii="Arial" w:hAnsi="Arial" w:cs="Arial"/>
          <w:color w:val="000000"/>
        </w:rPr>
      </w:pPr>
      <w:r w:rsidRPr="00E46677">
        <w:rPr>
          <w:rStyle w:val="Strong"/>
          <w:rFonts w:ascii="Arial" w:hAnsi="Arial" w:cs="Arial"/>
          <w:color w:val="000000"/>
        </w:rPr>
        <w:t>12. WRAP / Warwick Research Archive</w:t>
      </w:r>
      <w:r w:rsidRPr="00E46677">
        <w:rPr>
          <w:rStyle w:val="apple-converted-space"/>
          <w:rFonts w:ascii="Arial" w:hAnsi="Arial" w:cs="Arial"/>
          <w:color w:val="000000"/>
        </w:rPr>
        <w:t> </w:t>
      </w:r>
      <w:r w:rsidRPr="00E46677">
        <w:rPr>
          <w:rFonts w:ascii="Arial" w:hAnsi="Arial" w:cs="Arial"/>
          <w:color w:val="000000"/>
        </w:rPr>
        <w:t>(2025)</w:t>
      </w:r>
      <w:r w:rsidRPr="00E46677">
        <w:rPr>
          <w:rStyle w:val="apple-converted-space"/>
          <w:rFonts w:ascii="Arial" w:hAnsi="Arial" w:cs="Arial"/>
          <w:color w:val="000000"/>
        </w:rPr>
        <w:t> </w:t>
      </w:r>
      <w:r w:rsidRPr="00E46677">
        <w:rPr>
          <w:rStyle w:val="Emphasis"/>
          <w:rFonts w:ascii="Arial" w:hAnsi="Arial" w:cs="Arial"/>
          <w:color w:val="000000"/>
        </w:rPr>
        <w:t>Lifecycle Sustainability Review of Lithium-Ion EV Batteries in the UK Context</w:t>
      </w:r>
      <w:r w:rsidRPr="00E46677">
        <w:rPr>
          <w:rFonts w:ascii="Arial" w:hAnsi="Arial" w:cs="Arial"/>
          <w:color w:val="000000"/>
        </w:rPr>
        <w:t>. Warwick Research and Policy Centre.</w:t>
      </w:r>
    </w:p>
    <w:p w14:paraId="246777C4" w14:textId="77777777" w:rsidR="00E05D80" w:rsidRPr="00E46677" w:rsidRDefault="00E05D80" w:rsidP="00E05D80">
      <w:pPr>
        <w:pStyle w:val="NormalWeb"/>
        <w:rPr>
          <w:rFonts w:ascii="Arial" w:hAnsi="Arial" w:cs="Arial"/>
          <w:color w:val="000000"/>
        </w:rPr>
      </w:pPr>
      <w:r w:rsidRPr="00E46677">
        <w:rPr>
          <w:rStyle w:val="Strong"/>
          <w:rFonts w:ascii="Arial" w:hAnsi="Arial" w:cs="Arial"/>
          <w:color w:val="000000"/>
        </w:rPr>
        <w:lastRenderedPageBreak/>
        <w:t>13. Jones, P. and Hall, S.</w:t>
      </w:r>
      <w:r w:rsidRPr="00E46677">
        <w:rPr>
          <w:rStyle w:val="apple-converted-space"/>
          <w:rFonts w:ascii="Arial" w:hAnsi="Arial" w:cs="Arial"/>
          <w:color w:val="000000"/>
        </w:rPr>
        <w:t> </w:t>
      </w:r>
      <w:r w:rsidRPr="00E46677">
        <w:rPr>
          <w:rFonts w:ascii="Arial" w:hAnsi="Arial" w:cs="Arial"/>
          <w:color w:val="000000"/>
        </w:rPr>
        <w:t>(2024) ‘Spatial distribution of electric vehicle adoption in England’,</w:t>
      </w:r>
      <w:r w:rsidRPr="00E46677">
        <w:rPr>
          <w:rStyle w:val="apple-converted-space"/>
          <w:rFonts w:ascii="Arial" w:hAnsi="Arial" w:cs="Arial"/>
          <w:color w:val="000000"/>
        </w:rPr>
        <w:t> </w:t>
      </w:r>
      <w:r w:rsidRPr="00E46677">
        <w:rPr>
          <w:rStyle w:val="Emphasis"/>
          <w:rFonts w:ascii="Arial" w:hAnsi="Arial" w:cs="Arial"/>
          <w:color w:val="000000"/>
        </w:rPr>
        <w:t>Journal of Transport Geography</w:t>
      </w:r>
      <w:r w:rsidRPr="00E46677">
        <w:rPr>
          <w:rFonts w:ascii="Arial" w:hAnsi="Arial" w:cs="Arial"/>
          <w:color w:val="000000"/>
        </w:rPr>
        <w:t>, 110, pp. 1–15.</w:t>
      </w:r>
    </w:p>
    <w:p w14:paraId="306A692E" w14:textId="77777777" w:rsidR="00E05D80" w:rsidRPr="00E46677" w:rsidRDefault="00E05D80" w:rsidP="00E05D80">
      <w:pPr>
        <w:pStyle w:val="NormalWeb"/>
        <w:rPr>
          <w:rFonts w:ascii="Arial" w:hAnsi="Arial" w:cs="Arial"/>
          <w:color w:val="000000"/>
        </w:rPr>
      </w:pPr>
      <w:r w:rsidRPr="00E46677">
        <w:rPr>
          <w:rStyle w:val="Strong"/>
          <w:rFonts w:ascii="Arial" w:hAnsi="Arial" w:cs="Arial"/>
          <w:color w:val="000000"/>
        </w:rPr>
        <w:t xml:space="preserve">14. Ramji, A. and </w:t>
      </w:r>
      <w:proofErr w:type="spellStart"/>
      <w:r w:rsidRPr="00E46677">
        <w:rPr>
          <w:rStyle w:val="Strong"/>
          <w:rFonts w:ascii="Arial" w:hAnsi="Arial" w:cs="Arial"/>
          <w:color w:val="000000"/>
        </w:rPr>
        <w:t>Tayarani</w:t>
      </w:r>
      <w:proofErr w:type="spellEnd"/>
      <w:r w:rsidRPr="00E46677">
        <w:rPr>
          <w:rStyle w:val="Strong"/>
          <w:rFonts w:ascii="Arial" w:hAnsi="Arial" w:cs="Arial"/>
          <w:color w:val="000000"/>
        </w:rPr>
        <w:t>, H.</w:t>
      </w:r>
      <w:r w:rsidRPr="00E46677">
        <w:rPr>
          <w:rStyle w:val="apple-converted-space"/>
          <w:rFonts w:ascii="Arial" w:hAnsi="Arial" w:cs="Arial"/>
          <w:color w:val="000000"/>
        </w:rPr>
        <w:t> </w:t>
      </w:r>
      <w:r w:rsidRPr="00E46677">
        <w:rPr>
          <w:rFonts w:ascii="Arial" w:hAnsi="Arial" w:cs="Arial"/>
          <w:color w:val="000000"/>
        </w:rPr>
        <w:t>(2023) ‘Regional analysis of electric light-duty vehicle portfolio choices by manufacturers’,</w:t>
      </w:r>
      <w:r w:rsidRPr="00E46677">
        <w:rPr>
          <w:rStyle w:val="apple-converted-space"/>
          <w:rFonts w:ascii="Arial" w:hAnsi="Arial" w:cs="Arial"/>
          <w:color w:val="000000"/>
        </w:rPr>
        <w:t> </w:t>
      </w:r>
      <w:r w:rsidRPr="00E46677">
        <w:rPr>
          <w:rStyle w:val="Emphasis"/>
          <w:rFonts w:ascii="Arial" w:hAnsi="Arial" w:cs="Arial"/>
          <w:color w:val="000000"/>
        </w:rPr>
        <w:t>Energy Systems Research Review</w:t>
      </w:r>
      <w:r w:rsidRPr="00E46677">
        <w:rPr>
          <w:rFonts w:ascii="Arial" w:hAnsi="Arial" w:cs="Arial"/>
          <w:color w:val="000000"/>
        </w:rPr>
        <w:t>, 12(4), pp. 55–70.</w:t>
      </w:r>
    </w:p>
    <w:p w14:paraId="7D51CE6B" w14:textId="77777777" w:rsidR="00E05D80" w:rsidRDefault="00E05D80" w:rsidP="00E05D80">
      <w:pPr>
        <w:pStyle w:val="NormalWeb"/>
        <w:rPr>
          <w:rFonts w:ascii="Arial" w:hAnsi="Arial" w:cs="Arial"/>
          <w:color w:val="000000"/>
        </w:rPr>
      </w:pPr>
      <w:r w:rsidRPr="00E46677">
        <w:rPr>
          <w:rStyle w:val="Strong"/>
          <w:rFonts w:ascii="Arial" w:hAnsi="Arial" w:cs="Arial"/>
          <w:color w:val="000000"/>
        </w:rPr>
        <w:t>15. Jung, F., Schröder, M. and Timme, M.</w:t>
      </w:r>
      <w:r w:rsidRPr="00E46677">
        <w:rPr>
          <w:rStyle w:val="apple-converted-space"/>
          <w:rFonts w:ascii="Arial" w:hAnsi="Arial" w:cs="Arial"/>
          <w:color w:val="000000"/>
        </w:rPr>
        <w:t> </w:t>
      </w:r>
      <w:r w:rsidRPr="00E46677">
        <w:rPr>
          <w:rFonts w:ascii="Arial" w:hAnsi="Arial" w:cs="Arial"/>
          <w:color w:val="000000"/>
        </w:rPr>
        <w:t>(2023) ‘Exponential adoption of battery electric cars in Europe’,</w:t>
      </w:r>
      <w:r w:rsidRPr="00E46677">
        <w:rPr>
          <w:rStyle w:val="apple-converted-space"/>
          <w:rFonts w:ascii="Arial" w:hAnsi="Arial" w:cs="Arial"/>
          <w:color w:val="000000"/>
        </w:rPr>
        <w:t> </w:t>
      </w:r>
      <w:r w:rsidRPr="00E46677">
        <w:rPr>
          <w:rStyle w:val="Emphasis"/>
          <w:rFonts w:ascii="Arial" w:hAnsi="Arial" w:cs="Arial"/>
          <w:color w:val="000000"/>
        </w:rPr>
        <w:t>World Electric Vehicle Journal</w:t>
      </w:r>
      <w:r w:rsidRPr="00E46677">
        <w:rPr>
          <w:rFonts w:ascii="Arial" w:hAnsi="Arial" w:cs="Arial"/>
          <w:color w:val="000000"/>
        </w:rPr>
        <w:t>, 14(6), pp. 1–12.</w:t>
      </w:r>
    </w:p>
    <w:p w14:paraId="42B1DA5A" w14:textId="77777777" w:rsidR="00E46677" w:rsidRPr="00E46677" w:rsidRDefault="00E46677" w:rsidP="00E46677">
      <w:pPr>
        <w:pStyle w:val="Heading1"/>
        <w:rPr>
          <w:rFonts w:ascii="Arial" w:eastAsia="Times New Roman" w:hAnsi="Arial" w:cs="Arial"/>
          <w:color w:val="000000"/>
          <w:sz w:val="48"/>
          <w:u w:val="single"/>
        </w:rPr>
      </w:pPr>
      <w:r w:rsidRPr="00E46677">
        <w:rPr>
          <w:rStyle w:val="Strong"/>
          <w:rFonts w:ascii="Arial" w:hAnsi="Arial" w:cs="Arial"/>
          <w:b/>
          <w:bCs/>
          <w:color w:val="000000"/>
          <w:u w:val="single"/>
        </w:rPr>
        <w:t>AI Acknowledgement</w:t>
      </w:r>
    </w:p>
    <w:p w14:paraId="3C12762D" w14:textId="77777777" w:rsidR="00E46677" w:rsidRPr="00E46677" w:rsidRDefault="00E46677" w:rsidP="00E46677">
      <w:pPr>
        <w:pStyle w:val="NormalWeb"/>
        <w:rPr>
          <w:rFonts w:ascii="Arial" w:hAnsi="Arial" w:cs="Arial"/>
          <w:color w:val="000000"/>
        </w:rPr>
      </w:pPr>
      <w:r w:rsidRPr="00E46677">
        <w:rPr>
          <w:rFonts w:ascii="Arial" w:hAnsi="Arial" w:cs="Arial"/>
          <w:color w:val="000000"/>
        </w:rPr>
        <w:t>I acknowledge that I used online research tools such as Google and academic websites to support the research for this assignment. I did not use any AI text-generation tools to create or write the content of this report. All writing, analysis, structure and evaluation in this assignment are my own work, and I have included references to all sources used.</w:t>
      </w:r>
    </w:p>
    <w:p w14:paraId="4ECEB65F" w14:textId="77777777" w:rsidR="00E46677" w:rsidRPr="00E46677" w:rsidRDefault="00E46677" w:rsidP="00E05D80">
      <w:pPr>
        <w:pStyle w:val="NormalWeb"/>
        <w:rPr>
          <w:rFonts w:ascii="Arial" w:hAnsi="Arial" w:cs="Arial"/>
          <w:color w:val="000000"/>
        </w:rPr>
      </w:pPr>
    </w:p>
    <w:p w14:paraId="1E277083" w14:textId="77777777" w:rsidR="000C2F67" w:rsidRPr="001F5A77" w:rsidRDefault="000C2F67">
      <w:pPr>
        <w:spacing w:line="360" w:lineRule="auto"/>
        <w:jc w:val="both"/>
        <w:rPr>
          <w:lang w:val="en-GB"/>
        </w:rPr>
      </w:pPr>
    </w:p>
    <w:sectPr w:rsidR="000C2F67" w:rsidRPr="001F5A77"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notTrueType/>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E325539"/>
    <w:multiLevelType w:val="multilevel"/>
    <w:tmpl w:val="86FCF0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76669841">
    <w:abstractNumId w:val="8"/>
  </w:num>
  <w:num w:numId="2" w16cid:durableId="998385663">
    <w:abstractNumId w:val="6"/>
  </w:num>
  <w:num w:numId="3" w16cid:durableId="1249847057">
    <w:abstractNumId w:val="5"/>
  </w:num>
  <w:num w:numId="4" w16cid:durableId="2128085329">
    <w:abstractNumId w:val="4"/>
  </w:num>
  <w:num w:numId="5" w16cid:durableId="2090736753">
    <w:abstractNumId w:val="7"/>
  </w:num>
  <w:num w:numId="6" w16cid:durableId="1474130412">
    <w:abstractNumId w:val="3"/>
  </w:num>
  <w:num w:numId="7" w16cid:durableId="636498044">
    <w:abstractNumId w:val="2"/>
  </w:num>
  <w:num w:numId="8" w16cid:durableId="1588228754">
    <w:abstractNumId w:val="1"/>
  </w:num>
  <w:num w:numId="9" w16cid:durableId="1139541615">
    <w:abstractNumId w:val="0"/>
  </w:num>
  <w:num w:numId="10" w16cid:durableId="158892102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1"/>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C2F67"/>
    <w:rsid w:val="0015074B"/>
    <w:rsid w:val="001F5A77"/>
    <w:rsid w:val="00294217"/>
    <w:rsid w:val="0029639D"/>
    <w:rsid w:val="00326F90"/>
    <w:rsid w:val="00824EE2"/>
    <w:rsid w:val="00AA1D8D"/>
    <w:rsid w:val="00B47730"/>
    <w:rsid w:val="00C1185B"/>
    <w:rsid w:val="00CB0664"/>
    <w:rsid w:val="00E05D80"/>
    <w:rsid w:val="00E46677"/>
    <w:rsid w:val="00E60B70"/>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3D014E6"/>
  <w14:defaultImageDpi w14:val="300"/>
  <w15:docId w15:val="{48E42A66-FFBC-A446-AD6C-BE5D90F24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eastAsia="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C1185B"/>
    <w:pPr>
      <w:spacing w:before="100" w:beforeAutospacing="1" w:after="100" w:afterAutospacing="1" w:line="240" w:lineRule="auto"/>
    </w:pPr>
    <w:rPr>
      <w:rFonts w:ascii="Times New Roman" w:eastAsia="Times New Roman" w:hAnsi="Times New Roman" w:cs="Times New Roman"/>
      <w:szCs w:val="24"/>
      <w:lang w:val="en-GB" w:eastAsia="en-GB"/>
    </w:rPr>
  </w:style>
  <w:style w:type="character" w:customStyle="1" w:styleId="apple-converted-space">
    <w:name w:val="apple-converted-space"/>
    <w:basedOn w:val="DefaultParagraphFont"/>
    <w:rsid w:val="00E05D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10</Pages>
  <Words>2253</Words>
  <Characters>12846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15069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ahmed noor</cp:lastModifiedBy>
  <cp:revision>2</cp:revision>
  <dcterms:created xsi:type="dcterms:W3CDTF">2025-12-02T18:11:00Z</dcterms:created>
  <dcterms:modified xsi:type="dcterms:W3CDTF">2025-12-02T18:11:00Z</dcterms:modified>
  <cp:category/>
</cp:coreProperties>
</file>