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Student id:2112416</w:t>
      </w: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Student name: Pirvu Remus Nicolae</w:t>
      </w: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Module name: Marketing fundamentals</w:t>
      </w: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Module code: LCBB4004</w:t>
      </w: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Arial" w:hAnsi="Arial" w:cs="Arial" w:eastAsia="Arial"/>
          <w:color w:val="000000"/>
          <w:spacing w:val="0"/>
          <w:position w:val="0"/>
          <w:sz w:val="22"/>
          <w:shd w:fill="auto" w:val="clear"/>
        </w:rPr>
      </w:pPr>
      <w:r>
        <w:rPr>
          <w:rFonts w:ascii="Times New Roman" w:hAnsi="Times New Roman" w:cs="Times New Roman" w:eastAsia="Times New Roman"/>
          <w:b/>
          <w:color w:val="000000"/>
          <w:spacing w:val="0"/>
          <w:position w:val="0"/>
          <w:sz w:val="32"/>
          <w:shd w:fill="auto" w:val="clear"/>
        </w:rPr>
        <w:t xml:space="preserve">ASSESSMENT 2 MARKETING FUNDAMENTALS ANALYSIS AND EVALUATION</w:t>
      </w:r>
      <w:r>
        <w:rPr>
          <w:rFonts w:ascii="Arial" w:hAnsi="Arial" w:cs="Arial" w:eastAsia="Arial"/>
          <w:color w:val="000000"/>
          <w:spacing w:val="0"/>
          <w:position w:val="0"/>
          <w:sz w:val="22"/>
          <w:shd w:fill="auto" w:val="clear"/>
        </w:rPr>
        <w:t xml:space="preserve"> </w:t>
      </w: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Executive summary</w:t>
      </w:r>
    </w:p>
    <w:p>
      <w:pPr>
        <w:spacing w:before="0" w:after="0" w:line="360"/>
        <w:ind w:right="0" w:left="0" w:firstLine="0"/>
        <w:jc w:val="both"/>
        <w:rPr>
          <w:rFonts w:ascii="Arial" w:hAnsi="Arial" w:cs="Arial" w:eastAsia="Arial"/>
          <w:color w:val="000000"/>
          <w:spacing w:val="0"/>
          <w:position w:val="0"/>
          <w:sz w:val="22"/>
          <w:shd w:fill="auto" w:val="clear"/>
        </w:rPr>
      </w:pPr>
      <w:r>
        <w:rPr>
          <w:rFonts w:ascii="Times New Roman" w:hAnsi="Times New Roman" w:cs="Times New Roman" w:eastAsia="Times New Roman"/>
          <w:color w:val="000000"/>
          <w:spacing w:val="0"/>
          <w:position w:val="0"/>
          <w:sz w:val="24"/>
          <w:shd w:fill="auto" w:val="clear"/>
        </w:rPr>
        <w:t xml:space="preserve">This report features the business point of view of Next PLC previously, then after the fact the COVID-19 episode. Additionally, the business impression of Next PLC has been characterised by various perspectives like inner and outer examination of highlighting. The evaluation of Next PLC business methodologies has been identified with the business legitimisation according to the review prerequisite. In addition, the business life cycle has been represented by Next PLC. On the other hand, descriptive details upon the PEST examination for outer extension, a portion of the suggestions have been given in this report too in terms of recommendations.</w:t>
      </w:r>
      <w:r>
        <w:rPr>
          <w:rFonts w:ascii="Arial" w:hAnsi="Arial" w:cs="Arial" w:eastAsia="Arial"/>
          <w:color w:val="000000"/>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1.0 Introduction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Because of the Covid pandemic, the whole pace of creation for Next PLC has been upset in Vietnam and their generally speaking plants. The organisation would not supply from their providers as far as capacity framework issues. Additionally, because of this pandemic, Next PLC has lost a portion of the possible providers in the overall district. Then again, the business and advertising activity has been suspended because of Covid spreading. Furthermore, this review shows the various sorts of business points of view about Next PLC to decide their inner just as outside business situation. Porter's five force assists with looking at authoritative interior examination, and PEST investigation assists with deciding the outer variables identified with Next PLC business. In order to decide business dangers and their chances standards, this concentration likewise gives a business life cycle. As such, contingent upon the dangers, a few suggestions have been deciphered in this examination according to the necessities.</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2.0 Internal Analysis of Next PLC</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2.1 Porter’s Five Forces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Buyer’s power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Because of the great effect of Covid somewhat recently, purchasers have begun to purchase their fundamental wares day by day. As proposed by Kabeyi (2018), Next PLC has confronted a </w:t>
      </w:r>
      <w:r>
        <w:rPr>
          <w:rFonts w:ascii="Times New Roman" w:hAnsi="Times New Roman" w:cs="Times New Roman" w:eastAsia="Times New Roman"/>
          <w:b/>
          <w:i/>
          <w:color w:val="000000"/>
          <w:spacing w:val="0"/>
          <w:position w:val="0"/>
          <w:sz w:val="24"/>
          <w:shd w:fill="auto" w:val="clear"/>
        </w:rPr>
        <w:t xml:space="preserve">23% </w:t>
      </w:r>
      <w:r>
        <w:rPr>
          <w:rFonts w:ascii="Times New Roman" w:hAnsi="Times New Roman" w:cs="Times New Roman" w:eastAsia="Times New Roman"/>
          <w:color w:val="000000"/>
          <w:spacing w:val="0"/>
          <w:position w:val="0"/>
          <w:sz w:val="24"/>
          <w:shd w:fill="auto" w:val="clear"/>
        </w:rPr>
        <w:t xml:space="preserve">decrease in clients' commitment to their design items. In such a manner, they have lost </w:t>
      </w:r>
      <w:r>
        <w:rPr>
          <w:rFonts w:ascii="Times New Roman" w:hAnsi="Times New Roman" w:cs="Times New Roman" w:eastAsia="Times New Roman"/>
          <w:b/>
          <w:i/>
          <w:color w:val="000000"/>
          <w:spacing w:val="0"/>
          <w:position w:val="0"/>
          <w:sz w:val="24"/>
          <w:shd w:fill="auto" w:val="clear"/>
        </w:rPr>
        <w:t xml:space="preserve">$95 billion </w:t>
      </w:r>
      <w:r>
        <w:rPr>
          <w:rFonts w:ascii="Times New Roman" w:hAnsi="Times New Roman" w:cs="Times New Roman" w:eastAsia="Times New Roman"/>
          <w:color w:val="000000"/>
          <w:spacing w:val="0"/>
          <w:position w:val="0"/>
          <w:sz w:val="24"/>
          <w:shd w:fill="auto" w:val="clear"/>
        </w:rPr>
        <w:t xml:space="preserve">of business income in the earlier year. According to the pace of creation, their providers have quit conveying items to Next PLC with such a measure of misfortune. Additionally, the business sway has upset the whole business of Next PLC with the reasonable life effect of Covid.</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Supplier’s power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Because of the COVID pandemic circumstance, providers are selling items straightforwardly to the customer. In this situation, Next PLC has confronted an enormous loss of business examination. In addition, the brand power has been obliterated about Next PLC that can be identified with the business perspectives. What's more, the high spreading of the Covid has upset the inventory network and its consequences for mid-range quality items. In such a manner, the new disturbance in the business arrangement is impacted by the provider's capacity in the commercial centre. The evidential components of Next PLC assist providers with empowering their clients, and clients are purchasing items from Next PLC providers straightforwardly. It influences the </w:t>
      </w:r>
      <w:r>
        <w:rPr>
          <w:rFonts w:ascii="Times New Roman" w:hAnsi="Times New Roman" w:cs="Times New Roman" w:eastAsia="Times New Roman"/>
          <w:b/>
          <w:i/>
          <w:color w:val="000000"/>
          <w:spacing w:val="0"/>
          <w:position w:val="0"/>
          <w:sz w:val="24"/>
          <w:shd w:fill="auto" w:val="clear"/>
        </w:rPr>
        <w:t xml:space="preserve">38%</w:t>
      </w:r>
      <w:r>
        <w:rPr>
          <w:rFonts w:ascii="Times New Roman" w:hAnsi="Times New Roman" w:cs="Times New Roman" w:eastAsia="Times New Roman"/>
          <w:color w:val="000000"/>
          <w:spacing w:val="0"/>
          <w:position w:val="0"/>
          <w:sz w:val="24"/>
          <w:shd w:fill="auto" w:val="clear"/>
        </w:rPr>
        <w:t xml:space="preserve"> of extra misfortune in the business term of store network interruption for Next PLC (Varelas and Georgopoulos, 2017).</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8136" w:dyaOrig="5157">
          <v:rect xmlns:o="urn:schemas-microsoft-com:office:office" xmlns:v="urn:schemas-microsoft-com:vml" id="rectole0000000000" style="width:406.800000pt;height:257.8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1: Annual revenue of Next PLC from 2012 to 2021</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Statista, 2021)</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New entrants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Medium and little players in this style industry sway the Next PLC business with some new brands. Besides, retailers are dispatching their new web-based business area because of solid rivalry in the pandemic time. This help give contactless conveyance of the item, which influences the business viewpoint of Next PLC too. In addition, following on Google has shown the assessed loss of Next PLC is about </w:t>
      </w:r>
      <w:r>
        <w:rPr>
          <w:rFonts w:ascii="Times New Roman" w:hAnsi="Times New Roman" w:cs="Times New Roman" w:eastAsia="Times New Roman"/>
          <w:b/>
          <w:i/>
          <w:color w:val="000000"/>
          <w:spacing w:val="0"/>
          <w:position w:val="0"/>
          <w:sz w:val="24"/>
          <w:shd w:fill="auto" w:val="clear"/>
        </w:rPr>
        <w:t xml:space="preserve">£ 63 billion</w:t>
      </w:r>
      <w:r>
        <w:rPr>
          <w:rFonts w:ascii="Times New Roman" w:hAnsi="Times New Roman" w:cs="Times New Roman" w:eastAsia="Times New Roman"/>
          <w:color w:val="000000"/>
          <w:spacing w:val="0"/>
          <w:position w:val="0"/>
          <w:sz w:val="24"/>
          <w:shd w:fill="auto" w:val="clear"/>
        </w:rPr>
        <w:t xml:space="preserve"> out of 2021 (Wati, 2018). The assessed measure of Google estimate has been demonstrated in the New Year with the new contestant capacity in this style industry. Subsequently, Next PLC is confronting solid rivals in the market like Amazon.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Threats of substitutes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 far as the Covid pandemic, individuals are attempting to endure their existence with less consumption, however not with an extravagant way of life. Accordingly, possible clients of Next PLC are picking different brands with fewer sums after the main flood of Covid. As per the observation of Sahir and Rosmawati (2020), it influences </w:t>
      </w:r>
      <w:r>
        <w:rPr>
          <w:rFonts w:ascii="Times New Roman" w:hAnsi="Times New Roman" w:cs="Times New Roman" w:eastAsia="Times New Roman"/>
          <w:b/>
          <w:i/>
          <w:color w:val="000000"/>
          <w:spacing w:val="0"/>
          <w:position w:val="0"/>
          <w:sz w:val="24"/>
          <w:shd w:fill="auto" w:val="clear"/>
        </w:rPr>
        <w:t xml:space="preserve">84% </w:t>
      </w:r>
      <w:r>
        <w:rPr>
          <w:rFonts w:ascii="Times New Roman" w:hAnsi="Times New Roman" w:cs="Times New Roman" w:eastAsia="Times New Roman"/>
          <w:color w:val="000000"/>
          <w:spacing w:val="0"/>
          <w:position w:val="0"/>
          <w:sz w:val="24"/>
          <w:shd w:fill="auto" w:val="clear"/>
        </w:rPr>
        <w:t xml:space="preserve">of the business level of Next PLC in a functional business way. Clients steadfastness has been broken partially due to unavailable, private naming, value affectability and creation decision. These are the models drawn in by clients as far as other business associations' business profiles.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Power of rivalry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With high competition after pandemic time, more organisations are doing their business advancement with different business channels. Besides, settling on the evaluating of Next PLC helps different organisations to make their business displays another competition. In the words of Fiorenita and Dwianika (2021), the regional advancement of Next PLC has diminished the business rate by </w:t>
      </w:r>
      <w:r>
        <w:rPr>
          <w:rFonts w:ascii="Times New Roman" w:hAnsi="Times New Roman" w:cs="Times New Roman" w:eastAsia="Times New Roman"/>
          <w:b/>
          <w:i/>
          <w:color w:val="000000"/>
          <w:spacing w:val="0"/>
          <w:position w:val="0"/>
          <w:sz w:val="24"/>
          <w:shd w:fill="auto" w:val="clear"/>
        </w:rPr>
        <w:t xml:space="preserve">10%</w:t>
      </w:r>
      <w:r>
        <w:rPr>
          <w:rFonts w:ascii="Times New Roman" w:hAnsi="Times New Roman" w:cs="Times New Roman" w:eastAsia="Times New Roman"/>
          <w:color w:val="000000"/>
          <w:spacing w:val="0"/>
          <w:position w:val="0"/>
          <w:sz w:val="24"/>
          <w:shd w:fill="auto" w:val="clear"/>
        </w:rPr>
        <w:t xml:space="preserve"> when contrasted with the past time too. New adversaries in the commercial centre have affected organisations with innovation, and it does not satisfy the objective market deals. Therefore, Next PLC has lost its image advancement strategies in this new pandemic time.</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2.2 Strength and Weakness</w:t>
      </w:r>
    </w:p>
    <w:tbl>
      <w:tblPr/>
      <w:tblGrid>
        <w:gridCol w:w="3045"/>
        <w:gridCol w:w="6315"/>
      </w:tblGrid>
      <w:tr>
        <w:trPr>
          <w:trHeight w:val="1" w:hRule="atLeast"/>
          <w:jc w:val="center"/>
          <w:cantSplit w:val="1"/>
        </w:trPr>
        <w:tc>
          <w:tcPr>
            <w:tcW w:w="30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Analytical perspective</w:t>
            </w:r>
          </w:p>
        </w:tc>
        <w:tc>
          <w:tcPr>
            <w:tcW w:w="63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Description</w:t>
            </w:r>
          </w:p>
        </w:tc>
      </w:tr>
      <w:tr>
        <w:trPr>
          <w:trHeight w:val="1" w:hRule="atLeast"/>
          <w:jc w:val="center"/>
          <w:cantSplit w:val="1"/>
        </w:trPr>
        <w:tc>
          <w:tcPr>
            <w:tcW w:w="30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Strengths</w:t>
            </w:r>
          </w:p>
        </w:tc>
        <w:tc>
          <w:tcPr>
            <w:tcW w:w="63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12"/>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Brand image is strong</w:t>
            </w:r>
          </w:p>
          <w:p>
            <w:pPr>
              <w:numPr>
                <w:ilvl w:val="0"/>
                <w:numId w:val="12"/>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Line of production is large</w:t>
            </w:r>
          </w:p>
          <w:p>
            <w:pPr>
              <w:numPr>
                <w:ilvl w:val="0"/>
                <w:numId w:val="12"/>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Sustainability of brand </w:t>
            </w:r>
          </w:p>
          <w:p>
            <w:pPr>
              <w:numPr>
                <w:ilvl w:val="0"/>
                <w:numId w:val="12"/>
              </w:numPr>
              <w:spacing w:before="0" w:after="0" w:line="360"/>
              <w:ind w:right="0" w:left="720"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Diversified workforces</w:t>
            </w:r>
          </w:p>
        </w:tc>
      </w:tr>
      <w:tr>
        <w:trPr>
          <w:trHeight w:val="1" w:hRule="atLeast"/>
          <w:jc w:val="center"/>
          <w:cantSplit w:val="1"/>
        </w:trPr>
        <w:tc>
          <w:tcPr>
            <w:tcW w:w="30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Weaknesses</w:t>
            </w:r>
          </w:p>
        </w:tc>
        <w:tc>
          <w:tcPr>
            <w:tcW w:w="63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16"/>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Shortage of labours</w:t>
            </w:r>
          </w:p>
          <w:p>
            <w:pPr>
              <w:numPr>
                <w:ilvl w:val="0"/>
                <w:numId w:val="16"/>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Ineffective product mix</w:t>
            </w:r>
          </w:p>
          <w:p>
            <w:pPr>
              <w:numPr>
                <w:ilvl w:val="0"/>
                <w:numId w:val="16"/>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Limited market presence</w:t>
            </w:r>
          </w:p>
          <w:p>
            <w:pPr>
              <w:numPr>
                <w:ilvl w:val="0"/>
                <w:numId w:val="16"/>
              </w:numPr>
              <w:spacing w:before="0" w:after="0" w:line="360"/>
              <w:ind w:right="0" w:left="720"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Third-party retailers</w:t>
            </w:r>
          </w:p>
        </w:tc>
      </w:tr>
    </w:tbl>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1: Strengths and weaknesses of Next PLC</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Next PLC, 2020)</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Strengths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Next PLC has the biggest family brand after the Coronavirus pandemic, which assists them with keeping up with business viewpoints in the overall district. The business depiction of Next PLC yearly draws in </w:t>
      </w:r>
      <w:r>
        <w:rPr>
          <w:rFonts w:ascii="Times New Roman" w:hAnsi="Times New Roman" w:cs="Times New Roman" w:eastAsia="Times New Roman"/>
          <w:b/>
          <w:i/>
          <w:color w:val="000000"/>
          <w:spacing w:val="0"/>
          <w:position w:val="0"/>
          <w:sz w:val="24"/>
          <w:shd w:fill="auto" w:val="clear"/>
        </w:rPr>
        <w:t xml:space="preserve">9.3%</w:t>
      </w:r>
      <w:r>
        <w:rPr>
          <w:rFonts w:ascii="Times New Roman" w:hAnsi="Times New Roman" w:cs="Times New Roman" w:eastAsia="Times New Roman"/>
          <w:color w:val="000000"/>
          <w:spacing w:val="0"/>
          <w:position w:val="0"/>
          <w:sz w:val="24"/>
          <w:shd w:fill="auto" w:val="clear"/>
        </w:rPr>
        <w:t xml:space="preserve"> of new clients that have been impacted by a Covid, and it increases to </w:t>
      </w:r>
      <w:r>
        <w:rPr>
          <w:rFonts w:ascii="Times New Roman" w:hAnsi="Times New Roman" w:cs="Times New Roman" w:eastAsia="Times New Roman"/>
          <w:b/>
          <w:i/>
          <w:color w:val="000000"/>
          <w:spacing w:val="0"/>
          <w:position w:val="0"/>
          <w:sz w:val="24"/>
          <w:shd w:fill="auto" w:val="clear"/>
        </w:rPr>
        <w:t xml:space="preserve">4.9%</w:t>
      </w:r>
      <w:r>
        <w:rPr>
          <w:rFonts w:ascii="Times New Roman" w:hAnsi="Times New Roman" w:cs="Times New Roman" w:eastAsia="Times New Roman"/>
          <w:color w:val="000000"/>
          <w:spacing w:val="0"/>
          <w:position w:val="0"/>
          <w:sz w:val="24"/>
          <w:shd w:fill="auto" w:val="clear"/>
        </w:rPr>
        <w:t xml:space="preserve"> (Next PLC, 2020). In addition, the referenced association has an enormous scope of items while they are fabricating their active apparel items in the commercial centre. Brand maintainability is one of the successful qualities for Next PLC to deliver an enormous scope of client's advantages after the Coronavirus flare-up. </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7956" w:dyaOrig="4933">
          <v:rect xmlns:o="urn:schemas-microsoft-com:office:office" xmlns:v="urn:schemas-microsoft-com:vml" id="rectole0000000001" style="width:397.800000pt;height:246.6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2: Next PLC financial years</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Statista, 2021)</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addition, an enhanced labour force makes </w:t>
      </w:r>
      <w:r>
        <w:rPr>
          <w:rFonts w:ascii="Times New Roman" w:hAnsi="Times New Roman" w:cs="Times New Roman" w:eastAsia="Times New Roman"/>
          <w:b/>
          <w:i/>
          <w:color w:val="000000"/>
          <w:spacing w:val="0"/>
          <w:position w:val="0"/>
          <w:sz w:val="24"/>
          <w:shd w:fill="auto" w:val="clear"/>
        </w:rPr>
        <w:t xml:space="preserve">£171 billion</w:t>
      </w:r>
      <w:r>
        <w:rPr>
          <w:rFonts w:ascii="Times New Roman" w:hAnsi="Times New Roman" w:cs="Times New Roman" w:eastAsia="Times New Roman"/>
          <w:color w:val="000000"/>
          <w:spacing w:val="0"/>
          <w:position w:val="0"/>
          <w:sz w:val="24"/>
          <w:shd w:fill="auto" w:val="clear"/>
        </w:rPr>
        <w:t xml:space="preserve"> with the working profit in the UK marketplace (Next PLC, 2021). In such a manner, these components of the strength have been found in this review with the interior calculation examination of the business view of Next PLC. In addition, after the Coronavirus pandemic affected the Next PLC business deals rate, which is about </w:t>
      </w:r>
      <w:r>
        <w:rPr>
          <w:rFonts w:ascii="Times New Roman" w:hAnsi="Times New Roman" w:cs="Times New Roman" w:eastAsia="Times New Roman"/>
          <w:b/>
          <w:i/>
          <w:color w:val="000000"/>
          <w:spacing w:val="0"/>
          <w:position w:val="0"/>
          <w:sz w:val="24"/>
          <w:shd w:fill="auto" w:val="clear"/>
        </w:rPr>
        <w:t xml:space="preserve">£46.5 billion </w:t>
      </w:r>
      <w:r>
        <w:rPr>
          <w:rFonts w:ascii="Times New Roman" w:hAnsi="Times New Roman" w:cs="Times New Roman" w:eastAsia="Times New Roman"/>
          <w:color w:val="000000"/>
          <w:spacing w:val="0"/>
          <w:position w:val="0"/>
          <w:sz w:val="24"/>
          <w:shd w:fill="auto" w:val="clear"/>
        </w:rPr>
        <w:t xml:space="preserve">from their significant sections (Next PLC, 2020). </w:t>
      </w:r>
    </w:p>
    <w:p>
      <w:pPr>
        <w:spacing w:before="0" w:after="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Weaknesses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association has confronted work shortage as one of the normal issues in this industry, which makes a deficiency of </w:t>
      </w:r>
      <w:r>
        <w:rPr>
          <w:rFonts w:ascii="Times New Roman" w:hAnsi="Times New Roman" w:cs="Times New Roman" w:eastAsia="Times New Roman"/>
          <w:b/>
          <w:i/>
          <w:color w:val="000000"/>
          <w:spacing w:val="0"/>
          <w:position w:val="0"/>
          <w:sz w:val="24"/>
          <w:shd w:fill="auto" w:val="clear"/>
        </w:rPr>
        <w:t xml:space="preserve">£18 billion</w:t>
      </w:r>
      <w:r>
        <w:rPr>
          <w:rFonts w:ascii="Times New Roman" w:hAnsi="Times New Roman" w:cs="Times New Roman" w:eastAsia="Times New Roman"/>
          <w:color w:val="000000"/>
          <w:spacing w:val="0"/>
          <w:position w:val="0"/>
          <w:sz w:val="24"/>
          <w:shd w:fill="auto" w:val="clear"/>
        </w:rPr>
        <w:t xml:space="preserve"> (Next PLC, 2021). Because of work lack, the association is confronting a few issues identified with creation and assembling. Ineffectual items combination helps different organisations to characterise their own business when contrasted with the Next PLC business examination. In such a manner, the functional business terms of Next PLC have been changed, and it straightforwardly influences the yearly income age. During the opposition after the pandemic, the Next PLC business is portioned in just one exchange that is a frail substance for the concerned business firm. Restricted market presence and enthusiasm for outsider retailers, Next PLC are losing their likely clients in this market.</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2.3 Next PLC’s Performance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Sales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business portion of Next PLC as an athletic apparel organisation in the market keeps an untouched high exchanging business discernment. Then again, quarterly deals of Next PLC have been exchanged as one of the successful business insights when contrasted with different organisations in a similar exchange. Some examination shows that Next PLC is exploring the business with pandemic impacts as a computerised power in the US market. In addition, the association shares rose inside the important level of </w:t>
      </w:r>
      <w:r>
        <w:rPr>
          <w:rFonts w:ascii="Times New Roman" w:hAnsi="Times New Roman" w:cs="Times New Roman" w:eastAsia="Times New Roman"/>
          <w:b/>
          <w:i/>
          <w:color w:val="000000"/>
          <w:spacing w:val="0"/>
          <w:position w:val="0"/>
          <w:sz w:val="24"/>
          <w:shd w:fill="auto" w:val="clear"/>
        </w:rPr>
        <w:t xml:space="preserve">16.2%</w:t>
      </w:r>
      <w:r>
        <w:rPr>
          <w:rFonts w:ascii="Times New Roman" w:hAnsi="Times New Roman" w:cs="Times New Roman" w:eastAsia="Times New Roman"/>
          <w:color w:val="000000"/>
          <w:spacing w:val="0"/>
          <w:position w:val="0"/>
          <w:sz w:val="24"/>
          <w:shd w:fill="auto" w:val="clear"/>
        </w:rPr>
        <w:t xml:space="preserve">, hitting the measure of </w:t>
      </w:r>
      <w:r>
        <w:rPr>
          <w:rFonts w:ascii="Times New Roman" w:hAnsi="Times New Roman" w:cs="Times New Roman" w:eastAsia="Times New Roman"/>
          <w:b/>
          <w:i/>
          <w:color w:val="000000"/>
          <w:spacing w:val="0"/>
          <w:position w:val="0"/>
          <w:sz w:val="24"/>
          <w:shd w:fill="auto" w:val="clear"/>
        </w:rPr>
        <w:t xml:space="preserve">£189.24</w:t>
      </w:r>
      <w:r>
        <w:rPr>
          <w:rFonts w:ascii="Times New Roman" w:hAnsi="Times New Roman" w:cs="Times New Roman" w:eastAsia="Times New Roman"/>
          <w:color w:val="000000"/>
          <w:spacing w:val="0"/>
          <w:position w:val="0"/>
          <w:sz w:val="24"/>
          <w:shd w:fill="auto" w:val="clear"/>
        </w:rPr>
        <w:t xml:space="preserve"> (Next PLC, 2020).</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Profit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Business capitalisation after Covid spreading, Next PLC has confronted a </w:t>
      </w:r>
      <w:r>
        <w:rPr>
          <w:rFonts w:ascii="Times New Roman" w:hAnsi="Times New Roman" w:cs="Times New Roman" w:eastAsia="Times New Roman"/>
          <w:b/>
          <w:i/>
          <w:color w:val="000000"/>
          <w:spacing w:val="0"/>
          <w:position w:val="0"/>
          <w:sz w:val="24"/>
          <w:shd w:fill="auto" w:val="clear"/>
        </w:rPr>
        <w:t xml:space="preserve">£256 billion</w:t>
      </w:r>
      <w:r>
        <w:rPr>
          <w:rFonts w:ascii="Times New Roman" w:hAnsi="Times New Roman" w:cs="Times New Roman" w:eastAsia="Times New Roman"/>
          <w:color w:val="000000"/>
          <w:spacing w:val="0"/>
          <w:position w:val="0"/>
          <w:sz w:val="24"/>
          <w:shd w:fill="auto" w:val="clear"/>
        </w:rPr>
        <w:t xml:space="preserve"> development rate in the athletic apparel industry (Next PLC, 2021). The offer worth has been multiplied not long before the pandemic was announced in March, which is one of the critical phases of Next PLC business procedures. The mystery behind the business augmentation of Next PLC to such an extent that they have utilised computerised capability to improve their business rate, they have dispatched a wellness application. One of the most significant areas of Next PLC is their internet business from where they have gathered their general spending as business development of </w:t>
      </w:r>
      <w:r>
        <w:rPr>
          <w:rFonts w:ascii="Times New Roman" w:hAnsi="Times New Roman" w:cs="Times New Roman" w:eastAsia="Times New Roman"/>
          <w:b/>
          <w:i/>
          <w:color w:val="000000"/>
          <w:spacing w:val="0"/>
          <w:position w:val="0"/>
          <w:sz w:val="24"/>
          <w:shd w:fill="auto" w:val="clear"/>
        </w:rPr>
        <w:t xml:space="preserve">56% </w:t>
      </w:r>
      <w:r>
        <w:rPr>
          <w:rFonts w:ascii="Times New Roman" w:hAnsi="Times New Roman" w:cs="Times New Roman" w:eastAsia="Times New Roman"/>
          <w:color w:val="000000"/>
          <w:spacing w:val="0"/>
          <w:position w:val="0"/>
          <w:sz w:val="24"/>
          <w:shd w:fill="auto" w:val="clear"/>
        </w:rPr>
        <w:t xml:space="preserve">is partaken on the lookout (Statista, 2021).</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8071" w:dyaOrig="4462">
          <v:rect xmlns:o="urn:schemas-microsoft-com:office:office" xmlns:v="urn:schemas-microsoft-com:vml" id="rectole0000000002" style="width:403.550000pt;height:223.1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3: Long-term financial year of Next PLC</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Merritt and Zhao, 2020)</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Revenue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After the COVID pandemic flare-up, Next PLC is completely doing their business in the computerised situation that assists them with recuperating from advertising misfortune. The new methodologies in the commercial centre give business experiences to the referenced organisation to improve the business rate. In such a manner, the association passed </w:t>
      </w:r>
      <w:r>
        <w:rPr>
          <w:rFonts w:ascii="Times New Roman" w:hAnsi="Times New Roman" w:cs="Times New Roman" w:eastAsia="Times New Roman"/>
          <w:b/>
          <w:i/>
          <w:color w:val="000000"/>
          <w:spacing w:val="0"/>
          <w:position w:val="0"/>
          <w:sz w:val="24"/>
          <w:shd w:fill="auto" w:val="clear"/>
        </w:rPr>
        <w:t xml:space="preserve">24% </w:t>
      </w:r>
      <w:r>
        <w:rPr>
          <w:rFonts w:ascii="Times New Roman" w:hAnsi="Times New Roman" w:cs="Times New Roman" w:eastAsia="Times New Roman"/>
          <w:color w:val="000000"/>
          <w:spacing w:val="0"/>
          <w:position w:val="0"/>
          <w:sz w:val="24"/>
          <w:shd w:fill="auto" w:val="clear"/>
        </w:rPr>
        <w:t xml:space="preserve">of deals from the e-Commerce area as an extra business capability (Merritt and Zhao, 2020). The advancement of business development after the pandemic has been estimated to be the second biggest active apparel organisation in 2023.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Employees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Clients moving intellectually have been constrained by them and arrive at the quarterly development pace of </w:t>
      </w:r>
      <w:r>
        <w:rPr>
          <w:rFonts w:ascii="Times New Roman" w:hAnsi="Times New Roman" w:cs="Times New Roman" w:eastAsia="Times New Roman"/>
          <w:b/>
          <w:i/>
          <w:color w:val="000000"/>
          <w:spacing w:val="0"/>
          <w:position w:val="0"/>
          <w:sz w:val="24"/>
          <w:shd w:fill="auto" w:val="clear"/>
        </w:rPr>
        <w:t xml:space="preserve">8%</w:t>
      </w:r>
      <w:r>
        <w:rPr>
          <w:rFonts w:ascii="Times New Roman" w:hAnsi="Times New Roman" w:cs="Times New Roman" w:eastAsia="Times New Roman"/>
          <w:color w:val="000000"/>
          <w:spacing w:val="0"/>
          <w:position w:val="0"/>
          <w:sz w:val="24"/>
          <w:shd w:fill="auto" w:val="clear"/>
        </w:rPr>
        <w:t xml:space="preserve"> in a year, which is tended to as </w:t>
      </w:r>
      <w:r>
        <w:rPr>
          <w:rFonts w:ascii="Times New Roman" w:hAnsi="Times New Roman" w:cs="Times New Roman" w:eastAsia="Times New Roman"/>
          <w:b/>
          <w:i/>
          <w:color w:val="000000"/>
          <w:spacing w:val="0"/>
          <w:position w:val="0"/>
          <w:sz w:val="24"/>
          <w:shd w:fill="auto" w:val="clear"/>
        </w:rPr>
        <w:t xml:space="preserve">£8.4 billion </w:t>
      </w:r>
      <w:r>
        <w:rPr>
          <w:rFonts w:ascii="Times New Roman" w:hAnsi="Times New Roman" w:cs="Times New Roman" w:eastAsia="Times New Roman"/>
          <w:color w:val="000000"/>
          <w:spacing w:val="0"/>
          <w:position w:val="0"/>
          <w:sz w:val="24"/>
          <w:shd w:fill="auto" w:val="clear"/>
        </w:rPr>
        <w:t xml:space="preserve">in the worldwide market with fulfilled worker's commitment (Zhang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2021). The market needs are being created by the concerned firm with a created level of </w:t>
      </w:r>
      <w:r>
        <w:rPr>
          <w:rFonts w:ascii="Times New Roman" w:hAnsi="Times New Roman" w:cs="Times New Roman" w:eastAsia="Times New Roman"/>
          <w:b/>
          <w:i/>
          <w:color w:val="000000"/>
          <w:spacing w:val="0"/>
          <w:position w:val="0"/>
          <w:sz w:val="24"/>
          <w:shd w:fill="auto" w:val="clear"/>
        </w:rPr>
        <w:t xml:space="preserve">14%</w:t>
      </w:r>
      <w:r>
        <w:rPr>
          <w:rFonts w:ascii="Times New Roman" w:hAnsi="Times New Roman" w:cs="Times New Roman" w:eastAsia="Times New Roman"/>
          <w:color w:val="000000"/>
          <w:spacing w:val="0"/>
          <w:position w:val="0"/>
          <w:sz w:val="24"/>
          <w:shd w:fill="auto" w:val="clear"/>
        </w:rPr>
        <w:t xml:space="preserve"> to </w:t>
      </w:r>
      <w:r>
        <w:rPr>
          <w:rFonts w:ascii="Times New Roman" w:hAnsi="Times New Roman" w:cs="Times New Roman" w:eastAsia="Times New Roman"/>
          <w:b/>
          <w:i/>
          <w:color w:val="000000"/>
          <w:spacing w:val="0"/>
          <w:position w:val="0"/>
          <w:sz w:val="24"/>
          <w:shd w:fill="auto" w:val="clear"/>
        </w:rPr>
        <w:t xml:space="preserve">£1.6 billion </w:t>
      </w:r>
      <w:r>
        <w:rPr>
          <w:rFonts w:ascii="Times New Roman" w:hAnsi="Times New Roman" w:cs="Times New Roman" w:eastAsia="Times New Roman"/>
          <w:color w:val="000000"/>
          <w:spacing w:val="0"/>
          <w:position w:val="0"/>
          <w:sz w:val="24"/>
          <w:shd w:fill="auto" w:val="clear"/>
        </w:rPr>
        <w:t xml:space="preserve">because of representative fulfilment (Next PLC, 2020). Selling in the market has been created with the promoting improvement techniques as the interior division of business examination for Next PLC.</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3.0 External Analysis of Next PLC</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3.1 PEST analysis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business portrayal of Next PLC has been assessed in PEST examination with the direction of political, monetary, social and mechanical elements for the basic effect of Covid spreading. These four viewpoints have been depicted beneath for the referenced organisation as follows:</w:t>
      </w:r>
    </w:p>
    <w:tbl>
      <w:tblPr/>
      <w:tblGrid>
        <w:gridCol w:w="2325"/>
        <w:gridCol w:w="7035"/>
      </w:tblGrid>
      <w:tr>
        <w:trPr>
          <w:trHeight w:val="1" w:hRule="atLeast"/>
          <w:jc w:val="center"/>
          <w:cantSplit w:val="1"/>
        </w:trPr>
        <w:tc>
          <w:tcPr>
            <w:tcW w:w="232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Factors</w:t>
            </w:r>
          </w:p>
        </w:tc>
        <w:tc>
          <w:tcPr>
            <w:tcW w:w="70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Description</w:t>
            </w:r>
          </w:p>
        </w:tc>
      </w:tr>
      <w:tr>
        <w:trPr>
          <w:trHeight w:val="1" w:hRule="atLeast"/>
          <w:jc w:val="center"/>
          <w:cantSplit w:val="1"/>
        </w:trPr>
        <w:tc>
          <w:tcPr>
            <w:tcW w:w="232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Political</w:t>
            </w:r>
          </w:p>
        </w:tc>
        <w:tc>
          <w:tcPr>
            <w:tcW w:w="70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0"/>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Special value in this corporate</w:t>
            </w:r>
          </w:p>
          <w:p>
            <w:pPr>
              <w:numPr>
                <w:ilvl w:val="0"/>
                <w:numId w:val="30"/>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Impact of Brexit</w:t>
            </w:r>
          </w:p>
          <w:p>
            <w:pPr>
              <w:numPr>
                <w:ilvl w:val="0"/>
                <w:numId w:val="30"/>
              </w:numPr>
              <w:spacing w:before="0" w:after="0" w:line="360"/>
              <w:ind w:right="0" w:left="720"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Government support in Covid-19 pandemic</w:t>
            </w:r>
          </w:p>
        </w:tc>
      </w:tr>
      <w:tr>
        <w:trPr>
          <w:trHeight w:val="1" w:hRule="atLeast"/>
          <w:jc w:val="center"/>
          <w:cantSplit w:val="1"/>
        </w:trPr>
        <w:tc>
          <w:tcPr>
            <w:tcW w:w="232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Economical</w:t>
            </w:r>
          </w:p>
        </w:tc>
        <w:tc>
          <w:tcPr>
            <w:tcW w:w="70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3"/>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Low-cost labour</w:t>
            </w:r>
          </w:p>
          <w:p>
            <w:pPr>
              <w:numPr>
                <w:ilvl w:val="0"/>
                <w:numId w:val="33"/>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Retail customer spending power</w:t>
            </w:r>
          </w:p>
          <w:p>
            <w:pPr>
              <w:numPr>
                <w:ilvl w:val="0"/>
                <w:numId w:val="33"/>
              </w:numPr>
              <w:spacing w:before="0" w:after="0" w:line="360"/>
              <w:ind w:right="0" w:left="720"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Impact of pandemic</w:t>
            </w:r>
          </w:p>
        </w:tc>
      </w:tr>
      <w:tr>
        <w:trPr>
          <w:trHeight w:val="1" w:hRule="atLeast"/>
          <w:jc w:val="center"/>
          <w:cantSplit w:val="1"/>
        </w:trPr>
        <w:tc>
          <w:tcPr>
            <w:tcW w:w="232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Social</w:t>
            </w:r>
          </w:p>
        </w:tc>
        <w:tc>
          <w:tcPr>
            <w:tcW w:w="70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6"/>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Internet empowerment</w:t>
            </w:r>
          </w:p>
          <w:p>
            <w:pPr>
              <w:numPr>
                <w:ilvl w:val="0"/>
                <w:numId w:val="36"/>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Health consciousness</w:t>
            </w:r>
          </w:p>
          <w:p>
            <w:pPr>
              <w:numPr>
                <w:ilvl w:val="0"/>
                <w:numId w:val="36"/>
              </w:numPr>
              <w:spacing w:before="0" w:after="0" w:line="360"/>
              <w:ind w:right="0" w:left="720"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Promotion of diversity</w:t>
            </w:r>
          </w:p>
        </w:tc>
      </w:tr>
      <w:tr>
        <w:trPr>
          <w:trHeight w:val="1" w:hRule="atLeast"/>
          <w:jc w:val="center"/>
          <w:cantSplit w:val="1"/>
        </w:trPr>
        <w:tc>
          <w:tcPr>
            <w:tcW w:w="232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i/>
                <w:color w:val="000000"/>
                <w:spacing w:val="0"/>
                <w:position w:val="0"/>
                <w:sz w:val="24"/>
                <w:shd w:fill="auto" w:val="clear"/>
              </w:rPr>
              <w:t xml:space="preserve">Technological</w:t>
            </w:r>
          </w:p>
        </w:tc>
        <w:tc>
          <w:tcPr>
            <w:tcW w:w="70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9"/>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Social media</w:t>
            </w:r>
          </w:p>
          <w:p>
            <w:pPr>
              <w:numPr>
                <w:ilvl w:val="0"/>
                <w:numId w:val="39"/>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Digital marketing</w:t>
            </w:r>
          </w:p>
          <w:p>
            <w:pPr>
              <w:numPr>
                <w:ilvl w:val="0"/>
                <w:numId w:val="39"/>
              </w:numPr>
              <w:spacing w:before="0" w:after="0" w:line="360"/>
              <w:ind w:right="0" w:left="720"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Management of digital assets</w:t>
            </w:r>
          </w:p>
        </w:tc>
      </w:tr>
    </w:tbl>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2: PEST analysis for Next PLC</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Next, 2021)</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Political</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Exceptional worth in the corporate world after the Coronavirus pandemic assists with expanding the business development in the active apparel market. As argued by Wang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(2021), with a low-loan cost of </w:t>
      </w:r>
      <w:r>
        <w:rPr>
          <w:rFonts w:ascii="Times New Roman" w:hAnsi="Times New Roman" w:cs="Times New Roman" w:eastAsia="Times New Roman"/>
          <w:b/>
          <w:i/>
          <w:color w:val="000000"/>
          <w:spacing w:val="0"/>
          <w:position w:val="0"/>
          <w:sz w:val="24"/>
          <w:shd w:fill="auto" w:val="clear"/>
        </w:rPr>
        <w:t xml:space="preserve">2.6%</w:t>
      </w:r>
      <w:r>
        <w:rPr>
          <w:rFonts w:ascii="Times New Roman" w:hAnsi="Times New Roman" w:cs="Times New Roman" w:eastAsia="Times New Roman"/>
          <w:color w:val="000000"/>
          <w:spacing w:val="0"/>
          <w:position w:val="0"/>
          <w:sz w:val="24"/>
          <w:shd w:fill="auto" w:val="clear"/>
        </w:rPr>
        <w:t xml:space="preserve">, Next PLC can be paid with less expense from their clients. Worldwide expense contention gives business experiences to Next PLC to satisfy their business hole after the Covid pandemic. These basic political variables of Next PLC help to get business execution in the UK business viewpoints. Besides, the association is developing with these angles in the active apparel market, with </w:t>
      </w:r>
      <w:r>
        <w:rPr>
          <w:rFonts w:ascii="Times New Roman" w:hAnsi="Times New Roman" w:cs="Times New Roman" w:eastAsia="Times New Roman"/>
          <w:b/>
          <w:i/>
          <w:color w:val="000000"/>
          <w:spacing w:val="0"/>
          <w:position w:val="0"/>
          <w:sz w:val="24"/>
          <w:shd w:fill="auto" w:val="clear"/>
        </w:rPr>
        <w:t xml:space="preserve">61.2%</w:t>
      </w:r>
      <w:r>
        <w:rPr>
          <w:rFonts w:ascii="Times New Roman" w:hAnsi="Times New Roman" w:cs="Times New Roman" w:eastAsia="Times New Roman"/>
          <w:color w:val="000000"/>
          <w:spacing w:val="0"/>
          <w:position w:val="0"/>
          <w:sz w:val="24"/>
          <w:shd w:fill="auto" w:val="clear"/>
        </w:rPr>
        <w:t xml:space="preserve"> of market development in the worldwide market (Next PLC, 2021).</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8985" w:dyaOrig="4032">
          <v:rect xmlns:o="urn:schemas-microsoft-com:office:office" xmlns:v="urn:schemas-microsoft-com:vml" id="rectole0000000003" style="width:449.250000pt;height:201.6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4: PEST analysis</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Ponds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2018)</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Economic</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With minimal expense work, such efficient elements assisted Next PLC with being well being related to cognisance on the planet side situation. The improvement of "pocket finance" has assisted the association with supported connection of business with </w:t>
      </w:r>
      <w:r>
        <w:rPr>
          <w:rFonts w:ascii="Times New Roman" w:hAnsi="Times New Roman" w:cs="Times New Roman" w:eastAsia="Times New Roman"/>
          <w:b/>
          <w:i/>
          <w:color w:val="000000"/>
          <w:spacing w:val="0"/>
          <w:position w:val="0"/>
          <w:sz w:val="24"/>
          <w:shd w:fill="auto" w:val="clear"/>
        </w:rPr>
        <w:t xml:space="preserve">39%</w:t>
      </w:r>
      <w:r>
        <w:rPr>
          <w:rFonts w:ascii="Times New Roman" w:hAnsi="Times New Roman" w:cs="Times New Roman" w:eastAsia="Times New Roman"/>
          <w:color w:val="000000"/>
          <w:spacing w:val="0"/>
          <w:position w:val="0"/>
          <w:sz w:val="24"/>
          <w:shd w:fill="auto" w:val="clear"/>
        </w:rPr>
        <w:t xml:space="preserve"> of financial development on the lookout (Wang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2021). Next PLC is following the business methodologies with less created nations to keep up with their business discernment. Subsequently, the advancement has been viewed when contrasted with the other area around here industry development after the pandemic.</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Social</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Upkeep of advertising with business settings can be guaranteed with the direction of the business authority of Next PLC. This has fostered the whole situation of the created instance of business after the Coronavirus pandemic. More qualification in the social elements is bound to be identified with the defended investigation of Next PLC after the Coronavirus pandemic. The basic effect of Covid has made the business impression of the referenced organisation too. The pace of creation is very much kept up with by Next PLC to convey a fundamental creation after the Coronavirus flare-up.</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Technological</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association has fostered their online media stage that allows things to explode quicker. Furthermore, Next PLC is doing their business by building entrust with potential clients that can be a powerful utilisation of the </w:t>
      </w:r>
      <w:r>
        <w:rPr>
          <w:rFonts w:ascii="Times New Roman" w:hAnsi="Times New Roman" w:cs="Times New Roman" w:eastAsia="Times New Roman"/>
          <w:b/>
          <w:i/>
          <w:color w:val="000000"/>
          <w:spacing w:val="0"/>
          <w:position w:val="0"/>
          <w:sz w:val="24"/>
          <w:shd w:fill="auto" w:val="clear"/>
        </w:rPr>
        <w:t xml:space="preserve">"two sided deal"</w:t>
      </w:r>
      <w:r>
        <w:rPr>
          <w:rFonts w:ascii="Times New Roman" w:hAnsi="Times New Roman" w:cs="Times New Roman" w:eastAsia="Times New Roman"/>
          <w:color w:val="000000"/>
          <w:spacing w:val="0"/>
          <w:position w:val="0"/>
          <w:sz w:val="24"/>
          <w:shd w:fill="auto" w:val="clear"/>
        </w:rPr>
        <w:t xml:space="preserve"> system. Moreover, business improvement of important freedoms around the market assists with addressing production network issues with the assistance of specialised elements. Focusing on creation, Next PLC has empowered worth based data measurements according to the benefits as far as innovation.</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3.2 Threats and Opportunities</w:t>
      </w:r>
    </w:p>
    <w:tbl>
      <w:tblPr/>
      <w:tblGrid>
        <w:gridCol w:w="2955"/>
        <w:gridCol w:w="6405"/>
      </w:tblGrid>
      <w:tr>
        <w:trPr>
          <w:trHeight w:val="1" w:hRule="atLeast"/>
          <w:jc w:val="center"/>
          <w:cantSplit w:val="1"/>
        </w:trPr>
        <w:tc>
          <w:tcPr>
            <w:tcW w:w="29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Analytical perspective</w:t>
            </w:r>
          </w:p>
        </w:tc>
        <w:tc>
          <w:tcPr>
            <w:tcW w:w="64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Description</w:t>
            </w:r>
          </w:p>
        </w:tc>
      </w:tr>
      <w:tr>
        <w:trPr>
          <w:trHeight w:val="1" w:hRule="atLeast"/>
          <w:jc w:val="center"/>
          <w:cantSplit w:val="1"/>
        </w:trPr>
        <w:tc>
          <w:tcPr>
            <w:tcW w:w="29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Threats</w:t>
            </w:r>
          </w:p>
        </w:tc>
        <w:tc>
          <w:tcPr>
            <w:tcW w:w="64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50"/>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Counterfeiting</w:t>
            </w:r>
          </w:p>
          <w:p>
            <w:pPr>
              <w:numPr>
                <w:ilvl w:val="0"/>
                <w:numId w:val="50"/>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Aggressive competition</w:t>
            </w:r>
          </w:p>
          <w:p>
            <w:pPr>
              <w:numPr>
                <w:ilvl w:val="0"/>
                <w:numId w:val="50"/>
              </w:numPr>
              <w:spacing w:before="0" w:after="0" w:line="360"/>
              <w:ind w:right="0" w:left="720"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Retail and outdoor activities suspension by government</w:t>
            </w:r>
          </w:p>
        </w:tc>
      </w:tr>
      <w:tr>
        <w:trPr>
          <w:trHeight w:val="1" w:hRule="atLeast"/>
          <w:jc w:val="center"/>
          <w:cantSplit w:val="1"/>
        </w:trPr>
        <w:tc>
          <w:tcPr>
            <w:tcW w:w="29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Opportunities</w:t>
            </w:r>
          </w:p>
        </w:tc>
        <w:tc>
          <w:tcPr>
            <w:tcW w:w="64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53"/>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Growth of industry</w:t>
            </w:r>
          </w:p>
          <w:p>
            <w:pPr>
              <w:numPr>
                <w:ilvl w:val="0"/>
                <w:numId w:val="53"/>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Opportunities in the new market</w:t>
            </w:r>
          </w:p>
          <w:p>
            <w:pPr>
              <w:numPr>
                <w:ilvl w:val="0"/>
                <w:numId w:val="53"/>
              </w:numPr>
              <w:spacing w:before="0" w:after="0" w:line="360"/>
              <w:ind w:right="0" w:left="720"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Digital trends growing</w:t>
            </w:r>
          </w:p>
        </w:tc>
      </w:tr>
    </w:tbl>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3: Threats and opportunities of Next PLC</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Next PLC, 2021)</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Threats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famous and fundamental merchandise in the market is duplicating with the pace of creation with Next PLC as a notable brand. Worldwide exchange incorporates a high pace of phony creation of this market that can occur for Next PLC with a </w:t>
      </w:r>
      <w:r>
        <w:rPr>
          <w:rFonts w:ascii="Times New Roman" w:hAnsi="Times New Roman" w:cs="Times New Roman" w:eastAsia="Times New Roman"/>
          <w:b/>
          <w:i/>
          <w:color w:val="000000"/>
          <w:spacing w:val="0"/>
          <w:position w:val="0"/>
          <w:sz w:val="24"/>
          <w:shd w:fill="auto" w:val="clear"/>
        </w:rPr>
        <w:t xml:space="preserve">25%</w:t>
      </w:r>
      <w:r>
        <w:rPr>
          <w:rFonts w:ascii="Times New Roman" w:hAnsi="Times New Roman" w:cs="Times New Roman" w:eastAsia="Times New Roman"/>
          <w:color w:val="000000"/>
          <w:spacing w:val="0"/>
          <w:position w:val="0"/>
          <w:sz w:val="24"/>
          <w:shd w:fill="auto" w:val="clear"/>
        </w:rPr>
        <w:t xml:space="preserve"> decline in the commercial centre (Next PLC, 2021). The situation of the phony merchandise is stretching out as the worldwide exchange as the potential dangers on the lookout, which has been reached out as the business development rate. Monetary rivalry in the market has been destroyed with market initiative for Next PLC in this industry, which advances an enormous scope of promoting shares. Monetary rivalry in the portion of the overall industry when contrasted with Puma and Next PLC has diminished by </w:t>
      </w:r>
      <w:r>
        <w:rPr>
          <w:rFonts w:ascii="Times New Roman" w:hAnsi="Times New Roman" w:cs="Times New Roman" w:eastAsia="Times New Roman"/>
          <w:b/>
          <w:i/>
          <w:color w:val="000000"/>
          <w:spacing w:val="0"/>
          <w:position w:val="0"/>
          <w:sz w:val="24"/>
          <w:shd w:fill="auto" w:val="clear"/>
        </w:rPr>
        <w:t xml:space="preserve">49%</w:t>
      </w:r>
      <w:r>
        <w:rPr>
          <w:rFonts w:ascii="Times New Roman" w:hAnsi="Times New Roman" w:cs="Times New Roman" w:eastAsia="Times New Roman"/>
          <w:color w:val="000000"/>
          <w:spacing w:val="0"/>
          <w:position w:val="0"/>
          <w:sz w:val="24"/>
          <w:shd w:fill="auto" w:val="clear"/>
        </w:rPr>
        <w:t xml:space="preserve"> with regards to Next PLC in this commercial centre.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Opportunities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this area, the development has been expanded by </w:t>
      </w:r>
      <w:r>
        <w:rPr>
          <w:rFonts w:ascii="Times New Roman" w:hAnsi="Times New Roman" w:cs="Times New Roman" w:eastAsia="Times New Roman"/>
          <w:b/>
          <w:i/>
          <w:color w:val="000000"/>
          <w:spacing w:val="0"/>
          <w:position w:val="0"/>
          <w:sz w:val="24"/>
          <w:shd w:fill="auto" w:val="clear"/>
        </w:rPr>
        <w:t xml:space="preserve">2.6%</w:t>
      </w:r>
      <w:r>
        <w:rPr>
          <w:rFonts w:ascii="Times New Roman" w:hAnsi="Times New Roman" w:cs="Times New Roman" w:eastAsia="Times New Roman"/>
          <w:color w:val="000000"/>
          <w:spacing w:val="0"/>
          <w:position w:val="0"/>
          <w:sz w:val="24"/>
          <w:shd w:fill="auto" w:val="clear"/>
        </w:rPr>
        <w:t xml:space="preserve"> on a year-by-year premise to characterise the chances components of Next PLC. Additionally, the improvement of the association as far as promising circumstances, has been expanded from </w:t>
      </w:r>
      <w:r>
        <w:rPr>
          <w:rFonts w:ascii="Times New Roman" w:hAnsi="Times New Roman" w:cs="Times New Roman" w:eastAsia="Times New Roman"/>
          <w:b/>
          <w:i/>
          <w:color w:val="000000"/>
          <w:spacing w:val="0"/>
          <w:position w:val="0"/>
          <w:sz w:val="24"/>
          <w:shd w:fill="auto" w:val="clear"/>
        </w:rPr>
        <w:t xml:space="preserve">£1.8 trillion</w:t>
      </w:r>
      <w:r>
        <w:rPr>
          <w:rFonts w:ascii="Times New Roman" w:hAnsi="Times New Roman" w:cs="Times New Roman" w:eastAsia="Times New Roman"/>
          <w:color w:val="000000"/>
          <w:spacing w:val="0"/>
          <w:position w:val="0"/>
          <w:sz w:val="24"/>
          <w:shd w:fill="auto" w:val="clear"/>
        </w:rPr>
        <w:t xml:space="preserve"> to </w:t>
      </w:r>
      <w:r>
        <w:rPr>
          <w:rFonts w:ascii="Times New Roman" w:hAnsi="Times New Roman" w:cs="Times New Roman" w:eastAsia="Times New Roman"/>
          <w:b/>
          <w:i/>
          <w:color w:val="000000"/>
          <w:spacing w:val="0"/>
          <w:position w:val="0"/>
          <w:sz w:val="24"/>
          <w:shd w:fill="auto" w:val="clear"/>
        </w:rPr>
        <w:t xml:space="preserve">£2.1 trillion</w:t>
      </w:r>
      <w:r>
        <w:rPr>
          <w:rFonts w:ascii="Times New Roman" w:hAnsi="Times New Roman" w:cs="Times New Roman" w:eastAsia="Times New Roman"/>
          <w:color w:val="000000"/>
          <w:spacing w:val="0"/>
          <w:position w:val="0"/>
          <w:sz w:val="24"/>
          <w:shd w:fill="auto" w:val="clear"/>
        </w:rPr>
        <w:t xml:space="preserve"> (Next PLC, 2021). Newmarket entrance openings are one of the additions to focus for Next PLC to keep up with business discernment too. The gradual pace of developing patterns in computerised business development has been passed with the internet-based medium. The advancement in this market is created with current market patterns after the Coronavirus episode. Pandemic increments online deal likewise influences the all-out deals rate from </w:t>
      </w:r>
      <w:r>
        <w:rPr>
          <w:rFonts w:ascii="Times New Roman" w:hAnsi="Times New Roman" w:cs="Times New Roman" w:eastAsia="Times New Roman"/>
          <w:b/>
          <w:i/>
          <w:color w:val="000000"/>
          <w:spacing w:val="0"/>
          <w:position w:val="0"/>
          <w:sz w:val="24"/>
          <w:shd w:fill="auto" w:val="clear"/>
        </w:rPr>
        <w:t xml:space="preserve">18%</w:t>
      </w:r>
      <w:r>
        <w:rPr>
          <w:rFonts w:ascii="Times New Roman" w:hAnsi="Times New Roman" w:cs="Times New Roman" w:eastAsia="Times New Roman"/>
          <w:color w:val="000000"/>
          <w:spacing w:val="0"/>
          <w:position w:val="0"/>
          <w:sz w:val="24"/>
          <w:shd w:fill="auto" w:val="clear"/>
        </w:rPr>
        <w:t xml:space="preserve"> to </w:t>
      </w:r>
      <w:r>
        <w:rPr>
          <w:rFonts w:ascii="Times New Roman" w:hAnsi="Times New Roman" w:cs="Times New Roman" w:eastAsia="Times New Roman"/>
          <w:b/>
          <w:i/>
          <w:color w:val="000000"/>
          <w:spacing w:val="0"/>
          <w:position w:val="0"/>
          <w:sz w:val="24"/>
          <w:shd w:fill="auto" w:val="clear"/>
        </w:rPr>
        <w:t xml:space="preserve">25%</w:t>
      </w:r>
      <w:r>
        <w:rPr>
          <w:rFonts w:ascii="Times New Roman" w:hAnsi="Times New Roman" w:cs="Times New Roman" w:eastAsia="Times New Roman"/>
          <w:color w:val="000000"/>
          <w:spacing w:val="0"/>
          <w:position w:val="0"/>
          <w:sz w:val="24"/>
          <w:shd w:fill="auto" w:val="clear"/>
        </w:rPr>
        <w:t xml:space="preserve"> (Statista, 2021). These are the chance components with a high deals development rate with the business viewpoint of Next PLC in the active apparel industry.</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3.3 Industry Life Cycle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whole business life cycle is being made with the assistance of different phases of the modern turn of events. The fundamental situation of this industry is subject to the four phases, which are given beneath as follows: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Presentation stages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creation evaluation in the market has been created with the business patterns about Next PLC. This phase of the business life cycle has been identified with the outset of the business age for process division of the business connection too. The proposed connection of the underlying stage has been presented with Next PLC business advancement methodologies.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Development stage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this stage, the business-related defence accompanies the finding just as organisation plan procedures. As proposed by Sibghatullah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(2019), in such a manner, the contrast between the development stages and the presentation stage is constrained by the contender's creation rate. The necessities had been incorporated with the business prerequisite according to the contribution of tweaked bundles also.</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7509" w:dyaOrig="4901">
          <v:rect xmlns:o="urn:schemas-microsoft-com:office:office" xmlns:v="urn:schemas-microsoft-com:vml" id="rectole0000000004" style="width:375.450000pt;height:245.0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5: Industry life cycle</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Wiedemann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Development stage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this current stage, the business should be identified with the changing nature of the most recent innovation. The benefit created in this time has been connected with the business rate with the benefit boost process also. In addition, utilisations of clients have been settled in this stage according to the business necessity for the referenced organisation.</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Decay stage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stage is contributing as the business needs for the organisation's extra changes according to the most recent innovations. As mentioned by Markard (2020), in addition, in this stage, the creation endurance is identified with the business, creation and business enduring. Likewise, this situation corresponds with advertising improvement that can be ensured by the active apparel industry.</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4.0 Recommendation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Long haul business situations have been identified with the best quality concern and the advancement of Next PLC business just as displaying procedures. Considering the whole setting, it tends to be suggested that by following the beneath arrangements Next PLC can keep up with their business deals successfully.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The utilisation of most recent advancements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Clients of this industry are currently turning out to be more forms and easy to use to advancements. In such a manner, Next PLC can utilise the most recent and creative advances to make solid skills on the lookout (</w:t>
      </w:r>
      <w:r>
        <w:rPr>
          <w:rFonts w:ascii="Times New Roman" w:hAnsi="Times New Roman" w:cs="Times New Roman" w:eastAsia="Times New Roman"/>
          <w:color w:val="000000"/>
          <w:spacing w:val="0"/>
          <w:position w:val="0"/>
          <w:sz w:val="24"/>
          <w:shd w:fill="auto" w:val="clear"/>
        </w:rPr>
        <w:t xml:space="preserve">Čulin, 2018). The business rivalry can be acquired with the most recent advances according to the utilisation of new procedures. Next PLC can put a tremendous sum in their innovative work division to expand item sturdiness and the brand name of the organisation.</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6: Recommendations for Next PLC</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Created by the learner)</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Customised items accessibility </w:t>
      </w:r>
    </w:p>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this new time, clients are getting to the web to satisfy their everyday needs, which make their need the principal component. Next PLC can guarantee clients their items with contactless conveyance choices that can be successful with correlation quality. As illustrated by Wang</w:t>
      </w:r>
      <w:r>
        <w:rPr>
          <w:rFonts w:ascii="Times New Roman" w:hAnsi="Times New Roman" w:cs="Times New Roman" w:eastAsia="Times New Roman"/>
          <w:i/>
          <w:color w:val="000000"/>
          <w:spacing w:val="0"/>
          <w:position w:val="0"/>
          <w:sz w:val="24"/>
          <w:shd w:fill="auto" w:val="clear"/>
        </w:rPr>
        <w:t xml:space="preserve"> et al</w:t>
      </w:r>
      <w:r>
        <w:rPr>
          <w:rFonts w:ascii="Times New Roman" w:hAnsi="Times New Roman" w:cs="Times New Roman" w:eastAsia="Times New Roman"/>
          <w:color w:val="000000"/>
          <w:spacing w:val="0"/>
          <w:position w:val="0"/>
          <w:sz w:val="24"/>
          <w:shd w:fill="auto" w:val="clear"/>
        </w:rPr>
        <w:t xml:space="preserve">. (2017), brand dedication has been kept up with by applying such sorts of prerequisite satisfaction according to the conveyed choices to the clients. In such a manner, the accessibility of tailor-made items can be helpful for Next PLC to make appropriate additions in this industry.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The utilisation of business limited time procedures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Utilising various sorts of limited time procedures by Next PLC can be useful for them to find more importance in this market. In addition, the association should invent their uses according to the limited time business connection (Liu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 Thus, Next PLC can make advantageous business bits of knowledge towards the augmentation. The utilisation of the web is one of the stages for Next PLC limited time key business according to the review necessities.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These are the suggested arrangement methodologies for Next PLC that can assist them with expanding deals development in the commercial centre. The assessed improvement can be gotten with the advocated arrangement components about Next PLC.</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5.0 Conclusion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Because of the Covid pandemic, the entire speed of creation for Next PLC has been upset in Vietnam and their overall handling plants. The association would not supply from their suppliers to the extent limit system issues. In addition, because of this pandemic, Next PLC has lost a piece of the normal suppliers in the general region. Of course, the business and promoting action has been suspended because of Covid spreading. Apart from that, this survey displays the different sorts of business perspectives concerning Next PLC to choose their internal similarly as external business circumstance. Porter’s five powers help with dissecting progressive inward assessment and PEST examination helps with choosing the outside factors related to Next PLC business. In order to choose business risks and their possibilities guidelines, this fixation similarly gives a business life cycle. Largely dependent upon the risks, a couple of propositions have been unravelled in this investigation as per the essentials.</w:t>
      </w:r>
    </w:p>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Reference list</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Journals</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Čulin, J., 2018. Brominated flame retardants: recommendation for different listing under the Hong Kong convention. </w:t>
      </w:r>
      <w:r>
        <w:rPr>
          <w:rFonts w:ascii="Times New Roman" w:hAnsi="Times New Roman" w:cs="Times New Roman" w:eastAsia="Times New Roman"/>
          <w:i/>
          <w:color w:val="000000"/>
          <w:spacing w:val="0"/>
          <w:position w:val="0"/>
          <w:sz w:val="24"/>
          <w:shd w:fill="auto" w:val="clear"/>
        </w:rPr>
        <w:t xml:space="preserve">Science of The Total Environment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636</w:t>
      </w:r>
      <w:r>
        <w:rPr>
          <w:rFonts w:ascii="Times New Roman" w:hAnsi="Times New Roman" w:cs="Times New Roman" w:eastAsia="Times New Roman"/>
          <w:color w:val="000000"/>
          <w:spacing w:val="0"/>
          <w:position w:val="0"/>
          <w:sz w:val="24"/>
          <w:shd w:fill="auto" w:val="clear"/>
        </w:rPr>
        <w:t xml:space="preserve">, pp.919-926.</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Fiorenita, F. and Dwianika, A., 2021. Penerapan Five Porter Analysis pada Efektifitas Kelangsungan Usaha Pelaku UKM (Studi Kasus UD Rey Collection). </w:t>
      </w:r>
      <w:r>
        <w:rPr>
          <w:rFonts w:ascii="Times New Roman" w:hAnsi="Times New Roman" w:cs="Times New Roman" w:eastAsia="Times New Roman"/>
          <w:i/>
          <w:color w:val="000000"/>
          <w:spacing w:val="0"/>
          <w:position w:val="0"/>
          <w:sz w:val="24"/>
          <w:shd w:fill="auto" w:val="clear"/>
        </w:rPr>
        <w:t xml:space="preserve">JSMA (Jurnal Sains Manajemen dan Akuntansi)</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13</w:t>
      </w:r>
      <w:r>
        <w:rPr>
          <w:rFonts w:ascii="Times New Roman" w:hAnsi="Times New Roman" w:cs="Times New Roman" w:eastAsia="Times New Roman"/>
          <w:color w:val="000000"/>
          <w:spacing w:val="0"/>
          <w:position w:val="0"/>
          <w:sz w:val="24"/>
          <w:shd w:fill="auto" w:val="clear"/>
        </w:rPr>
        <w:t xml:space="preserve">(1), pp.37-47.</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Kabeyi, M.J.B., 2018. Michael porter’s five competitive forces and generetic strategies, market segmentation strategy and case study of competition in global smartphone manufacturing industry. </w:t>
      </w:r>
      <w:r>
        <w:rPr>
          <w:rFonts w:ascii="Times New Roman" w:hAnsi="Times New Roman" w:cs="Times New Roman" w:eastAsia="Times New Roman"/>
          <w:i/>
          <w:color w:val="000000"/>
          <w:spacing w:val="0"/>
          <w:position w:val="0"/>
          <w:sz w:val="24"/>
          <w:shd w:fill="auto" w:val="clear"/>
        </w:rPr>
        <w:t xml:space="preserve">IJAR</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4</w:t>
      </w:r>
      <w:r>
        <w:rPr>
          <w:rFonts w:ascii="Times New Roman" w:hAnsi="Times New Roman" w:cs="Times New Roman" w:eastAsia="Times New Roman"/>
          <w:color w:val="000000"/>
          <w:spacing w:val="0"/>
          <w:position w:val="0"/>
          <w:sz w:val="24"/>
          <w:shd w:fill="auto" w:val="clear"/>
        </w:rPr>
        <w:t xml:space="preserve">(10), pp.39-45.</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Liu, Y., Yuan, X., Xiong, Z., Kang, J., Wang, X. and Niyato, D., 2020. Federated learning for 6G communications: Challenges, methods, and future directions. </w:t>
      </w:r>
      <w:r>
        <w:rPr>
          <w:rFonts w:ascii="Times New Roman" w:hAnsi="Times New Roman" w:cs="Times New Roman" w:eastAsia="Times New Roman"/>
          <w:i/>
          <w:color w:val="000000"/>
          <w:spacing w:val="0"/>
          <w:position w:val="0"/>
          <w:sz w:val="24"/>
          <w:shd w:fill="auto" w:val="clear"/>
        </w:rPr>
        <w:t xml:space="preserve">China Communications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17</w:t>
      </w:r>
      <w:r>
        <w:rPr>
          <w:rFonts w:ascii="Times New Roman" w:hAnsi="Times New Roman" w:cs="Times New Roman" w:eastAsia="Times New Roman"/>
          <w:color w:val="000000"/>
          <w:spacing w:val="0"/>
          <w:position w:val="0"/>
          <w:sz w:val="24"/>
          <w:shd w:fill="auto" w:val="clear"/>
        </w:rPr>
        <w:t xml:space="preserve">(9), pp.105-118.</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Markard, J., 2020. The life cycle of technological innovation systems. </w:t>
      </w:r>
      <w:r>
        <w:rPr>
          <w:rFonts w:ascii="Times New Roman" w:hAnsi="Times New Roman" w:cs="Times New Roman" w:eastAsia="Times New Roman"/>
          <w:i/>
          <w:color w:val="000000"/>
          <w:spacing w:val="0"/>
          <w:position w:val="0"/>
          <w:sz w:val="24"/>
          <w:shd w:fill="auto" w:val="clear"/>
        </w:rPr>
        <w:t xml:space="preserve">Technological Forecasting and Social Change</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153</w:t>
      </w:r>
      <w:r>
        <w:rPr>
          <w:rFonts w:ascii="Times New Roman" w:hAnsi="Times New Roman" w:cs="Times New Roman" w:eastAsia="Times New Roman"/>
          <w:color w:val="000000"/>
          <w:spacing w:val="0"/>
          <w:position w:val="0"/>
          <w:sz w:val="24"/>
          <w:shd w:fill="auto" w:val="clear"/>
        </w:rPr>
        <w:t xml:space="preserve">, p.119407.</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Merritt, K. and Zhao, S., 2020. An Investigation of What Factors Determine the Way in Which Customer Satisfaction Is Increased through Omni-Channel Marketing in Retail. </w:t>
      </w:r>
      <w:r>
        <w:rPr>
          <w:rFonts w:ascii="Times New Roman" w:hAnsi="Times New Roman" w:cs="Times New Roman" w:eastAsia="Times New Roman"/>
          <w:i/>
          <w:color w:val="000000"/>
          <w:spacing w:val="0"/>
          <w:position w:val="0"/>
          <w:sz w:val="24"/>
          <w:shd w:fill="auto" w:val="clear"/>
        </w:rPr>
        <w:t xml:space="preserve">Administrative Sciences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10</w:t>
      </w:r>
      <w:r>
        <w:rPr>
          <w:rFonts w:ascii="Times New Roman" w:hAnsi="Times New Roman" w:cs="Times New Roman" w:eastAsia="Times New Roman"/>
          <w:color w:val="000000"/>
          <w:spacing w:val="0"/>
          <w:position w:val="0"/>
          <w:sz w:val="24"/>
          <w:shd w:fill="auto" w:val="clear"/>
        </w:rPr>
        <w:t xml:space="preserve">(4), p.85.</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Ponds, K.T., Arefi, A., Sayigh, A. and Ledwich, G., 2018. Aggregator of demand response for renewables integration and customer engagement: Strengths, weaknesses, opportunities, and threats. </w:t>
      </w:r>
      <w:r>
        <w:rPr>
          <w:rFonts w:ascii="Times New Roman" w:hAnsi="Times New Roman" w:cs="Times New Roman" w:eastAsia="Times New Roman"/>
          <w:i/>
          <w:color w:val="000000"/>
          <w:spacing w:val="0"/>
          <w:position w:val="0"/>
          <w:sz w:val="24"/>
          <w:shd w:fill="auto" w:val="clear"/>
        </w:rPr>
        <w:t xml:space="preserve">Energies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11</w:t>
      </w:r>
      <w:r>
        <w:rPr>
          <w:rFonts w:ascii="Times New Roman" w:hAnsi="Times New Roman" w:cs="Times New Roman" w:eastAsia="Times New Roman"/>
          <w:color w:val="000000"/>
          <w:spacing w:val="0"/>
          <w:position w:val="0"/>
          <w:sz w:val="24"/>
          <w:shd w:fill="auto" w:val="clear"/>
        </w:rPr>
        <w:t xml:space="preserve">(9), p.2391.</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Sahir, S.H. and Rosmawati, R., 2020. Improve Marketing Mix for Marketing Plan Strategic in Coffeeshop Business. </w:t>
      </w:r>
      <w:r>
        <w:rPr>
          <w:rFonts w:ascii="Times New Roman" w:hAnsi="Times New Roman" w:cs="Times New Roman" w:eastAsia="Times New Roman"/>
          <w:i/>
          <w:color w:val="000000"/>
          <w:spacing w:val="0"/>
          <w:position w:val="0"/>
          <w:sz w:val="24"/>
          <w:shd w:fill="auto" w:val="clear"/>
        </w:rPr>
        <w:t xml:space="preserve">Management Analysis Journal</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9</w:t>
      </w:r>
      <w:r>
        <w:rPr>
          <w:rFonts w:ascii="Times New Roman" w:hAnsi="Times New Roman" w:cs="Times New Roman" w:eastAsia="Times New Roman"/>
          <w:color w:val="000000"/>
          <w:spacing w:val="0"/>
          <w:position w:val="0"/>
          <w:sz w:val="24"/>
          <w:shd w:fill="auto" w:val="clear"/>
        </w:rPr>
        <w:t xml:space="preserve">(4), pp.459-466.</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Sibghatullah, A., Shamshir, M., Siddiqui, K. and Saeed, N., 2019. The Unification of Product Life-cycle and Industry Life-cycle: A Framework for Telecom Sector in Pakistan. </w:t>
      </w:r>
      <w:r>
        <w:rPr>
          <w:rFonts w:ascii="Times New Roman" w:hAnsi="Times New Roman" w:cs="Times New Roman" w:eastAsia="Times New Roman"/>
          <w:i/>
          <w:color w:val="000000"/>
          <w:spacing w:val="0"/>
          <w:position w:val="0"/>
          <w:sz w:val="24"/>
          <w:shd w:fill="auto" w:val="clear"/>
        </w:rPr>
        <w:t xml:space="preserve">IBT Journal of Business Studies (JBS)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15</w:t>
      </w:r>
      <w:r>
        <w:rPr>
          <w:rFonts w:ascii="Times New Roman" w:hAnsi="Times New Roman" w:cs="Times New Roman" w:eastAsia="Times New Roman"/>
          <w:color w:val="000000"/>
          <w:spacing w:val="0"/>
          <w:position w:val="0"/>
          <w:sz w:val="24"/>
          <w:shd w:fill="auto" w:val="clear"/>
        </w:rPr>
        <w:t xml:space="preserve">(1), pp.19-32.</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Varelas, S. and Georgopoulos, N., 2017. Porter's competitive forces in the modern globalised hospitality sector</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the case of a Greek tourism destination. </w:t>
      </w:r>
      <w:r>
        <w:rPr>
          <w:rFonts w:ascii="Times New Roman" w:hAnsi="Times New Roman" w:cs="Times New Roman" w:eastAsia="Times New Roman"/>
          <w:i/>
          <w:color w:val="000000"/>
          <w:spacing w:val="0"/>
          <w:position w:val="0"/>
          <w:sz w:val="24"/>
          <w:shd w:fill="auto" w:val="clear"/>
        </w:rPr>
        <w:t xml:space="preserve">J Tour Res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18</w:t>
      </w:r>
      <w:r>
        <w:rPr>
          <w:rFonts w:ascii="Times New Roman" w:hAnsi="Times New Roman" w:cs="Times New Roman" w:eastAsia="Times New Roman"/>
          <w:color w:val="000000"/>
          <w:spacing w:val="0"/>
          <w:position w:val="0"/>
          <w:sz w:val="24"/>
          <w:shd w:fill="auto" w:val="clear"/>
        </w:rPr>
        <w:t xml:space="preserve">, pp.121-131.</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Wang, H., Yang, X., Xu, X. and Fei, L., 2021. Exploring Opportunities and Challenges of Solar PV Power under Carbon Peak Scenario in China: A PEST Analysis. </w:t>
      </w:r>
      <w:r>
        <w:rPr>
          <w:rFonts w:ascii="Times New Roman" w:hAnsi="Times New Roman" w:cs="Times New Roman" w:eastAsia="Times New Roman"/>
          <w:i/>
          <w:color w:val="000000"/>
          <w:spacing w:val="0"/>
          <w:position w:val="0"/>
          <w:sz w:val="24"/>
          <w:shd w:fill="auto" w:val="clear"/>
        </w:rPr>
        <w:t xml:space="preserve">Energies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14</w:t>
      </w:r>
      <w:r>
        <w:rPr>
          <w:rFonts w:ascii="Times New Roman" w:hAnsi="Times New Roman" w:cs="Times New Roman" w:eastAsia="Times New Roman"/>
          <w:color w:val="000000"/>
          <w:spacing w:val="0"/>
          <w:position w:val="0"/>
          <w:sz w:val="24"/>
          <w:shd w:fill="auto" w:val="clear"/>
        </w:rPr>
        <w:t xml:space="preserve">(11), p.3061.</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Wang, Q., Zhou, W., Zeng, C., Li, T., Shwartz, L. and Grabarnik, G.Y., 2017, June. Constructing the knowledge base for cognitive it service management. In </w:t>
      </w:r>
      <w:r>
        <w:rPr>
          <w:rFonts w:ascii="Times New Roman" w:hAnsi="Times New Roman" w:cs="Times New Roman" w:eastAsia="Times New Roman"/>
          <w:i/>
          <w:color w:val="000000"/>
          <w:spacing w:val="0"/>
          <w:position w:val="0"/>
          <w:sz w:val="24"/>
          <w:shd w:fill="auto" w:val="clear"/>
        </w:rPr>
        <w:t xml:space="preserve">2017 IEEE International Conference on Services Computing (SCC)</w:t>
      </w:r>
      <w:r>
        <w:rPr>
          <w:rFonts w:ascii="Times New Roman" w:hAnsi="Times New Roman" w:cs="Times New Roman" w:eastAsia="Times New Roman"/>
          <w:color w:val="000000"/>
          <w:spacing w:val="0"/>
          <w:position w:val="0"/>
          <w:sz w:val="24"/>
          <w:shd w:fill="auto" w:val="clear"/>
        </w:rPr>
        <w:t xml:space="preserve"> (pp. 410-417). IEEE.</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Wait, L.A., 2018, April. Analysing the development of Indonesia shrimp industry. In </w:t>
      </w:r>
      <w:r>
        <w:rPr>
          <w:rFonts w:ascii="Times New Roman" w:hAnsi="Times New Roman" w:cs="Times New Roman" w:eastAsia="Times New Roman"/>
          <w:i/>
          <w:color w:val="000000"/>
          <w:spacing w:val="0"/>
          <w:position w:val="0"/>
          <w:sz w:val="24"/>
          <w:shd w:fill="auto" w:val="clear"/>
        </w:rPr>
        <w:t xml:space="preserve">IOP Conference Series: Earth and Environmental Science</w:t>
      </w:r>
      <w:r>
        <w:rPr>
          <w:rFonts w:ascii="Times New Roman" w:hAnsi="Times New Roman" w:cs="Times New Roman" w:eastAsia="Times New Roman"/>
          <w:color w:val="000000"/>
          <w:spacing w:val="0"/>
          <w:position w:val="0"/>
          <w:sz w:val="24"/>
          <w:shd w:fill="auto" w:val="clear"/>
        </w:rPr>
        <w:t xml:space="preserve"> (Vol. 137, No. 1, p. 012101). IOP Publishing.</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Wiedemann, S.G., Biggs, L., Nebel, B., Bauch, K., Laitala, K., Klepp, I.G., Swan, P.G. and Watson, K., 2020. Environmental impacts associated with the production, use, and end-of-life of a woollen garment. </w:t>
      </w:r>
      <w:r>
        <w:rPr>
          <w:rFonts w:ascii="Times New Roman" w:hAnsi="Times New Roman" w:cs="Times New Roman" w:eastAsia="Times New Roman"/>
          <w:i/>
          <w:color w:val="000000"/>
          <w:spacing w:val="0"/>
          <w:position w:val="0"/>
          <w:sz w:val="24"/>
          <w:shd w:fill="auto" w:val="clear"/>
        </w:rPr>
        <w:t xml:space="preserve">The International Journal of Life Cycle Assessment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25</w:t>
      </w:r>
      <w:r>
        <w:rPr>
          <w:rFonts w:ascii="Times New Roman" w:hAnsi="Times New Roman" w:cs="Times New Roman" w:eastAsia="Times New Roman"/>
          <w:color w:val="000000"/>
          <w:spacing w:val="0"/>
          <w:position w:val="0"/>
          <w:sz w:val="24"/>
          <w:shd w:fill="auto" w:val="clear"/>
        </w:rPr>
        <w:t xml:space="preserve">, pp.1486-1499. </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Zhang, L., Wu, L., Huang, L. and Zhang, Y., 2021. Wield the Power of Omni-channel Retailing Strategy: a Capability and Supply Chain Resilience Perspective. </w:t>
      </w:r>
      <w:r>
        <w:rPr>
          <w:rFonts w:ascii="Times New Roman" w:hAnsi="Times New Roman" w:cs="Times New Roman" w:eastAsia="Times New Roman"/>
          <w:i/>
          <w:color w:val="000000"/>
          <w:spacing w:val="0"/>
          <w:position w:val="0"/>
          <w:sz w:val="24"/>
          <w:shd w:fill="auto" w:val="clear"/>
        </w:rPr>
        <w:t xml:space="preserve">Journal of Strategic Marketing</w:t>
      </w:r>
      <w:r>
        <w:rPr>
          <w:rFonts w:ascii="Times New Roman" w:hAnsi="Times New Roman" w:cs="Times New Roman" w:eastAsia="Times New Roman"/>
          <w:color w:val="000000"/>
          <w:spacing w:val="0"/>
          <w:position w:val="0"/>
          <w:sz w:val="24"/>
          <w:shd w:fill="auto" w:val="clear"/>
        </w:rPr>
        <w:t xml:space="preserve">, pp.1-25.</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Websites</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Next PLC. (2020). </w:t>
      </w:r>
      <w:r>
        <w:rPr>
          <w:rFonts w:ascii="Times New Roman" w:hAnsi="Times New Roman" w:cs="Times New Roman" w:eastAsia="Times New Roman"/>
          <w:i/>
          <w:color w:val="000000"/>
          <w:spacing w:val="0"/>
          <w:position w:val="0"/>
          <w:sz w:val="24"/>
          <w:shd w:fill="auto" w:val="clear"/>
        </w:rPr>
        <w:t xml:space="preserve">AT A GLANCE</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10">
        <w:r>
          <w:rPr>
            <w:rFonts w:ascii="Times New Roman" w:hAnsi="Times New Roman" w:cs="Times New Roman" w:eastAsia="Times New Roman"/>
            <w:color w:val="000000"/>
            <w:spacing w:val="0"/>
            <w:position w:val="0"/>
            <w:sz w:val="24"/>
            <w:u w:val="single"/>
            <w:shd w:fill="auto" w:val="clear"/>
          </w:rPr>
          <w:t xml:space="preserve">https://www.nextplc.co.uk/about-next/at-a-glance</w:t>
        </w:r>
      </w:hyperlink>
      <w:r>
        <w:rPr>
          <w:rFonts w:ascii="Times New Roman" w:hAnsi="Times New Roman" w:cs="Times New Roman" w:eastAsia="Times New Roman"/>
          <w:color w:val="000000"/>
          <w:spacing w:val="0"/>
          <w:position w:val="0"/>
          <w:sz w:val="24"/>
          <w:shd w:fill="auto" w:val="clear"/>
        </w:rPr>
        <w:t xml:space="preserve"> [Accessed on 14 November 2021]</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Next PLC. (2021). </w:t>
      </w:r>
      <w:r>
        <w:rPr>
          <w:rFonts w:ascii="Times New Roman" w:hAnsi="Times New Roman" w:cs="Times New Roman" w:eastAsia="Times New Roman"/>
          <w:i/>
          <w:color w:val="000000"/>
          <w:spacing w:val="0"/>
          <w:position w:val="0"/>
          <w:sz w:val="24"/>
          <w:shd w:fill="auto" w:val="clear"/>
        </w:rPr>
        <w:t xml:space="preserve">Annual report January 2021</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11">
        <w:r>
          <w:rPr>
            <w:rFonts w:ascii="Times New Roman" w:hAnsi="Times New Roman" w:cs="Times New Roman" w:eastAsia="Times New Roman"/>
            <w:color w:val="000000"/>
            <w:spacing w:val="0"/>
            <w:position w:val="0"/>
            <w:sz w:val="24"/>
            <w:u w:val="single"/>
            <w:shd w:fill="auto" w:val="clear"/>
          </w:rPr>
          <w:t xml:space="preserve">https://www.nextplc.co.uk/~/media/Files/N/Next-PLC-V2/documents/2021/annual-report-and-accounts-jan21.pdf</w:t>
        </w:r>
      </w:hyperlink>
      <w:r>
        <w:rPr>
          <w:rFonts w:ascii="Times New Roman" w:hAnsi="Times New Roman" w:cs="Times New Roman" w:eastAsia="Times New Roman"/>
          <w:color w:val="000000"/>
          <w:spacing w:val="0"/>
          <w:position w:val="0"/>
          <w:sz w:val="24"/>
          <w:shd w:fill="auto" w:val="clear"/>
        </w:rPr>
        <w:t xml:space="preserve"> [Accessed on 14 November 2021]</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Statista. (2021). </w:t>
      </w:r>
      <w:r>
        <w:rPr>
          <w:rFonts w:ascii="Times New Roman" w:hAnsi="Times New Roman" w:cs="Times New Roman" w:eastAsia="Times New Roman"/>
          <w:i/>
          <w:color w:val="000000"/>
          <w:spacing w:val="0"/>
          <w:position w:val="0"/>
          <w:sz w:val="24"/>
          <w:shd w:fill="auto" w:val="clear"/>
        </w:rPr>
        <w:t xml:space="preserve">Annual revenue of Next plc from financial year 2012 to 2021 in the United Kingdom (UK)</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12">
        <w:r>
          <w:rPr>
            <w:rFonts w:ascii="Times New Roman" w:hAnsi="Times New Roman" w:cs="Times New Roman" w:eastAsia="Times New Roman"/>
            <w:color w:val="000000"/>
            <w:spacing w:val="0"/>
            <w:position w:val="0"/>
            <w:sz w:val="24"/>
            <w:u w:val="single"/>
            <w:shd w:fill="auto" w:val="clear"/>
          </w:rPr>
          <w:t xml:space="preserve">https://www.statista.com/statistics/544243/next-annual-revenue-uk/</w:t>
        </w:r>
      </w:hyperlink>
      <w:r>
        <w:rPr>
          <w:rFonts w:ascii="Times New Roman" w:hAnsi="Times New Roman" w:cs="Times New Roman" w:eastAsia="Times New Roman"/>
          <w:color w:val="000000"/>
          <w:spacing w:val="0"/>
          <w:position w:val="0"/>
          <w:sz w:val="24"/>
          <w:shd w:fill="auto" w:val="clear"/>
        </w:rPr>
        <w:t xml:space="preserve"> [Accessed on 14 November 2021]</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Statista. (2021). </w:t>
      </w:r>
      <w:r>
        <w:rPr>
          <w:rFonts w:ascii="Times New Roman" w:hAnsi="Times New Roman" w:cs="Times New Roman" w:eastAsia="Times New Roman"/>
          <w:i/>
          <w:color w:val="000000"/>
          <w:spacing w:val="0"/>
          <w:position w:val="0"/>
          <w:sz w:val="24"/>
          <w:shd w:fill="auto" w:val="clear"/>
        </w:rPr>
        <w:t xml:space="preserve">Sales of Next plc in financial years from 2015 to 2020, by channel</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13">
        <w:r>
          <w:rPr>
            <w:rFonts w:ascii="Times New Roman" w:hAnsi="Times New Roman" w:cs="Times New Roman" w:eastAsia="Times New Roman"/>
            <w:color w:val="000000"/>
            <w:spacing w:val="0"/>
            <w:position w:val="0"/>
            <w:sz w:val="24"/>
            <w:u w:val="single"/>
            <w:shd w:fill="auto" w:val="clear"/>
          </w:rPr>
          <w:t xml:space="preserve">https://www.statista.com/statistics/462365/next-sales-by-channel/</w:t>
        </w:r>
      </w:hyperlink>
      <w:r>
        <w:rPr>
          <w:rFonts w:ascii="Times New Roman" w:hAnsi="Times New Roman" w:cs="Times New Roman" w:eastAsia="Times New Roman"/>
          <w:color w:val="000000"/>
          <w:spacing w:val="0"/>
          <w:position w:val="0"/>
          <w:sz w:val="24"/>
          <w:shd w:fill="auto" w:val="clear"/>
        </w:rPr>
        <w:t xml:space="preserve"> [Accessed on 14 November 2021]</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num w:numId="12">
    <w:abstractNumId w:val="42"/>
  </w:num>
  <w:num w:numId="16">
    <w:abstractNumId w:val="36"/>
  </w:num>
  <w:num w:numId="30">
    <w:abstractNumId w:val="30"/>
  </w:num>
  <w:num w:numId="33">
    <w:abstractNumId w:val="24"/>
  </w:num>
  <w:num w:numId="36">
    <w:abstractNumId w:val="18"/>
  </w:num>
  <w:num w:numId="39">
    <w:abstractNumId w:val="12"/>
  </w:num>
  <w:num w:numId="50">
    <w:abstractNumId w:val="6"/>
  </w:num>
  <w:num w:numId="5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statista.com/statistics/462365/next-sales-by-channel/" Id="docRId13" Type="http://schemas.openxmlformats.org/officeDocument/2006/relationships/hyperlink" /><Relationship Target="media/image1.wmf" Id="docRId3" Type="http://schemas.openxmlformats.org/officeDocument/2006/relationships/image" /><Relationship Target="media/image3.wmf" Id="docRId7" Type="http://schemas.openxmlformats.org/officeDocument/2006/relationships/image" /><Relationship TargetMode="External" Target="https://www.nextplc.co.uk/about-next/at-a-glance" Id="docRId10" Type="http://schemas.openxmlformats.org/officeDocument/2006/relationships/hyperlink" /><Relationship Target="numbering.xml" Id="docRId14" Type="http://schemas.openxmlformats.org/officeDocument/2006/relationships/numbering"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ode="External" Target="https://www.nextplc.co.uk/~/media/Files/N/Next-PLC-V2/documents/2021/annual-report-and-accounts-jan21.pdf" Id="docRId11" Type="http://schemas.openxmlformats.org/officeDocument/2006/relationships/hyperlink" /><Relationship Target="styles.xml" Id="docRId15" Type="http://schemas.openxmlformats.org/officeDocument/2006/relationships/styles"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Mode="External" Target="https://www.statista.com/statistics/544243/next-annual-revenue-uk/" Id="docRId12" Type="http://schemas.openxmlformats.org/officeDocument/2006/relationships/hyperlink" /><Relationship Target="embeddings/oleObject2.bin" Id="docRId4" Type="http://schemas.openxmlformats.org/officeDocument/2006/relationships/oleObject" /><Relationship Target="embeddings/oleObject4.bin" Id="docRId8" Type="http://schemas.openxmlformats.org/officeDocument/2006/relationships/oleObject" /></Relationships>
</file>