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auto"/>
          <w:sz w:val="2"/>
          <w:szCs w:val="24"/>
          <w:lang w:val="en-GB" w:eastAsia="en-IN"/>
        </w:rPr>
        <w:id w:val="-1772075853"/>
        <w:docPartObj>
          <w:docPartGallery w:val="Cover Pages"/>
          <w:docPartUnique/>
        </w:docPartObj>
      </w:sdtPr>
      <w:sdtEndPr>
        <w:rPr>
          <w:b/>
          <w:color w:val="000000" w:themeColor="text1"/>
          <w:sz w:val="28"/>
        </w:rPr>
      </w:sdtEndPr>
      <w:sdtContent>
        <w:p w14:paraId="68E1CA29" w14:textId="4F6AB1B7" w:rsidR="006C6C4D" w:rsidRDefault="006C6C4D">
          <w:pPr>
            <w:pStyle w:val="NoSpacing"/>
            <w:rPr>
              <w:sz w:val="2"/>
            </w:rPr>
          </w:pPr>
        </w:p>
        <w:p w14:paraId="39158081" w14:textId="5BC4816E" w:rsidR="006C6C4D" w:rsidRDefault="006C6C4D">
          <w:r>
            <w:rPr>
              <w:noProof/>
            </w:rPr>
            <mc:AlternateContent>
              <mc:Choice Requires="wps">
                <w:drawing>
                  <wp:anchor distT="0" distB="0" distL="114300" distR="114300" simplePos="0" relativeHeight="251661312" behindDoc="0" locked="0" layoutInCell="1" allowOverlap="1" wp14:anchorId="08EFA723" wp14:editId="6CEBAE1F">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548DD4" w:themeColor="text2" w:themeTint="99"/>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71A765B" w14:textId="0A0045F7" w:rsidR="006C6C4D" w:rsidRPr="00CD5ACE" w:rsidRDefault="00CD5ACE" w:rsidP="00CD5ACE">
                                    <w:pPr>
                                      <w:pStyle w:val="NoSpacing"/>
                                      <w:jc w:val="center"/>
                                      <w:rPr>
                                        <w:rFonts w:ascii="Times New Roman" w:eastAsiaTheme="majorEastAsia" w:hAnsi="Times New Roman" w:cs="Times New Roman"/>
                                        <w:caps/>
                                        <w:color w:val="548DD4" w:themeColor="text2" w:themeTint="99"/>
                                        <w:sz w:val="96"/>
                                        <w:szCs w:val="96"/>
                                      </w:rPr>
                                    </w:pPr>
                                    <w:r w:rsidRPr="00CD5ACE">
                                      <w:rPr>
                                        <w:rFonts w:ascii="Times New Roman" w:eastAsiaTheme="majorEastAsia" w:hAnsi="Times New Roman" w:cs="Times New Roman"/>
                                        <w:caps/>
                                        <w:color w:val="548DD4" w:themeColor="text2" w:themeTint="99"/>
                                        <w:sz w:val="96"/>
                                        <w:szCs w:val="96"/>
                                      </w:rPr>
                                      <w:t xml:space="preserve">Report case study: the Seacrest </w:t>
                                    </w:r>
                                    <w:r>
                                      <w:rPr>
                                        <w:rFonts w:ascii="Times New Roman" w:eastAsiaTheme="majorEastAsia" w:hAnsi="Times New Roman" w:cs="Times New Roman"/>
                                        <w:caps/>
                                        <w:color w:val="548DD4" w:themeColor="text2" w:themeTint="99"/>
                                        <w:sz w:val="96"/>
                                        <w:szCs w:val="96"/>
                                      </w:rPr>
                                      <w:t>Lodge</w:t>
                                    </w:r>
                                  </w:p>
                                </w:sdtContent>
                              </w:sdt>
                              <w:p w14:paraId="2D3B69A9" w14:textId="11A94F0D" w:rsidR="006C6C4D" w:rsidRDefault="00000000">
                                <w:pPr>
                                  <w:pStyle w:val="NoSpacing"/>
                                  <w:spacing w:before="120"/>
                                  <w:rPr>
                                    <w:color w:val="4F81BD" w:themeColor="accent1"/>
                                    <w:sz w:val="36"/>
                                    <w:szCs w:val="36"/>
                                  </w:rPr>
                                </w:pPr>
                                <w:sdt>
                                  <w:sdtPr>
                                    <w:rPr>
                                      <w:color w:val="4F81BD"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CD5ACE">
                                      <w:rPr>
                                        <w:color w:val="4F81BD" w:themeColor="accent1"/>
                                        <w:sz w:val="36"/>
                                        <w:szCs w:val="36"/>
                                      </w:rPr>
                                      <w:t xml:space="preserve">     </w:t>
                                    </w:r>
                                  </w:sdtContent>
                                </w:sdt>
                                <w:r w:rsidR="006C6C4D">
                                  <w:rPr>
                                    <w:noProof/>
                                  </w:rPr>
                                  <w:t xml:space="preserve"> </w:t>
                                </w:r>
                              </w:p>
                              <w:p w14:paraId="5B5141BF" w14:textId="77777777" w:rsidR="006C6C4D" w:rsidRDefault="006C6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8EFA723" id="_x0000_t202" coordsize="21600,21600" o:spt="202" path="m,l,21600r21600,l21600,xe">
                    <v:stroke joinstyle="miter"/>
                    <v:path gradientshapeok="t" o:connecttype="rect"/>
                  </v:shapetype>
                  <v:shape id="Text Box 15"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heme="majorEastAsia" w:hAnsi="Times New Roman" w:cs="Times New Roman"/>
                              <w:caps/>
                              <w:color w:val="548DD4" w:themeColor="text2" w:themeTint="99"/>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71A765B" w14:textId="0A0045F7" w:rsidR="006C6C4D" w:rsidRPr="00CD5ACE" w:rsidRDefault="00CD5ACE" w:rsidP="00CD5ACE">
                              <w:pPr>
                                <w:pStyle w:val="NoSpacing"/>
                                <w:jc w:val="center"/>
                                <w:rPr>
                                  <w:rFonts w:ascii="Times New Roman" w:eastAsiaTheme="majorEastAsia" w:hAnsi="Times New Roman" w:cs="Times New Roman"/>
                                  <w:caps/>
                                  <w:color w:val="548DD4" w:themeColor="text2" w:themeTint="99"/>
                                  <w:sz w:val="96"/>
                                  <w:szCs w:val="96"/>
                                </w:rPr>
                              </w:pPr>
                              <w:r w:rsidRPr="00CD5ACE">
                                <w:rPr>
                                  <w:rFonts w:ascii="Times New Roman" w:eastAsiaTheme="majorEastAsia" w:hAnsi="Times New Roman" w:cs="Times New Roman"/>
                                  <w:caps/>
                                  <w:color w:val="548DD4" w:themeColor="text2" w:themeTint="99"/>
                                  <w:sz w:val="96"/>
                                  <w:szCs w:val="96"/>
                                </w:rPr>
                                <w:t xml:space="preserve">Report case study: the Seacrest </w:t>
                              </w:r>
                              <w:r>
                                <w:rPr>
                                  <w:rFonts w:ascii="Times New Roman" w:eastAsiaTheme="majorEastAsia" w:hAnsi="Times New Roman" w:cs="Times New Roman"/>
                                  <w:caps/>
                                  <w:color w:val="548DD4" w:themeColor="text2" w:themeTint="99"/>
                                  <w:sz w:val="96"/>
                                  <w:szCs w:val="96"/>
                                </w:rPr>
                                <w:t>Lodge</w:t>
                              </w:r>
                            </w:p>
                          </w:sdtContent>
                        </w:sdt>
                        <w:p w14:paraId="2D3B69A9" w14:textId="11A94F0D" w:rsidR="006C6C4D" w:rsidRDefault="00000000">
                          <w:pPr>
                            <w:pStyle w:val="NoSpacing"/>
                            <w:spacing w:before="120"/>
                            <w:rPr>
                              <w:color w:val="4F81BD" w:themeColor="accent1"/>
                              <w:sz w:val="36"/>
                              <w:szCs w:val="36"/>
                            </w:rPr>
                          </w:pPr>
                          <w:sdt>
                            <w:sdtPr>
                              <w:rPr>
                                <w:color w:val="4F81BD"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CD5ACE">
                                <w:rPr>
                                  <w:color w:val="4F81BD" w:themeColor="accent1"/>
                                  <w:sz w:val="36"/>
                                  <w:szCs w:val="36"/>
                                </w:rPr>
                                <w:t xml:space="preserve">     </w:t>
                              </w:r>
                            </w:sdtContent>
                          </w:sdt>
                          <w:r w:rsidR="006C6C4D">
                            <w:rPr>
                              <w:noProof/>
                            </w:rPr>
                            <w:t xml:space="preserve"> </w:t>
                          </w:r>
                        </w:p>
                        <w:p w14:paraId="5B5141BF" w14:textId="77777777" w:rsidR="006C6C4D" w:rsidRDefault="006C6C4D"/>
                      </w:txbxContent>
                    </v:textbox>
                    <w10:wrap anchorx="page" anchory="margin"/>
                  </v:shape>
                </w:pict>
              </mc:Fallback>
            </mc:AlternateContent>
          </w:r>
        </w:p>
        <w:p w14:paraId="5A00CFAF" w14:textId="47E695EB" w:rsidR="006C6C4D" w:rsidRDefault="00B477FB">
          <w:pPr>
            <w:rPr>
              <w:b/>
              <w:color w:val="000000" w:themeColor="text1"/>
              <w:sz w:val="28"/>
            </w:rPr>
          </w:pPr>
          <w:r>
            <w:rPr>
              <w:noProof/>
            </w:rPr>
            <mc:AlternateContent>
              <mc:Choice Requires="wps">
                <w:drawing>
                  <wp:anchor distT="0" distB="0" distL="114300" distR="114300" simplePos="0" relativeHeight="251659264" behindDoc="0" locked="0" layoutInCell="1" allowOverlap="1" wp14:anchorId="4E576362" wp14:editId="6845930C">
                    <wp:simplePos x="0" y="0"/>
                    <wp:positionH relativeFrom="page">
                      <wp:posOffset>1767205</wp:posOffset>
                    </wp:positionH>
                    <wp:positionV relativeFrom="margin">
                      <wp:posOffset>5974080</wp:posOffset>
                    </wp:positionV>
                    <wp:extent cx="5387340" cy="3116580"/>
                    <wp:effectExtent l="0" t="0" r="3810" b="7620"/>
                    <wp:wrapNone/>
                    <wp:docPr id="69" name="Text Box 16"/>
                    <wp:cNvGraphicFramePr/>
                    <a:graphic xmlns:a="http://schemas.openxmlformats.org/drawingml/2006/main">
                      <a:graphicData uri="http://schemas.microsoft.com/office/word/2010/wordprocessingShape">
                        <wps:wsp>
                          <wps:cNvSpPr txBox="1"/>
                          <wps:spPr>
                            <a:xfrm>
                              <a:off x="0" y="0"/>
                              <a:ext cx="5387340" cy="3116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9B9D8"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The Module Title: Financial Management for the Hotel Industry BMIH5007</w:t>
                                </w:r>
                              </w:p>
                              <w:p w14:paraId="034B8045"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Student Name: Ada Roman</w:t>
                                </w:r>
                              </w:p>
                              <w:p w14:paraId="028480A8"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Student ID: 2207421</w:t>
                                </w:r>
                              </w:p>
                              <w:p w14:paraId="3048593E"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Module Tutor: Tristan Hawkins</w:t>
                                </w:r>
                              </w:p>
                              <w:p w14:paraId="62947071" w14:textId="25B39222" w:rsidR="00CD5ACE" w:rsidRPr="00CD5ACE" w:rsidRDefault="00CD5ACE" w:rsidP="00CD5ACE">
                                <w:pPr>
                                  <w:pStyle w:val="NoSpacing"/>
                                  <w:rPr>
                                    <w:color w:val="4F81BD" w:themeColor="accent1"/>
                                    <w:sz w:val="36"/>
                                    <w:szCs w:val="36"/>
                                  </w:rPr>
                                </w:pPr>
                                <w:r w:rsidRPr="00CD5ACE">
                                  <w:rPr>
                                    <w:color w:val="4F81BD" w:themeColor="accent1"/>
                                    <w:sz w:val="36"/>
                                    <w:szCs w:val="36"/>
                                  </w:rPr>
                                  <w:t>Submission date:</w:t>
                                </w:r>
                                <w:r>
                                  <w:rPr>
                                    <w:color w:val="4F81BD" w:themeColor="accent1"/>
                                    <w:sz w:val="36"/>
                                    <w:szCs w:val="36"/>
                                  </w:rPr>
                                  <w:t>29</w:t>
                                </w:r>
                                <w:r w:rsidRPr="00CD5ACE">
                                  <w:rPr>
                                    <w:color w:val="4F81BD" w:themeColor="accent1"/>
                                    <w:sz w:val="36"/>
                                    <w:szCs w:val="36"/>
                                  </w:rPr>
                                  <w:t>/02/2024</w:t>
                                </w:r>
                              </w:p>
                              <w:p w14:paraId="54A56A09" w14:textId="720BD616" w:rsidR="006C6C4D" w:rsidRDefault="00CD5ACE" w:rsidP="00CD5ACE">
                                <w:pPr>
                                  <w:pStyle w:val="NoSpacing"/>
                                  <w:rPr>
                                    <w:color w:val="4F81BD" w:themeColor="accent1"/>
                                    <w:sz w:val="36"/>
                                    <w:szCs w:val="36"/>
                                  </w:rPr>
                                </w:pPr>
                                <w:r w:rsidRPr="00CD5ACE">
                                  <w:rPr>
                                    <w:color w:val="4F81BD" w:themeColor="accent1"/>
                                    <w:sz w:val="36"/>
                                    <w:szCs w:val="36"/>
                                  </w:rPr>
                                  <w:t>Wordcount:</w:t>
                                </w:r>
                                <w:r w:rsidR="00C558A6">
                                  <w:rPr>
                                    <w:color w:val="4F81BD" w:themeColor="accent1"/>
                                    <w:sz w:val="36"/>
                                    <w:szCs w:val="36"/>
                                  </w:rPr>
                                  <w:t xml:space="preserve"> 2086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576362" id="Text Box 16" o:spid="_x0000_s1027" type="#_x0000_t202" style="position:absolute;left:0;text-align:left;margin-left:139.15pt;margin-top:470.4pt;width:424.2pt;height:24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" filled="f" stroked="f" strokeweight=".5pt">
                    <v:textbox inset="0,0,0,0">
                      <w:txbxContent>
                        <w:p w14:paraId="4DA9B9D8"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The Module Title: Financial Management for the Hotel Industry BMIH5007</w:t>
                          </w:r>
                        </w:p>
                        <w:p w14:paraId="034B8045"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Student Name: Ada Roman</w:t>
                          </w:r>
                        </w:p>
                        <w:p w14:paraId="028480A8"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Student ID: 2207421</w:t>
                          </w:r>
                        </w:p>
                        <w:p w14:paraId="3048593E" w14:textId="77777777" w:rsidR="00CD5ACE" w:rsidRPr="00CD5ACE" w:rsidRDefault="00CD5ACE" w:rsidP="00CD5ACE">
                          <w:pPr>
                            <w:pStyle w:val="NoSpacing"/>
                            <w:rPr>
                              <w:color w:val="4F81BD" w:themeColor="accent1"/>
                              <w:sz w:val="36"/>
                              <w:szCs w:val="36"/>
                            </w:rPr>
                          </w:pPr>
                          <w:r w:rsidRPr="00CD5ACE">
                            <w:rPr>
                              <w:color w:val="4F81BD" w:themeColor="accent1"/>
                              <w:sz w:val="36"/>
                              <w:szCs w:val="36"/>
                            </w:rPr>
                            <w:t>Module Tutor: Tristan Hawkins</w:t>
                          </w:r>
                        </w:p>
                        <w:p w14:paraId="62947071" w14:textId="25B39222" w:rsidR="00CD5ACE" w:rsidRPr="00CD5ACE" w:rsidRDefault="00CD5ACE" w:rsidP="00CD5ACE">
                          <w:pPr>
                            <w:pStyle w:val="NoSpacing"/>
                            <w:rPr>
                              <w:color w:val="4F81BD" w:themeColor="accent1"/>
                              <w:sz w:val="36"/>
                              <w:szCs w:val="36"/>
                            </w:rPr>
                          </w:pPr>
                          <w:r w:rsidRPr="00CD5ACE">
                            <w:rPr>
                              <w:color w:val="4F81BD" w:themeColor="accent1"/>
                              <w:sz w:val="36"/>
                              <w:szCs w:val="36"/>
                            </w:rPr>
                            <w:t>Submission date:</w:t>
                          </w:r>
                          <w:r>
                            <w:rPr>
                              <w:color w:val="4F81BD" w:themeColor="accent1"/>
                              <w:sz w:val="36"/>
                              <w:szCs w:val="36"/>
                            </w:rPr>
                            <w:t>29</w:t>
                          </w:r>
                          <w:r w:rsidRPr="00CD5ACE">
                            <w:rPr>
                              <w:color w:val="4F81BD" w:themeColor="accent1"/>
                              <w:sz w:val="36"/>
                              <w:szCs w:val="36"/>
                            </w:rPr>
                            <w:t>/02/2024</w:t>
                          </w:r>
                        </w:p>
                        <w:p w14:paraId="54A56A09" w14:textId="720BD616" w:rsidR="006C6C4D" w:rsidRDefault="00CD5ACE" w:rsidP="00CD5ACE">
                          <w:pPr>
                            <w:pStyle w:val="NoSpacing"/>
                            <w:rPr>
                              <w:color w:val="4F81BD" w:themeColor="accent1"/>
                              <w:sz w:val="36"/>
                              <w:szCs w:val="36"/>
                            </w:rPr>
                          </w:pPr>
                          <w:r w:rsidRPr="00CD5ACE">
                            <w:rPr>
                              <w:color w:val="4F81BD" w:themeColor="accent1"/>
                              <w:sz w:val="36"/>
                              <w:szCs w:val="36"/>
                            </w:rPr>
                            <w:t>Wordcount:</w:t>
                          </w:r>
                          <w:r w:rsidR="00C558A6">
                            <w:rPr>
                              <w:color w:val="4F81BD" w:themeColor="accent1"/>
                              <w:sz w:val="36"/>
                              <w:szCs w:val="36"/>
                            </w:rPr>
                            <w:t xml:space="preserve"> 2086</w:t>
                          </w:r>
                        </w:p>
                      </w:txbxContent>
                    </v:textbox>
                    <w10:wrap anchorx="page" anchory="margin"/>
                  </v:shape>
                </w:pict>
              </mc:Fallback>
            </mc:AlternateContent>
          </w:r>
          <w:r w:rsidR="00CD5ACE">
            <w:rPr>
              <w:noProof/>
              <w:color w:val="4F81BD" w:themeColor="accent1"/>
              <w:sz w:val="36"/>
              <w:szCs w:val="36"/>
            </w:rPr>
            <mc:AlternateContent>
              <mc:Choice Requires="wpg">
                <w:drawing>
                  <wp:anchor distT="0" distB="0" distL="114300" distR="114300" simplePos="0" relativeHeight="251660288" behindDoc="1" locked="0" layoutInCell="1" allowOverlap="1" wp14:anchorId="2883D53F" wp14:editId="09E90CD4">
                    <wp:simplePos x="0" y="0"/>
                    <wp:positionH relativeFrom="page">
                      <wp:posOffset>617220</wp:posOffset>
                    </wp:positionH>
                    <wp:positionV relativeFrom="page">
                      <wp:posOffset>3230880</wp:posOffset>
                    </wp:positionV>
                    <wp:extent cx="6271260" cy="5506260"/>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271260" cy="550626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17DE37BB" id="Group 2" o:spid="_x0000_s1026" style="position:absolute;margin-left:48.6pt;margin-top:254.4pt;width:493.8pt;height:433.55pt;z-index:-251656192;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6C6C4D">
            <w:rPr>
              <w:b/>
              <w:color w:val="000000" w:themeColor="text1"/>
              <w:sz w:val="28"/>
            </w:rPr>
            <w:br w:type="page"/>
          </w:r>
        </w:p>
      </w:sdtContent>
    </w:sdt>
    <w:p w14:paraId="65639274" w14:textId="4C259661" w:rsidR="00A403A6" w:rsidRPr="005E2498" w:rsidRDefault="00A403A6" w:rsidP="005E2498">
      <w:pPr>
        <w:pStyle w:val="Heading1"/>
      </w:pPr>
      <w:bookmarkStart w:id="0" w:name="_Toc160051020"/>
      <w:bookmarkStart w:id="1" w:name="_Toc160053001"/>
      <w:bookmarkStart w:id="2" w:name="_Toc160138129"/>
      <w:bookmarkStart w:id="3" w:name="_Toc159521013"/>
      <w:r w:rsidRPr="005E2498">
        <w:lastRenderedPageBreak/>
        <w:t>Executive Summary</w:t>
      </w:r>
      <w:bookmarkEnd w:id="0"/>
      <w:bookmarkEnd w:id="1"/>
      <w:bookmarkEnd w:id="2"/>
    </w:p>
    <w:p w14:paraId="1ADEE2D9" w14:textId="3493AC37" w:rsidR="00A403A6" w:rsidRPr="00A403A6" w:rsidRDefault="00A403A6" w:rsidP="00A403A6">
      <w:r>
        <w:t xml:space="preserve">   </w:t>
      </w:r>
      <w:r w:rsidRPr="00A403A6">
        <w:t>This re</w:t>
      </w:r>
      <w:r>
        <w:t>port</w:t>
      </w:r>
      <w:r w:rsidRPr="00A403A6">
        <w:t xml:space="preserve"> offers a thorough examination of Seacrest Lodge's financial performance over the course of three financial periods, pinpointing the main causes of the company's diminishing profitability and outlining a detailed turnaround plan to restore its financial stability.</w:t>
      </w:r>
    </w:p>
    <w:p w14:paraId="4DBB1719" w14:textId="66D90BF8" w:rsidR="00A403A6" w:rsidRPr="00A403A6" w:rsidRDefault="00A403A6" w:rsidP="00A403A6">
      <w:r w:rsidRPr="00A403A6">
        <w:t xml:space="preserve">The analysis evaluates the lodge's financial situation using </w:t>
      </w:r>
      <w:r w:rsidR="00B477FB">
        <w:t>several</w:t>
      </w:r>
      <w:r w:rsidRPr="00A403A6">
        <w:t xml:space="preserve"> financial measures, such as ratio analysis. It shows a sharp drop in profitability, liquidity, and return on equity and assets, pointing to difficulties in controlling operating costs and revenue production. These problems are further made worse by outside variables like Brexit, the conflict between Russia and Ukraine, and inflation. </w:t>
      </w:r>
      <w:r>
        <w:t xml:space="preserve">The research suggests a complete turnaround approach that includes asset retrenchment, replacement, promotion, and triage </w:t>
      </w:r>
      <w:r w:rsidR="00B477FB">
        <w:t>to</w:t>
      </w:r>
      <w:r>
        <w:t xml:space="preserve"> address these problems. </w:t>
      </w:r>
      <w:r w:rsidR="00B477FB">
        <w:t>To</w:t>
      </w:r>
      <w:r>
        <w:t xml:space="preserve"> promote revenue development and profitability, these methods seek to improve market visibility, </w:t>
      </w:r>
      <w:r w:rsidR="00B477FB">
        <w:t>optimize</w:t>
      </w:r>
      <w:r>
        <w:t xml:space="preserve"> resource allocation, and streamline processes.</w:t>
      </w:r>
      <w:r w:rsidR="00B477FB">
        <w:t xml:space="preserve"> To</w:t>
      </w:r>
      <w:r>
        <w:t xml:space="preserve"> achieve sustainable growth, the report also highlights how critical it is to handle both financial and non-financial factors, such as supply chain management and personnel retention. It concludes that </w:t>
      </w:r>
      <w:r w:rsidR="00B477FB">
        <w:t>for</w:t>
      </w:r>
      <w:r>
        <w:t xml:space="preserve"> Seacrest Lodge to overcome its current difficulties and achieve long-term success, </w:t>
      </w:r>
      <w:r w:rsidR="00B477FB">
        <w:t>the measures suggested must be</w:t>
      </w:r>
      <w:r>
        <w:t xml:space="preserve"> put into practice.</w:t>
      </w:r>
    </w:p>
    <w:p w14:paraId="7ECD7581" w14:textId="34B7D8FC" w:rsidR="00E10223" w:rsidRDefault="00A403A6">
      <w:r>
        <w:br w:type="page"/>
      </w:r>
    </w:p>
    <w:sdt>
      <w:sdtPr>
        <w:rPr>
          <w:rFonts w:ascii="Times New Roman" w:eastAsia="Times New Roman" w:hAnsi="Times New Roman" w:cs="Times New Roman"/>
          <w:color w:val="auto"/>
          <w:sz w:val="24"/>
          <w:szCs w:val="24"/>
          <w:lang w:val="en-GB" w:eastAsia="en-IN"/>
        </w:rPr>
        <w:id w:val="1091899173"/>
        <w:docPartObj>
          <w:docPartGallery w:val="Table of Contents"/>
          <w:docPartUnique/>
        </w:docPartObj>
      </w:sdtPr>
      <w:sdtEndPr>
        <w:rPr>
          <w:b/>
          <w:bCs/>
          <w:noProof/>
        </w:rPr>
      </w:sdtEndPr>
      <w:sdtContent>
        <w:p w14:paraId="3FA50799" w14:textId="0006FEEA" w:rsidR="00C558A6" w:rsidRDefault="00C558A6" w:rsidP="00C558A6">
          <w:pPr>
            <w:pStyle w:val="TOCHeading"/>
            <w:jc w:val="center"/>
            <w:rPr>
              <w:rFonts w:ascii="Times New Roman" w:hAnsi="Times New Roman" w:cs="Times New Roman"/>
              <w:color w:val="auto"/>
              <w:sz w:val="72"/>
              <w:szCs w:val="72"/>
            </w:rPr>
          </w:pPr>
          <w:r w:rsidRPr="00C558A6">
            <w:rPr>
              <w:rFonts w:ascii="Times New Roman" w:hAnsi="Times New Roman" w:cs="Times New Roman"/>
              <w:color w:val="auto"/>
              <w:sz w:val="72"/>
              <w:szCs w:val="72"/>
            </w:rPr>
            <w:t>Contents</w:t>
          </w:r>
        </w:p>
        <w:p w14:paraId="7AC3F1C4" w14:textId="77777777" w:rsidR="00C558A6" w:rsidRDefault="00C558A6" w:rsidP="00C558A6">
          <w:pPr>
            <w:rPr>
              <w:lang w:val="en-US" w:eastAsia="en-US"/>
            </w:rPr>
          </w:pPr>
        </w:p>
        <w:p w14:paraId="1C6945AC" w14:textId="77777777" w:rsidR="00C558A6" w:rsidRPr="00C558A6" w:rsidRDefault="00C558A6" w:rsidP="00C558A6">
          <w:pPr>
            <w:rPr>
              <w:lang w:val="en-US" w:eastAsia="en-US"/>
            </w:rPr>
          </w:pPr>
        </w:p>
        <w:p w14:paraId="0D6E2F72" w14:textId="09A2F7F7" w:rsidR="00C558A6" w:rsidRPr="00C558A6" w:rsidRDefault="00C558A6">
          <w:pPr>
            <w:pStyle w:val="TOC1"/>
            <w:tabs>
              <w:tab w:val="right" w:leader="dot" w:pos="9019"/>
            </w:tabs>
            <w:rPr>
              <w:rFonts w:asciiTheme="minorHAnsi" w:eastAsiaTheme="minorEastAsia" w:hAnsiTheme="minorHAnsi" w:cstheme="minorBidi"/>
              <w:noProof/>
              <w:kern w:val="2"/>
              <w:sz w:val="28"/>
              <w:szCs w:val="28"/>
              <w:lang w:eastAsia="en-GB"/>
              <w14:ligatures w14:val="standardContextual"/>
            </w:rPr>
          </w:pPr>
          <w:r>
            <w:fldChar w:fldCharType="begin"/>
          </w:r>
          <w:r>
            <w:instrText xml:space="preserve"> TOC \o "1-3" \h \z \u </w:instrText>
          </w:r>
          <w:r>
            <w:fldChar w:fldCharType="separate"/>
          </w:r>
          <w:hyperlink w:anchor="_Toc160138129" w:history="1">
            <w:r w:rsidRPr="00C558A6">
              <w:rPr>
                <w:rStyle w:val="Hyperlink"/>
                <w:noProof/>
                <w:sz w:val="28"/>
                <w:szCs w:val="28"/>
              </w:rPr>
              <w:t>Executive Summary</w:t>
            </w:r>
            <w:r w:rsidRPr="00C558A6">
              <w:rPr>
                <w:noProof/>
                <w:webHidden/>
                <w:sz w:val="28"/>
                <w:szCs w:val="28"/>
              </w:rPr>
              <w:tab/>
            </w:r>
            <w:r w:rsidRPr="00C558A6">
              <w:rPr>
                <w:noProof/>
                <w:webHidden/>
                <w:sz w:val="28"/>
                <w:szCs w:val="28"/>
              </w:rPr>
              <w:fldChar w:fldCharType="begin"/>
            </w:r>
            <w:r w:rsidRPr="00C558A6">
              <w:rPr>
                <w:noProof/>
                <w:webHidden/>
                <w:sz w:val="28"/>
                <w:szCs w:val="28"/>
              </w:rPr>
              <w:instrText xml:space="preserve"> PAGEREF _Toc160138129 \h </w:instrText>
            </w:r>
            <w:r w:rsidRPr="00C558A6">
              <w:rPr>
                <w:noProof/>
                <w:webHidden/>
                <w:sz w:val="28"/>
                <w:szCs w:val="28"/>
              </w:rPr>
            </w:r>
            <w:r w:rsidRPr="00C558A6">
              <w:rPr>
                <w:noProof/>
                <w:webHidden/>
                <w:sz w:val="28"/>
                <w:szCs w:val="28"/>
              </w:rPr>
              <w:fldChar w:fldCharType="separate"/>
            </w:r>
            <w:r w:rsidRPr="00C558A6">
              <w:rPr>
                <w:noProof/>
                <w:webHidden/>
                <w:sz w:val="28"/>
                <w:szCs w:val="28"/>
              </w:rPr>
              <w:t>1</w:t>
            </w:r>
            <w:r w:rsidRPr="00C558A6">
              <w:rPr>
                <w:noProof/>
                <w:webHidden/>
                <w:sz w:val="28"/>
                <w:szCs w:val="28"/>
              </w:rPr>
              <w:fldChar w:fldCharType="end"/>
            </w:r>
          </w:hyperlink>
        </w:p>
        <w:p w14:paraId="571ED0B9" w14:textId="7EC3B443" w:rsidR="00C558A6" w:rsidRPr="00C558A6" w:rsidRDefault="00000000">
          <w:pPr>
            <w:pStyle w:val="TOC1"/>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0" w:history="1">
            <w:r w:rsidR="00C558A6" w:rsidRPr="00C558A6">
              <w:rPr>
                <w:rStyle w:val="Hyperlink"/>
                <w:noProof/>
                <w:sz w:val="28"/>
                <w:szCs w:val="28"/>
              </w:rPr>
              <w:t>1.0 Introduction</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_Toc160138130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3</w:t>
            </w:r>
            <w:r w:rsidR="00C558A6" w:rsidRPr="00C558A6">
              <w:rPr>
                <w:noProof/>
                <w:webHidden/>
                <w:sz w:val="28"/>
                <w:szCs w:val="28"/>
              </w:rPr>
              <w:fldChar w:fldCharType="end"/>
            </w:r>
          </w:hyperlink>
        </w:p>
        <w:p w14:paraId="543A3EC5" w14:textId="32C4CDFE" w:rsidR="00C558A6" w:rsidRPr="00C558A6" w:rsidRDefault="00000000">
          <w:pPr>
            <w:pStyle w:val="TOC2"/>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1" w:history="1">
            <w:r w:rsidR="00C558A6" w:rsidRPr="00C558A6">
              <w:rPr>
                <w:rStyle w:val="Hyperlink"/>
                <w:noProof/>
                <w:sz w:val="28"/>
                <w:szCs w:val="28"/>
              </w:rPr>
              <w:t xml:space="preserve">1.1 Context of the </w:t>
            </w:r>
            <w:r w:rsidR="00C558A6">
              <w:rPr>
                <w:rStyle w:val="Hyperlink"/>
                <w:noProof/>
                <w:sz w:val="28"/>
                <w:szCs w:val="28"/>
              </w:rPr>
              <w:t>Report</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_Toc160138131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3</w:t>
            </w:r>
            <w:r w:rsidR="00C558A6" w:rsidRPr="00C558A6">
              <w:rPr>
                <w:noProof/>
                <w:webHidden/>
                <w:sz w:val="28"/>
                <w:szCs w:val="28"/>
              </w:rPr>
              <w:fldChar w:fldCharType="end"/>
            </w:r>
          </w:hyperlink>
        </w:p>
        <w:p w14:paraId="5986E52E" w14:textId="124D5708" w:rsidR="00C558A6" w:rsidRPr="00C558A6" w:rsidRDefault="00000000">
          <w:pPr>
            <w:pStyle w:val="TOC2"/>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2" w:history="1">
            <w:r w:rsidR="00C558A6" w:rsidRPr="00C558A6">
              <w:rPr>
                <w:rStyle w:val="Hyperlink"/>
                <w:noProof/>
                <w:sz w:val="28"/>
                <w:szCs w:val="28"/>
              </w:rPr>
              <w:t>1.2 The report's goal</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_Toc160138132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3</w:t>
            </w:r>
            <w:r w:rsidR="00C558A6" w:rsidRPr="00C558A6">
              <w:rPr>
                <w:noProof/>
                <w:webHidden/>
                <w:sz w:val="28"/>
                <w:szCs w:val="28"/>
              </w:rPr>
              <w:fldChar w:fldCharType="end"/>
            </w:r>
          </w:hyperlink>
        </w:p>
        <w:p w14:paraId="2712F8D8" w14:textId="4B5D1C30" w:rsidR="00C558A6" w:rsidRPr="00C558A6" w:rsidRDefault="00000000">
          <w:pPr>
            <w:pStyle w:val="TOC1"/>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3" w:history="1">
            <w:r w:rsidR="00C558A6" w:rsidRPr="00C558A6">
              <w:rPr>
                <w:rStyle w:val="Hyperlink"/>
                <w:noProof/>
                <w:sz w:val="28"/>
                <w:szCs w:val="28"/>
              </w:rPr>
              <w:t>2.0 Main Body</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_Toc160138133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4</w:t>
            </w:r>
            <w:r w:rsidR="00C558A6" w:rsidRPr="00C558A6">
              <w:rPr>
                <w:noProof/>
                <w:webHidden/>
                <w:sz w:val="28"/>
                <w:szCs w:val="28"/>
              </w:rPr>
              <w:fldChar w:fldCharType="end"/>
            </w:r>
          </w:hyperlink>
        </w:p>
        <w:p w14:paraId="1DE135DC" w14:textId="74F3CE5D" w:rsidR="00C558A6" w:rsidRPr="00C558A6" w:rsidRDefault="00000000">
          <w:pPr>
            <w:pStyle w:val="TOC2"/>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4" w:history="1">
            <w:r w:rsidR="00C558A6" w:rsidRPr="00C558A6">
              <w:rPr>
                <w:rStyle w:val="Hyperlink"/>
                <w:noProof/>
                <w:sz w:val="28"/>
                <w:szCs w:val="28"/>
              </w:rPr>
              <w:t>2.1 "A review of Seacrest Lodge's financial results over the course of three fiscal years"</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_Toc160138134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4</w:t>
            </w:r>
            <w:r w:rsidR="00C558A6" w:rsidRPr="00C558A6">
              <w:rPr>
                <w:noProof/>
                <w:webHidden/>
                <w:sz w:val="28"/>
                <w:szCs w:val="28"/>
              </w:rPr>
              <w:fldChar w:fldCharType="end"/>
            </w:r>
          </w:hyperlink>
        </w:p>
        <w:p w14:paraId="63DC0605" w14:textId="2DC6A336" w:rsidR="00C558A6" w:rsidRPr="00C558A6" w:rsidRDefault="00000000">
          <w:pPr>
            <w:pStyle w:val="TOC2"/>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5" w:history="1">
            <w:r w:rsidR="00C558A6" w:rsidRPr="00C558A6">
              <w:rPr>
                <w:rStyle w:val="Hyperlink"/>
                <w:noProof/>
                <w:sz w:val="28"/>
                <w:szCs w:val="28"/>
              </w:rPr>
              <w:t>2.2 "Primary causes of the business's declining profit position"</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_Toc160138135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5</w:t>
            </w:r>
            <w:r w:rsidR="00C558A6" w:rsidRPr="00C558A6">
              <w:rPr>
                <w:noProof/>
                <w:webHidden/>
                <w:sz w:val="28"/>
                <w:szCs w:val="28"/>
              </w:rPr>
              <w:fldChar w:fldCharType="end"/>
            </w:r>
          </w:hyperlink>
        </w:p>
        <w:p w14:paraId="0ADFEA80" w14:textId="553B00F8" w:rsidR="00C558A6" w:rsidRPr="00C558A6" w:rsidRDefault="00000000">
          <w:pPr>
            <w:pStyle w:val="TOC2"/>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6" w:history="1">
            <w:r w:rsidR="00C558A6" w:rsidRPr="00C558A6">
              <w:rPr>
                <w:rStyle w:val="Hyperlink"/>
                <w:noProof/>
                <w:sz w:val="28"/>
                <w:szCs w:val="28"/>
              </w:rPr>
              <w:t>2.3 “Utilised a thorough turnaround plan to improve the lodge's financial situation.</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_Toc160138136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6</w:t>
            </w:r>
            <w:r w:rsidR="00C558A6" w:rsidRPr="00C558A6">
              <w:rPr>
                <w:noProof/>
                <w:webHidden/>
                <w:sz w:val="28"/>
                <w:szCs w:val="28"/>
              </w:rPr>
              <w:fldChar w:fldCharType="end"/>
            </w:r>
          </w:hyperlink>
        </w:p>
        <w:p w14:paraId="4B33ED91" w14:textId="02DC6DBE" w:rsidR="00C558A6" w:rsidRPr="00C558A6" w:rsidRDefault="00000000">
          <w:pPr>
            <w:pStyle w:val="TOC1"/>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7" w:history="1">
            <w:r w:rsidR="00C558A6" w:rsidRPr="00C558A6">
              <w:rPr>
                <w:rStyle w:val="Hyperlink"/>
                <w:noProof/>
                <w:sz w:val="28"/>
                <w:szCs w:val="28"/>
              </w:rPr>
              <w:t>3.0 Recommendation</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_Toc160138137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8</w:t>
            </w:r>
            <w:r w:rsidR="00C558A6" w:rsidRPr="00C558A6">
              <w:rPr>
                <w:noProof/>
                <w:webHidden/>
                <w:sz w:val="28"/>
                <w:szCs w:val="28"/>
              </w:rPr>
              <w:fldChar w:fldCharType="end"/>
            </w:r>
          </w:hyperlink>
        </w:p>
        <w:p w14:paraId="222DAEF1" w14:textId="2DA03C59" w:rsidR="00C558A6" w:rsidRPr="00C558A6" w:rsidRDefault="00000000">
          <w:pPr>
            <w:pStyle w:val="TOC1"/>
            <w:tabs>
              <w:tab w:val="right" w:leader="dot" w:pos="9019"/>
            </w:tabs>
            <w:rPr>
              <w:rFonts w:asciiTheme="minorHAnsi" w:eastAsiaTheme="minorEastAsia" w:hAnsiTheme="minorHAnsi" w:cstheme="minorBidi"/>
              <w:noProof/>
              <w:kern w:val="2"/>
              <w:sz w:val="28"/>
              <w:szCs w:val="28"/>
              <w:lang w:eastAsia="en-GB"/>
              <w14:ligatures w14:val="standardContextual"/>
            </w:rPr>
          </w:pPr>
          <w:hyperlink w:anchor="_Toc160138138" w:history="1">
            <w:r w:rsidR="00C558A6" w:rsidRPr="00C558A6">
              <w:rPr>
                <w:rStyle w:val="Hyperlink"/>
                <w:noProof/>
                <w:sz w:val="28"/>
                <w:szCs w:val="28"/>
              </w:rPr>
              <w:t>4.0 Conclusions</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_Toc160138138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9</w:t>
            </w:r>
            <w:r w:rsidR="00C558A6" w:rsidRPr="00C558A6">
              <w:rPr>
                <w:noProof/>
                <w:webHidden/>
                <w:sz w:val="28"/>
                <w:szCs w:val="28"/>
              </w:rPr>
              <w:fldChar w:fldCharType="end"/>
            </w:r>
          </w:hyperlink>
        </w:p>
        <w:p w14:paraId="4D9D102B" w14:textId="76230072" w:rsidR="00C558A6"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0138139" w:history="1">
            <w:r w:rsidR="00C558A6" w:rsidRPr="00C558A6">
              <w:rPr>
                <w:rStyle w:val="Hyperlink"/>
                <w:noProof/>
                <w:sz w:val="28"/>
                <w:szCs w:val="28"/>
              </w:rPr>
              <w:t>References</w:t>
            </w:r>
            <w:r w:rsidR="00C558A6" w:rsidRPr="00C558A6">
              <w:rPr>
                <w:noProof/>
                <w:webHidden/>
                <w:sz w:val="28"/>
                <w:szCs w:val="28"/>
              </w:rPr>
              <w:tab/>
            </w:r>
            <w:r w:rsidR="00C558A6" w:rsidRPr="00C558A6">
              <w:rPr>
                <w:noProof/>
                <w:webHidden/>
                <w:sz w:val="28"/>
                <w:szCs w:val="28"/>
              </w:rPr>
              <w:fldChar w:fldCharType="begin"/>
            </w:r>
            <w:r w:rsidR="00C558A6" w:rsidRPr="00C558A6">
              <w:rPr>
                <w:noProof/>
                <w:webHidden/>
                <w:sz w:val="28"/>
                <w:szCs w:val="28"/>
              </w:rPr>
              <w:instrText xml:space="preserve"> PAGEREF _Toc160138139 \h </w:instrText>
            </w:r>
            <w:r w:rsidR="00C558A6" w:rsidRPr="00C558A6">
              <w:rPr>
                <w:noProof/>
                <w:webHidden/>
                <w:sz w:val="28"/>
                <w:szCs w:val="28"/>
              </w:rPr>
            </w:r>
            <w:r w:rsidR="00C558A6" w:rsidRPr="00C558A6">
              <w:rPr>
                <w:noProof/>
                <w:webHidden/>
                <w:sz w:val="28"/>
                <w:szCs w:val="28"/>
              </w:rPr>
              <w:fldChar w:fldCharType="separate"/>
            </w:r>
            <w:r w:rsidR="00C558A6" w:rsidRPr="00C558A6">
              <w:rPr>
                <w:noProof/>
                <w:webHidden/>
                <w:sz w:val="28"/>
                <w:szCs w:val="28"/>
              </w:rPr>
              <w:t>10</w:t>
            </w:r>
            <w:r w:rsidR="00C558A6" w:rsidRPr="00C558A6">
              <w:rPr>
                <w:noProof/>
                <w:webHidden/>
                <w:sz w:val="28"/>
                <w:szCs w:val="28"/>
              </w:rPr>
              <w:fldChar w:fldCharType="end"/>
            </w:r>
          </w:hyperlink>
        </w:p>
        <w:p w14:paraId="2316B308" w14:textId="50E1E022" w:rsidR="00C558A6"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0138141" w:history="1">
            <w:r w:rsidR="00C558A6" w:rsidRPr="00FF124A">
              <w:rPr>
                <w:rStyle w:val="Hyperlink"/>
                <w:noProof/>
              </w:rPr>
              <w:t>Appendix</w:t>
            </w:r>
            <w:r w:rsidR="00C558A6">
              <w:rPr>
                <w:noProof/>
                <w:webHidden/>
              </w:rPr>
              <w:tab/>
            </w:r>
            <w:r w:rsidR="00C558A6">
              <w:rPr>
                <w:noProof/>
                <w:webHidden/>
              </w:rPr>
              <w:fldChar w:fldCharType="begin"/>
            </w:r>
            <w:r w:rsidR="00C558A6">
              <w:rPr>
                <w:noProof/>
                <w:webHidden/>
              </w:rPr>
              <w:instrText xml:space="preserve"> PAGEREF _Toc160138141 \h </w:instrText>
            </w:r>
            <w:r w:rsidR="00C558A6">
              <w:rPr>
                <w:noProof/>
                <w:webHidden/>
              </w:rPr>
            </w:r>
            <w:r w:rsidR="00C558A6">
              <w:rPr>
                <w:noProof/>
                <w:webHidden/>
              </w:rPr>
              <w:fldChar w:fldCharType="separate"/>
            </w:r>
            <w:r w:rsidR="00C558A6">
              <w:rPr>
                <w:noProof/>
                <w:webHidden/>
              </w:rPr>
              <w:t>11</w:t>
            </w:r>
            <w:r w:rsidR="00C558A6">
              <w:rPr>
                <w:noProof/>
                <w:webHidden/>
              </w:rPr>
              <w:fldChar w:fldCharType="end"/>
            </w:r>
          </w:hyperlink>
        </w:p>
        <w:p w14:paraId="39214DA0" w14:textId="04605E1C" w:rsidR="00C558A6" w:rsidRDefault="00C558A6">
          <w:r>
            <w:rPr>
              <w:b/>
              <w:bCs/>
              <w:noProof/>
            </w:rPr>
            <w:fldChar w:fldCharType="end"/>
          </w:r>
        </w:p>
      </w:sdtContent>
    </w:sdt>
    <w:p w14:paraId="0C0C01AF" w14:textId="77777777" w:rsidR="00E10223" w:rsidRDefault="00E10223">
      <w:r>
        <w:br w:type="page"/>
      </w:r>
    </w:p>
    <w:p w14:paraId="46332FA6" w14:textId="77777777" w:rsidR="00A403A6" w:rsidRDefault="00A403A6"/>
    <w:p w14:paraId="00000001" w14:textId="43915F5C" w:rsidR="00332941" w:rsidRPr="00DB1273" w:rsidRDefault="00CD7B51" w:rsidP="005E2498">
      <w:pPr>
        <w:pStyle w:val="Heading1"/>
      </w:pPr>
      <w:bookmarkStart w:id="4" w:name="_Toc159521014"/>
      <w:bookmarkStart w:id="5" w:name="_Toc160051021"/>
      <w:bookmarkStart w:id="6" w:name="_Toc160053002"/>
      <w:bookmarkStart w:id="7" w:name="_Toc160138130"/>
      <w:bookmarkEnd w:id="3"/>
      <w:r w:rsidRPr="00DB1273">
        <w:t>1.0 Introduction</w:t>
      </w:r>
      <w:bookmarkEnd w:id="4"/>
      <w:bookmarkEnd w:id="5"/>
      <w:bookmarkEnd w:id="6"/>
      <w:bookmarkEnd w:id="7"/>
    </w:p>
    <w:p w14:paraId="00000002" w14:textId="372196F7" w:rsidR="00332941" w:rsidRPr="005E2498" w:rsidRDefault="00CD7B51" w:rsidP="005E2498">
      <w:pPr>
        <w:pStyle w:val="Heading2"/>
      </w:pPr>
      <w:bookmarkStart w:id="8" w:name="_Toc159521015"/>
      <w:bookmarkStart w:id="9" w:name="_Toc160051022"/>
      <w:bookmarkStart w:id="10" w:name="_Toc160053003"/>
      <w:bookmarkStart w:id="11" w:name="_Toc160138131"/>
      <w:r w:rsidRPr="005E2498">
        <w:t xml:space="preserve">1.1 </w:t>
      </w:r>
      <w:bookmarkEnd w:id="8"/>
      <w:bookmarkEnd w:id="9"/>
      <w:r w:rsidR="00576526" w:rsidRPr="00576526">
        <w:t>Context of the report</w:t>
      </w:r>
      <w:bookmarkEnd w:id="10"/>
      <w:bookmarkEnd w:id="11"/>
    </w:p>
    <w:p w14:paraId="00000003" w14:textId="5D27388F" w:rsidR="00332941" w:rsidRPr="00DB1273" w:rsidRDefault="00CD7B51">
      <w:r w:rsidRPr="00DB1273">
        <w:t xml:space="preserve">An applied position related to the contemporary structure of Finance has been initiated for evaluating the financial data with authenticity support so that it can provide positive details for every individual stakeholder. An identification of financial measuring support for business management provides the strategic identifications and some of the strategic implementation benefits in a progressive order which ultimately determines the competitive advantages. With proper accounting authenticity, the accountability positions of the business can be balanced which ultimately represents the stability and some of the structural beneficial support in a progressive manner. A proper evaluation of financial performances has been formulated with the general initiative of compatibility beneficial reasons also that ultimately determine the progressive opportunity. </w:t>
      </w:r>
    </w:p>
    <w:p w14:paraId="00000004" w14:textId="59EB7B29" w:rsidR="00332941" w:rsidRDefault="00CD7B51" w:rsidP="005E2498">
      <w:pPr>
        <w:pStyle w:val="Heading2"/>
      </w:pPr>
      <w:bookmarkStart w:id="12" w:name="_Toc159521016"/>
      <w:bookmarkStart w:id="13" w:name="_Toc160051023"/>
      <w:bookmarkStart w:id="14" w:name="_Toc160053004"/>
      <w:bookmarkStart w:id="15" w:name="_Toc160138132"/>
      <w:r w:rsidRPr="005E2498">
        <w:t xml:space="preserve">1.2 </w:t>
      </w:r>
      <w:bookmarkEnd w:id="12"/>
      <w:bookmarkEnd w:id="13"/>
      <w:r w:rsidR="00576526" w:rsidRPr="00576526">
        <w:t>The report's goal</w:t>
      </w:r>
      <w:bookmarkEnd w:id="14"/>
      <w:bookmarkEnd w:id="15"/>
    </w:p>
    <w:p w14:paraId="5CCF1427" w14:textId="5CD6A8E3" w:rsidR="00576526" w:rsidRDefault="00576526" w:rsidP="00576526">
      <w:pPr>
        <w:pStyle w:val="ListParagraph"/>
        <w:numPr>
          <w:ilvl w:val="0"/>
          <w:numId w:val="23"/>
        </w:numPr>
      </w:pPr>
      <w:r>
        <w:t>To assess this specific business’s current financial responsibility</w:t>
      </w:r>
    </w:p>
    <w:p w14:paraId="52030CDB" w14:textId="3FE0B5DC" w:rsidR="00576526" w:rsidRDefault="00576526" w:rsidP="00576526">
      <w:pPr>
        <w:pStyle w:val="ListParagraph"/>
        <w:numPr>
          <w:ilvl w:val="0"/>
          <w:numId w:val="23"/>
        </w:numPr>
      </w:pPr>
      <w:r>
        <w:t>To determine the cause of the declining profitability position</w:t>
      </w:r>
    </w:p>
    <w:p w14:paraId="5E96A383" w14:textId="283BD664" w:rsidR="00576526" w:rsidRDefault="00576526" w:rsidP="00576526">
      <w:pPr>
        <w:pStyle w:val="ListParagraph"/>
        <w:numPr>
          <w:ilvl w:val="0"/>
          <w:numId w:val="23"/>
        </w:numPr>
      </w:pPr>
      <w:r>
        <w:t>To start a positive turnover strategy with substantial backing</w:t>
      </w:r>
    </w:p>
    <w:p w14:paraId="7B13FE48" w14:textId="37F7E259" w:rsidR="00C25565" w:rsidRPr="00576526" w:rsidRDefault="00C25565" w:rsidP="00C25565">
      <w:r>
        <w:br w:type="page"/>
      </w:r>
    </w:p>
    <w:p w14:paraId="00000008" w14:textId="341283FD" w:rsidR="00332941" w:rsidRPr="00DB1273" w:rsidRDefault="00CD7B51" w:rsidP="005E2498">
      <w:pPr>
        <w:pStyle w:val="Heading1"/>
      </w:pPr>
      <w:bookmarkStart w:id="16" w:name="_Toc159521017"/>
      <w:bookmarkStart w:id="17" w:name="_Toc160051024"/>
      <w:bookmarkStart w:id="18" w:name="_Toc160053005"/>
      <w:bookmarkStart w:id="19" w:name="_Toc160138133"/>
      <w:r w:rsidRPr="00DB1273">
        <w:lastRenderedPageBreak/>
        <w:t xml:space="preserve">2.0 </w:t>
      </w:r>
      <w:r w:rsidR="00B700B9">
        <w:t>Main Body</w:t>
      </w:r>
      <w:bookmarkEnd w:id="16"/>
      <w:bookmarkEnd w:id="17"/>
      <w:bookmarkEnd w:id="18"/>
      <w:bookmarkEnd w:id="19"/>
    </w:p>
    <w:p w14:paraId="00000009" w14:textId="6D3D36DB" w:rsidR="00332941" w:rsidRPr="005E2498" w:rsidRDefault="00CD7B51" w:rsidP="005E2498">
      <w:pPr>
        <w:pStyle w:val="Heading2"/>
      </w:pPr>
      <w:bookmarkStart w:id="20" w:name="_Toc159521018"/>
      <w:bookmarkStart w:id="21" w:name="_Toc160051025"/>
      <w:bookmarkStart w:id="22" w:name="_Toc160053006"/>
      <w:bookmarkStart w:id="23" w:name="_Toc160138134"/>
      <w:r w:rsidRPr="005E2498">
        <w:t xml:space="preserve">2.1 </w:t>
      </w:r>
      <w:bookmarkEnd w:id="20"/>
      <w:bookmarkEnd w:id="21"/>
      <w:r w:rsidR="00576526" w:rsidRPr="00576526">
        <w:t>"A review of Seacrest Lodge's financial results over the course of three fiscal years"</w:t>
      </w:r>
      <w:bookmarkEnd w:id="22"/>
      <w:bookmarkEnd w:id="23"/>
    </w:p>
    <w:p w14:paraId="160A4AFE" w14:textId="1C75CF91" w:rsidR="00EC3967" w:rsidRPr="00B477FB" w:rsidRDefault="00EC3967" w:rsidP="00EC3967">
      <w:pPr>
        <w:pStyle w:val="NormalWeb"/>
        <w:spacing w:before="0" w:beforeAutospacing="0" w:after="0" w:afterAutospacing="0" w:line="360" w:lineRule="auto"/>
        <w:jc w:val="both"/>
      </w:pPr>
      <w:r w:rsidRPr="00B477FB">
        <w:t xml:space="preserve">Identification of financial health position can be evaluated through the applicability of a different type of strategic tools support with measurement of which the competitive position of the business can be identified. The application of ratio analysis is one of the primary methods </w:t>
      </w:r>
      <w:r w:rsidR="00B477FB">
        <w:t>that</w:t>
      </w:r>
      <w:r w:rsidRPr="00B477FB">
        <w:t xml:space="preserve"> is also initiated for the evaluation of the financial health position of any business. </w:t>
      </w:r>
      <w:r w:rsidR="00CD7B51" w:rsidRPr="00B477FB">
        <w:t xml:space="preserve">The applied approach related to the measuring support of accounting ratios is considered one of the primary strategic tools </w:t>
      </w:r>
      <w:r w:rsidR="00B477FB">
        <w:t>that</w:t>
      </w:r>
      <w:r w:rsidR="00CD7B51" w:rsidRPr="00B477FB">
        <w:t xml:space="preserve"> is initiated for the reasons of business performance evaluation support. Under the present situation, the approach of proper ratio processing is initiated for benchmarking purposes with the formulation of which the general accountability including the competitive approach has been managed (</w:t>
      </w:r>
      <w:r w:rsidR="00CD7B51" w:rsidRPr="00B477FB">
        <w:rPr>
          <w:highlight w:val="white"/>
        </w:rPr>
        <w:t>Shim, 2022)</w:t>
      </w:r>
      <w:r w:rsidR="00CD7B51" w:rsidRPr="00B477FB">
        <w:t xml:space="preserve">. As per the basic identifications the formulation of financial analysis related to </w:t>
      </w:r>
      <w:r w:rsidR="00CD7B51" w:rsidRPr="00B477FB">
        <w:rPr>
          <w:b/>
        </w:rPr>
        <w:t>The Seacrest Lodge</w:t>
      </w:r>
      <w:r w:rsidR="00CD7B51" w:rsidRPr="00B477FB">
        <w:t xml:space="preserve"> has been provided that represents the following measuring approac</w:t>
      </w:r>
      <w:r w:rsidRPr="00B477FB">
        <w:t>h. (</w:t>
      </w:r>
      <w:r w:rsidR="00B477FB">
        <w:t>The calculation</w:t>
      </w:r>
      <w:r w:rsidRPr="00B477FB">
        <w:t xml:space="preserve"> of ratios </w:t>
      </w:r>
      <w:r w:rsidR="00B477FB">
        <w:t>is</w:t>
      </w:r>
      <w:r w:rsidRPr="00B477FB">
        <w:t xml:space="preserve"> in </w:t>
      </w:r>
      <w:r w:rsidR="00B477FB">
        <w:t xml:space="preserve">the </w:t>
      </w:r>
      <w:r w:rsidRPr="00B477FB">
        <w:t>Appendix)</w:t>
      </w:r>
    </w:p>
    <w:p w14:paraId="0000000F" w14:textId="2CDF3AEB" w:rsidR="00332941" w:rsidRDefault="00CD7B51">
      <w:r w:rsidRPr="00B477FB">
        <w:t>According to the basic identifications</w:t>
      </w:r>
      <w:r w:rsidR="00B477FB">
        <w:t>,</w:t>
      </w:r>
      <w:r w:rsidRPr="00B477FB">
        <w:t xml:space="preserve"> the application of </w:t>
      </w:r>
      <w:r w:rsidR="00EC3967" w:rsidRPr="00B477FB">
        <w:t>net profit</w:t>
      </w:r>
      <w:r w:rsidRPr="00B477FB">
        <w:t xml:space="preserve"> analysis has been initiated to provide the earning competency reasons which is initiated for the formulation support including the com</w:t>
      </w:r>
      <w:r w:rsidR="006F214B" w:rsidRPr="00B477FB">
        <w:t>patibility benefit purpose</w:t>
      </w:r>
      <w:r w:rsidRPr="00B477FB">
        <w:rPr>
          <w:highlight w:val="white"/>
        </w:rPr>
        <w:t>.</w:t>
      </w:r>
      <w:r w:rsidRPr="00B477FB">
        <w:t xml:space="preserve"> The processing support of this measurement is also initiated for the accountability support purpose which represents a progressive positioning benefit. As per the basic identification mainly a decline position is noticed from 25% growth to the level of (-15.79%) which indicates mainly an insufficiency approach that is unable to manage the operating position approach in a formulated order.</w:t>
      </w:r>
      <w:r w:rsidR="00EC3967" w:rsidRPr="00B477FB">
        <w:t xml:space="preserve"> Along with the profit the liquidity is also applied for measuring the financial health determination approach in a business that </w:t>
      </w:r>
      <w:r w:rsidR="00B477FB">
        <w:t>manages</w:t>
      </w:r>
      <w:r w:rsidR="00EC3967" w:rsidRPr="00B477FB">
        <w:t xml:space="preserve"> and formulates the operating value growth.  </w:t>
      </w:r>
    </w:p>
    <w:p w14:paraId="44F3556E" w14:textId="537F2FDC" w:rsidR="00576526" w:rsidRDefault="00576526">
      <w:r w:rsidRPr="00576526">
        <w:t>The establishment of the general relationship between current assets and liabilities is the primary means by which the formulation support of current ratio measurement has been started to supply the liquidity processing method including the cash flow initiative structure (Cheryl Bland Jones et al., 2019). Based on the fundamental identification support, it can be deduced that the measurement volume indicates a decrease in approach from 5.00 times to 1.00 times during the current period, thereby posing a certain degree of challenge for the business in terms of operating development formulation (Brigham and Houston, 2021).</w:t>
      </w:r>
    </w:p>
    <w:p w14:paraId="064C6437" w14:textId="6EB7DB35" w:rsidR="005C161D" w:rsidRDefault="005C161D">
      <w:r w:rsidRPr="005C161D">
        <w:t>By establishing a general relationship between the debt and equity capital values, the fundamental identification support indicates that the applicability of debt-equity measurement has been launched to offer the capital structure of the gearing position of the firm</w:t>
      </w:r>
      <w:r w:rsidR="007E0A81">
        <w:t xml:space="preserve"> </w:t>
      </w:r>
      <w:r w:rsidR="007E0A81" w:rsidRPr="007E0A81">
        <w:t>(Shapiro and Hanouna, 2020</w:t>
      </w:r>
      <w:r w:rsidRPr="005C161D">
        <w:t xml:space="preserve">). A progressive approach is observed in relation to this measurement, which shows the rise from the level of 2.41 times to 5.00 times at now, according to the basic </w:t>
      </w:r>
      <w:r w:rsidRPr="005C161D">
        <w:lastRenderedPageBreak/>
        <w:t>identification support. This kind of position approach is typically initiated under the current circumstances by a positive volume of equity dropping with a stabilised approach of debt capital.</w:t>
      </w:r>
    </w:p>
    <w:p w14:paraId="34CB02E0" w14:textId="096D6D3A" w:rsidR="005C161D" w:rsidRPr="00B477FB" w:rsidRDefault="005C161D">
      <w:r w:rsidRPr="005C161D">
        <w:t>The application of return on assets measurement has been started, in accordance with the fundamental identification, in order to determine the returning volume of business linked to the entire asset structure. This initiative was started for accountability reasons.  Based on the fundamental data, it is evident that the business's overall earning potential has decreased. This indicates a decline from 13.95% to (-8.10%) in the current position, which raises some difficult questions about the company's ability to grow and support operations.</w:t>
      </w:r>
    </w:p>
    <w:p w14:paraId="00000023" w14:textId="57A5568B" w:rsidR="00332941" w:rsidRDefault="00CD7B51">
      <w:r w:rsidRPr="00B477FB">
        <w:t xml:space="preserve">The formulation support and the measuring approach of </w:t>
      </w:r>
      <w:r w:rsidR="00EC3967" w:rsidRPr="00B477FB">
        <w:t>return on equity</w:t>
      </w:r>
      <w:r w:rsidRPr="00B477FB">
        <w:t xml:space="preserve"> analysis for the business </w:t>
      </w:r>
      <w:r w:rsidR="00B477FB">
        <w:t>have</w:t>
      </w:r>
      <w:r w:rsidRPr="00B477FB">
        <w:t xml:space="preserve"> been initiated for the evaluation support of earning probability in the context of equity position that determines the </w:t>
      </w:r>
      <w:r w:rsidR="00B477FB">
        <w:t>optimized</w:t>
      </w:r>
      <w:r w:rsidRPr="00B477FB">
        <w:t xml:space="preserve"> position and the compatibility benefit in a progressive order</w:t>
      </w:r>
      <w:r w:rsidR="00CA6406" w:rsidRPr="00B477FB">
        <w:t xml:space="preserve"> (</w:t>
      </w:r>
      <w:r w:rsidR="00CA6406" w:rsidRPr="00B477FB">
        <w:rPr>
          <w:shd w:val="clear" w:color="auto" w:fill="FFFFFF"/>
        </w:rPr>
        <w:t>Barr and McClellan, 2018).</w:t>
      </w:r>
      <w:r w:rsidRPr="00B477FB">
        <w:t xml:space="preserve"> According to the basic identification support in the presence situation, it can be </w:t>
      </w:r>
      <w:r w:rsidR="00B477FB">
        <w:t>recognized</w:t>
      </w:r>
      <w:r w:rsidRPr="00B477FB">
        <w:t xml:space="preserve"> that due to the declining position of business revenue and profit position, the earning approach over the equity declined from 48.38% to the level of (-50.00%) initiating a certain level of insufficiencies that need to be initiated and structured in a formulated order for the upcoming period.</w:t>
      </w:r>
    </w:p>
    <w:p w14:paraId="52202B87" w14:textId="028C68D4" w:rsidR="005C161D" w:rsidRPr="00B477FB" w:rsidRDefault="005C161D">
      <w:r w:rsidRPr="005C161D">
        <w:t>In order to determine the entire capability of the restaurant, the identification structure and measurement support of occupancy rate have been implemented, and the average room rate position typically indicates the market position with respect to the business optimised method. The overall occupancy rate, as determined by the basic measurement support, shows a decline in position from 65% to 50% and a decline in ARR volume from £260 to £210, which starts a certain amount of challenge in the current position and indicates that the management of the company needs to start formulating some operating development for the operating growth support in the coming period.</w:t>
      </w:r>
    </w:p>
    <w:p w14:paraId="25B85CAB" w14:textId="091E8207" w:rsidR="00EC3967" w:rsidRPr="00B477FB" w:rsidRDefault="00EC3967" w:rsidP="00EC3967">
      <w:pPr>
        <w:pStyle w:val="NormalWeb"/>
        <w:spacing w:before="0" w:beforeAutospacing="0" w:after="0" w:afterAutospacing="0" w:line="360" w:lineRule="auto"/>
        <w:jc w:val="both"/>
      </w:pPr>
      <w:r w:rsidRPr="00B477FB">
        <w:t>The overall measurements related to the benchmarking approach generally represent the primary identified position of the business is declined compared to the earlier stage due to insufficiency and a certain volume of declining approach related to the standard of living position of the customer. Under the present situation, some optimum strategic formulation is required to be initiated in this business for future progress. </w:t>
      </w:r>
    </w:p>
    <w:p w14:paraId="00000030" w14:textId="11640E43" w:rsidR="00332941" w:rsidRDefault="00CD7B51" w:rsidP="005E2498">
      <w:pPr>
        <w:pStyle w:val="Heading2"/>
      </w:pPr>
      <w:bookmarkStart w:id="24" w:name="_Toc159521019"/>
      <w:bookmarkStart w:id="25" w:name="_Toc160051026"/>
      <w:bookmarkStart w:id="26" w:name="_Toc160053007"/>
      <w:bookmarkStart w:id="27" w:name="_Toc160138135"/>
      <w:r w:rsidRPr="005E2498">
        <w:t xml:space="preserve">2.2 </w:t>
      </w:r>
      <w:bookmarkEnd w:id="24"/>
      <w:bookmarkEnd w:id="25"/>
      <w:r w:rsidR="005C161D" w:rsidRPr="005C161D">
        <w:t>"Primary causes of the business's declining profit position"</w:t>
      </w:r>
      <w:bookmarkEnd w:id="26"/>
      <w:bookmarkEnd w:id="27"/>
    </w:p>
    <w:p w14:paraId="169B3DE3" w14:textId="4792A149" w:rsidR="005C161D" w:rsidRDefault="005C161D" w:rsidP="005C161D">
      <w:r w:rsidRPr="005C161D">
        <w:t xml:space="preserve">As per the current operating position support, Seacrest Lodge's declining profit position can be attributed to both financial and non-financial engagement, which in turn, brings about a challenging approach for the business's operating development (Khan et al., 2019). A specific </w:t>
      </w:r>
      <w:r w:rsidRPr="005C161D">
        <w:lastRenderedPageBreak/>
        <w:t>volume of challenging approach reasons behind the dropped profit approach can be identified, primarily due to the declined revenue position, according to the basic identification support.</w:t>
      </w:r>
    </w:p>
    <w:p w14:paraId="00000032" w14:textId="1C2B1BEC" w:rsidR="00332941" w:rsidRPr="00DB1273" w:rsidRDefault="005C161D">
      <w:r w:rsidRPr="005C161D">
        <w:t>Based on a basic measurement, it can be concluded that, in the current scenario, the high amount of expenses associated with the business's operational position primarily serve to spark a certain amount of risky approaches that ultimately have a detrimental effect on the profit position of the company. Because of the current circumstances, it is also possible to determine that the business's overall marketing positions commence a level of challenge, which is the reason why the operating performances and general accountability are not started on the correct basis.</w:t>
      </w:r>
      <w:r w:rsidR="00CD7B51" w:rsidRPr="00DB1273">
        <w:t xml:space="preserve"> </w:t>
      </w:r>
      <w:r w:rsidRPr="005C161D">
        <w:t xml:space="preserve">The position of the business revenue approach is not initiating a proper development approach due to Brexit, and it primarily initiates a certain level of challenge formulation related to the accounting development structure, according to the basic measuring support. Related to the first point, it can also be seen that the overall conflict between Russia and Ukraine has primarily created a number of difficult employment opportunities, which have also prevented the labour market from producing an adequate amount of workers to support the expansion of businesses. The lockdown approach, which creates a certain degree of operating crisis and incorporates the financial value approach, is identified as the primary cause of the current position's decline in marketing engagement, including the number of visitors related to the current hospitality business, according to the present operating position approach.  </w:t>
      </w:r>
      <w:r w:rsidR="00CD7B51" w:rsidRPr="00DB1273">
        <w:t>According to the basic identification supported can also identify that the present volume of interest charges in the UK has expanded up to the level of 5.25% which ultimately initiates a certain volume of challenging approach for the financial borrowing issues for individual businesses</w:t>
      </w:r>
      <w:r w:rsidR="00A05C91" w:rsidRPr="00A05C91">
        <w:t>.</w:t>
      </w:r>
      <w:r w:rsidR="005D677C">
        <w:t xml:space="preserve"> </w:t>
      </w:r>
      <w:r w:rsidR="005D677C" w:rsidRPr="005D677C">
        <w:t>As part of the fundamental identification, it is also found that the general volume of inflation approach initiates a particular volume of negative approach over the business position, which ultimately becomes unable to maintain the statutory growth on a progressive basis (Olafsson and Pagel, 2018). The preceding study leads to the conclusion that a specific volume of challenging business methods is primarily driven by a mix of non-financial and financial reasons.</w:t>
      </w:r>
      <w:r w:rsidR="00A05C91" w:rsidRPr="00A05C91">
        <w:t xml:space="preserve"> These approaches ultimately have a detrimental effect on the business's marketability by creating an inadequate position in relation to the market approach.</w:t>
      </w:r>
    </w:p>
    <w:p w14:paraId="00000033" w14:textId="090EEAEB" w:rsidR="00332941" w:rsidRPr="005E2498" w:rsidRDefault="00CD7B51" w:rsidP="005E2498">
      <w:pPr>
        <w:pStyle w:val="Heading2"/>
      </w:pPr>
      <w:bookmarkStart w:id="28" w:name="_Toc159521020"/>
      <w:bookmarkStart w:id="29" w:name="_Toc160051027"/>
      <w:bookmarkStart w:id="30" w:name="_Toc160053008"/>
      <w:bookmarkStart w:id="31" w:name="_Toc160138136"/>
      <w:r w:rsidRPr="005E2498">
        <w:t>2.3 “</w:t>
      </w:r>
      <w:bookmarkEnd w:id="28"/>
      <w:bookmarkEnd w:id="29"/>
      <w:r w:rsidR="00A05C91" w:rsidRPr="00A05C91">
        <w:t>Utilised a thorough turnaround plan to improve the lodge's financial situation.</w:t>
      </w:r>
      <w:bookmarkEnd w:id="30"/>
      <w:bookmarkEnd w:id="31"/>
    </w:p>
    <w:p w14:paraId="00000034" w14:textId="77777777" w:rsidR="00332941" w:rsidRPr="00DB1273" w:rsidRDefault="00CD7B51">
      <w:r w:rsidRPr="00DB1273">
        <w:t xml:space="preserve">Under the present operating structure and initiated positioning support to initiate a formulated approach regarding turnaround strategy in this business the following aspects are required to be initiated. </w:t>
      </w:r>
    </w:p>
    <w:p w14:paraId="00000035" w14:textId="48E6D56C" w:rsidR="00332941" w:rsidRPr="00B477FB" w:rsidRDefault="00CD7B51">
      <w:pPr>
        <w:numPr>
          <w:ilvl w:val="0"/>
          <w:numId w:val="9"/>
        </w:numPr>
      </w:pPr>
      <w:r w:rsidRPr="00B477FB">
        <w:rPr>
          <w:b/>
        </w:rPr>
        <w:t>Triage strategy</w:t>
      </w:r>
      <w:r w:rsidRPr="00B477FB">
        <w:t>:</w:t>
      </w:r>
      <w:r w:rsidR="00A05C91" w:rsidRPr="00A05C91">
        <w:t xml:space="preserve"> In line with the fundamentally recognised approach, this kind of strategic approach must be implemented in the company for the development, </w:t>
      </w:r>
      <w:r w:rsidR="00A05C91" w:rsidRPr="00A05C91">
        <w:lastRenderedPageBreak/>
        <w:t xml:space="preserve">maintenance, and support of business operations with a positive monitoring foundation that primarily formulates the workflow position and the current operating value appropriately (Block et al., 2018). </w:t>
      </w:r>
      <w:r w:rsidRPr="00B477FB">
        <w:t xml:space="preserve"> </w:t>
      </w:r>
    </w:p>
    <w:p w14:paraId="00000036" w14:textId="4B4D23E0" w:rsidR="00332941" w:rsidRPr="00B477FB" w:rsidRDefault="00CD7B51" w:rsidP="00BD1C41">
      <w:pPr>
        <w:pStyle w:val="NormalWeb"/>
        <w:numPr>
          <w:ilvl w:val="0"/>
          <w:numId w:val="9"/>
        </w:numPr>
        <w:spacing w:before="0" w:beforeAutospacing="0" w:after="0" w:afterAutospacing="0" w:line="360" w:lineRule="auto"/>
        <w:jc w:val="both"/>
      </w:pPr>
      <w:r w:rsidRPr="00B477FB">
        <w:rPr>
          <w:b/>
        </w:rPr>
        <w:t xml:space="preserve">Replacement concept: </w:t>
      </w:r>
      <w:r w:rsidR="00BD1C41" w:rsidRPr="00B477FB">
        <w:t>This concept has been initiated to provide some strategic development approach including maintenance of elimination support regarding some certain uncertainty which is ultimately able to provide a positive resource allocation and also the elimination support of wastages. </w:t>
      </w:r>
    </w:p>
    <w:p w14:paraId="00000037" w14:textId="24C87940" w:rsidR="00332941" w:rsidRPr="00B477FB" w:rsidRDefault="00CD7B51">
      <w:pPr>
        <w:numPr>
          <w:ilvl w:val="0"/>
          <w:numId w:val="9"/>
        </w:numPr>
      </w:pPr>
      <w:r w:rsidRPr="00B477FB">
        <w:rPr>
          <w:b/>
        </w:rPr>
        <w:t xml:space="preserve">Asset retrenchment: </w:t>
      </w:r>
      <w:r w:rsidRPr="00B477FB">
        <w:t>The initiative position of this type of formulation is also identified as a necessary implemented strategic approach</w:t>
      </w:r>
      <w:r w:rsidR="00BD1C41" w:rsidRPr="00B477FB">
        <w:t>.</w:t>
      </w:r>
      <w:r w:rsidRPr="00B477FB">
        <w:t xml:space="preserve"> </w:t>
      </w:r>
      <w:r w:rsidR="00BD1C41" w:rsidRPr="00B477FB">
        <w:t>It is also initiated with the general intention of development and elimination approach regarding the non-profitable initiatives in a business for operating value positioning support</w:t>
      </w:r>
      <w:r w:rsidRPr="00B477FB">
        <w:t xml:space="preserve">. </w:t>
      </w:r>
    </w:p>
    <w:p w14:paraId="00000038" w14:textId="77777777" w:rsidR="00332941" w:rsidRDefault="00CD7B51">
      <w:pPr>
        <w:numPr>
          <w:ilvl w:val="0"/>
          <w:numId w:val="9"/>
        </w:numPr>
      </w:pPr>
      <w:r w:rsidRPr="00DB1273">
        <w:rPr>
          <w:b/>
        </w:rPr>
        <w:t xml:space="preserve">Promotional strategy: </w:t>
      </w:r>
      <w:r w:rsidRPr="00DB1273">
        <w:t xml:space="preserve">Considering the present market structure and the performance initiative approach a proper volume of market development including the promotional attribute is mainly required to be implemented in this business so that the revenue formulated growth as well as the market ability of the business can be balanced. </w:t>
      </w:r>
    </w:p>
    <w:p w14:paraId="6325596F" w14:textId="6E50D21E" w:rsidR="00C25565" w:rsidRPr="00C25565" w:rsidRDefault="00C25565" w:rsidP="00C25565">
      <w:pPr>
        <w:rPr>
          <w:b/>
        </w:rPr>
      </w:pPr>
      <w:r>
        <w:rPr>
          <w:b/>
        </w:rPr>
        <w:br w:type="page"/>
      </w:r>
    </w:p>
    <w:p w14:paraId="00000039" w14:textId="77777777" w:rsidR="00332941" w:rsidRPr="00DB1273" w:rsidRDefault="00CD7B51" w:rsidP="005E2498">
      <w:pPr>
        <w:pStyle w:val="Heading1"/>
      </w:pPr>
      <w:bookmarkStart w:id="32" w:name="_Toc159521021"/>
      <w:bookmarkStart w:id="33" w:name="_Toc160051028"/>
      <w:bookmarkStart w:id="34" w:name="_Toc160053009"/>
      <w:bookmarkStart w:id="35" w:name="_Toc160138137"/>
      <w:r w:rsidRPr="00DB1273">
        <w:lastRenderedPageBreak/>
        <w:t>3.0 Recommendation</w:t>
      </w:r>
      <w:bookmarkEnd w:id="32"/>
      <w:bookmarkEnd w:id="33"/>
      <w:bookmarkEnd w:id="34"/>
      <w:bookmarkEnd w:id="35"/>
    </w:p>
    <w:p w14:paraId="0000003A" w14:textId="433532B1" w:rsidR="00C25565" w:rsidRDefault="00CD7B51">
      <w:r w:rsidRPr="00DB1273">
        <w:t xml:space="preserve">An applied initiative of positive business development generally depends on proper collaborations between both the financial and non-financial aspects support that ultimately maintains the </w:t>
      </w:r>
      <w:r w:rsidR="00B477FB">
        <w:t>optimized</w:t>
      </w:r>
      <w:r w:rsidRPr="00DB1273">
        <w:t xml:space="preserve"> position. In the present position, the position of business revenue indicates the declined engagement that mainly initiates a challenging approach for the business profit initiative structure</w:t>
      </w:r>
      <w:r w:rsidR="00A05C91">
        <w:t>.</w:t>
      </w:r>
      <w:r w:rsidR="00A05C91" w:rsidRPr="00A05C91">
        <w:t xml:space="preserve">According to the fundamental identifications, the performance associated with the existing productive engagement mostly reflects a large volume of charges that the management must oversee in order to provide operating assistance, including the position of the progressive growth initiative in the future. In light of the current circumstances, this business must begin to prioritise supply chain growth in order to formulate productivity strategies that include service engagement and manage them efficiently (Anton and Afloarei Nucu, 2020). </w:t>
      </w:r>
      <w:r w:rsidRPr="00DB1273">
        <w:t xml:space="preserve">The level crisis is one of the primary challenging approaches for the present hospitality business and depending on this approach a proper initiative related to the employee retention strategy needs to be implemented in this business for future growth. The overall stability including the promotional attribute of the business also needs to be revised positively so that it proper volume of customer engagement and revenue standardized initiative </w:t>
      </w:r>
      <w:r w:rsidR="00CA6406">
        <w:t>is</w:t>
      </w:r>
      <w:r w:rsidRPr="00DB1273">
        <w:t xml:space="preserve"> implemented for future growth</w:t>
      </w:r>
      <w:r w:rsidR="00CA6406">
        <w:t xml:space="preserve"> (</w:t>
      </w:r>
      <w:r w:rsidR="00CA6406">
        <w:rPr>
          <w:color w:val="000000" w:themeColor="text1"/>
          <w:shd w:val="clear" w:color="auto" w:fill="FFFFFF"/>
        </w:rPr>
        <w:t>Damoori and Ghadakfroshan, 2018)</w:t>
      </w:r>
      <w:r w:rsidRPr="00DB1273">
        <w:t xml:space="preserve">. Under the present position, the management of the business also initiates a formulated position approach related to the activity-based costing approach for the operating growth including the </w:t>
      </w:r>
      <w:r w:rsidR="00B477FB">
        <w:t>optimized</w:t>
      </w:r>
      <w:r w:rsidRPr="00DB1273">
        <w:t xml:space="preserve"> value initiative position in a developing basis. </w:t>
      </w:r>
    </w:p>
    <w:p w14:paraId="005475BB" w14:textId="3D8A33B6" w:rsidR="00332941" w:rsidRPr="00DB1273" w:rsidRDefault="00C25565">
      <w:r>
        <w:br w:type="page"/>
      </w:r>
    </w:p>
    <w:p w14:paraId="0000003B" w14:textId="77777777" w:rsidR="00332941" w:rsidRPr="00DB1273" w:rsidRDefault="00CD7B51" w:rsidP="005E2498">
      <w:pPr>
        <w:pStyle w:val="Heading1"/>
      </w:pPr>
      <w:bookmarkStart w:id="36" w:name="_Toc159521022"/>
      <w:bookmarkStart w:id="37" w:name="_Toc160051029"/>
      <w:bookmarkStart w:id="38" w:name="_Toc160053010"/>
      <w:bookmarkStart w:id="39" w:name="_Toc160138138"/>
      <w:r w:rsidRPr="00DB1273">
        <w:lastRenderedPageBreak/>
        <w:t>4.0 Conclusions</w:t>
      </w:r>
      <w:bookmarkEnd w:id="36"/>
      <w:bookmarkEnd w:id="37"/>
      <w:bookmarkEnd w:id="38"/>
      <w:bookmarkEnd w:id="39"/>
      <w:r w:rsidRPr="00DB1273">
        <w:t xml:space="preserve"> </w:t>
      </w:r>
    </w:p>
    <w:p w14:paraId="1FBEB608" w14:textId="77777777" w:rsidR="00B477FB" w:rsidRDefault="00B477FB" w:rsidP="00B477FB">
      <w:r>
        <w:t>Finally, the report on Seacrest Lodge's financial performance study gives suggestions for improvement as well as insightful information on the company's current situation.</w:t>
      </w:r>
    </w:p>
    <w:p w14:paraId="0000003D" w14:textId="37AE7810" w:rsidR="00332941" w:rsidRPr="00DB1273" w:rsidRDefault="00B477FB" w:rsidP="00B477FB">
      <w:r>
        <w:t>Three financial eras' worth of profitability, liquidity, and return on equity are all declining, according to the study of financial ratios. Numerous factors have been linked to this fall, including lower revenue, high operating costs, marketing difficulties, geopolitical disturbances, and the effects of outside events like Brexit and the conflict between Russia and Ukraine. A thorough turnaround plan is suggested to solve these issues and restore the lodge's financial stability. Efforts to streamline operations, optimize resource allocation, and improve market visibility are included in this strategy, which also involves replacement, asset retrenchment, triage, and promotional methods.</w:t>
      </w:r>
      <w:r w:rsidRPr="00B477FB">
        <w:t xml:space="preserve"> The report also highlights how crucial it is for the non-financial and financial facets of the company to work together </w:t>
      </w:r>
      <w:r>
        <w:t>to</w:t>
      </w:r>
      <w:r w:rsidRPr="00B477FB">
        <w:t xml:space="preserve"> achieve sustainable growth. It </w:t>
      </w:r>
      <w:r>
        <w:t>emphasizes</w:t>
      </w:r>
      <w:r w:rsidRPr="00B477FB">
        <w:t xml:space="preserve"> that </w:t>
      </w:r>
      <w:r>
        <w:t>to</w:t>
      </w:r>
      <w:r w:rsidRPr="00B477FB">
        <w:t xml:space="preserve"> promote revenue development and profitability, methods for personnel retention, efficient supply chain management, and marketing initiatives are required.</w:t>
      </w:r>
      <w:r w:rsidRPr="00B477FB">
        <w:cr/>
        <w:t xml:space="preserve">Overall, the research </w:t>
      </w:r>
      <w:r>
        <w:t>emphasizes</w:t>
      </w:r>
      <w:r w:rsidRPr="00B477FB">
        <w:t xml:space="preserve"> how important it is to take proactive steps and engage in strategic planning </w:t>
      </w:r>
      <w:r>
        <w:t>to</w:t>
      </w:r>
      <w:r w:rsidRPr="00B477FB">
        <w:t xml:space="preserve"> overcome obstacles and guarantee Seacrest Lodge's long-term success in the hospitality sector.</w:t>
      </w:r>
    </w:p>
    <w:p w14:paraId="0000003E" w14:textId="77777777" w:rsidR="00332941" w:rsidRPr="00DB1273" w:rsidRDefault="00332941">
      <w:pPr>
        <w:rPr>
          <w:b/>
        </w:rPr>
      </w:pPr>
    </w:p>
    <w:p w14:paraId="0000003F" w14:textId="77777777" w:rsidR="00332941" w:rsidRPr="00DB1273" w:rsidRDefault="00332941">
      <w:pPr>
        <w:rPr>
          <w:b/>
        </w:rPr>
      </w:pPr>
    </w:p>
    <w:p w14:paraId="00000040" w14:textId="77777777" w:rsidR="00332941" w:rsidRPr="00DB1273" w:rsidRDefault="00332941">
      <w:pPr>
        <w:rPr>
          <w:b/>
        </w:rPr>
      </w:pPr>
    </w:p>
    <w:p w14:paraId="00000041" w14:textId="54735241" w:rsidR="00DB1273" w:rsidRDefault="00DB1273">
      <w:r>
        <w:br w:type="page"/>
      </w:r>
    </w:p>
    <w:p w14:paraId="3B894230" w14:textId="77777777" w:rsidR="00B73663" w:rsidRDefault="00DB1273" w:rsidP="005E2498">
      <w:pPr>
        <w:pStyle w:val="Heading1"/>
      </w:pPr>
      <w:bookmarkStart w:id="40" w:name="_Toc159521023"/>
      <w:bookmarkStart w:id="41" w:name="_Toc160051030"/>
      <w:bookmarkStart w:id="42" w:name="_Toc160053011"/>
      <w:bookmarkStart w:id="43" w:name="_Toc160138139"/>
      <w:r w:rsidRPr="00DB1273">
        <w:lastRenderedPageBreak/>
        <w:t>References</w:t>
      </w:r>
      <w:bookmarkEnd w:id="40"/>
      <w:bookmarkEnd w:id="41"/>
      <w:bookmarkEnd w:id="42"/>
      <w:bookmarkEnd w:id="43"/>
      <w:r w:rsidRPr="00DB1273">
        <w:t xml:space="preserve"> </w:t>
      </w:r>
    </w:p>
    <w:p w14:paraId="672762A6" w14:textId="2D17B130" w:rsidR="00332941" w:rsidRPr="007E0A81" w:rsidRDefault="00B73663" w:rsidP="005E2498">
      <w:pPr>
        <w:pStyle w:val="Heading1"/>
        <w:rPr>
          <w:b w:val="0"/>
          <w:bCs/>
        </w:rPr>
      </w:pPr>
      <w:bookmarkStart w:id="44" w:name="_Toc160051031"/>
      <w:bookmarkStart w:id="45" w:name="_Toc160053012"/>
      <w:bookmarkStart w:id="46" w:name="_Toc160138140"/>
      <w:r w:rsidRPr="007E0A81">
        <w:rPr>
          <w:b w:val="0"/>
          <w:bCs/>
        </w:rPr>
        <w:t>Anton, S.G. and Afloarei Nucu, A.E. (2020). The Impact of Working Capital Management on Firm Profitability: Empirical Evidence from the Polish Listed Firms. Journal of Risk and Financial Management, [online] 14(1), p.9. doi:https://doi.org/10.3390/jrfm14010009. [Accessed  23/02/2024].</w:t>
      </w:r>
      <w:bookmarkEnd w:id="44"/>
      <w:bookmarkEnd w:id="45"/>
      <w:bookmarkEnd w:id="46"/>
    </w:p>
    <w:p w14:paraId="1CBB0691" w14:textId="0C7FF895" w:rsidR="000D03EA" w:rsidRPr="000D03EA" w:rsidRDefault="000D03EA" w:rsidP="000D03EA">
      <w:r w:rsidRPr="000D03EA">
        <w:t>Cheryl Bland Jones, Finkler, S.A., Christine Tassone Kovner and Mose, J. (2019). Financial management for nurse managers and executives. St Louis: Saunders.</w:t>
      </w:r>
    </w:p>
    <w:p w14:paraId="43ADBF82" w14:textId="32AD25C9" w:rsidR="00B73663" w:rsidRDefault="00B73663" w:rsidP="00B73663">
      <w:r w:rsidRPr="00B73663">
        <w:t>Barr, M.J. and McClellan, G.S. (2018). Budgets and Financial Management in Higher Education. [online] Google Books. John Wiley &amp; Sons. Available at: https://books.google.co.uk/books/about/Budgets_and_Financial_Management_in_High.html?id=3D5FDwAAQBAJ&amp;redir_esc=y [Accessed 2</w:t>
      </w:r>
      <w:r>
        <w:t xml:space="preserve">1 </w:t>
      </w:r>
      <w:r w:rsidRPr="00B73663">
        <w:t>Feb. 2024].</w:t>
      </w:r>
    </w:p>
    <w:p w14:paraId="23434435" w14:textId="74B5A910" w:rsidR="00DF0B6B" w:rsidRDefault="00DF0B6B" w:rsidP="00B73663">
      <w:r w:rsidRPr="00DF0B6B">
        <w:t xml:space="preserve">Block, S.B., Hirt, G.A., J Douglas Short and Danielsen, B.R. (2018). Foundations of financial management. Whitby, Ont.: </w:t>
      </w:r>
      <w:r>
        <w:t>McGraw-Hill</w:t>
      </w:r>
      <w:r w:rsidRPr="00DF0B6B">
        <w:t xml:space="preserve"> Ryerson.</w:t>
      </w:r>
    </w:p>
    <w:p w14:paraId="190F186E" w14:textId="2BADBAB4" w:rsidR="00DF0B6B" w:rsidRPr="00B73663" w:rsidRDefault="00DF0B6B" w:rsidP="00B73663">
      <w:r w:rsidRPr="00DF0B6B">
        <w:t>Brigham, E.F. and Houston, J.F. (2021). Fundamentals of Financial Management. Cengage Learning.</w:t>
      </w:r>
    </w:p>
    <w:p w14:paraId="6271BBD8" w14:textId="472A67E7" w:rsidR="006F214B" w:rsidRDefault="00A414F1" w:rsidP="006F214B">
      <w:pPr>
        <w:rPr>
          <w:shd w:val="clear" w:color="auto" w:fill="FFFFFF"/>
        </w:rPr>
      </w:pPr>
      <w:r w:rsidRPr="00A414F1">
        <w:rPr>
          <w:shd w:val="clear" w:color="auto" w:fill="FFFFFF"/>
        </w:rPr>
        <w:t xml:space="preserve">Dariush Demoori and Maryam Ghadakforan (2018). Financing policies and investment efficiency in companies listed in </w:t>
      </w:r>
      <w:r w:rsidR="00B477FB">
        <w:rPr>
          <w:shd w:val="clear" w:color="auto" w:fill="FFFFFF"/>
        </w:rPr>
        <w:t xml:space="preserve">the </w:t>
      </w:r>
      <w:r w:rsidRPr="00A414F1">
        <w:rPr>
          <w:shd w:val="clear" w:color="auto" w:fill="FFFFFF"/>
        </w:rPr>
        <w:t>Tehran Stock Exchange. ‎‎Financial Management Strategy‎‎, [online] 6(4), pp.157–175.‎ doi:https://doi.org/10.22051/jfm.2018.12050.1156.</w:t>
      </w:r>
      <w:r>
        <w:rPr>
          <w:shd w:val="clear" w:color="auto" w:fill="FFFFFF"/>
        </w:rPr>
        <w:t xml:space="preserve"> [Accesssed 18 Feb.2024].</w:t>
      </w:r>
    </w:p>
    <w:p w14:paraId="33A8DBBD" w14:textId="078653F6" w:rsidR="000D03EA" w:rsidRDefault="000D03EA" w:rsidP="006F214B">
      <w:pPr>
        <w:rPr>
          <w:shd w:val="clear" w:color="auto" w:fill="FFFFFF"/>
        </w:rPr>
      </w:pPr>
      <w:r w:rsidRPr="000D03EA">
        <w:rPr>
          <w:shd w:val="clear" w:color="auto" w:fill="FFFFFF"/>
        </w:rPr>
        <w:t>Khan, N., Li, S., Safdar, M. and Khan, Z. (2019). The Role of Entrepreneurial Strategy, Network Ties, Human and Financial Capital in New Venture Performance. Journal of Risk and Financial Management, [online] 12(1), p.41. doi:https://doi.org/10.3390/jrfm12010041.</w:t>
      </w:r>
    </w:p>
    <w:p w14:paraId="72A00D3B" w14:textId="45D2D83D" w:rsidR="001C327A" w:rsidRDefault="001C327A" w:rsidP="006F214B">
      <w:pPr>
        <w:rPr>
          <w:shd w:val="clear" w:color="auto" w:fill="FFFFFF"/>
        </w:rPr>
      </w:pPr>
      <w:r w:rsidRPr="001C327A">
        <w:rPr>
          <w:shd w:val="clear" w:color="auto" w:fill="FFFFFF"/>
        </w:rPr>
        <w:t>Olafsson, A. and Pagel, M. (2018). The Liquid Hand-to-Mouth: Evidence from Personal Finance Management Software. The Review of Financial Studies, 31(11), pp.4398–4446. doi:https://doi.org/10.1093/rfs/hhy055.</w:t>
      </w:r>
    </w:p>
    <w:p w14:paraId="3C5CDB71" w14:textId="46437F52" w:rsidR="007E0A81" w:rsidRDefault="007E0A81" w:rsidP="006F214B">
      <w:pPr>
        <w:rPr>
          <w:shd w:val="clear" w:color="auto" w:fill="FFFFFF"/>
        </w:rPr>
      </w:pPr>
      <w:r w:rsidRPr="007E0A81">
        <w:rPr>
          <w:shd w:val="clear" w:color="auto" w:fill="FFFFFF"/>
        </w:rPr>
        <w:t>Shapiro, A.C. and Hanouna, P. (2020). Multinational financial management. Hoboken, Nj: Wiley.</w:t>
      </w:r>
    </w:p>
    <w:p w14:paraId="68CCE36E" w14:textId="77777777" w:rsidR="006F214B" w:rsidRPr="006F214B" w:rsidRDefault="006F214B" w:rsidP="006F214B">
      <w:pPr>
        <w:rPr>
          <w:color w:val="000000" w:themeColor="text1"/>
          <w:shd w:val="clear" w:color="auto" w:fill="FFFFFF"/>
        </w:rPr>
      </w:pPr>
      <w:r w:rsidRPr="006F214B">
        <w:rPr>
          <w:color w:val="000000" w:themeColor="text1"/>
          <w:shd w:val="clear" w:color="auto" w:fill="FFFFFF"/>
        </w:rPr>
        <w:t>Shim, J.K., 2022. </w:t>
      </w:r>
      <w:r w:rsidRPr="006F214B">
        <w:rPr>
          <w:i/>
          <w:iCs/>
          <w:color w:val="000000" w:themeColor="text1"/>
          <w:shd w:val="clear" w:color="auto" w:fill="FFFFFF"/>
        </w:rPr>
        <w:t>Financial management</w:t>
      </w:r>
      <w:r w:rsidRPr="006F214B">
        <w:rPr>
          <w:color w:val="000000" w:themeColor="text1"/>
          <w:shd w:val="clear" w:color="auto" w:fill="FFFFFF"/>
        </w:rPr>
        <w:t>. Professor of Finance and Accounting Queens College City University of New York.</w:t>
      </w:r>
    </w:p>
    <w:p w14:paraId="7289D3CF" w14:textId="77777777" w:rsidR="00CA6406" w:rsidRPr="00CA6406" w:rsidRDefault="00CA6406" w:rsidP="00CA6406">
      <w:pPr>
        <w:rPr>
          <w:color w:val="FF0000"/>
          <w:shd w:val="clear" w:color="auto" w:fill="FFFFFF"/>
        </w:rPr>
      </w:pPr>
    </w:p>
    <w:p w14:paraId="0E805F6B" w14:textId="77777777" w:rsidR="00CA6406" w:rsidRPr="00CA6406" w:rsidRDefault="00CA6406" w:rsidP="00CA6406">
      <w:pPr>
        <w:rPr>
          <w:color w:val="000000" w:themeColor="text1"/>
          <w:shd w:val="clear" w:color="auto" w:fill="FFFFFF"/>
        </w:rPr>
      </w:pPr>
    </w:p>
    <w:p w14:paraId="435061E0" w14:textId="5C19921D" w:rsidR="00EC3967" w:rsidRDefault="00EC3967">
      <w:r>
        <w:br w:type="page"/>
      </w:r>
    </w:p>
    <w:p w14:paraId="2F0232B1" w14:textId="77777777" w:rsidR="00EC3967" w:rsidRDefault="00EC3967" w:rsidP="005E2498">
      <w:pPr>
        <w:pStyle w:val="Heading1"/>
      </w:pPr>
      <w:bookmarkStart w:id="47" w:name="_Toc159518485"/>
      <w:bookmarkStart w:id="48" w:name="_Toc159521024"/>
      <w:bookmarkStart w:id="49" w:name="_Toc160051032"/>
      <w:bookmarkStart w:id="50" w:name="_Toc160053013"/>
      <w:bookmarkStart w:id="51" w:name="_Toc160138141"/>
      <w:r>
        <w:lastRenderedPageBreak/>
        <w:t>Appendix</w:t>
      </w:r>
      <w:bookmarkEnd w:id="47"/>
      <w:bookmarkEnd w:id="48"/>
      <w:bookmarkEnd w:id="49"/>
      <w:bookmarkEnd w:id="50"/>
      <w:bookmarkEnd w:id="51"/>
      <w:r>
        <w:t xml:space="preserve"> </w:t>
      </w:r>
    </w:p>
    <w:p w14:paraId="025F8AF8" w14:textId="77777777" w:rsidR="00EC3967" w:rsidRPr="00B44E0C" w:rsidRDefault="00EC3967" w:rsidP="00EC3967">
      <w:pPr>
        <w:rPr>
          <w:b/>
        </w:rPr>
      </w:pPr>
      <w:r w:rsidRPr="00B44E0C">
        <w:rPr>
          <w:b/>
        </w:rPr>
        <w:t>“Net profit ratio = (Net profit/revenue) x 100”</w:t>
      </w:r>
    </w:p>
    <w:p w14:paraId="2662F754" w14:textId="77777777" w:rsidR="00EC3967" w:rsidRPr="00B44E0C" w:rsidRDefault="00EC3967" w:rsidP="00EC3967">
      <w:pPr>
        <w:numPr>
          <w:ilvl w:val="0"/>
          <w:numId w:val="15"/>
        </w:numPr>
      </w:pPr>
      <w:r w:rsidRPr="00B44E0C">
        <w:t>“For 2021: (300000 / 1200000) x 100 = 25%”</w:t>
      </w:r>
    </w:p>
    <w:p w14:paraId="3DB723F1" w14:textId="77777777" w:rsidR="00EC3967" w:rsidRPr="00B44E0C" w:rsidRDefault="00EC3967" w:rsidP="00EC3967">
      <w:pPr>
        <w:numPr>
          <w:ilvl w:val="0"/>
          <w:numId w:val="15"/>
        </w:numPr>
      </w:pPr>
      <w:r w:rsidRPr="00B44E0C">
        <w:t>“For 2022: (150000 / 1100000) x 100 = 13.63%”</w:t>
      </w:r>
    </w:p>
    <w:p w14:paraId="35EA978A" w14:textId="77777777" w:rsidR="00EC3967" w:rsidRDefault="00EC3967" w:rsidP="00EC3967">
      <w:pPr>
        <w:numPr>
          <w:ilvl w:val="0"/>
          <w:numId w:val="15"/>
        </w:numPr>
      </w:pPr>
      <w:r w:rsidRPr="00B44E0C">
        <w:t>“For 2023: (-150000 / 950000) x 100 = (-15.79%)”</w:t>
      </w:r>
    </w:p>
    <w:p w14:paraId="03C44B73" w14:textId="77777777" w:rsidR="00EC3967" w:rsidRPr="00B44E0C" w:rsidRDefault="00EC3967" w:rsidP="00EC3967">
      <w:pPr>
        <w:rPr>
          <w:b/>
        </w:rPr>
      </w:pPr>
      <w:r w:rsidRPr="00B44E0C">
        <w:rPr>
          <w:b/>
        </w:rPr>
        <w:t>“Current ratio = (Current assets / Current liabilities)”</w:t>
      </w:r>
    </w:p>
    <w:p w14:paraId="1C8F24BD" w14:textId="77777777" w:rsidR="00EC3967" w:rsidRPr="00B44E0C" w:rsidRDefault="00EC3967" w:rsidP="00EC3967">
      <w:pPr>
        <w:numPr>
          <w:ilvl w:val="0"/>
          <w:numId w:val="16"/>
        </w:numPr>
      </w:pPr>
      <w:r w:rsidRPr="00B44E0C">
        <w:t>“For 2021: (150000 / 30000) = 5.00:1”</w:t>
      </w:r>
    </w:p>
    <w:p w14:paraId="3A8135B6" w14:textId="77777777" w:rsidR="00EC3967" w:rsidRPr="00B44E0C" w:rsidRDefault="00EC3967" w:rsidP="00EC3967">
      <w:pPr>
        <w:numPr>
          <w:ilvl w:val="0"/>
          <w:numId w:val="16"/>
        </w:numPr>
      </w:pPr>
      <w:r w:rsidRPr="00B44E0C">
        <w:t>“For 2022: (120000 / 40000) = 3.00:1”</w:t>
      </w:r>
    </w:p>
    <w:p w14:paraId="09F652CC" w14:textId="77777777" w:rsidR="00EC3967" w:rsidRPr="00B44E0C" w:rsidRDefault="00EC3967" w:rsidP="00EC3967">
      <w:pPr>
        <w:numPr>
          <w:ilvl w:val="0"/>
          <w:numId w:val="16"/>
        </w:numPr>
      </w:pPr>
      <w:r w:rsidRPr="00B44E0C">
        <w:t>“For 2023: (50000 / 50000) = 1.00:1”</w:t>
      </w:r>
    </w:p>
    <w:p w14:paraId="49D3211E" w14:textId="77777777" w:rsidR="00EC3967" w:rsidRPr="00B44E0C" w:rsidRDefault="00EC3967" w:rsidP="00EC3967">
      <w:pPr>
        <w:rPr>
          <w:b/>
        </w:rPr>
      </w:pPr>
      <w:r w:rsidRPr="00B44E0C">
        <w:rPr>
          <w:b/>
        </w:rPr>
        <w:t>“Debt-equity ratio = (Long-term debt/equity)”</w:t>
      </w:r>
    </w:p>
    <w:p w14:paraId="43AA60E7" w14:textId="77777777" w:rsidR="00EC3967" w:rsidRPr="00B44E0C" w:rsidRDefault="00EC3967" w:rsidP="00EC3967">
      <w:pPr>
        <w:numPr>
          <w:ilvl w:val="0"/>
          <w:numId w:val="18"/>
        </w:numPr>
      </w:pPr>
      <w:r w:rsidRPr="00B44E0C">
        <w:t>“For 2021 = (1500000 / 620000) = 2.41.”</w:t>
      </w:r>
    </w:p>
    <w:p w14:paraId="7A54520F" w14:textId="77777777" w:rsidR="00EC3967" w:rsidRPr="00B44E0C" w:rsidRDefault="00EC3967" w:rsidP="00EC3967">
      <w:pPr>
        <w:numPr>
          <w:ilvl w:val="0"/>
          <w:numId w:val="18"/>
        </w:numPr>
      </w:pPr>
      <w:r w:rsidRPr="00B44E0C">
        <w:t>“For 2022 = (1500000 / 580000) = 2.58.”</w:t>
      </w:r>
    </w:p>
    <w:p w14:paraId="0FDD08FB" w14:textId="77777777" w:rsidR="00EC3967" w:rsidRPr="00B44E0C" w:rsidRDefault="00EC3967" w:rsidP="00EC3967">
      <w:pPr>
        <w:numPr>
          <w:ilvl w:val="0"/>
          <w:numId w:val="18"/>
        </w:numPr>
      </w:pPr>
      <w:r w:rsidRPr="00B44E0C">
        <w:t>“For 2023 = (1500000 / 300000) = 5.00.”</w:t>
      </w:r>
    </w:p>
    <w:p w14:paraId="2DAE3EA8" w14:textId="77777777" w:rsidR="00EC3967" w:rsidRPr="00B44E0C" w:rsidRDefault="00EC3967" w:rsidP="00EC3967">
      <w:pPr>
        <w:rPr>
          <w:b/>
        </w:rPr>
      </w:pPr>
      <w:r w:rsidRPr="00B44E0C">
        <w:rPr>
          <w:b/>
        </w:rPr>
        <w:t>“Return on assets (ROA) = (Net profit / Total assets) x 100”</w:t>
      </w:r>
    </w:p>
    <w:p w14:paraId="10A672B9" w14:textId="77777777" w:rsidR="00EC3967" w:rsidRPr="00B44E0C" w:rsidRDefault="00EC3967" w:rsidP="00EC3967">
      <w:pPr>
        <w:numPr>
          <w:ilvl w:val="0"/>
          <w:numId w:val="21"/>
        </w:numPr>
      </w:pPr>
      <w:r w:rsidRPr="00B44E0C">
        <w:t>“For 2021 = (300000 / 2150000) x 100 = 13.95%”</w:t>
      </w:r>
    </w:p>
    <w:p w14:paraId="5C8BE5D1" w14:textId="77777777" w:rsidR="00EC3967" w:rsidRPr="00B44E0C" w:rsidRDefault="00EC3967" w:rsidP="00EC3967">
      <w:pPr>
        <w:numPr>
          <w:ilvl w:val="0"/>
          <w:numId w:val="21"/>
        </w:numPr>
      </w:pPr>
      <w:r w:rsidRPr="00B44E0C">
        <w:t>“For 2022 = (150000 / 2120000) x 100 = 7.07%”</w:t>
      </w:r>
    </w:p>
    <w:p w14:paraId="7DFC6F1E" w14:textId="77777777" w:rsidR="00EC3967" w:rsidRPr="00B44E0C" w:rsidRDefault="00EC3967" w:rsidP="00EC3967">
      <w:pPr>
        <w:numPr>
          <w:ilvl w:val="0"/>
          <w:numId w:val="21"/>
        </w:numPr>
      </w:pPr>
      <w:r w:rsidRPr="00B44E0C">
        <w:t>“For 2023 = (-150000 / 1850000) x 100 = (-8.10%)”</w:t>
      </w:r>
    </w:p>
    <w:p w14:paraId="583FDD30" w14:textId="77777777" w:rsidR="00EC3967" w:rsidRPr="00B44E0C" w:rsidRDefault="00EC3967" w:rsidP="00EC3967">
      <w:pPr>
        <w:rPr>
          <w:b/>
        </w:rPr>
      </w:pPr>
      <w:r w:rsidRPr="00B44E0C">
        <w:rPr>
          <w:b/>
        </w:rPr>
        <w:t>“Return on equity (ROE) = (Net profit / Total equity) x 100”</w:t>
      </w:r>
    </w:p>
    <w:p w14:paraId="25156E0E" w14:textId="77777777" w:rsidR="00EC3967" w:rsidRPr="00B44E0C" w:rsidRDefault="00EC3967" w:rsidP="00EC3967">
      <w:pPr>
        <w:numPr>
          <w:ilvl w:val="0"/>
          <w:numId w:val="19"/>
        </w:numPr>
      </w:pPr>
      <w:r w:rsidRPr="00B44E0C">
        <w:t>“For 2021 = (300000 / 620000) x 100 = 48.38%”</w:t>
      </w:r>
    </w:p>
    <w:p w14:paraId="422BCCFA" w14:textId="77777777" w:rsidR="00EC3967" w:rsidRPr="00B44E0C" w:rsidRDefault="00EC3967" w:rsidP="00EC3967">
      <w:pPr>
        <w:numPr>
          <w:ilvl w:val="0"/>
          <w:numId w:val="19"/>
        </w:numPr>
      </w:pPr>
      <w:r w:rsidRPr="00B44E0C">
        <w:t xml:space="preserve">“For 2022 = (150000 / 580000) x 100 = 25.86%” </w:t>
      </w:r>
    </w:p>
    <w:p w14:paraId="25636E03" w14:textId="77777777" w:rsidR="00EC3967" w:rsidRPr="00B44E0C" w:rsidRDefault="00EC3967" w:rsidP="00EC3967">
      <w:pPr>
        <w:numPr>
          <w:ilvl w:val="0"/>
          <w:numId w:val="19"/>
        </w:numPr>
      </w:pPr>
      <w:r w:rsidRPr="00B44E0C">
        <w:t>“For 2023 = (-150000 / 300000) x 100 = (-50.00%)”</w:t>
      </w:r>
    </w:p>
    <w:p w14:paraId="72801EBC" w14:textId="77777777" w:rsidR="00EC3967" w:rsidRPr="00B44E0C" w:rsidRDefault="00EC3967" w:rsidP="00EC3967">
      <w:pPr>
        <w:rPr>
          <w:b/>
        </w:rPr>
      </w:pPr>
      <w:r w:rsidRPr="00B44E0C">
        <w:rPr>
          <w:b/>
        </w:rPr>
        <w:t xml:space="preserve">“Occupancy rate position” </w:t>
      </w:r>
    </w:p>
    <w:p w14:paraId="38281499" w14:textId="77777777" w:rsidR="00EC3967" w:rsidRPr="00B44E0C" w:rsidRDefault="00EC3967" w:rsidP="00EC3967">
      <w:pPr>
        <w:numPr>
          <w:ilvl w:val="0"/>
          <w:numId w:val="20"/>
        </w:numPr>
      </w:pPr>
      <w:r w:rsidRPr="00B44E0C">
        <w:t xml:space="preserve">“For 2021 = 65%” </w:t>
      </w:r>
    </w:p>
    <w:p w14:paraId="74AB069F" w14:textId="77777777" w:rsidR="00EC3967" w:rsidRPr="00B44E0C" w:rsidRDefault="00EC3967" w:rsidP="00EC3967">
      <w:pPr>
        <w:numPr>
          <w:ilvl w:val="0"/>
          <w:numId w:val="20"/>
        </w:numPr>
      </w:pPr>
      <w:r w:rsidRPr="00B44E0C">
        <w:t>“For 2022 = 60%”</w:t>
      </w:r>
    </w:p>
    <w:p w14:paraId="602A082E" w14:textId="77777777" w:rsidR="00EC3967" w:rsidRPr="00B44E0C" w:rsidRDefault="00EC3967" w:rsidP="00EC3967">
      <w:pPr>
        <w:numPr>
          <w:ilvl w:val="0"/>
          <w:numId w:val="20"/>
        </w:numPr>
      </w:pPr>
      <w:r w:rsidRPr="00B44E0C">
        <w:t xml:space="preserve">“For 2023 = 50%” </w:t>
      </w:r>
    </w:p>
    <w:p w14:paraId="4788C7D1" w14:textId="77777777" w:rsidR="00EC3967" w:rsidRPr="00B44E0C" w:rsidRDefault="00EC3967" w:rsidP="00EC3967">
      <w:pPr>
        <w:rPr>
          <w:b/>
        </w:rPr>
      </w:pPr>
      <w:r w:rsidRPr="00B44E0C">
        <w:rPr>
          <w:b/>
        </w:rPr>
        <w:t xml:space="preserve">“Average room rate position (ARR)” </w:t>
      </w:r>
    </w:p>
    <w:p w14:paraId="65668779" w14:textId="77777777" w:rsidR="00EC3967" w:rsidRPr="00B44E0C" w:rsidRDefault="00EC3967" w:rsidP="00EC3967">
      <w:pPr>
        <w:numPr>
          <w:ilvl w:val="0"/>
          <w:numId w:val="17"/>
        </w:numPr>
      </w:pPr>
      <w:r w:rsidRPr="00B44E0C">
        <w:t>“For 2021: £260”</w:t>
      </w:r>
    </w:p>
    <w:p w14:paraId="29681209" w14:textId="77777777" w:rsidR="00EC3967" w:rsidRPr="00B44E0C" w:rsidRDefault="00EC3967" w:rsidP="00EC3967">
      <w:pPr>
        <w:numPr>
          <w:ilvl w:val="0"/>
          <w:numId w:val="17"/>
        </w:numPr>
      </w:pPr>
      <w:r w:rsidRPr="00B44E0C">
        <w:t>“For 2022: £240”</w:t>
      </w:r>
    </w:p>
    <w:p w14:paraId="1888BE63" w14:textId="77777777" w:rsidR="00EC3967" w:rsidRPr="00B44E0C" w:rsidRDefault="00EC3967" w:rsidP="00EC3967">
      <w:pPr>
        <w:numPr>
          <w:ilvl w:val="0"/>
          <w:numId w:val="17"/>
        </w:numPr>
      </w:pPr>
      <w:r w:rsidRPr="00B44E0C">
        <w:t xml:space="preserve">“For 2023: £210” </w:t>
      </w:r>
    </w:p>
    <w:p w14:paraId="5C073D1F" w14:textId="77777777" w:rsidR="00DB1273" w:rsidRPr="00DB1273" w:rsidRDefault="00DB1273"/>
    <w:sectPr w:rsidR="00DB1273" w:rsidRPr="00DB1273" w:rsidSect="00ED1B7F">
      <w:footerReference w:type="default" r:id="rId8"/>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68970" w14:textId="77777777" w:rsidR="00ED1B7F" w:rsidRDefault="00ED1B7F" w:rsidP="00A041D2">
      <w:pPr>
        <w:spacing w:line="240" w:lineRule="auto"/>
      </w:pPr>
      <w:r>
        <w:separator/>
      </w:r>
    </w:p>
  </w:endnote>
  <w:endnote w:type="continuationSeparator" w:id="0">
    <w:p w14:paraId="6C5994BD" w14:textId="77777777" w:rsidR="00ED1B7F" w:rsidRDefault="00ED1B7F" w:rsidP="00A041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418753"/>
      <w:docPartObj>
        <w:docPartGallery w:val="Page Numbers (Bottom of Page)"/>
        <w:docPartUnique/>
      </w:docPartObj>
    </w:sdtPr>
    <w:sdtEndPr>
      <w:rPr>
        <w:noProof/>
      </w:rPr>
    </w:sdtEndPr>
    <w:sdtContent>
      <w:p w14:paraId="213237E5" w14:textId="3A7872E9" w:rsidR="00A041D2" w:rsidRDefault="00A041D2">
        <w:pPr>
          <w:pStyle w:val="Footer"/>
          <w:jc w:val="right"/>
        </w:pPr>
        <w:r>
          <w:fldChar w:fldCharType="begin"/>
        </w:r>
        <w:r>
          <w:instrText xml:space="preserve"> PAGE   \* MERGEFORMAT </w:instrText>
        </w:r>
        <w:r>
          <w:fldChar w:fldCharType="separate"/>
        </w:r>
        <w:r w:rsidR="008F6154">
          <w:rPr>
            <w:noProof/>
          </w:rPr>
          <w:t>10</w:t>
        </w:r>
        <w:r>
          <w:rPr>
            <w:noProof/>
          </w:rPr>
          <w:fldChar w:fldCharType="end"/>
        </w:r>
      </w:p>
    </w:sdtContent>
  </w:sdt>
  <w:p w14:paraId="02C0F9D9" w14:textId="77777777" w:rsidR="00A041D2" w:rsidRDefault="00A04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36429" w14:textId="77777777" w:rsidR="00ED1B7F" w:rsidRDefault="00ED1B7F" w:rsidP="00A041D2">
      <w:pPr>
        <w:spacing w:line="240" w:lineRule="auto"/>
      </w:pPr>
      <w:r>
        <w:separator/>
      </w:r>
    </w:p>
  </w:footnote>
  <w:footnote w:type="continuationSeparator" w:id="0">
    <w:p w14:paraId="4E2D7C46" w14:textId="77777777" w:rsidR="00ED1B7F" w:rsidRDefault="00ED1B7F" w:rsidP="00A041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7097"/>
    <w:multiLevelType w:val="multilevel"/>
    <w:tmpl w:val="570A6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F3060A"/>
    <w:multiLevelType w:val="multilevel"/>
    <w:tmpl w:val="D34A4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C944FB"/>
    <w:multiLevelType w:val="hybridMultilevel"/>
    <w:tmpl w:val="173255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01E3A0D"/>
    <w:multiLevelType w:val="multilevel"/>
    <w:tmpl w:val="780AA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887BDA"/>
    <w:multiLevelType w:val="multilevel"/>
    <w:tmpl w:val="6A68B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8D412B"/>
    <w:multiLevelType w:val="multilevel"/>
    <w:tmpl w:val="C69AA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C721994"/>
    <w:multiLevelType w:val="multilevel"/>
    <w:tmpl w:val="DE4ED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35490F"/>
    <w:multiLevelType w:val="multilevel"/>
    <w:tmpl w:val="10B08F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A15621"/>
    <w:multiLevelType w:val="hybridMultilevel"/>
    <w:tmpl w:val="FD4E51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03028A5"/>
    <w:multiLevelType w:val="multilevel"/>
    <w:tmpl w:val="E7240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8B3278"/>
    <w:multiLevelType w:val="hybridMultilevel"/>
    <w:tmpl w:val="C8A04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83087C"/>
    <w:multiLevelType w:val="multilevel"/>
    <w:tmpl w:val="3FEC9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B41EE9"/>
    <w:multiLevelType w:val="multilevel"/>
    <w:tmpl w:val="186AF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3222E8"/>
    <w:multiLevelType w:val="hybridMultilevel"/>
    <w:tmpl w:val="94C61D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0F72E42"/>
    <w:multiLevelType w:val="hybridMultilevel"/>
    <w:tmpl w:val="8738F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5D5711"/>
    <w:multiLevelType w:val="multilevel"/>
    <w:tmpl w:val="FB767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3DE1684"/>
    <w:multiLevelType w:val="multilevel"/>
    <w:tmpl w:val="067E7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177D9D"/>
    <w:multiLevelType w:val="multilevel"/>
    <w:tmpl w:val="6B948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3834282"/>
    <w:multiLevelType w:val="hybridMultilevel"/>
    <w:tmpl w:val="8E107D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77B36076"/>
    <w:multiLevelType w:val="multilevel"/>
    <w:tmpl w:val="D6308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8D67F17"/>
    <w:multiLevelType w:val="multilevel"/>
    <w:tmpl w:val="E0EC5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BBA5B16"/>
    <w:multiLevelType w:val="hybridMultilevel"/>
    <w:tmpl w:val="6BC844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C4668C0"/>
    <w:multiLevelType w:val="multilevel"/>
    <w:tmpl w:val="B95A4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3587723">
    <w:abstractNumId w:val="1"/>
  </w:num>
  <w:num w:numId="2" w16cid:durableId="1102796313">
    <w:abstractNumId w:val="16"/>
  </w:num>
  <w:num w:numId="3" w16cid:durableId="1077749118">
    <w:abstractNumId w:val="5"/>
  </w:num>
  <w:num w:numId="4" w16cid:durableId="947539490">
    <w:abstractNumId w:val="0"/>
  </w:num>
  <w:num w:numId="5" w16cid:durableId="295305897">
    <w:abstractNumId w:val="12"/>
  </w:num>
  <w:num w:numId="6" w16cid:durableId="2120223799">
    <w:abstractNumId w:val="11"/>
  </w:num>
  <w:num w:numId="7" w16cid:durableId="709109362">
    <w:abstractNumId w:val="4"/>
  </w:num>
  <w:num w:numId="8" w16cid:durableId="1682127316">
    <w:abstractNumId w:val="22"/>
  </w:num>
  <w:num w:numId="9" w16cid:durableId="1170146653">
    <w:abstractNumId w:val="7"/>
  </w:num>
  <w:num w:numId="10" w16cid:durableId="1215198152">
    <w:abstractNumId w:val="21"/>
  </w:num>
  <w:num w:numId="11" w16cid:durableId="37239974">
    <w:abstractNumId w:val="13"/>
  </w:num>
  <w:num w:numId="12" w16cid:durableId="10568246">
    <w:abstractNumId w:val="8"/>
  </w:num>
  <w:num w:numId="13" w16cid:durableId="157774380">
    <w:abstractNumId w:val="18"/>
  </w:num>
  <w:num w:numId="14" w16cid:durableId="2059090100">
    <w:abstractNumId w:val="2"/>
  </w:num>
  <w:num w:numId="15" w16cid:durableId="1059866309">
    <w:abstractNumId w:val="20"/>
  </w:num>
  <w:num w:numId="16" w16cid:durableId="1245073599">
    <w:abstractNumId w:val="3"/>
  </w:num>
  <w:num w:numId="17" w16cid:durableId="969475016">
    <w:abstractNumId w:val="6"/>
  </w:num>
  <w:num w:numId="18" w16cid:durableId="511142658">
    <w:abstractNumId w:val="19"/>
  </w:num>
  <w:num w:numId="19" w16cid:durableId="589580440">
    <w:abstractNumId w:val="17"/>
  </w:num>
  <w:num w:numId="20" w16cid:durableId="1629968062">
    <w:abstractNumId w:val="9"/>
  </w:num>
  <w:num w:numId="21" w16cid:durableId="53241997">
    <w:abstractNumId w:val="15"/>
  </w:num>
  <w:num w:numId="22" w16cid:durableId="1215116075">
    <w:abstractNumId w:val="10"/>
  </w:num>
  <w:num w:numId="23" w16cid:durableId="16062333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941"/>
    <w:rsid w:val="00006784"/>
    <w:rsid w:val="00056A83"/>
    <w:rsid w:val="0006580E"/>
    <w:rsid w:val="000D03EA"/>
    <w:rsid w:val="00152AFC"/>
    <w:rsid w:val="001C327A"/>
    <w:rsid w:val="00203521"/>
    <w:rsid w:val="00332941"/>
    <w:rsid w:val="00336248"/>
    <w:rsid w:val="00404CC8"/>
    <w:rsid w:val="004B7665"/>
    <w:rsid w:val="00576526"/>
    <w:rsid w:val="005B777A"/>
    <w:rsid w:val="005C161D"/>
    <w:rsid w:val="005C205E"/>
    <w:rsid w:val="005D677C"/>
    <w:rsid w:val="005E2498"/>
    <w:rsid w:val="0067198D"/>
    <w:rsid w:val="006C6C4D"/>
    <w:rsid w:val="006D74EF"/>
    <w:rsid w:val="006F214B"/>
    <w:rsid w:val="007B09BF"/>
    <w:rsid w:val="007D3846"/>
    <w:rsid w:val="007E0A81"/>
    <w:rsid w:val="00826351"/>
    <w:rsid w:val="008F6154"/>
    <w:rsid w:val="00A041D2"/>
    <w:rsid w:val="00A05C91"/>
    <w:rsid w:val="00A403A6"/>
    <w:rsid w:val="00A414F1"/>
    <w:rsid w:val="00B477FB"/>
    <w:rsid w:val="00B700B9"/>
    <w:rsid w:val="00B73663"/>
    <w:rsid w:val="00BD1C41"/>
    <w:rsid w:val="00C25565"/>
    <w:rsid w:val="00C558A6"/>
    <w:rsid w:val="00CA6406"/>
    <w:rsid w:val="00CD5ACE"/>
    <w:rsid w:val="00CD7B51"/>
    <w:rsid w:val="00D50927"/>
    <w:rsid w:val="00DB1273"/>
    <w:rsid w:val="00DF0B6B"/>
    <w:rsid w:val="00E02BC2"/>
    <w:rsid w:val="00E10223"/>
    <w:rsid w:val="00E17D5E"/>
    <w:rsid w:val="00EC3967"/>
    <w:rsid w:val="00ED1B7F"/>
    <w:rsid w:val="00EF13F1"/>
    <w:rsid w:val="00EF7D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06EBE"/>
  <w15:docId w15:val="{B5DE6112-6813-4FA0-B4E1-BB67237E4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5E2498"/>
    <w:pPr>
      <w:outlineLvl w:val="0"/>
    </w:pPr>
    <w:rPr>
      <w:b/>
    </w:rPr>
  </w:style>
  <w:style w:type="paragraph" w:styleId="Heading2">
    <w:name w:val="heading 2"/>
    <w:basedOn w:val="Normal"/>
    <w:next w:val="Normal"/>
    <w:rsid w:val="00DB1273"/>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E10223"/>
    <w:pPr>
      <w:outlineLvl w:val="6"/>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B1273"/>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B1273"/>
    <w:pPr>
      <w:spacing w:after="100"/>
    </w:pPr>
  </w:style>
  <w:style w:type="paragraph" w:styleId="TOC2">
    <w:name w:val="toc 2"/>
    <w:basedOn w:val="Normal"/>
    <w:next w:val="Normal"/>
    <w:autoRedefine/>
    <w:uiPriority w:val="39"/>
    <w:unhideWhenUsed/>
    <w:rsid w:val="00DB1273"/>
    <w:pPr>
      <w:spacing w:after="100"/>
      <w:ind w:left="240"/>
    </w:pPr>
  </w:style>
  <w:style w:type="character" w:styleId="Hyperlink">
    <w:name w:val="Hyperlink"/>
    <w:basedOn w:val="DefaultParagraphFont"/>
    <w:uiPriority w:val="99"/>
    <w:unhideWhenUsed/>
    <w:rsid w:val="00DB1273"/>
    <w:rPr>
      <w:color w:val="0000FF" w:themeColor="hyperlink"/>
      <w:u w:val="single"/>
    </w:rPr>
  </w:style>
  <w:style w:type="paragraph" w:styleId="Header">
    <w:name w:val="header"/>
    <w:basedOn w:val="Normal"/>
    <w:link w:val="HeaderChar"/>
    <w:uiPriority w:val="99"/>
    <w:unhideWhenUsed/>
    <w:rsid w:val="00A041D2"/>
    <w:pPr>
      <w:tabs>
        <w:tab w:val="center" w:pos="4513"/>
        <w:tab w:val="right" w:pos="9026"/>
      </w:tabs>
      <w:spacing w:line="240" w:lineRule="auto"/>
    </w:pPr>
  </w:style>
  <w:style w:type="character" w:customStyle="1" w:styleId="HeaderChar">
    <w:name w:val="Header Char"/>
    <w:basedOn w:val="DefaultParagraphFont"/>
    <w:link w:val="Header"/>
    <w:uiPriority w:val="99"/>
    <w:rsid w:val="00A041D2"/>
    <w:rPr>
      <w:lang w:val="en-GB"/>
    </w:rPr>
  </w:style>
  <w:style w:type="paragraph" w:styleId="Footer">
    <w:name w:val="footer"/>
    <w:basedOn w:val="Normal"/>
    <w:link w:val="FooterChar"/>
    <w:uiPriority w:val="99"/>
    <w:unhideWhenUsed/>
    <w:rsid w:val="00A041D2"/>
    <w:pPr>
      <w:tabs>
        <w:tab w:val="center" w:pos="4513"/>
        <w:tab w:val="right" w:pos="9026"/>
      </w:tabs>
      <w:spacing w:line="240" w:lineRule="auto"/>
    </w:pPr>
  </w:style>
  <w:style w:type="character" w:customStyle="1" w:styleId="FooterChar">
    <w:name w:val="Footer Char"/>
    <w:basedOn w:val="DefaultParagraphFont"/>
    <w:link w:val="Footer"/>
    <w:uiPriority w:val="99"/>
    <w:rsid w:val="00A041D2"/>
    <w:rPr>
      <w:lang w:val="en-GB"/>
    </w:rPr>
  </w:style>
  <w:style w:type="paragraph" w:styleId="ListParagraph">
    <w:name w:val="List Paragraph"/>
    <w:basedOn w:val="Normal"/>
    <w:uiPriority w:val="34"/>
    <w:qFormat/>
    <w:rsid w:val="00CA6406"/>
    <w:pPr>
      <w:ind w:left="720"/>
      <w:contextualSpacing/>
    </w:pPr>
  </w:style>
  <w:style w:type="paragraph" w:styleId="NormalWeb">
    <w:name w:val="Normal (Web)"/>
    <w:basedOn w:val="Normal"/>
    <w:uiPriority w:val="99"/>
    <w:unhideWhenUsed/>
    <w:rsid w:val="00B700B9"/>
    <w:pPr>
      <w:spacing w:before="100" w:beforeAutospacing="1" w:after="100" w:afterAutospacing="1" w:line="240" w:lineRule="auto"/>
      <w:jc w:val="left"/>
    </w:pPr>
    <w:rPr>
      <w:lang w:val="en-IN"/>
    </w:rPr>
  </w:style>
  <w:style w:type="paragraph" w:styleId="NoSpacing">
    <w:name w:val="No Spacing"/>
    <w:link w:val="NoSpacingChar"/>
    <w:uiPriority w:val="1"/>
    <w:qFormat/>
    <w:rsid w:val="006C6C4D"/>
    <w:pPr>
      <w:spacing w:line="240" w:lineRule="auto"/>
      <w:jc w:val="left"/>
    </w:pPr>
    <w:rPr>
      <w:rFonts w:asciiTheme="minorHAnsi" w:eastAsiaTheme="minorHAnsi" w:hAnsiTheme="minorHAnsi" w:cstheme="minorBidi"/>
      <w:color w:val="1F497D" w:themeColor="text2"/>
      <w:sz w:val="20"/>
      <w:szCs w:val="20"/>
      <w:lang w:val="en-US" w:eastAsia="en-US"/>
    </w:rPr>
  </w:style>
  <w:style w:type="character" w:customStyle="1" w:styleId="NoSpacingChar">
    <w:name w:val="No Spacing Char"/>
    <w:basedOn w:val="DefaultParagraphFont"/>
    <w:link w:val="NoSpacing"/>
    <w:uiPriority w:val="1"/>
    <w:rsid w:val="006C6C4D"/>
    <w:rPr>
      <w:rFonts w:asciiTheme="minorHAnsi" w:eastAsiaTheme="minorHAnsi" w:hAnsiTheme="minorHAnsi" w:cstheme="minorBidi"/>
      <w:color w:val="1F497D" w:themeColor="text2"/>
      <w:sz w:val="20"/>
      <w:szCs w:val="20"/>
      <w:lang w:val="en-US" w:eastAsia="en-US"/>
    </w:rPr>
  </w:style>
  <w:style w:type="character" w:customStyle="1" w:styleId="Heading7Char">
    <w:name w:val="Heading 7 Char"/>
    <w:basedOn w:val="DefaultParagraphFont"/>
    <w:link w:val="Heading7"/>
    <w:uiPriority w:val="9"/>
    <w:rsid w:val="00E10223"/>
    <w:rPr>
      <w:sz w:val="36"/>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740784">
      <w:bodyDiv w:val="1"/>
      <w:marLeft w:val="0"/>
      <w:marRight w:val="0"/>
      <w:marTop w:val="0"/>
      <w:marBottom w:val="0"/>
      <w:divBdr>
        <w:top w:val="none" w:sz="0" w:space="0" w:color="auto"/>
        <w:left w:val="none" w:sz="0" w:space="0" w:color="auto"/>
        <w:bottom w:val="none" w:sz="0" w:space="0" w:color="auto"/>
        <w:right w:val="none" w:sz="0" w:space="0" w:color="auto"/>
      </w:divBdr>
    </w:div>
    <w:div w:id="313147015">
      <w:bodyDiv w:val="1"/>
      <w:marLeft w:val="0"/>
      <w:marRight w:val="0"/>
      <w:marTop w:val="0"/>
      <w:marBottom w:val="0"/>
      <w:divBdr>
        <w:top w:val="none" w:sz="0" w:space="0" w:color="auto"/>
        <w:left w:val="none" w:sz="0" w:space="0" w:color="auto"/>
        <w:bottom w:val="none" w:sz="0" w:space="0" w:color="auto"/>
        <w:right w:val="none" w:sz="0" w:space="0" w:color="auto"/>
      </w:divBdr>
    </w:div>
    <w:div w:id="608701450">
      <w:bodyDiv w:val="1"/>
      <w:marLeft w:val="0"/>
      <w:marRight w:val="0"/>
      <w:marTop w:val="0"/>
      <w:marBottom w:val="0"/>
      <w:divBdr>
        <w:top w:val="none" w:sz="0" w:space="0" w:color="auto"/>
        <w:left w:val="none" w:sz="0" w:space="0" w:color="auto"/>
        <w:bottom w:val="none" w:sz="0" w:space="0" w:color="auto"/>
        <w:right w:val="none" w:sz="0" w:space="0" w:color="auto"/>
      </w:divBdr>
    </w:div>
    <w:div w:id="718742118">
      <w:bodyDiv w:val="1"/>
      <w:marLeft w:val="0"/>
      <w:marRight w:val="0"/>
      <w:marTop w:val="0"/>
      <w:marBottom w:val="0"/>
      <w:divBdr>
        <w:top w:val="none" w:sz="0" w:space="0" w:color="auto"/>
        <w:left w:val="none" w:sz="0" w:space="0" w:color="auto"/>
        <w:bottom w:val="none" w:sz="0" w:space="0" w:color="auto"/>
        <w:right w:val="none" w:sz="0" w:space="0" w:color="auto"/>
      </w:divBdr>
    </w:div>
    <w:div w:id="829101017">
      <w:bodyDiv w:val="1"/>
      <w:marLeft w:val="0"/>
      <w:marRight w:val="0"/>
      <w:marTop w:val="0"/>
      <w:marBottom w:val="0"/>
      <w:divBdr>
        <w:top w:val="none" w:sz="0" w:space="0" w:color="auto"/>
        <w:left w:val="none" w:sz="0" w:space="0" w:color="auto"/>
        <w:bottom w:val="none" w:sz="0" w:space="0" w:color="auto"/>
        <w:right w:val="none" w:sz="0" w:space="0" w:color="auto"/>
      </w:divBdr>
    </w:div>
    <w:div w:id="1135029207">
      <w:bodyDiv w:val="1"/>
      <w:marLeft w:val="0"/>
      <w:marRight w:val="0"/>
      <w:marTop w:val="0"/>
      <w:marBottom w:val="0"/>
      <w:divBdr>
        <w:top w:val="none" w:sz="0" w:space="0" w:color="auto"/>
        <w:left w:val="none" w:sz="0" w:space="0" w:color="auto"/>
        <w:bottom w:val="none" w:sz="0" w:space="0" w:color="auto"/>
        <w:right w:val="none" w:sz="0" w:space="0" w:color="auto"/>
      </w:divBdr>
    </w:div>
    <w:div w:id="1296329745">
      <w:bodyDiv w:val="1"/>
      <w:marLeft w:val="0"/>
      <w:marRight w:val="0"/>
      <w:marTop w:val="0"/>
      <w:marBottom w:val="0"/>
      <w:divBdr>
        <w:top w:val="none" w:sz="0" w:space="0" w:color="auto"/>
        <w:left w:val="none" w:sz="0" w:space="0" w:color="auto"/>
        <w:bottom w:val="none" w:sz="0" w:space="0" w:color="auto"/>
        <w:right w:val="none" w:sz="0" w:space="0" w:color="auto"/>
      </w:divBdr>
    </w:div>
    <w:div w:id="1999575907">
      <w:bodyDiv w:val="1"/>
      <w:marLeft w:val="0"/>
      <w:marRight w:val="0"/>
      <w:marTop w:val="0"/>
      <w:marBottom w:val="0"/>
      <w:divBdr>
        <w:top w:val="none" w:sz="0" w:space="0" w:color="auto"/>
        <w:left w:val="none" w:sz="0" w:space="0" w:color="auto"/>
        <w:bottom w:val="none" w:sz="0" w:space="0" w:color="auto"/>
        <w:right w:val="none" w:sz="0" w:space="0" w:color="auto"/>
      </w:divBdr>
    </w:div>
    <w:div w:id="2064677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4B891-2800-45D9-941D-DA08945E8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2805</Words>
  <Characters>16420</Characters>
  <Application>Microsoft Office Word</Application>
  <DocSecurity>0</DocSecurity>
  <Lines>278</Lines>
  <Paragraphs>87</Paragraphs>
  <ScaleCrop>false</ScaleCrop>
  <HeadingPairs>
    <vt:vector size="2" baseType="variant">
      <vt:variant>
        <vt:lpstr>Title</vt:lpstr>
      </vt:variant>
      <vt:variant>
        <vt:i4>1</vt:i4>
      </vt:variant>
    </vt:vector>
  </HeadingPairs>
  <TitlesOfParts>
    <vt:vector size="1" baseType="lpstr">
      <vt:lpstr>Report case study: the Seacrest Lodge</vt:lpstr>
    </vt:vector>
  </TitlesOfParts>
  <Company>The Module Title: Financial Management for the Hotel Industry BMIH5007</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the Seacrest Lodge</dc:title>
  <cp:lastModifiedBy>Ada Roman (2207421)</cp:lastModifiedBy>
  <cp:revision>16</cp:revision>
  <dcterms:created xsi:type="dcterms:W3CDTF">2024-01-27T11:20:00Z</dcterms:created>
  <dcterms:modified xsi:type="dcterms:W3CDTF">2024-02-29T22:37:00Z</dcterms:modified>
  <cp:category>KJGJHGNKJHH</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90533bd83dee9a798a4806834897c5593392a7b56f803174c8c273f8241b850f</vt:lpwstr>
  </property>
</Properties>
</file>