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A4C1CFD" w:rsidP="21AD3D14" w:rsidRDefault="3A4C1CFD" w14:paraId="7FA70558" w14:textId="49D9717D">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21AD3D14" w:rsidR="3A4C1CFD">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 xml:space="preserve">Why does travel matter? Discuss in relation to Homer Odyssey 1-4 and its historical context. </w:t>
      </w:r>
    </w:p>
    <w:p w:rsidR="21AD3D14" w:rsidP="21AD3D14" w:rsidRDefault="21AD3D14" w14:paraId="65B19FC7" w14:textId="4B24F57C">
      <w:pPr>
        <w:pStyle w:val="Normal"/>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p>
    <w:p w:rsidR="3A4C1CFD" w:rsidP="21AD3D14" w:rsidRDefault="3A4C1CFD" w14:paraId="37C24A83" w14:textId="6BD1D5B1">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Following the emergence of Ancient Greece from the Dark Ages in the 8</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vertAlign w:val="superscript"/>
          <w:lang w:val="en-GB"/>
        </w:rPr>
        <w:t>th</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Century BCE, travel played an important part in the structural revolution that marked the beginning of the Archaic period (Snodgrass, 1980 p. 13, p. 31). The development of poleis and emporia across the Mediterranean lead to a new sense of identity for the Greek people as a whole, and with it came the introduction of the Phoenician alphabet, from which evolved a new writing system allowing stories and legends to be written down as opposed to being passed along solely through oral tradition. Travel became an essential part of the expansion of the Greek world and the expansion of the Greek identity. Literature in this period would depict cultural changes in order to deal with them, and travel is no exception to this as it features as a central and important idea in Homer’s </w:t>
      </w:r>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Odyssey</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where both the titular Odysseus and his son Telemachus undertake highly important journeys.</w:t>
      </w:r>
    </w:p>
    <w:p w:rsidR="21AD3D14" w:rsidP="21AD3D14" w:rsidRDefault="21AD3D14" w14:paraId="2FE8C626" w14:textId="197F0F49">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w:rsidR="3A4C1CFD" w:rsidP="21AD3D14" w:rsidRDefault="3A4C1CFD" w14:paraId="7C6B233F" w14:textId="55207B58">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From early on in the Odyssey we are introduced to the disarray Odysseus’ household has fallen into during his absence, along with the idea that travel is</w:t>
      </w:r>
      <w:r w:rsidRPr="21AD3D14" w:rsidR="6B837CF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in essence,</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essential to restore order to it once again; Odysseus must journey from where he is trapped on Ogygia to reclaim control over his own household and regain his identity in the eyes of his people (Ready, 2007, p. 126), and Telemachus must first embark on his own journey to return hope to his mother and his household with news of his father. Telemachus’ physical journey is important to bring home news of his father, but it also represents his metaphorical journey into manhood as he finally begins to live up to his father’s name and reputation. However, despite Telemachus growing up without his father’s physical presence in his household, Telemachus demonstrates excellent guest hospitality in his role as host, something highlighted by the appalling behaviour of the Suitors who have encroached upon his home. When the disguised Athene appears to Telemachus, he is immediately dutiful in welcoming her into his home and offering food and drink before asking for the identity of his guest, as is appropriate according to the laws of xenia (Ready, 2007, p. 126), despite the draining presence of the Suitors. Athene herself admonishes the Suitors’ behaviour upon witnessing it, and when later Telemachus announces that if the Suitors do not leave his home, he will ensure they see the consequences of their ongoing impoliteness, Zeus sends down two eagles to the assembly to signify his support of Telemachus’ statement. Telemachus’ renewed and now active determination to return his household to order as it was before his father left for Troy marks the beginnings of his personal journey to becoming his own man, a journey that is clearly sanctioned by the gods. Telemachus calling upon Zeus in response to the Suitors' behaviour in a public assembly is particularly significant, as guest hospitality was something seen to be overlooked by Zeus himself. The consequences of bad guest hospitality are well documented throughout Greek mythology, as evidenced in this epic alone with the consequences faced by both the Suitors (Hom. </w:t>
      </w:r>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Od</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22.1-329) and the cyclops Polyphemus (Hom. </w:t>
      </w:r>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Od.</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9.105-566), and elsewhere in the tales of Tantalus (Eur. </w:t>
      </w:r>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Or</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5-11) and Lycaon (Ov. </w:t>
      </w:r>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Met</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1.163-252). Both Tantalus and Lycaon let their hybris dictate their actions, something not dissimilar to the Suitors brushing aside the warnings of their impending doom as mere superstition muttered by an old man and inspired by someone who they view as nothing more than an insolent young man (Hom. </w:t>
      </w:r>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Od</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2.177-195).</w:t>
      </w:r>
    </w:p>
    <w:p w:rsidR="3A4C1CFD" w:rsidP="21AD3D14" w:rsidRDefault="3A4C1CFD" w14:paraId="0E00D17C" w14:textId="7C3531A7">
      <w:pPr>
        <w:rPr>
          <w:rFonts w:ascii="Calibri" w:hAnsi="Calibri" w:eastAsia="Calibri" w:cs="Calibri" w:asciiTheme="minorAscii" w:hAnsiTheme="minorAscii" w:eastAsiaTheme="minorAscii" w:cstheme="minorAscii"/>
          <w:b w:val="0"/>
          <w:bCs w:val="0"/>
          <w:noProof w:val="0"/>
          <w:sz w:val="22"/>
          <w:szCs w:val="22"/>
          <w:lang w:val="en-GB"/>
        </w:rPr>
      </w:pPr>
      <w:r w:rsidRPr="21AD3D14" w:rsidR="3A4C1CFD">
        <w:rPr>
          <w:rFonts w:ascii="Calibri" w:hAnsi="Calibri" w:eastAsia="Calibri" w:cs="Calibri" w:asciiTheme="minorAscii" w:hAnsiTheme="minorAscii" w:eastAsiaTheme="minorAscii" w:cstheme="minorAscii"/>
          <w:b w:val="0"/>
          <w:bCs w:val="0"/>
          <w:noProof w:val="0"/>
          <w:sz w:val="22"/>
          <w:szCs w:val="22"/>
          <w:lang w:val="en-GB"/>
        </w:rPr>
        <w:t xml:space="preserve"> </w:t>
      </w:r>
    </w:p>
    <w:p w:rsidR="3A4C1CFD" w:rsidP="21AD3D14" w:rsidRDefault="3A4C1CFD" w14:paraId="1E2C4D91" w14:textId="403F86AC">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In the third book of the </w:t>
      </w:r>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Odyssey</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Telemachus sets out for Pylos to speak to Nestor about what he may know about Odysseus following the end of the Trojan war. The expansion of the setting here leads to an expansion of the story - not only is Telemachus experiencing a new city and culture, but this also leads us to know more about the story of Odysseus and his fellow soldiers following the Achaean victory at Ilium. Here in </w:t>
      </w:r>
      <w:r w:rsidRPr="21AD3D14" w:rsidR="384C0CA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Pylos,</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we get another look at good guest hospitality, as well an idea of the proper behaviour for a young man both from Telemachus and Nestor’s youngest son Pisistratus. Like Telemachus, Pisistratus was a young boy when his father and brothers left for the Trojan war, however in this sense Pisistratus can be viewed as much luckier tha</w:t>
      </w:r>
      <w:r w:rsidRPr="21AD3D14" w:rsidR="1A18FEC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n</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Telemachus, as while Odysseus remained gone from Ithaca for a further ten years after the war, Nestor was able to return home to his family. Regardless, Telemachus and Pisistratus </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seem to be</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equally respectful and aware of the social norms they ought to be adhering to, suggesting that despite his absence Odysseus’ spirit has been </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ingrained</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in his son, an idea put forth to him initially by Athene disguised as Mentor in the second book of the </w:t>
      </w:r>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Odyssey</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(Hom. </w:t>
      </w:r>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Od.</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2.270-281). Pisistratus </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exhibits</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exemplary guest hospitality to Telemachus and the disguised Athene as well as showing a deep respect for the gods (Hom. </w:t>
      </w:r>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Od.</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3.37-50), highlighting the difference between a proper guest-host interaction and the Suitors treatment of Telemachus’ home.</w:t>
      </w:r>
    </w:p>
    <w:p w:rsidR="3A4C1CFD" w:rsidP="21AD3D14" w:rsidRDefault="3A4C1CFD" w14:paraId="204632E9" w14:textId="1C44C47A">
      <w:pPr>
        <w:rPr>
          <w:rFonts w:ascii="Calibri" w:hAnsi="Calibri" w:eastAsia="Calibri" w:cs="Calibri" w:asciiTheme="minorAscii" w:hAnsiTheme="minorAscii" w:eastAsiaTheme="minorAscii" w:cstheme="minorAscii"/>
          <w:b w:val="0"/>
          <w:bCs w:val="0"/>
          <w:noProof w:val="0"/>
          <w:sz w:val="22"/>
          <w:szCs w:val="22"/>
          <w:lang w:val="en-GB"/>
        </w:rPr>
      </w:pPr>
      <w:r w:rsidRPr="21AD3D14" w:rsidR="3A4C1CFD">
        <w:rPr>
          <w:rFonts w:ascii="Calibri" w:hAnsi="Calibri" w:eastAsia="Calibri" w:cs="Calibri" w:asciiTheme="minorAscii" w:hAnsiTheme="minorAscii" w:eastAsiaTheme="minorAscii" w:cstheme="minorAscii"/>
          <w:b w:val="0"/>
          <w:bCs w:val="0"/>
          <w:noProof w:val="0"/>
          <w:sz w:val="22"/>
          <w:szCs w:val="22"/>
          <w:lang w:val="en-GB"/>
        </w:rPr>
        <w:t xml:space="preserve"> </w:t>
      </w:r>
    </w:p>
    <w:p w:rsidR="3A4C1CFD" w:rsidP="21AD3D14" w:rsidRDefault="3A4C1CFD" w14:paraId="1C330528" w14:textId="26DBCA6C">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Book four of the </w:t>
      </w:r>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Odyssey</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follows Telemachus and Pisistratus as they travel to speak with Helen and Menelaus in Sparta. Once again here we see a positive example of guest hospitality, as Menelaus quickly rejects the idea put forth by the squire </w:t>
      </w:r>
      <w:proofErr w:type="spellStart"/>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Eteoneus</w:t>
      </w:r>
      <w:proofErr w:type="spellEnd"/>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of sending Telemachus and Pisistratus, though at the time unaware of their identities, away for some other household to entertain them and immediately insists on inviting them in and offering food as it is the correct thing to do (Hom. </w:t>
      </w:r>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Od.</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4.36-47). Once his guests have bathed and been seated with him, Menelaus even states aloud that he will not ask their identities until after they have been sufficiently fed (Hom. </w:t>
      </w:r>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Od</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4.60-62), further highlighting the importance of guest hospitality. The behaviour of Menelaus here is particularly poignant, as Menelaus and his brother Agamemnon were descendants of the infamous Tantalus. The repeated emphasis of the importance of xenia throughout the epic, while it was undoubtedly something every Greek person should strive to follow correctly, suggests it is something of a heroic quality to be greatly admired. The characters in the epic, especially in the first four books of the </w:t>
      </w:r>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Odyssey</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who do not go against the ideas of guest hospitality are in some way seen as heroic in general (Nestor, Menelaus and Odysseus himself) whereas the characters throughout the epic who do not do this (the Suitors, Polyphemus and Circe, to name a few) are viewed negatively and seen as obstacles to the journey of the heroes of the story. This further adds to the importance of Telemachus’ journey to manhood and puts him forth as able to truly follow in his footsteps and become a hero in his own right.</w:t>
      </w:r>
    </w:p>
    <w:p w:rsidR="3A4C1CFD" w:rsidP="21AD3D14" w:rsidRDefault="3A4C1CFD" w14:paraId="75DD8E33" w14:textId="7C21DA59">
      <w:pPr>
        <w:rPr>
          <w:rFonts w:ascii="Calibri" w:hAnsi="Calibri" w:eastAsia="Calibri" w:cs="Calibri" w:asciiTheme="minorAscii" w:hAnsiTheme="minorAscii" w:eastAsiaTheme="minorAscii" w:cstheme="minorAscii"/>
          <w:b w:val="0"/>
          <w:bCs w:val="0"/>
          <w:noProof w:val="0"/>
          <w:sz w:val="22"/>
          <w:szCs w:val="22"/>
          <w:lang w:val="en-GB"/>
        </w:rPr>
      </w:pPr>
      <w:r w:rsidRPr="21AD3D14" w:rsidR="3A4C1CFD">
        <w:rPr>
          <w:rFonts w:ascii="Calibri" w:hAnsi="Calibri" w:eastAsia="Calibri" w:cs="Calibri" w:asciiTheme="minorAscii" w:hAnsiTheme="minorAscii" w:eastAsiaTheme="minorAscii" w:cstheme="minorAscii"/>
          <w:b w:val="0"/>
          <w:bCs w:val="0"/>
          <w:noProof w:val="0"/>
          <w:sz w:val="22"/>
          <w:szCs w:val="22"/>
          <w:lang w:val="en-GB"/>
        </w:rPr>
        <w:t xml:space="preserve"> </w:t>
      </w:r>
    </w:p>
    <w:p w:rsidR="3A4C1CFD" w:rsidP="21AD3D14" w:rsidRDefault="3A4C1CFD" w14:paraId="119B25A0" w14:textId="4B385485">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While Telemachus’ </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metaphorical</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journey is a vital part of his developing character, his physical journey proves to be just as crucial to Telemachus’ sense of identity. It is not until he learns that his father Odysseus may still be alive and undertakes the journey to learn more information to confirm the truth that Telemachus’ sense of identity </w:t>
      </w:r>
      <w:r w:rsidRPr="21AD3D14" w:rsidR="3E8CF4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in regard to</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his father becomes clearer. Nestor, </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Helen</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and Menelaus all recognise Odysseus in Telemachus (Hom. </w:t>
      </w:r>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Od</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3.122-124, 4.128-150), a significant thing for Telemachus to hear as he himself begins to doubt his father’s identity after a lifetime of him being absent (Hom. </w:t>
      </w:r>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Od</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1.213-220). It is not until Telemachus is reunited with Odysseus </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later on</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in the epic that Telemachus’ hope truly returns to him, yet this journey and the assurances from men who knew his father far better than he builds the foundations for Telemachus to believe his father upon Odysseus’ return, after which they restore their household back to order together.</w:t>
      </w:r>
    </w:p>
    <w:p w:rsidR="3A4C1CFD" w:rsidP="21AD3D14" w:rsidRDefault="3A4C1CFD" w14:paraId="7BE81B5B" w14:textId="1A0D5083">
      <w:pPr>
        <w:rPr>
          <w:rFonts w:ascii="Calibri" w:hAnsi="Calibri" w:eastAsia="Calibri" w:cs="Calibri" w:asciiTheme="minorAscii" w:hAnsiTheme="minorAscii" w:eastAsiaTheme="minorAscii" w:cstheme="minorAscii"/>
          <w:b w:val="0"/>
          <w:bCs w:val="0"/>
          <w:noProof w:val="0"/>
          <w:sz w:val="22"/>
          <w:szCs w:val="22"/>
          <w:lang w:val="en-GB"/>
        </w:rPr>
      </w:pPr>
      <w:r w:rsidRPr="21AD3D14" w:rsidR="3A4C1CFD">
        <w:rPr>
          <w:rFonts w:ascii="Calibri" w:hAnsi="Calibri" w:eastAsia="Calibri" w:cs="Calibri" w:asciiTheme="minorAscii" w:hAnsiTheme="minorAscii" w:eastAsiaTheme="minorAscii" w:cstheme="minorAscii"/>
          <w:b w:val="0"/>
          <w:bCs w:val="0"/>
          <w:noProof w:val="0"/>
          <w:sz w:val="22"/>
          <w:szCs w:val="22"/>
          <w:lang w:val="en-GB"/>
        </w:rPr>
        <w:t xml:space="preserve"> </w:t>
      </w:r>
    </w:p>
    <w:p w:rsidR="3A4C1CFD" w:rsidP="21AD3D14" w:rsidRDefault="3A4C1CFD" w14:paraId="061892B5" w14:textId="435FDAB1">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Overall, the importance of travel in the Archaic Greek world is reflected </w:t>
      </w:r>
      <w:proofErr w:type="gramStart"/>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and  plays</w:t>
      </w:r>
      <w:proofErr w:type="gramEnd"/>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an incredibly essential role in Homer’s </w:t>
      </w:r>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Odyssey</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from Odysseus’ return home, or nostos, to Telemachus’ own journey, both physical and metaphorical. Odysseus’ own journey is critical in reclaiming his home and restoring his household to its rightful state as it had been before he left to fight in the Trojan war and Telemachus’ metaphorical journey towards manhood allows him to aid his father in this goal. Telemachus’ journey helps expand the narrative as he journeys from Ithaca to Pylos to </w:t>
      </w:r>
      <w:proofErr w:type="gramStart"/>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Sparta, and</w:t>
      </w:r>
      <w:proofErr w:type="gramEnd"/>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builds a connection between the story of the </w:t>
      </w:r>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Odyssey</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and the story of the </w:t>
      </w:r>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Iliad</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providing context for what became of the other heroes of Troy following their victory. Telemachus’ journey is also important for the characters in the story, as he travels in the hope to bring home news that his father is indeed still alive and able to return home after all these years. The value of travel in the world of Archaic Greece is evidently woven throughout the </w:t>
      </w:r>
      <w:proofErr w:type="gramStart"/>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epic, and</w:t>
      </w:r>
      <w:proofErr w:type="gramEnd"/>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plays just as important a role as anything else the whole way through.</w:t>
      </w:r>
    </w:p>
    <w:p w:rsidR="3A4C1CFD" w:rsidP="21AD3D14" w:rsidRDefault="3A4C1CFD" w14:paraId="641EF13F" w14:textId="6B9B2B54">
      <w:pPr>
        <w:rPr>
          <w:rFonts w:ascii="Calibri" w:hAnsi="Calibri" w:eastAsia="Calibri" w:cs="Calibri" w:asciiTheme="minorAscii" w:hAnsiTheme="minorAscii" w:eastAsiaTheme="minorAscii" w:cstheme="minorAscii"/>
          <w:b w:val="0"/>
          <w:bCs w:val="0"/>
          <w:noProof w:val="0"/>
          <w:sz w:val="22"/>
          <w:szCs w:val="22"/>
          <w:lang w:val="en-GB"/>
        </w:rPr>
      </w:pPr>
      <w:r w:rsidRPr="21AD3D14" w:rsidR="3A4C1CFD">
        <w:rPr>
          <w:rFonts w:ascii="Calibri" w:hAnsi="Calibri" w:eastAsia="Calibri" w:cs="Calibri" w:asciiTheme="minorAscii" w:hAnsiTheme="minorAscii" w:eastAsiaTheme="minorAscii" w:cstheme="minorAscii"/>
          <w:b w:val="0"/>
          <w:bCs w:val="0"/>
          <w:noProof w:val="0"/>
          <w:sz w:val="22"/>
          <w:szCs w:val="22"/>
          <w:lang w:val="en-GB"/>
        </w:rPr>
        <w:t xml:space="preserve"> </w:t>
      </w:r>
    </w:p>
    <w:p w:rsidR="3A4C1CFD" w:rsidP="21AD3D14" w:rsidRDefault="3A4C1CFD" w14:paraId="2D992C87" w14:textId="262216A2">
      <w:pPr>
        <w:rPr>
          <w:rFonts w:ascii="Calibri" w:hAnsi="Calibri" w:eastAsia="Calibri" w:cs="Calibri" w:asciiTheme="minorAscii" w:hAnsiTheme="minorAscii" w:eastAsiaTheme="minorAscii" w:cstheme="minorAscii"/>
          <w:b w:val="0"/>
          <w:bCs w:val="0"/>
          <w:noProof w:val="0"/>
          <w:sz w:val="22"/>
          <w:szCs w:val="22"/>
          <w:lang w:val="en-GB"/>
        </w:rPr>
      </w:pPr>
      <w:r w:rsidRPr="21AD3D14" w:rsidR="3A4C1CFD">
        <w:rPr>
          <w:rFonts w:ascii="Calibri" w:hAnsi="Calibri" w:eastAsia="Calibri" w:cs="Calibri" w:asciiTheme="minorAscii" w:hAnsiTheme="minorAscii" w:eastAsiaTheme="minorAscii" w:cstheme="minorAscii"/>
          <w:b w:val="0"/>
          <w:bCs w:val="0"/>
          <w:noProof w:val="0"/>
          <w:sz w:val="22"/>
          <w:szCs w:val="22"/>
          <w:lang w:val="en-GB"/>
        </w:rPr>
        <w:t xml:space="preserve"> </w:t>
      </w:r>
    </w:p>
    <w:p w:rsidR="3A4C1CFD" w:rsidP="21AD3D14" w:rsidRDefault="3A4C1CFD" w14:paraId="57BDC814" w14:textId="5D29ABD3">
      <w:pPr>
        <w:rPr>
          <w:rFonts w:ascii="Calibri" w:hAnsi="Calibri" w:eastAsia="Calibri" w:cs="Calibri" w:asciiTheme="minorAscii" w:hAnsiTheme="minorAscii" w:eastAsiaTheme="minorAscii" w:cstheme="minorAscii"/>
          <w:b w:val="0"/>
          <w:bCs w:val="0"/>
          <w:noProof w:val="0"/>
          <w:sz w:val="22"/>
          <w:szCs w:val="22"/>
          <w:lang w:val="en-GB"/>
        </w:rPr>
      </w:pPr>
      <w:r w:rsidRPr="21AD3D14" w:rsidR="3A4C1CFD">
        <w:rPr>
          <w:rFonts w:ascii="Calibri" w:hAnsi="Calibri" w:eastAsia="Calibri" w:cs="Calibri" w:asciiTheme="minorAscii" w:hAnsiTheme="minorAscii" w:eastAsiaTheme="minorAscii" w:cstheme="minorAscii"/>
          <w:b w:val="0"/>
          <w:bCs w:val="0"/>
          <w:noProof w:val="0"/>
          <w:sz w:val="22"/>
          <w:szCs w:val="22"/>
          <w:lang w:val="en-GB"/>
        </w:rPr>
        <w:t xml:space="preserve"> </w:t>
      </w:r>
    </w:p>
    <w:p w:rsidR="3A4C1CFD" w:rsidP="21AD3D14" w:rsidRDefault="3A4C1CFD" w14:paraId="1D0AB06C" w14:textId="03DF7C65">
      <w:pPr>
        <w:rPr>
          <w:rFonts w:ascii="Calibri" w:hAnsi="Calibri" w:eastAsia="Calibri" w:cs="Calibri" w:asciiTheme="minorAscii" w:hAnsiTheme="minorAscii" w:eastAsiaTheme="minorAscii" w:cstheme="minorAscii"/>
          <w:b w:val="0"/>
          <w:bCs w:val="0"/>
          <w:noProof w:val="0"/>
          <w:sz w:val="22"/>
          <w:szCs w:val="22"/>
          <w:lang w:val="en-GB"/>
        </w:rPr>
      </w:pPr>
      <w:r w:rsidRPr="21AD3D14" w:rsidR="3A4C1CFD">
        <w:rPr>
          <w:rFonts w:ascii="Calibri" w:hAnsi="Calibri" w:eastAsia="Calibri" w:cs="Calibri" w:asciiTheme="minorAscii" w:hAnsiTheme="minorAscii" w:eastAsiaTheme="minorAscii" w:cstheme="minorAscii"/>
          <w:b w:val="0"/>
          <w:bCs w:val="0"/>
          <w:noProof w:val="0"/>
          <w:sz w:val="22"/>
          <w:szCs w:val="22"/>
          <w:lang w:val="en-GB"/>
        </w:rPr>
        <w:t xml:space="preserve"> </w:t>
      </w:r>
    </w:p>
    <w:p w:rsidR="3A4C1CFD" w:rsidP="21AD3D14" w:rsidRDefault="3A4C1CFD" w14:paraId="5630E06A" w14:textId="670C2218">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GB"/>
        </w:rPr>
      </w:pP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GB"/>
        </w:rPr>
        <w:t>Bibliography</w:t>
      </w:r>
    </w:p>
    <w:p w:rsidR="3A4C1CFD" w:rsidP="21AD3D14" w:rsidRDefault="3A4C1CFD" w14:paraId="7704908A" w14:textId="5B9A073A">
      <w:pPr>
        <w:pStyle w:val="ListParagraph"/>
        <w:numPr>
          <w:ilvl w:val="0"/>
          <w:numId w:val="1"/>
        </w:num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Euripides, ‘Orestes’ in </w:t>
      </w:r>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Orestes </w:t>
      </w:r>
      <w:proofErr w:type="gramStart"/>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And</w:t>
      </w:r>
      <w:proofErr w:type="gramEnd"/>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 Other Plays</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Vellacott (trans.) 2006. London: Penguin Books</w:t>
      </w:r>
    </w:p>
    <w:p w:rsidR="3A4C1CFD" w:rsidP="21AD3D14" w:rsidRDefault="3A4C1CFD" w14:paraId="4790F112" w14:textId="50A07D64">
      <w:pPr>
        <w:pStyle w:val="ListParagraph"/>
        <w:numPr>
          <w:ilvl w:val="0"/>
          <w:numId w:val="1"/>
        </w:num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Homer, </w:t>
      </w:r>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Odyssey</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Rieu, E. V. and Rieu D. C. H (trans.) 2003. London: Penguin Books</w:t>
      </w:r>
    </w:p>
    <w:p w:rsidR="3A4C1CFD" w:rsidP="21AD3D14" w:rsidRDefault="3A4C1CFD" w14:paraId="69472896" w14:textId="781E3268">
      <w:pPr>
        <w:pStyle w:val="ListParagraph"/>
        <w:numPr>
          <w:ilvl w:val="0"/>
          <w:numId w:val="1"/>
        </w:num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Ovid, </w:t>
      </w:r>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Metamorphoses</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More, B. (trans.) 1922. Boston: Cornhill Publishing Co.</w:t>
      </w:r>
    </w:p>
    <w:p w:rsidR="3A4C1CFD" w:rsidP="21AD3D14" w:rsidRDefault="3A4C1CFD" w14:paraId="1F8C2861" w14:textId="74A23085">
      <w:pPr>
        <w:pStyle w:val="ListParagraph"/>
        <w:numPr>
          <w:ilvl w:val="0"/>
          <w:numId w:val="1"/>
        </w:num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Ready, J. L. (2007) ‘Homer, Hesiod and the Epic Tradition’, in Shapiro, H. A. (ed.) </w:t>
      </w:r>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The Cambridge Companion </w:t>
      </w:r>
      <w:proofErr w:type="gramStart"/>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To</w:t>
      </w:r>
      <w:proofErr w:type="gramEnd"/>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 Archaic Greece. </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New York: Cambridge University Press</w:t>
      </w:r>
    </w:p>
    <w:p w:rsidR="3A4C1CFD" w:rsidP="21AD3D14" w:rsidRDefault="3A4C1CFD" w14:paraId="05F64255" w14:textId="63300A34">
      <w:pPr>
        <w:pStyle w:val="ListParagraph"/>
        <w:numPr>
          <w:ilvl w:val="0"/>
          <w:numId w:val="1"/>
        </w:num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Snodgrass, A. (1980)</w:t>
      </w:r>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 Archaic Greece: The Age </w:t>
      </w:r>
      <w:proofErr w:type="gramStart"/>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Of</w:t>
      </w:r>
      <w:proofErr w:type="gramEnd"/>
      <w:r w:rsidRPr="21AD3D14" w:rsidR="3A4C1CFD">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 Experiment. </w:t>
      </w:r>
      <w:r w:rsidRPr="21AD3D14" w:rsidR="3A4C1C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London: J. M. Dent &amp; Sons Ltd.</w:t>
      </w:r>
    </w:p>
    <w:p w:rsidR="21AD3D14" w:rsidP="21AD3D14" w:rsidRDefault="21AD3D14" w14:paraId="64F9ACF9" w14:textId="5E8F601B">
      <w:pPr>
        <w:pStyle w:val="Normal"/>
        <w:rPr>
          <w:rFonts w:ascii="Calibri" w:hAnsi="Calibri" w:eastAsia="Calibri" w:cs="Calibri" w:asciiTheme="minorAscii" w:hAnsiTheme="minorAscii" w:eastAsiaTheme="minorAscii" w:cstheme="minorAscii"/>
          <w:b w:val="0"/>
          <w:bCs w:val="0"/>
          <w:i w:val="0"/>
          <w:iCs w:val="0"/>
          <w:sz w:val="22"/>
          <w:szCs w:val="22"/>
        </w:rPr>
      </w:pPr>
    </w:p>
    <w:sectPr>
      <w:pgSz w:w="11906" w:h="16838" w:orient="portrait"/>
      <w:pgMar w:top="1440" w:right="1440" w:bottom="1440" w:left="1440" w:header="720" w:footer="720" w:gutter="0"/>
      <w:cols w:space="720"/>
      <w:docGrid w:linePitch="360"/>
      <w:headerReference w:type="default" r:id="Rf41c50e217454c80"/>
      <w:footerReference w:type="default" r:id="R830ee9bb72bf4f7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1AD3D14" w:rsidTr="21AD3D14" w14:paraId="3358E746">
      <w:tc>
        <w:tcPr>
          <w:tcW w:w="3005" w:type="dxa"/>
          <w:tcMar/>
        </w:tcPr>
        <w:p w:rsidR="21AD3D14" w:rsidP="21AD3D14" w:rsidRDefault="21AD3D14" w14:paraId="45AD1D58" w14:textId="4FF7A672">
          <w:pPr>
            <w:pStyle w:val="Header"/>
            <w:bidi w:val="0"/>
            <w:ind w:left="-115"/>
            <w:jc w:val="left"/>
          </w:pPr>
        </w:p>
      </w:tc>
      <w:tc>
        <w:tcPr>
          <w:tcW w:w="3005" w:type="dxa"/>
          <w:tcMar/>
        </w:tcPr>
        <w:p w:rsidR="21AD3D14" w:rsidP="21AD3D14" w:rsidRDefault="21AD3D14" w14:paraId="37A0892A" w14:textId="390D8DC8">
          <w:pPr>
            <w:pStyle w:val="Header"/>
            <w:bidi w:val="0"/>
            <w:jc w:val="center"/>
          </w:pPr>
        </w:p>
      </w:tc>
      <w:tc>
        <w:tcPr>
          <w:tcW w:w="3005" w:type="dxa"/>
          <w:tcMar/>
        </w:tcPr>
        <w:p w:rsidR="21AD3D14" w:rsidP="21AD3D14" w:rsidRDefault="21AD3D14" w14:paraId="0CE0A4E1" w14:textId="298EE93E">
          <w:pPr>
            <w:pStyle w:val="Header"/>
            <w:bidi w:val="0"/>
            <w:ind w:right="-115"/>
            <w:jc w:val="right"/>
          </w:pPr>
        </w:p>
      </w:tc>
    </w:tr>
  </w:tbl>
  <w:p w:rsidR="21AD3D14" w:rsidP="21AD3D14" w:rsidRDefault="21AD3D14" w14:paraId="47B9F0EA" w14:textId="0C9414A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1AD3D14" w:rsidTr="21AD3D14" w14:paraId="571733DF">
      <w:tc>
        <w:tcPr>
          <w:tcW w:w="3005" w:type="dxa"/>
          <w:tcMar/>
        </w:tcPr>
        <w:p w:rsidR="21AD3D14" w:rsidP="21AD3D14" w:rsidRDefault="21AD3D14" w14:paraId="320AC785" w14:textId="19F75BFA">
          <w:pPr>
            <w:pStyle w:val="Header"/>
            <w:bidi w:val="0"/>
            <w:ind w:left="-115"/>
            <w:jc w:val="left"/>
          </w:pPr>
        </w:p>
      </w:tc>
      <w:tc>
        <w:tcPr>
          <w:tcW w:w="3005" w:type="dxa"/>
          <w:tcMar/>
        </w:tcPr>
        <w:p w:rsidR="21AD3D14" w:rsidP="21AD3D14" w:rsidRDefault="21AD3D14" w14:paraId="63615C30" w14:textId="2FADA55C">
          <w:pPr>
            <w:pStyle w:val="Header"/>
            <w:bidi w:val="0"/>
            <w:jc w:val="center"/>
          </w:pPr>
        </w:p>
      </w:tc>
      <w:tc>
        <w:tcPr>
          <w:tcW w:w="3005" w:type="dxa"/>
          <w:tcMar/>
        </w:tcPr>
        <w:p w:rsidR="21AD3D14" w:rsidP="21AD3D14" w:rsidRDefault="21AD3D14" w14:paraId="3857FEBE" w14:textId="148C9DC9">
          <w:pPr>
            <w:pStyle w:val="Header"/>
            <w:bidi w:val="0"/>
            <w:ind w:right="-115"/>
            <w:jc w:val="right"/>
          </w:pPr>
        </w:p>
      </w:tc>
    </w:tr>
  </w:tbl>
  <w:p w:rsidR="21AD3D14" w:rsidP="21AD3D14" w:rsidRDefault="21AD3D14" w14:paraId="6F076CCB" w14:textId="4A8DD877">
    <w:pPr>
      <w:pStyle w:val="Header"/>
      <w:bidi w:val="0"/>
    </w:pPr>
  </w:p>
</w:hdr>
</file>

<file path=word/intelligence.xml><?xml version="1.0" encoding="utf-8"?>
<int:Intelligence xmlns:int="http://schemas.microsoft.com/office/intelligence/2019/intelligence">
  <int:IntelligenceSettings/>
  <int:Manifest>
    <int:ParagraphRange paragraphId="1662221734" textId="835685724" start="335" length="22" invalidationStart="335" invalidationLength="22" id="H0g6F1oW"/>
    <int:WordHash hashCode="c9p0uD+DcH+6yV" id="xa21i0wR"/>
    <int:ParagraphRange paragraphId="295380384" textId="1261982853" start="347" length="12" invalidationStart="347" invalidationLength="12" id="tOaT/Bys"/>
    <int:ParagraphRange paragraphId="295380384" textId="1261982853" start="692" length="8" invalidationStart="692" invalidationLength="8" id="lLhQNH8X"/>
  </int:Manifest>
  <int:Observations>
    <int:Content id="H0g6F1oW">
      <int:Rejection type="LegacyProofing"/>
    </int:Content>
    <int:Content id="xa21i0wR">
      <int:Rejection type="LegacyProofing"/>
    </int:Content>
    <int:Content id="tOaT/Bys">
      <int:Rejection type="LegacyProofing"/>
    </int:Content>
    <int:Content id="lLhQNH8X">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C3B2DB"/>
    <w:rsid w:val="0579CC0D"/>
    <w:rsid w:val="05B757D3"/>
    <w:rsid w:val="06F6BF45"/>
    <w:rsid w:val="0A63183E"/>
    <w:rsid w:val="0B0DE459"/>
    <w:rsid w:val="0C7A20ED"/>
    <w:rsid w:val="10C5B408"/>
    <w:rsid w:val="125C852F"/>
    <w:rsid w:val="156009AD"/>
    <w:rsid w:val="18EB6C6A"/>
    <w:rsid w:val="194D0238"/>
    <w:rsid w:val="1A18FEC0"/>
    <w:rsid w:val="1C560749"/>
    <w:rsid w:val="1F36437B"/>
    <w:rsid w:val="21AD3D14"/>
    <w:rsid w:val="257E1AFD"/>
    <w:rsid w:val="268D6AD3"/>
    <w:rsid w:val="28B5BBBF"/>
    <w:rsid w:val="28B94794"/>
    <w:rsid w:val="2A8606EE"/>
    <w:rsid w:val="2ACCFD96"/>
    <w:rsid w:val="2B0CAB0B"/>
    <w:rsid w:val="2FEAF86B"/>
    <w:rsid w:val="363D5546"/>
    <w:rsid w:val="384C0CA2"/>
    <w:rsid w:val="38E6CD53"/>
    <w:rsid w:val="390D3CF8"/>
    <w:rsid w:val="394CB0F1"/>
    <w:rsid w:val="398A52CD"/>
    <w:rsid w:val="3A4C1CFD"/>
    <w:rsid w:val="3DC3B2DB"/>
    <w:rsid w:val="3E8CF4E3"/>
    <w:rsid w:val="44ECB89B"/>
    <w:rsid w:val="474AF84F"/>
    <w:rsid w:val="4C739B3F"/>
    <w:rsid w:val="56B1501C"/>
    <w:rsid w:val="576800C4"/>
    <w:rsid w:val="5911D6D9"/>
    <w:rsid w:val="59E8F0DE"/>
    <w:rsid w:val="5B1D9D18"/>
    <w:rsid w:val="5B7A0B6F"/>
    <w:rsid w:val="5D15DBD0"/>
    <w:rsid w:val="5D2E5CE4"/>
    <w:rsid w:val="5D3C32BF"/>
    <w:rsid w:val="5E9A54D4"/>
    <w:rsid w:val="60967D15"/>
    <w:rsid w:val="613F791D"/>
    <w:rsid w:val="62AFC784"/>
    <w:rsid w:val="62DB497E"/>
    <w:rsid w:val="63A2C923"/>
    <w:rsid w:val="66856197"/>
    <w:rsid w:val="6B837CF0"/>
    <w:rsid w:val="6BF4E45C"/>
    <w:rsid w:val="6C281864"/>
    <w:rsid w:val="6E069A30"/>
    <w:rsid w:val="6FF82D4D"/>
    <w:rsid w:val="739C7AA6"/>
    <w:rsid w:val="74809184"/>
    <w:rsid w:val="789F7901"/>
    <w:rsid w:val="792C98A5"/>
    <w:rsid w:val="7C67C53C"/>
    <w:rsid w:val="7E8C9D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3B2DB"/>
  <w15:chartTrackingRefBased/>
  <w15:docId w15:val="{067D3887-4E9A-4A4D-B898-D535367E68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f41c50e217454c80" /><Relationship Type="http://schemas.openxmlformats.org/officeDocument/2006/relationships/footer" Target="/word/footer.xml" Id="R830ee9bb72bf4f7d" /><Relationship Type="http://schemas.microsoft.com/office/2019/09/relationships/intelligence" Target="/word/intelligence.xml" Id="R066a3c15d7cf4cd0" /><Relationship Type="http://schemas.openxmlformats.org/officeDocument/2006/relationships/numbering" Target="/word/numbering.xml" Id="Rbc4c749f9c134ec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Jj Paula Wolf (2004780)</dc:creator>
  <keywords/>
  <dc:description/>
  <lastModifiedBy>Jj Paula Wolf (2004780)</lastModifiedBy>
  <revision>3</revision>
  <dcterms:created xsi:type="dcterms:W3CDTF">2021-10-03T17:53:31.7674696Z</dcterms:created>
  <dcterms:modified xsi:type="dcterms:W3CDTF">2021-10-08T11:37:38.7565813Z</dcterms:modified>
</coreProperties>
</file>