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4245E" w14:textId="77777777" w:rsidR="003F2BAB" w:rsidRDefault="003F2BAB">
      <w:pPr>
        <w:pStyle w:val="Normal1"/>
        <w:spacing w:line="360" w:lineRule="auto"/>
        <w:jc w:val="center"/>
        <w:rPr>
          <w:rFonts w:ascii="Times New Roman" w:eastAsia="Times New Roman" w:hAnsi="Times New Roman" w:cs="Times New Roman"/>
          <w:b/>
          <w:sz w:val="48"/>
          <w:szCs w:val="48"/>
        </w:rPr>
      </w:pPr>
    </w:p>
    <w:p w14:paraId="3C13E9C3" w14:textId="77777777" w:rsidR="003F2BAB" w:rsidRDefault="003F2BAB">
      <w:pPr>
        <w:pStyle w:val="Normal1"/>
        <w:spacing w:line="360" w:lineRule="auto"/>
        <w:jc w:val="center"/>
        <w:rPr>
          <w:rFonts w:ascii="Times New Roman" w:eastAsia="Times New Roman" w:hAnsi="Times New Roman" w:cs="Times New Roman"/>
          <w:b/>
          <w:sz w:val="48"/>
          <w:szCs w:val="48"/>
        </w:rPr>
      </w:pPr>
    </w:p>
    <w:p w14:paraId="62FBBFD8" w14:textId="77777777" w:rsidR="003F2BAB" w:rsidRDefault="003F2BAB">
      <w:pPr>
        <w:pStyle w:val="Normal1"/>
        <w:spacing w:line="360" w:lineRule="auto"/>
        <w:jc w:val="center"/>
        <w:rPr>
          <w:rFonts w:ascii="Times New Roman" w:eastAsia="Times New Roman" w:hAnsi="Times New Roman" w:cs="Times New Roman"/>
          <w:b/>
          <w:sz w:val="48"/>
          <w:szCs w:val="48"/>
        </w:rPr>
      </w:pPr>
    </w:p>
    <w:p w14:paraId="5F79C97A" w14:textId="77777777" w:rsidR="003F2BAB" w:rsidRDefault="003F2BAB" w:rsidP="008C32EB">
      <w:pPr>
        <w:pStyle w:val="Normal1"/>
        <w:spacing w:line="360" w:lineRule="auto"/>
        <w:rPr>
          <w:rFonts w:ascii="Times New Roman" w:eastAsia="Times New Roman" w:hAnsi="Times New Roman" w:cs="Times New Roman"/>
          <w:b/>
          <w:sz w:val="48"/>
          <w:szCs w:val="48"/>
        </w:rPr>
      </w:pPr>
    </w:p>
    <w:p w14:paraId="5E334009" w14:textId="77777777" w:rsidR="003F2BAB" w:rsidRDefault="003F2BAB">
      <w:pPr>
        <w:pStyle w:val="Normal1"/>
        <w:spacing w:line="360" w:lineRule="auto"/>
        <w:jc w:val="center"/>
        <w:rPr>
          <w:rFonts w:ascii="Times New Roman" w:eastAsia="Times New Roman" w:hAnsi="Times New Roman" w:cs="Times New Roman"/>
          <w:b/>
          <w:sz w:val="48"/>
          <w:szCs w:val="48"/>
        </w:rPr>
      </w:pPr>
    </w:p>
    <w:p w14:paraId="2639AC59" w14:textId="77777777" w:rsidR="008C32EB" w:rsidRDefault="00000000">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Accounting Fundamentals</w:t>
      </w:r>
    </w:p>
    <w:p w14:paraId="384DAD6F" w14:textId="77777777" w:rsidR="008C32EB" w:rsidRDefault="008C32EB">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Name: Daniel Istrati</w:t>
      </w:r>
    </w:p>
    <w:p w14:paraId="7FA4AAE3" w14:textId="739D1B09" w:rsidR="008C32EB" w:rsidRDefault="008C32EB">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ID:1917711</w:t>
      </w:r>
    </w:p>
    <w:p w14:paraId="6F2C76A1" w14:textId="7EF7B340" w:rsidR="003F2BAB" w:rsidRDefault="00000000">
      <w:pPr>
        <w:pStyle w:val="Normal1"/>
        <w:spacing w:line="360" w:lineRule="auto"/>
        <w:jc w:val="center"/>
        <w:rPr>
          <w:rFonts w:ascii="Times New Roman" w:eastAsia="Times New Roman" w:hAnsi="Times New Roman" w:cs="Times New Roman"/>
          <w:b/>
          <w:sz w:val="24"/>
          <w:szCs w:val="24"/>
        </w:rPr>
      </w:pPr>
      <w:r>
        <w:br w:type="page"/>
      </w:r>
    </w:p>
    <w:p w14:paraId="17CFE4C5"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878282388"/>
        <w:docPartObj>
          <w:docPartGallery w:val="Table of Contents"/>
          <w:docPartUnique/>
        </w:docPartObj>
      </w:sdtPr>
      <w:sdtContent>
        <w:p w14:paraId="1D880ACC" w14:textId="77777777" w:rsidR="003F2BAB" w:rsidRDefault="00000000">
          <w:pPr>
            <w:pStyle w:val="Normal1"/>
            <w:widowControl w:val="0"/>
            <w:tabs>
              <w:tab w:val="right" w:pos="9025"/>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ufqntbv8aoyu">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_ufqntbv8aoyu \h </w:instrText>
          </w:r>
          <w:r>
            <w:fldChar w:fldCharType="separate"/>
          </w:r>
          <w:r>
            <w:rPr>
              <w:rFonts w:ascii="Times New Roman" w:eastAsia="Times New Roman" w:hAnsi="Times New Roman" w:cs="Times New Roman"/>
              <w:sz w:val="24"/>
              <w:szCs w:val="24"/>
            </w:rPr>
            <w:t>2</w:t>
          </w:r>
          <w:r>
            <w:fldChar w:fldCharType="end"/>
          </w:r>
        </w:p>
        <w:p w14:paraId="0712F48D" w14:textId="77777777" w:rsidR="003F2BAB" w:rsidRDefault="00000000">
          <w:pPr>
            <w:pStyle w:val="Normal1"/>
            <w:widowControl w:val="0"/>
            <w:tabs>
              <w:tab w:val="right" w:pos="9025"/>
            </w:tabs>
            <w:spacing w:before="60" w:line="240" w:lineRule="auto"/>
            <w:rPr>
              <w:rFonts w:ascii="Times New Roman" w:eastAsia="Times New Roman" w:hAnsi="Times New Roman" w:cs="Times New Roman"/>
              <w:color w:val="000000"/>
              <w:sz w:val="24"/>
              <w:szCs w:val="24"/>
            </w:rPr>
          </w:pPr>
          <w:hyperlink w:anchor="_xgd834ek38lu">
            <w:r>
              <w:rPr>
                <w:rFonts w:ascii="Times New Roman" w:eastAsia="Times New Roman" w:hAnsi="Times New Roman" w:cs="Times New Roman"/>
                <w:color w:val="000000"/>
                <w:sz w:val="24"/>
                <w:szCs w:val="24"/>
              </w:rPr>
              <w:t>Question 1</w:t>
            </w:r>
            <w:r>
              <w:rPr>
                <w:rFonts w:ascii="Times New Roman" w:eastAsia="Times New Roman" w:hAnsi="Times New Roman" w:cs="Times New Roman"/>
                <w:color w:val="000000"/>
                <w:sz w:val="24"/>
                <w:szCs w:val="24"/>
              </w:rPr>
              <w:tab/>
            </w:r>
          </w:hyperlink>
          <w:r>
            <w:fldChar w:fldCharType="begin"/>
          </w:r>
          <w:r>
            <w:instrText xml:space="preserve"> PAGEREF _xgd834ek38lu \h </w:instrText>
          </w:r>
          <w:r>
            <w:fldChar w:fldCharType="separate"/>
          </w:r>
          <w:r>
            <w:rPr>
              <w:rFonts w:ascii="Times New Roman" w:eastAsia="Times New Roman" w:hAnsi="Times New Roman" w:cs="Times New Roman"/>
              <w:sz w:val="24"/>
              <w:szCs w:val="24"/>
            </w:rPr>
            <w:t>2</w:t>
          </w:r>
          <w:r>
            <w:fldChar w:fldCharType="end"/>
          </w:r>
        </w:p>
        <w:p w14:paraId="7D3C80CA" w14:textId="77777777" w:rsidR="003F2BAB" w:rsidRDefault="00000000">
          <w:pPr>
            <w:pStyle w:val="Normal1"/>
            <w:widowControl w:val="0"/>
            <w:tabs>
              <w:tab w:val="right" w:pos="9025"/>
            </w:tabs>
            <w:spacing w:before="60" w:line="240" w:lineRule="auto"/>
            <w:rPr>
              <w:rFonts w:ascii="Times New Roman" w:eastAsia="Times New Roman" w:hAnsi="Times New Roman" w:cs="Times New Roman"/>
              <w:color w:val="000000"/>
              <w:sz w:val="24"/>
              <w:szCs w:val="24"/>
            </w:rPr>
          </w:pPr>
          <w:hyperlink w:anchor="_im1blrewg5b8">
            <w:r>
              <w:rPr>
                <w:rFonts w:ascii="Times New Roman" w:eastAsia="Times New Roman" w:hAnsi="Times New Roman" w:cs="Times New Roman"/>
                <w:color w:val="000000"/>
                <w:sz w:val="24"/>
                <w:szCs w:val="24"/>
              </w:rPr>
              <w:t>Question 2</w:t>
            </w:r>
            <w:r>
              <w:rPr>
                <w:rFonts w:ascii="Times New Roman" w:eastAsia="Times New Roman" w:hAnsi="Times New Roman" w:cs="Times New Roman"/>
                <w:color w:val="000000"/>
                <w:sz w:val="24"/>
                <w:szCs w:val="24"/>
              </w:rPr>
              <w:tab/>
            </w:r>
          </w:hyperlink>
          <w:r>
            <w:fldChar w:fldCharType="begin"/>
          </w:r>
          <w:r>
            <w:instrText xml:space="preserve"> PAGEREF _im1blrewg5b8 \h </w:instrText>
          </w:r>
          <w:r>
            <w:fldChar w:fldCharType="separate"/>
          </w:r>
          <w:r>
            <w:rPr>
              <w:rFonts w:ascii="Times New Roman" w:eastAsia="Times New Roman" w:hAnsi="Times New Roman" w:cs="Times New Roman"/>
              <w:sz w:val="24"/>
              <w:szCs w:val="24"/>
            </w:rPr>
            <w:t>7</w:t>
          </w:r>
          <w:r>
            <w:fldChar w:fldCharType="end"/>
          </w:r>
        </w:p>
        <w:p w14:paraId="1525AEBC" w14:textId="77777777" w:rsidR="003F2BAB" w:rsidRDefault="00000000">
          <w:pPr>
            <w:pStyle w:val="Normal1"/>
            <w:widowControl w:val="0"/>
            <w:tabs>
              <w:tab w:val="right" w:pos="9025"/>
            </w:tabs>
            <w:spacing w:before="60" w:line="240" w:lineRule="auto"/>
            <w:rPr>
              <w:rFonts w:ascii="Times New Roman" w:eastAsia="Times New Roman" w:hAnsi="Times New Roman" w:cs="Times New Roman"/>
              <w:color w:val="000000"/>
              <w:sz w:val="24"/>
              <w:szCs w:val="24"/>
            </w:rPr>
          </w:pPr>
          <w:hyperlink w:anchor="_ucfn5dossgy4">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_ucfn5dossgy4 \h </w:instrText>
          </w:r>
          <w:r>
            <w:fldChar w:fldCharType="separate"/>
          </w:r>
          <w:r>
            <w:rPr>
              <w:rFonts w:ascii="Times New Roman" w:eastAsia="Times New Roman" w:hAnsi="Times New Roman" w:cs="Times New Roman"/>
              <w:sz w:val="24"/>
              <w:szCs w:val="24"/>
            </w:rPr>
            <w:t>12</w:t>
          </w:r>
          <w:r>
            <w:fldChar w:fldCharType="end"/>
          </w:r>
        </w:p>
        <w:p w14:paraId="61AD24C2" w14:textId="77777777" w:rsidR="003F2BAB" w:rsidRDefault="00000000">
          <w:pPr>
            <w:pStyle w:val="Normal1"/>
            <w:widowControl w:val="0"/>
            <w:tabs>
              <w:tab w:val="right" w:pos="9025"/>
            </w:tabs>
            <w:spacing w:before="60" w:line="240" w:lineRule="auto"/>
            <w:rPr>
              <w:rFonts w:ascii="Times New Roman" w:eastAsia="Times New Roman" w:hAnsi="Times New Roman" w:cs="Times New Roman"/>
              <w:color w:val="000000"/>
              <w:sz w:val="24"/>
              <w:szCs w:val="24"/>
            </w:rPr>
          </w:pPr>
          <w:hyperlink w:anchor="_r6uzv5xvpw6k">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_r6uzv5xvpw6k \h </w:instrText>
          </w:r>
          <w:r>
            <w:fldChar w:fldCharType="separate"/>
          </w:r>
          <w:r>
            <w:rPr>
              <w:rFonts w:ascii="Times New Roman" w:eastAsia="Times New Roman" w:hAnsi="Times New Roman" w:cs="Times New Roman"/>
              <w:sz w:val="24"/>
              <w:szCs w:val="24"/>
            </w:rPr>
            <w:t>12</w:t>
          </w:r>
          <w:r>
            <w:fldChar w:fldCharType="end"/>
          </w:r>
          <w:r>
            <w:fldChar w:fldCharType="end"/>
          </w:r>
        </w:p>
      </w:sdtContent>
    </w:sdt>
    <w:p w14:paraId="4A6804BC" w14:textId="77777777" w:rsidR="003F2BAB" w:rsidRDefault="00000000">
      <w:pPr>
        <w:pStyle w:val="Normal1"/>
        <w:spacing w:line="360" w:lineRule="auto"/>
        <w:jc w:val="both"/>
        <w:rPr>
          <w:rFonts w:ascii="Times New Roman" w:eastAsia="Times New Roman" w:hAnsi="Times New Roman" w:cs="Times New Roman"/>
          <w:sz w:val="24"/>
          <w:szCs w:val="24"/>
        </w:rPr>
      </w:pPr>
      <w:r>
        <w:br w:type="page"/>
      </w:r>
    </w:p>
    <w:p w14:paraId="138A8D78" w14:textId="77777777" w:rsidR="003F2BAB" w:rsidRDefault="00000000">
      <w:pPr>
        <w:pStyle w:val="1"/>
        <w:rPr>
          <w:rFonts w:ascii="Times New Roman" w:eastAsia="Times New Roman" w:hAnsi="Times New Roman" w:cs="Times New Roman"/>
          <w:b/>
          <w:sz w:val="24"/>
          <w:szCs w:val="24"/>
        </w:rPr>
      </w:pPr>
      <w:bookmarkStart w:id="0" w:name="_ufqntbv8aoyu" w:colFirst="0" w:colLast="0"/>
      <w:bookmarkEnd w:id="0"/>
      <w:r>
        <w:rPr>
          <w:rFonts w:ascii="Times New Roman" w:eastAsia="Times New Roman" w:hAnsi="Times New Roman" w:cs="Times New Roman"/>
          <w:b/>
          <w:sz w:val="24"/>
          <w:szCs w:val="24"/>
        </w:rPr>
        <w:lastRenderedPageBreak/>
        <w:t>Introduction</w:t>
      </w:r>
    </w:p>
    <w:p w14:paraId="5DF5231B" w14:textId="77777777" w:rsidR="002C61E0" w:rsidRDefault="009D6A29" w:rsidP="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aims to evaluate the financial statements of Wales plc and Sweet plc. The financial statements that need to be evaluated are an income statement and a statement of financial position. After that, it will discuss the reason behind the balancing of the statement's financial position and the need for financial statements.  Then it will evaluate some financial ratios such as ROCE, , earnings per share, </w:t>
      </w:r>
      <w:r w:rsidRPr="009D6A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ROE, asset turnover, stock holding days, net profit margin, debtors collection period, gearing ratio, current ratio and interest cover. Lastly, it will evaluate the current financial position of Sweet Plc Ltd. </w:t>
      </w:r>
      <w:bookmarkStart w:id="1" w:name="_xgd834ek38lu" w:colFirst="0" w:colLast="0"/>
      <w:bookmarkEnd w:id="1"/>
    </w:p>
    <w:p w14:paraId="090ECA9A" w14:textId="2B9DC0AB" w:rsidR="003F2BAB" w:rsidRPr="002C61E0" w:rsidRDefault="00000000" w:rsidP="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1</w:t>
      </w:r>
    </w:p>
    <w:p w14:paraId="177F277A" w14:textId="5A8C5CCC"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income statement is one of the main financial statements of a company that represents the profit and loss of that company for a particular period. The </w:t>
      </w:r>
      <w:r w:rsidR="009D6A29">
        <w:rPr>
          <w:rFonts w:ascii="Times New Roman" w:eastAsia="Times New Roman" w:hAnsi="Times New Roman" w:cs="Times New Roman"/>
          <w:sz w:val="24"/>
          <w:szCs w:val="24"/>
        </w:rPr>
        <w:t>P&amp;L</w:t>
      </w:r>
      <w:r>
        <w:rPr>
          <w:rFonts w:ascii="Times New Roman" w:eastAsia="Times New Roman" w:hAnsi="Times New Roman" w:cs="Times New Roman"/>
          <w:sz w:val="24"/>
          <w:szCs w:val="24"/>
        </w:rPr>
        <w:t xml:space="preserve"> is evaluated by adding all the revenue and </w:t>
      </w:r>
      <w:r w:rsidR="009D6A29">
        <w:rPr>
          <w:rFonts w:ascii="Times New Roman" w:eastAsia="Times New Roman" w:hAnsi="Times New Roman" w:cs="Times New Roman"/>
          <w:sz w:val="24"/>
          <w:szCs w:val="24"/>
        </w:rPr>
        <w:t>deducting</w:t>
      </w:r>
      <w:r>
        <w:rPr>
          <w:rFonts w:ascii="Times New Roman" w:eastAsia="Times New Roman" w:hAnsi="Times New Roman" w:cs="Times New Roman"/>
          <w:sz w:val="24"/>
          <w:szCs w:val="24"/>
        </w:rPr>
        <w:t xml:space="preserve"> it from all the expenses. The </w:t>
      </w:r>
      <w:r w:rsidR="009D6A29">
        <w:rPr>
          <w:rFonts w:ascii="Times New Roman" w:eastAsia="Times New Roman" w:hAnsi="Times New Roman" w:cs="Times New Roman"/>
          <w:sz w:val="24"/>
          <w:szCs w:val="24"/>
        </w:rPr>
        <w:t xml:space="preserve">staement of income </w:t>
      </w:r>
      <w:r>
        <w:rPr>
          <w:rFonts w:ascii="Times New Roman" w:eastAsia="Times New Roman" w:hAnsi="Times New Roman" w:cs="Times New Roman"/>
          <w:sz w:val="24"/>
          <w:szCs w:val="24"/>
        </w:rPr>
        <w:t xml:space="preserve">is one of the most important statements among the three statements that are used in accounting. This financial statement is concerned with revenues, gross profit, cost, selling and and income, </w:t>
      </w:r>
      <w:r w:rsidR="009D6A29">
        <w:rPr>
          <w:rFonts w:ascii="Times New Roman" w:eastAsia="Times New Roman" w:hAnsi="Times New Roman" w:cs="Times New Roman"/>
          <w:sz w:val="24"/>
          <w:szCs w:val="24"/>
        </w:rPr>
        <w:t xml:space="preserve">administrative expenses </w:t>
      </w:r>
      <w:r>
        <w:rPr>
          <w:rFonts w:ascii="Times New Roman" w:eastAsia="Times New Roman" w:hAnsi="Times New Roman" w:cs="Times New Roman"/>
          <w:sz w:val="24"/>
          <w:szCs w:val="24"/>
        </w:rPr>
        <w:t xml:space="preserve">and net profit before tax and tax paid (Corporatefinanceinstitute, 2023). Some of the components of the income statement are  </w:t>
      </w:r>
    </w:p>
    <w:p w14:paraId="041A2946"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Revenue or sales</w:t>
      </w:r>
      <w:r>
        <w:rPr>
          <w:rFonts w:ascii="Times New Roman" w:eastAsia="Times New Roman" w:hAnsi="Times New Roman" w:cs="Times New Roman"/>
          <w:sz w:val="24"/>
          <w:szCs w:val="24"/>
        </w:rPr>
        <w:t xml:space="preserve">- Revenue is the company’s profit from the sale of its products and services. It is shown at the beginning of the statement. The revenue is subtracted from the cost of producing the goods or services sold to get the gross profit. Revenues can be from multiple sources. </w:t>
      </w:r>
    </w:p>
    <w:p w14:paraId="7AAE0D83"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Cost of goods sold- </w:t>
      </w:r>
      <w:r>
        <w:rPr>
          <w:rFonts w:ascii="Times New Roman" w:eastAsia="Times New Roman" w:hAnsi="Times New Roman" w:cs="Times New Roman"/>
          <w:sz w:val="24"/>
          <w:szCs w:val="24"/>
        </w:rPr>
        <w:t xml:space="preserve">COGS is the direct cost associated with the production and selling of the product for the generation of revenue. It also includes the cost of production. Some of the expenses that come under direct cost are labor, raw materials, and depreciation. </w:t>
      </w:r>
    </w:p>
    <w:p w14:paraId="02494571" w14:textId="010788EF"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Gross profit- </w:t>
      </w:r>
      <w:r>
        <w:rPr>
          <w:rFonts w:ascii="Times New Roman" w:eastAsia="Times New Roman" w:hAnsi="Times New Roman" w:cs="Times New Roman"/>
          <w:sz w:val="24"/>
          <w:szCs w:val="24"/>
        </w:rPr>
        <w:t xml:space="preserve">Gross profit is evaluated by </w:t>
      </w:r>
      <w:r w:rsidR="009D6A29">
        <w:rPr>
          <w:rFonts w:ascii="Times New Roman" w:eastAsia="Times New Roman" w:hAnsi="Times New Roman" w:cs="Times New Roman"/>
          <w:sz w:val="24"/>
          <w:szCs w:val="24"/>
        </w:rPr>
        <w:t>deducting</w:t>
      </w:r>
      <w:r>
        <w:rPr>
          <w:rFonts w:ascii="Times New Roman" w:eastAsia="Times New Roman" w:hAnsi="Times New Roman" w:cs="Times New Roman"/>
          <w:sz w:val="24"/>
          <w:szCs w:val="24"/>
        </w:rPr>
        <w:t xml:space="preserve"> the </w:t>
      </w:r>
      <w:r w:rsidR="009D6A29">
        <w:rPr>
          <w:rFonts w:ascii="Times New Roman" w:eastAsia="Times New Roman" w:hAnsi="Times New Roman" w:cs="Times New Roman"/>
          <w:sz w:val="24"/>
          <w:szCs w:val="24"/>
        </w:rPr>
        <w:t>COGS</w:t>
      </w:r>
      <w:r>
        <w:rPr>
          <w:rFonts w:ascii="Times New Roman" w:eastAsia="Times New Roman" w:hAnsi="Times New Roman" w:cs="Times New Roman"/>
          <w:sz w:val="24"/>
          <w:szCs w:val="24"/>
        </w:rPr>
        <w:t xml:space="preserve"> from revenue. </w:t>
      </w:r>
    </w:p>
    <w:p w14:paraId="4FF9B46D"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Expenses-</w:t>
      </w:r>
      <w:r>
        <w:rPr>
          <w:rFonts w:ascii="Times New Roman" w:eastAsia="Times New Roman" w:hAnsi="Times New Roman" w:cs="Times New Roman"/>
          <w:sz w:val="24"/>
          <w:szCs w:val="24"/>
        </w:rPr>
        <w:t xml:space="preserve"> These expenses are marketing, advertising, and promotional expenses. Most businesses incur these expenses as a byproduct of selling goods and services. All these are selling expenses and it adds to the cost of production. </w:t>
      </w:r>
    </w:p>
    <w:p w14:paraId="398B922A"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General and administrative expenses- </w:t>
      </w:r>
      <w:r>
        <w:rPr>
          <w:rFonts w:ascii="Times New Roman" w:eastAsia="Times New Roman" w:hAnsi="Times New Roman" w:cs="Times New Roman"/>
          <w:sz w:val="24"/>
          <w:szCs w:val="24"/>
        </w:rPr>
        <w:t xml:space="preserve">These expenses include all the indirect costs that are incurred by the business from all the general and administrative sections of the company. These expenses are salaries, wages, insurance, rent, office expenses, and other operational expenses. </w:t>
      </w:r>
    </w:p>
    <w:p w14:paraId="3A733A90"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Depreciation- </w:t>
      </w:r>
      <w:r>
        <w:rPr>
          <w:rFonts w:ascii="Times New Roman" w:eastAsia="Times New Roman" w:hAnsi="Times New Roman" w:cs="Times New Roman"/>
          <w:sz w:val="24"/>
          <w:szCs w:val="24"/>
        </w:rPr>
        <w:t xml:space="preserve">Depreciation is non-cash expenses that are incurred on the property, plants, and equipment as a cost of capital assets. These are the costs of using the assets throughout the lifetime. </w:t>
      </w:r>
    </w:p>
    <w:p w14:paraId="719A6FF7" w14:textId="3E467CAB"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Operating income- </w:t>
      </w:r>
      <w:r>
        <w:rPr>
          <w:rFonts w:ascii="Times New Roman" w:eastAsia="Times New Roman" w:hAnsi="Times New Roman" w:cs="Times New Roman"/>
          <w:sz w:val="24"/>
          <w:szCs w:val="24"/>
        </w:rPr>
        <w:t>Operating income refers to all the revenues earned from general business operations. It is the profit before any of the expenses, taxes, and interest are subtracted from the revenues. It is the profit before taxes</w:t>
      </w:r>
      <w:r w:rsidR="009D6A29">
        <w:rPr>
          <w:rFonts w:ascii="Times New Roman" w:eastAsia="Times New Roman" w:hAnsi="Times New Roman" w:cs="Times New Roman"/>
          <w:sz w:val="24"/>
          <w:szCs w:val="24"/>
        </w:rPr>
        <w:t xml:space="preserve"> and interest. </w:t>
      </w:r>
    </w:p>
    <w:p w14:paraId="4CC645C6" w14:textId="27F14DFF"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Interest- </w:t>
      </w:r>
      <w:r w:rsidR="009D6A29">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nterest can be expenses and interest income. Interest expenses are the interest the company had to pay on its borrowed money and interest income refers to the interest the company gets paid for lending its money to some other company. </w:t>
      </w:r>
    </w:p>
    <w:p w14:paraId="6D6F9E42"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Other expenses- </w:t>
      </w:r>
      <w:r>
        <w:rPr>
          <w:rFonts w:ascii="Times New Roman" w:eastAsia="Times New Roman" w:hAnsi="Times New Roman" w:cs="Times New Roman"/>
          <w:sz w:val="24"/>
          <w:szCs w:val="24"/>
        </w:rPr>
        <w:t xml:space="preserve">Different businesses have different operating expenses. Some expenses are unique to that particular company and some expenses are common to all companies. These expenses are research and development, compensation from stocks, and profit or loss from investments.  </w:t>
      </w:r>
    </w:p>
    <w:p w14:paraId="6E17484E" w14:textId="40061BC4"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Income tax - </w:t>
      </w:r>
      <w:r>
        <w:rPr>
          <w:rFonts w:ascii="Times New Roman" w:eastAsia="Times New Roman" w:hAnsi="Times New Roman" w:cs="Times New Roman"/>
          <w:sz w:val="24"/>
          <w:szCs w:val="24"/>
        </w:rPr>
        <w:t xml:space="preserve">Income tax is the tax that is incurred on the profit or income of the company. </w:t>
      </w:r>
    </w:p>
    <w:p w14:paraId="0E3DBBC5" w14:textId="1182B9CD"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Net income- </w:t>
      </w:r>
      <w:r>
        <w:rPr>
          <w:rFonts w:ascii="Times New Roman" w:eastAsia="Times New Roman" w:hAnsi="Times New Roman" w:cs="Times New Roman"/>
          <w:sz w:val="24"/>
          <w:szCs w:val="24"/>
        </w:rPr>
        <w:t xml:space="preserve">Net income is evaluated by </w:t>
      </w:r>
      <w:r w:rsidR="009D6A29">
        <w:rPr>
          <w:rFonts w:ascii="Times New Roman" w:eastAsia="Times New Roman" w:hAnsi="Times New Roman" w:cs="Times New Roman"/>
          <w:sz w:val="24"/>
          <w:szCs w:val="24"/>
        </w:rPr>
        <w:t>subtracting</w:t>
      </w:r>
      <w:r>
        <w:rPr>
          <w:rFonts w:ascii="Times New Roman" w:eastAsia="Times New Roman" w:hAnsi="Times New Roman" w:cs="Times New Roman"/>
          <w:sz w:val="24"/>
          <w:szCs w:val="24"/>
        </w:rPr>
        <w:t xml:space="preserve"> all the taxes from the </w:t>
      </w:r>
      <w:r w:rsidR="009D6A29">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 xml:space="preserve">. This amount is added to the retained earning in the balance sheet after the deduction of any dividends. </w:t>
      </w:r>
    </w:p>
    <w:p w14:paraId="7159298A"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94DE064" wp14:editId="4BA64860">
            <wp:extent cx="4970464" cy="54074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4970464" cy="5407428"/>
                    </a:xfrm>
                    <a:prstGeom prst="rect">
                      <a:avLst/>
                    </a:prstGeom>
                  </pic:spPr>
                </pic:pic>
              </a:graphicData>
            </a:graphic>
          </wp:inline>
        </w:drawing>
      </w:r>
    </w:p>
    <w:p w14:paraId="049B7D16"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 Income Statement</w:t>
      </w:r>
    </w:p>
    <w:p w14:paraId="5C1A6279"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(Self)</w:t>
      </w:r>
    </w:p>
    <w:p w14:paraId="7B409F9C" w14:textId="0217015B"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w:t>
      </w:r>
      <w:r>
        <w:rPr>
          <w:rFonts w:ascii="Times New Roman" w:eastAsia="Times New Roman" w:hAnsi="Times New Roman" w:cs="Times New Roman"/>
          <w:sz w:val="24"/>
          <w:szCs w:val="24"/>
        </w:rPr>
        <w:t xml:space="preserve">The  </w:t>
      </w:r>
      <w:r w:rsidR="009D6A29">
        <w:rPr>
          <w:rFonts w:ascii="Times New Roman" w:eastAsia="Times New Roman" w:hAnsi="Times New Roman" w:cs="Times New Roman"/>
          <w:sz w:val="24"/>
          <w:szCs w:val="24"/>
        </w:rPr>
        <w:t>figure shows</w:t>
      </w:r>
      <w:r>
        <w:rPr>
          <w:rFonts w:ascii="Times New Roman" w:eastAsia="Times New Roman" w:hAnsi="Times New Roman" w:cs="Times New Roman"/>
          <w:sz w:val="24"/>
          <w:szCs w:val="24"/>
        </w:rPr>
        <w:t xml:space="preserve"> the income statement of Wales plc for the year ended 31st December 2022. Here it can be seen that the revenue or sales for the year 2022 is £800000 and the cost of goods sold is £578650. After deducting the </w:t>
      </w:r>
      <w:r w:rsidR="009D6A29">
        <w:rPr>
          <w:rFonts w:ascii="Times New Roman" w:eastAsia="Times New Roman" w:hAnsi="Times New Roman" w:cs="Times New Roman"/>
          <w:sz w:val="24"/>
          <w:szCs w:val="24"/>
        </w:rPr>
        <w:t>COGS</w:t>
      </w:r>
      <w:r>
        <w:rPr>
          <w:rFonts w:ascii="Times New Roman" w:eastAsia="Times New Roman" w:hAnsi="Times New Roman" w:cs="Times New Roman"/>
          <w:sz w:val="24"/>
          <w:szCs w:val="24"/>
        </w:rPr>
        <w:t xml:space="preserve"> from the revenue we get gross profit which is £221350. After that, all the operating expenses are added together. These operating expenses include administrative expenses which are £30000, and distribution costs of £28000, directors' remuneration of £5000, outstanding commission of £3000, Ordinary dividend paid and preference dividend paid are £20000 and £30000 respectively. The sum of all these operating expenses is </w:t>
      </w:r>
      <w:r w:rsidR="009D6A29">
        <w:rPr>
          <w:rFonts w:ascii="Times New Roman" w:eastAsia="Times New Roman" w:hAnsi="Times New Roman" w:cs="Times New Roman"/>
          <w:sz w:val="24"/>
          <w:szCs w:val="24"/>
        </w:rPr>
        <w:t>subtracted</w:t>
      </w:r>
      <w:r>
        <w:rPr>
          <w:rFonts w:ascii="Times New Roman" w:eastAsia="Times New Roman" w:hAnsi="Times New Roman" w:cs="Times New Roman"/>
          <w:sz w:val="24"/>
          <w:szCs w:val="24"/>
        </w:rPr>
        <w:t xml:space="preserve"> from the </w:t>
      </w:r>
      <w:r w:rsidR="009D6A29">
        <w:rPr>
          <w:rFonts w:ascii="Times New Roman" w:eastAsia="Times New Roman" w:hAnsi="Times New Roman" w:cs="Times New Roman"/>
          <w:sz w:val="24"/>
          <w:szCs w:val="24"/>
        </w:rPr>
        <w:t>GP</w:t>
      </w:r>
      <w:r>
        <w:rPr>
          <w:rFonts w:ascii="Times New Roman" w:eastAsia="Times New Roman" w:hAnsi="Times New Roman" w:cs="Times New Roman"/>
          <w:sz w:val="24"/>
          <w:szCs w:val="24"/>
        </w:rPr>
        <w:t xml:space="preserve"> to get the </w:t>
      </w:r>
      <w:r w:rsidR="009D6A29">
        <w:rPr>
          <w:rFonts w:ascii="Times New Roman" w:eastAsia="Times New Roman" w:hAnsi="Times New Roman" w:cs="Times New Roman"/>
          <w:sz w:val="24"/>
          <w:szCs w:val="24"/>
        </w:rPr>
        <w:t>OP</w:t>
      </w:r>
      <w:r>
        <w:rPr>
          <w:rFonts w:ascii="Times New Roman" w:eastAsia="Times New Roman" w:hAnsi="Times New Roman" w:cs="Times New Roman"/>
          <w:sz w:val="24"/>
          <w:szCs w:val="24"/>
        </w:rPr>
        <w:t xml:space="preserve"> of £105350. Then the interest paid of £2000 is </w:t>
      </w:r>
      <w:r w:rsidR="009D6A29">
        <w:rPr>
          <w:rFonts w:ascii="Times New Roman" w:eastAsia="Times New Roman" w:hAnsi="Times New Roman" w:cs="Times New Roman"/>
          <w:sz w:val="24"/>
          <w:szCs w:val="24"/>
        </w:rPr>
        <w:t>subtracted</w:t>
      </w:r>
      <w:r>
        <w:rPr>
          <w:rFonts w:ascii="Times New Roman" w:eastAsia="Times New Roman" w:hAnsi="Times New Roman" w:cs="Times New Roman"/>
          <w:sz w:val="24"/>
          <w:szCs w:val="24"/>
        </w:rPr>
        <w:t xml:space="preserve"> from the operating profit to get the profit before tax of £103350. At last, a corporate tax of £100000 is deducted from the profit before tax to get the profit after interest and tax which is £3350. So, £3350 is the profit of Wales plc for the year 2022. </w:t>
      </w:r>
    </w:p>
    <w:p w14:paraId="793813D6"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1"/>
        <w:tblW w:w="79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920"/>
        <w:gridCol w:w="1500"/>
        <w:gridCol w:w="1500"/>
      </w:tblGrid>
      <w:tr w:rsidR="003F2BAB" w14:paraId="6AAB7317" w14:textId="77777777">
        <w:trPr>
          <w:trHeight w:val="345"/>
        </w:trPr>
        <w:tc>
          <w:tcPr>
            <w:tcW w:w="7920" w:type="dxa"/>
            <w:gridSpan w:val="3"/>
            <w:tcBorders>
              <w:top w:val="single" w:sz="6" w:space="0" w:color="000000"/>
              <w:left w:val="single" w:sz="6" w:space="0" w:color="000000"/>
              <w:bottom w:val="single" w:sz="6" w:space="0" w:color="000000"/>
              <w:right w:val="single" w:sz="6" w:space="0" w:color="000000"/>
            </w:tcBorders>
            <w:shd w:val="clear" w:color="auto" w:fill="D9D2E9"/>
            <w:tcMar>
              <w:top w:w="40" w:type="dxa"/>
              <w:left w:w="40" w:type="dxa"/>
              <w:bottom w:w="40" w:type="dxa"/>
              <w:right w:w="40" w:type="dxa"/>
            </w:tcMar>
            <w:vAlign w:val="bottom"/>
          </w:tcPr>
          <w:p w14:paraId="775DF5C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In the books of Wales Plc</w:t>
            </w:r>
          </w:p>
        </w:tc>
      </w:tr>
      <w:tr w:rsidR="003F2BAB" w14:paraId="00BA4993" w14:textId="77777777">
        <w:trPr>
          <w:trHeight w:val="345"/>
        </w:trPr>
        <w:tc>
          <w:tcPr>
            <w:tcW w:w="7920" w:type="dxa"/>
            <w:gridSpan w:val="3"/>
            <w:tcBorders>
              <w:top w:val="single" w:sz="5" w:space="0" w:color="CCCCCC"/>
              <w:left w:val="single" w:sz="6" w:space="0" w:color="000000"/>
              <w:bottom w:val="single" w:sz="6" w:space="0" w:color="000000"/>
              <w:right w:val="single" w:sz="6" w:space="0" w:color="000000"/>
            </w:tcBorders>
            <w:shd w:val="clear" w:color="auto" w:fill="D9D2E9"/>
            <w:tcMar>
              <w:top w:w="40" w:type="dxa"/>
              <w:left w:w="40" w:type="dxa"/>
              <w:bottom w:w="40" w:type="dxa"/>
              <w:right w:w="40" w:type="dxa"/>
            </w:tcMar>
            <w:vAlign w:val="bottom"/>
          </w:tcPr>
          <w:p w14:paraId="4E6B2D6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Statement of Financial Position</w:t>
            </w:r>
          </w:p>
        </w:tc>
      </w:tr>
      <w:tr w:rsidR="003F2BAB" w14:paraId="31CF528C" w14:textId="77777777">
        <w:trPr>
          <w:trHeight w:val="345"/>
        </w:trPr>
        <w:tc>
          <w:tcPr>
            <w:tcW w:w="7920" w:type="dxa"/>
            <w:gridSpan w:val="3"/>
            <w:tcBorders>
              <w:top w:val="single" w:sz="5" w:space="0" w:color="CCCCCC"/>
              <w:left w:val="single" w:sz="6" w:space="0" w:color="000000"/>
              <w:bottom w:val="single" w:sz="6" w:space="0" w:color="000000"/>
              <w:right w:val="single" w:sz="6" w:space="0" w:color="000000"/>
            </w:tcBorders>
            <w:shd w:val="clear" w:color="auto" w:fill="D9D2E9"/>
            <w:tcMar>
              <w:top w:w="40" w:type="dxa"/>
              <w:left w:w="40" w:type="dxa"/>
              <w:bottom w:w="40" w:type="dxa"/>
              <w:right w:w="40" w:type="dxa"/>
            </w:tcMar>
            <w:vAlign w:val="bottom"/>
          </w:tcPr>
          <w:p w14:paraId="05A54ED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As of 31st December 2022</w:t>
            </w:r>
          </w:p>
        </w:tc>
      </w:tr>
      <w:tr w:rsidR="003F2BAB" w14:paraId="4B7527C9"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799E972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Particulars</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419F9B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color w:val="1F1F1F"/>
                <w:sz w:val="24"/>
                <w:szCs w:val="24"/>
              </w:rPr>
              <w:t>Amount (£)</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38CCBD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color w:val="1F1F1F"/>
                <w:sz w:val="24"/>
                <w:szCs w:val="24"/>
              </w:rPr>
              <w:t>Amount (£)</w:t>
            </w:r>
          </w:p>
        </w:tc>
      </w:tr>
      <w:tr w:rsidR="003F2BAB" w14:paraId="04334EF0"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68842FB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EQUITY AND LIABILITIES</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3226AC29"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10A77B56" w14:textId="77777777" w:rsidR="003F2BAB" w:rsidRDefault="003F2BAB">
            <w:pPr>
              <w:pStyle w:val="Normal1"/>
              <w:widowControl w:val="0"/>
              <w:spacing w:line="360" w:lineRule="auto"/>
              <w:jc w:val="both"/>
              <w:rPr>
                <w:sz w:val="20"/>
                <w:szCs w:val="20"/>
              </w:rPr>
            </w:pPr>
          </w:p>
        </w:tc>
      </w:tr>
      <w:tr w:rsidR="003F2BAB" w14:paraId="3184BC4E"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3F68059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i/>
                <w:sz w:val="24"/>
                <w:szCs w:val="24"/>
              </w:rPr>
              <w:t>(a) Shareholders Fund</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14AC02E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25F7E123" w14:textId="77777777" w:rsidR="003F2BAB" w:rsidRDefault="003F2BAB">
            <w:pPr>
              <w:pStyle w:val="Normal1"/>
              <w:widowControl w:val="0"/>
              <w:spacing w:line="360" w:lineRule="auto"/>
              <w:jc w:val="both"/>
              <w:rPr>
                <w:sz w:val="20"/>
                <w:szCs w:val="20"/>
              </w:rPr>
            </w:pPr>
          </w:p>
        </w:tc>
      </w:tr>
      <w:tr w:rsidR="003F2BAB" w14:paraId="0EB74648"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4C38C5D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 Ordinary Share</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390AAA3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900000</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6930C30A" w14:textId="77777777" w:rsidR="003F2BAB" w:rsidRDefault="003F2BAB">
            <w:pPr>
              <w:pStyle w:val="Normal1"/>
              <w:widowControl w:val="0"/>
              <w:spacing w:line="360" w:lineRule="auto"/>
              <w:jc w:val="both"/>
              <w:rPr>
                <w:sz w:val="20"/>
                <w:szCs w:val="20"/>
              </w:rPr>
            </w:pPr>
          </w:p>
        </w:tc>
      </w:tr>
      <w:tr w:rsidR="003F2BAB" w14:paraId="04D860DD"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280FDDF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(ii) Preference Share</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3C44F1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500000</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1D19E0F9" w14:textId="77777777" w:rsidR="003F2BAB" w:rsidRDefault="003F2BAB">
            <w:pPr>
              <w:pStyle w:val="Normal1"/>
              <w:widowControl w:val="0"/>
              <w:spacing w:line="360" w:lineRule="auto"/>
              <w:jc w:val="both"/>
              <w:rPr>
                <w:sz w:val="20"/>
                <w:szCs w:val="20"/>
              </w:rPr>
            </w:pPr>
          </w:p>
        </w:tc>
      </w:tr>
      <w:tr w:rsidR="003F2BAB" w14:paraId="72D08FC3"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7C08BECC"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768C8102"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73E0EF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1400000</w:t>
            </w:r>
          </w:p>
        </w:tc>
      </w:tr>
      <w:tr w:rsidR="003F2BAB" w14:paraId="39D7232C"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462825F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i/>
                <w:sz w:val="24"/>
                <w:szCs w:val="24"/>
              </w:rPr>
              <w:t>(b) Reserves and Securities</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D459E4C"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42D67F1C" w14:textId="77777777" w:rsidR="003F2BAB" w:rsidRDefault="003F2BAB">
            <w:pPr>
              <w:pStyle w:val="Normal1"/>
              <w:widowControl w:val="0"/>
              <w:spacing w:line="360" w:lineRule="auto"/>
              <w:jc w:val="both"/>
              <w:rPr>
                <w:sz w:val="20"/>
                <w:szCs w:val="20"/>
              </w:rPr>
            </w:pPr>
          </w:p>
        </w:tc>
      </w:tr>
      <w:tr w:rsidR="003F2BAB" w14:paraId="7F86F8D8"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0D6D2C3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 Balance of Profit and Loss Account</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3045528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3350</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6E7AFE9E" w14:textId="77777777" w:rsidR="003F2BAB" w:rsidRDefault="003F2BAB">
            <w:pPr>
              <w:pStyle w:val="Normal1"/>
              <w:widowControl w:val="0"/>
              <w:spacing w:line="360" w:lineRule="auto"/>
              <w:jc w:val="both"/>
              <w:rPr>
                <w:sz w:val="20"/>
                <w:szCs w:val="20"/>
              </w:rPr>
            </w:pPr>
          </w:p>
        </w:tc>
      </w:tr>
      <w:tr w:rsidR="003F2BAB" w14:paraId="7B54A338"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780563A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(ii) Retained Earnings</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1CC571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132000</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173585A4" w14:textId="77777777" w:rsidR="003F2BAB" w:rsidRDefault="003F2BAB">
            <w:pPr>
              <w:pStyle w:val="Normal1"/>
              <w:widowControl w:val="0"/>
              <w:spacing w:line="360" w:lineRule="auto"/>
              <w:jc w:val="both"/>
              <w:rPr>
                <w:sz w:val="20"/>
                <w:szCs w:val="20"/>
              </w:rPr>
            </w:pPr>
          </w:p>
        </w:tc>
      </w:tr>
      <w:tr w:rsidR="003F2BAB" w14:paraId="5F035002"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7906867D"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A62600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7B0A8E5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135350</w:t>
            </w:r>
          </w:p>
        </w:tc>
      </w:tr>
      <w:tr w:rsidR="003F2BAB" w14:paraId="646EB81E"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1D2143C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i/>
                <w:sz w:val="24"/>
                <w:szCs w:val="24"/>
              </w:rPr>
              <w:t>(c) Long-term Liabilities</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20311397"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15C93E7B" w14:textId="77777777" w:rsidR="003F2BAB" w:rsidRDefault="003F2BAB">
            <w:pPr>
              <w:pStyle w:val="Normal1"/>
              <w:widowControl w:val="0"/>
              <w:spacing w:line="360" w:lineRule="auto"/>
              <w:jc w:val="both"/>
              <w:rPr>
                <w:sz w:val="20"/>
                <w:szCs w:val="20"/>
              </w:rPr>
            </w:pPr>
          </w:p>
        </w:tc>
      </w:tr>
      <w:tr w:rsidR="003F2BAB" w14:paraId="19C748C5"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069A430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 2% Debenture</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6709F4C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400479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200000</w:t>
            </w:r>
          </w:p>
        </w:tc>
      </w:tr>
      <w:tr w:rsidR="003F2BAB" w14:paraId="28115126"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0D3F6A0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i/>
                <w:sz w:val="24"/>
                <w:szCs w:val="24"/>
              </w:rPr>
              <w:t>(d) Current Liabilities</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4D3A52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6738064" w14:textId="77777777" w:rsidR="003F2BAB" w:rsidRDefault="003F2BAB">
            <w:pPr>
              <w:pStyle w:val="Normal1"/>
              <w:widowControl w:val="0"/>
              <w:spacing w:line="360" w:lineRule="auto"/>
              <w:jc w:val="both"/>
              <w:rPr>
                <w:sz w:val="20"/>
                <w:szCs w:val="20"/>
              </w:rPr>
            </w:pPr>
          </w:p>
        </w:tc>
      </w:tr>
      <w:tr w:rsidR="003F2BAB" w14:paraId="76EE9714"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3B62E9F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 Trade Payable</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CB63CF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188625</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64D84DB" w14:textId="77777777" w:rsidR="003F2BAB" w:rsidRDefault="003F2BAB">
            <w:pPr>
              <w:pStyle w:val="Normal1"/>
              <w:widowControl w:val="0"/>
              <w:spacing w:line="360" w:lineRule="auto"/>
              <w:jc w:val="both"/>
              <w:rPr>
                <w:sz w:val="20"/>
                <w:szCs w:val="20"/>
              </w:rPr>
            </w:pPr>
          </w:p>
        </w:tc>
      </w:tr>
      <w:tr w:rsidR="003F2BAB" w14:paraId="798F830D"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3A26CC1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(ii) Outstanding Commission</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7D70182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3000</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05C21F5" w14:textId="77777777" w:rsidR="003F2BAB" w:rsidRDefault="003F2BAB">
            <w:pPr>
              <w:pStyle w:val="Normal1"/>
              <w:widowControl w:val="0"/>
              <w:spacing w:line="360" w:lineRule="auto"/>
              <w:jc w:val="both"/>
              <w:rPr>
                <w:sz w:val="20"/>
                <w:szCs w:val="20"/>
              </w:rPr>
            </w:pPr>
          </w:p>
        </w:tc>
      </w:tr>
      <w:tr w:rsidR="003F2BAB" w14:paraId="29ACB2B0"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11A37BC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(iii) Corporate Tax</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47CFD35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100000</w:t>
            </w: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0AEC635E" w14:textId="77777777" w:rsidR="003F2BAB" w:rsidRDefault="003F2BAB">
            <w:pPr>
              <w:pStyle w:val="Normal1"/>
              <w:widowControl w:val="0"/>
              <w:spacing w:line="360" w:lineRule="auto"/>
              <w:jc w:val="both"/>
              <w:rPr>
                <w:sz w:val="20"/>
                <w:szCs w:val="20"/>
              </w:rPr>
            </w:pPr>
          </w:p>
        </w:tc>
      </w:tr>
      <w:tr w:rsidR="003F2BAB" w14:paraId="3B0176B1"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614FE3DA"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50E4FAD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7B77B90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291625</w:t>
            </w:r>
          </w:p>
        </w:tc>
      </w:tr>
      <w:tr w:rsidR="003F2BAB" w14:paraId="0DA442DC"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A4C2F4"/>
            <w:tcMar>
              <w:top w:w="40" w:type="dxa"/>
              <w:left w:w="40" w:type="dxa"/>
              <w:bottom w:w="40" w:type="dxa"/>
              <w:right w:w="40" w:type="dxa"/>
            </w:tcMar>
            <w:vAlign w:val="bottom"/>
          </w:tcPr>
          <w:p w14:paraId="42332C9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Total Equity and Liabilities</w:t>
            </w:r>
          </w:p>
        </w:tc>
        <w:tc>
          <w:tcPr>
            <w:tcW w:w="1500" w:type="dxa"/>
            <w:tcBorders>
              <w:top w:val="single" w:sz="5" w:space="0" w:color="CCCCCC"/>
              <w:left w:val="single" w:sz="5" w:space="0" w:color="CCCCCC"/>
              <w:bottom w:val="single" w:sz="6" w:space="0" w:color="000000"/>
              <w:right w:val="single" w:sz="6" w:space="0" w:color="000000"/>
            </w:tcBorders>
            <w:shd w:val="clear" w:color="auto" w:fill="A4C2F4"/>
            <w:tcMar>
              <w:top w:w="40" w:type="dxa"/>
              <w:left w:w="40" w:type="dxa"/>
              <w:bottom w:w="40" w:type="dxa"/>
              <w:right w:w="40" w:type="dxa"/>
            </w:tcMar>
            <w:vAlign w:val="bottom"/>
          </w:tcPr>
          <w:p w14:paraId="40431B03"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A4C2F4"/>
            <w:tcMar>
              <w:top w:w="40" w:type="dxa"/>
              <w:left w:w="40" w:type="dxa"/>
              <w:bottom w:w="40" w:type="dxa"/>
              <w:right w:w="40" w:type="dxa"/>
            </w:tcMar>
            <w:vAlign w:val="bottom"/>
          </w:tcPr>
          <w:p w14:paraId="697020B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2026975</w:t>
            </w:r>
          </w:p>
        </w:tc>
      </w:tr>
      <w:tr w:rsidR="003F2BAB" w14:paraId="51FD526D"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71A5A9B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ASSETS</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B6DC439"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3D0DB59E" w14:textId="77777777" w:rsidR="003F2BAB" w:rsidRDefault="003F2BAB">
            <w:pPr>
              <w:pStyle w:val="Normal1"/>
              <w:widowControl w:val="0"/>
              <w:spacing w:line="360" w:lineRule="auto"/>
              <w:jc w:val="both"/>
              <w:rPr>
                <w:sz w:val="20"/>
                <w:szCs w:val="20"/>
              </w:rPr>
            </w:pPr>
          </w:p>
        </w:tc>
      </w:tr>
      <w:tr w:rsidR="003F2BAB" w14:paraId="5BC21D8D"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7E500C3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i/>
                <w:sz w:val="24"/>
                <w:szCs w:val="24"/>
              </w:rPr>
              <w:t>(a) Non-current Assets</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5FF28EE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760E871" w14:textId="77777777" w:rsidR="003F2BAB" w:rsidRDefault="003F2BAB">
            <w:pPr>
              <w:pStyle w:val="Normal1"/>
              <w:widowControl w:val="0"/>
              <w:spacing w:line="360" w:lineRule="auto"/>
              <w:jc w:val="both"/>
              <w:rPr>
                <w:sz w:val="20"/>
                <w:szCs w:val="20"/>
              </w:rPr>
            </w:pPr>
          </w:p>
        </w:tc>
      </w:tr>
      <w:tr w:rsidR="003F2BAB" w14:paraId="6D3E0233"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40F496A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 Plant and Equipment</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02440B6A"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0776A25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1250000</w:t>
            </w:r>
          </w:p>
        </w:tc>
      </w:tr>
      <w:tr w:rsidR="003F2BAB" w14:paraId="493F67D1"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7EE74A4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i/>
                <w:sz w:val="24"/>
                <w:szCs w:val="24"/>
              </w:rPr>
              <w:t>(b) Current Assets</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0A18E50E"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817EF2C" w14:textId="77777777" w:rsidR="003F2BAB" w:rsidRDefault="003F2BAB">
            <w:pPr>
              <w:pStyle w:val="Normal1"/>
              <w:widowControl w:val="0"/>
              <w:spacing w:line="360" w:lineRule="auto"/>
              <w:jc w:val="both"/>
              <w:rPr>
                <w:sz w:val="20"/>
                <w:szCs w:val="20"/>
              </w:rPr>
            </w:pPr>
          </w:p>
        </w:tc>
      </w:tr>
      <w:tr w:rsidR="003F2BAB" w14:paraId="4B8DE5B0"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207E881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 Stock</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3137483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510850</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30DA8E32" w14:textId="77777777" w:rsidR="003F2BAB" w:rsidRDefault="003F2BAB">
            <w:pPr>
              <w:pStyle w:val="Normal1"/>
              <w:widowControl w:val="0"/>
              <w:spacing w:line="360" w:lineRule="auto"/>
              <w:jc w:val="both"/>
              <w:rPr>
                <w:sz w:val="20"/>
                <w:szCs w:val="20"/>
              </w:rPr>
            </w:pPr>
          </w:p>
        </w:tc>
      </w:tr>
      <w:tr w:rsidR="003F2BAB" w14:paraId="62D8A28E"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1DB15C6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lastRenderedPageBreak/>
              <w:t>(ii) Trade receivable</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38323EC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170125</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A9FE31C" w14:textId="77777777" w:rsidR="003F2BAB" w:rsidRDefault="003F2BAB">
            <w:pPr>
              <w:pStyle w:val="Normal1"/>
              <w:widowControl w:val="0"/>
              <w:spacing w:line="360" w:lineRule="auto"/>
              <w:jc w:val="both"/>
              <w:rPr>
                <w:sz w:val="20"/>
                <w:szCs w:val="20"/>
              </w:rPr>
            </w:pPr>
          </w:p>
        </w:tc>
      </w:tr>
      <w:tr w:rsidR="003F2BAB" w14:paraId="002FA793"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2BE1055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(iii) Cash and Bank</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295C53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96000</w:t>
            </w: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6BB0805" w14:textId="77777777" w:rsidR="003F2BAB" w:rsidRDefault="003F2BAB">
            <w:pPr>
              <w:pStyle w:val="Normal1"/>
              <w:widowControl w:val="0"/>
              <w:spacing w:line="360" w:lineRule="auto"/>
              <w:jc w:val="both"/>
              <w:rPr>
                <w:sz w:val="20"/>
                <w:szCs w:val="20"/>
              </w:rPr>
            </w:pPr>
          </w:p>
        </w:tc>
      </w:tr>
      <w:tr w:rsidR="003F2BAB" w14:paraId="4CA5A8F0"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bottom"/>
          </w:tcPr>
          <w:p w14:paraId="3F3C5A57"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09628E55"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24FB02C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776975</w:t>
            </w:r>
          </w:p>
        </w:tc>
      </w:tr>
      <w:tr w:rsidR="003F2BAB" w14:paraId="4C191FBE" w14:textId="77777777">
        <w:trPr>
          <w:trHeight w:val="345"/>
        </w:trPr>
        <w:tc>
          <w:tcPr>
            <w:tcW w:w="4920" w:type="dxa"/>
            <w:tcBorders>
              <w:top w:val="single" w:sz="5" w:space="0" w:color="CCCCCC"/>
              <w:left w:val="single" w:sz="6" w:space="0" w:color="000000"/>
              <w:bottom w:val="single" w:sz="6" w:space="0" w:color="000000"/>
              <w:right w:val="single" w:sz="6" w:space="0" w:color="000000"/>
            </w:tcBorders>
            <w:shd w:val="clear" w:color="auto" w:fill="A4C2F4"/>
            <w:tcMar>
              <w:top w:w="40" w:type="dxa"/>
              <w:left w:w="40" w:type="dxa"/>
              <w:bottom w:w="40" w:type="dxa"/>
              <w:right w:w="40" w:type="dxa"/>
            </w:tcMar>
            <w:vAlign w:val="bottom"/>
          </w:tcPr>
          <w:p w14:paraId="0A4EDE9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Total Assets</w:t>
            </w:r>
          </w:p>
        </w:tc>
        <w:tc>
          <w:tcPr>
            <w:tcW w:w="1500" w:type="dxa"/>
            <w:tcBorders>
              <w:top w:val="single" w:sz="5" w:space="0" w:color="CCCCCC"/>
              <w:left w:val="single" w:sz="5" w:space="0" w:color="CCCCCC"/>
              <w:bottom w:val="single" w:sz="6" w:space="0" w:color="000000"/>
              <w:right w:val="single" w:sz="6" w:space="0" w:color="000000"/>
            </w:tcBorders>
            <w:shd w:val="clear" w:color="auto" w:fill="A4C2F4"/>
            <w:tcMar>
              <w:top w:w="40" w:type="dxa"/>
              <w:left w:w="40" w:type="dxa"/>
              <w:bottom w:w="40" w:type="dxa"/>
              <w:right w:w="40" w:type="dxa"/>
            </w:tcMar>
            <w:vAlign w:val="bottom"/>
          </w:tcPr>
          <w:p w14:paraId="0EBD69A6" w14:textId="77777777" w:rsidR="003F2BAB" w:rsidRDefault="003F2BAB">
            <w:pPr>
              <w:pStyle w:val="Normal1"/>
              <w:widowControl w:val="0"/>
              <w:spacing w:line="360" w:lineRule="auto"/>
              <w:jc w:val="both"/>
              <w:rPr>
                <w:sz w:val="20"/>
                <w:szCs w:val="20"/>
              </w:rPr>
            </w:pPr>
          </w:p>
        </w:tc>
        <w:tc>
          <w:tcPr>
            <w:tcW w:w="1500" w:type="dxa"/>
            <w:tcBorders>
              <w:top w:val="single" w:sz="5" w:space="0" w:color="CCCCCC"/>
              <w:left w:val="single" w:sz="5" w:space="0" w:color="CCCCCC"/>
              <w:bottom w:val="single" w:sz="6" w:space="0" w:color="000000"/>
              <w:right w:val="single" w:sz="6" w:space="0" w:color="000000"/>
            </w:tcBorders>
            <w:shd w:val="clear" w:color="auto" w:fill="A4C2F4"/>
            <w:tcMar>
              <w:top w:w="40" w:type="dxa"/>
              <w:left w:w="40" w:type="dxa"/>
              <w:bottom w:w="40" w:type="dxa"/>
              <w:right w:w="40" w:type="dxa"/>
            </w:tcMar>
            <w:vAlign w:val="bottom"/>
          </w:tcPr>
          <w:p w14:paraId="138ABA4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2026975</w:t>
            </w:r>
          </w:p>
        </w:tc>
      </w:tr>
    </w:tbl>
    <w:p w14:paraId="7AE38FB7"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2: Statement of financial position</w:t>
      </w:r>
    </w:p>
    <w:p w14:paraId="070D5B91"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(Self)</w:t>
      </w:r>
    </w:p>
    <w:p w14:paraId="7CAD03E0" w14:textId="147AA968" w:rsidR="009D6A29"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w:t>
      </w:r>
      <w:r w:rsidR="009D6A29">
        <w:rPr>
          <w:rFonts w:ascii="Times New Roman" w:eastAsia="Times New Roman" w:hAnsi="Times New Roman" w:cs="Times New Roman"/>
          <w:sz w:val="24"/>
          <w:szCs w:val="24"/>
        </w:rPr>
        <w:t>figure</w:t>
      </w:r>
      <w:r>
        <w:rPr>
          <w:rFonts w:ascii="Times New Roman" w:eastAsia="Times New Roman" w:hAnsi="Times New Roman" w:cs="Times New Roman"/>
          <w:sz w:val="24"/>
          <w:szCs w:val="24"/>
        </w:rPr>
        <w:t xml:space="preserve"> represents the </w:t>
      </w:r>
      <w:r w:rsidR="009D6A29">
        <w:rPr>
          <w:rFonts w:ascii="Times New Roman" w:eastAsia="Times New Roman" w:hAnsi="Times New Roman" w:cs="Times New Roman"/>
          <w:sz w:val="24"/>
          <w:szCs w:val="24"/>
        </w:rPr>
        <w:t>BS</w:t>
      </w:r>
      <w:r>
        <w:rPr>
          <w:rFonts w:ascii="Times New Roman" w:eastAsia="Times New Roman" w:hAnsi="Times New Roman" w:cs="Times New Roman"/>
          <w:sz w:val="24"/>
          <w:szCs w:val="24"/>
        </w:rPr>
        <w:t xml:space="preserve"> of Wales plc for the year ended 31st December 2022. </w:t>
      </w:r>
    </w:p>
    <w:p w14:paraId="267E755C" w14:textId="29C826ED"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gives a clear picture of the company’s financial position at a particular time of the year by evaluating its equities and liability and assets for that year (Wallstreetmojo, 2022). The three main components of the balance sheet are assets,</w:t>
      </w:r>
      <w:r w:rsidR="009D6A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shareholder’s equity</w:t>
      </w:r>
      <w:r w:rsidR="009D6A29">
        <w:rPr>
          <w:rFonts w:ascii="Times New Roman" w:eastAsia="Times New Roman" w:hAnsi="Times New Roman" w:cs="Times New Roman"/>
          <w:sz w:val="24"/>
          <w:szCs w:val="24"/>
        </w:rPr>
        <w:t xml:space="preserve"> and liabilities</w:t>
      </w:r>
      <w:r>
        <w:rPr>
          <w:rFonts w:ascii="Times New Roman" w:eastAsia="Times New Roman" w:hAnsi="Times New Roman" w:cs="Times New Roman"/>
          <w:sz w:val="24"/>
          <w:szCs w:val="24"/>
        </w:rPr>
        <w:t xml:space="preserve">. </w:t>
      </w:r>
    </w:p>
    <w:p w14:paraId="5C69204A" w14:textId="7E8A21DB"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shows that the shareholder's fund is composed of ordinary shares of £900000 and preference shares of £500000. Together it forms the shareholder's fund which is £1400000. Then reserves and securities are evaluated by taking into account the profit made by the company that year which is £3350 and retained earnings of £132000. Then the long-term liabilities are taken into account which is a 2 percent debenture of £200000. Then trade payable is £188625, outstanding commission £3000, and corporate tax £100000 is added together to form short-term liabilities of £291625. Then the equities and liabilities are added together to get total equity and liabilities of £2026975. After that, we have to calculate total assets. Under the current assets stock of £510850, trade receivable £170125, and cash and bank of £96000 are added together. Plants and equipment come under the heading of non-current assets of £1250000. Now both non-current assets and current assets are added together and form total assets of £2026975. A statement of financial position is said to be correct if both the asset side and the liabilities side are equal or match with each other. Here it can be seen that the total assets and total liabilities are the same. Hence the balance sheet is correct. </w:t>
      </w:r>
    </w:p>
    <w:p w14:paraId="2115FF90" w14:textId="77777777" w:rsidR="002C61E0" w:rsidRDefault="00000000" w:rsidP="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 </w:t>
      </w:r>
      <w:r>
        <w:rPr>
          <w:rFonts w:ascii="Times New Roman" w:eastAsia="Times New Roman" w:hAnsi="Times New Roman" w:cs="Times New Roman"/>
          <w:sz w:val="24"/>
          <w:szCs w:val="24"/>
        </w:rPr>
        <w:t xml:space="preserve">A statement of financial position helps to evaluate the accurate financial position of a business for a particular period. It provides a transparent picture of the company's account by listing all the assets of the company and their means of funding. Its purpose is to record all the financial transactions of the company. When the total assets and total liabilities match with one another it means the balance sheet is correct and when it does not match it means the balance sheet is incorrect and needs to be corrected. In a balance sheet, both the assets side and liabilities side match with each other because assets are financed with the help of liabilities and equities. Another reason for balancing the assets and liability side is the double-entry accounting system which promotes the system of entering every transaction into two accounts. When a journal </w:t>
      </w:r>
      <w:r>
        <w:rPr>
          <w:rFonts w:ascii="Times New Roman" w:eastAsia="Times New Roman" w:hAnsi="Times New Roman" w:cs="Times New Roman"/>
          <w:sz w:val="24"/>
          <w:szCs w:val="24"/>
        </w:rPr>
        <w:lastRenderedPageBreak/>
        <w:t xml:space="preserve">entry under asset is made it should be balanced with another journal entry under liabilities to make it clear where the money is coming from (GoCardless, 2021). </w:t>
      </w:r>
      <w:bookmarkStart w:id="2" w:name="_im1blrewg5b8" w:colFirst="0" w:colLast="0"/>
      <w:bookmarkEnd w:id="2"/>
    </w:p>
    <w:p w14:paraId="0C909047" w14:textId="51CF845F" w:rsidR="003F2BAB" w:rsidRPr="002C61E0" w:rsidRDefault="00000000" w:rsidP="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2</w:t>
      </w:r>
    </w:p>
    <w:p w14:paraId="20FBAE2A" w14:textId="77777777" w:rsidR="003F2BAB"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w:t>
      </w:r>
    </w:p>
    <w:p w14:paraId="725547D6" w14:textId="77777777" w:rsidR="003F2BAB" w:rsidRDefault="003F2BAB">
      <w:pPr>
        <w:pStyle w:val="Normal1"/>
        <w:spacing w:line="360" w:lineRule="auto"/>
        <w:jc w:val="both"/>
        <w:rPr>
          <w:rFonts w:ascii="Times New Roman" w:eastAsia="Times New Roman" w:hAnsi="Times New Roman" w:cs="Times New Roman"/>
          <w:b/>
          <w:sz w:val="24"/>
          <w:szCs w:val="24"/>
        </w:rPr>
      </w:pPr>
    </w:p>
    <w:tbl>
      <w:tblPr>
        <w:tblStyle w:val="Table2"/>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66F62D5C"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4CB1E0FD" w14:textId="77777777" w:rsidR="003F2BAB" w:rsidRDefault="00000000">
            <w:pPr>
              <w:pStyle w:val="Normal1"/>
              <w:widowControl w:val="0"/>
              <w:pBdr>
                <w:top w:val="nil"/>
                <w:left w:val="nil"/>
                <w:bottom w:val="nil"/>
                <w:right w:val="nil"/>
                <w:between w:val="nil"/>
              </w:pBdr>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5F113AA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304E6D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5E18F12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DE8CC6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3D60DB73"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0D370734" w14:textId="77777777" w:rsidR="003F2BAB" w:rsidRDefault="003F2BA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131C1522" w14:textId="77777777" w:rsidR="003F2BAB" w:rsidRDefault="003F2BAB">
            <w:pPr>
              <w:pStyle w:val="Normal1"/>
              <w:widowControl w:val="0"/>
              <w:spacing w:line="360" w:lineRule="auto"/>
              <w:jc w:val="both"/>
              <w:rPr>
                <w:rFonts w:ascii="Times New Roman" w:eastAsia="Times New Roman" w:hAnsi="Times New Roman" w:cs="Times New Roman"/>
                <w:sz w:val="24"/>
                <w:szCs w:val="24"/>
              </w:rPr>
            </w:pP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7637884" w14:textId="77777777" w:rsidR="003F2BAB" w:rsidRDefault="003F2BAB">
            <w:pPr>
              <w:pStyle w:val="Normal1"/>
              <w:widowControl w:val="0"/>
              <w:spacing w:line="360" w:lineRule="auto"/>
              <w:jc w:val="both"/>
              <w:rPr>
                <w:rFonts w:ascii="Times New Roman" w:eastAsia="Times New Roman" w:hAnsi="Times New Roman" w:cs="Times New Roman"/>
                <w:sz w:val="24"/>
                <w:szCs w:val="24"/>
              </w:rPr>
            </w:pP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E133E82" w14:textId="77777777" w:rsidR="003F2BAB" w:rsidRDefault="003F2BAB">
            <w:pPr>
              <w:pStyle w:val="Normal1"/>
              <w:widowControl w:val="0"/>
              <w:spacing w:line="360" w:lineRule="auto"/>
              <w:jc w:val="both"/>
              <w:rPr>
                <w:rFonts w:ascii="Times New Roman" w:eastAsia="Times New Roman" w:hAnsi="Times New Roman" w:cs="Times New Roman"/>
                <w:sz w:val="24"/>
                <w:szCs w:val="24"/>
              </w:rPr>
            </w:pP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43520A45" w14:textId="77777777" w:rsidR="003F2BAB" w:rsidRDefault="003F2BAB">
            <w:pPr>
              <w:pStyle w:val="Normal1"/>
              <w:widowControl w:val="0"/>
              <w:spacing w:line="360" w:lineRule="auto"/>
              <w:jc w:val="both"/>
              <w:rPr>
                <w:rFonts w:ascii="Times New Roman" w:eastAsia="Times New Roman" w:hAnsi="Times New Roman" w:cs="Times New Roman"/>
                <w:sz w:val="24"/>
                <w:szCs w:val="24"/>
              </w:rPr>
            </w:pPr>
          </w:p>
        </w:tc>
      </w:tr>
      <w:tr w:rsidR="003F2BAB" w14:paraId="19217EBA"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4CCCC"/>
            <w:tcMar>
              <w:top w:w="40" w:type="dxa"/>
              <w:left w:w="40" w:type="dxa"/>
              <w:bottom w:w="40" w:type="dxa"/>
              <w:right w:w="40" w:type="dxa"/>
            </w:tcMar>
            <w:vAlign w:val="center"/>
          </w:tcPr>
          <w:p w14:paraId="47CF9136"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ROSE</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A2C4C9"/>
            <w:tcMar>
              <w:top w:w="40" w:type="dxa"/>
              <w:left w:w="40" w:type="dxa"/>
              <w:bottom w:w="40" w:type="dxa"/>
              <w:right w:w="40" w:type="dxa"/>
            </w:tcMar>
            <w:vAlign w:val="center"/>
          </w:tcPr>
          <w:p w14:paraId="01029492"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 before Interest and tax/ capital employed)*100</w:t>
            </w:r>
          </w:p>
        </w:tc>
        <w:tc>
          <w:tcPr>
            <w:tcW w:w="1742"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5B0A513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Earning before interest and tax</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35DBBE2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805</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4A1B6C9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699</w:t>
            </w:r>
          </w:p>
        </w:tc>
      </w:tr>
      <w:tr w:rsidR="003F2BAB" w14:paraId="0FC51603"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5075CF1"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6856C4E"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7798D59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Total assets</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3D47A37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9736</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005674A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10087</w:t>
            </w:r>
          </w:p>
        </w:tc>
      </w:tr>
      <w:tr w:rsidR="003F2BAB" w14:paraId="04E6D8C9"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6EA3C8C"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3218555"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2804DBF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current Liabilities</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5D764BD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2511</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1E49810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3046</w:t>
            </w:r>
          </w:p>
        </w:tc>
      </w:tr>
      <w:tr w:rsidR="003F2BAB" w14:paraId="38549936"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7174D32"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3F93727"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4AC5B1A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capital employed</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1D3D2F6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7225</w:t>
            </w:r>
          </w:p>
        </w:tc>
        <w:tc>
          <w:tcPr>
            <w:tcW w:w="806" w:type="dxa"/>
            <w:tcBorders>
              <w:top w:val="single" w:sz="5" w:space="0" w:color="CCCCCC"/>
              <w:left w:val="single" w:sz="5" w:space="0" w:color="CCCCCC"/>
              <w:bottom w:val="single" w:sz="6" w:space="0" w:color="000000"/>
              <w:right w:val="single" w:sz="6" w:space="0" w:color="000000"/>
            </w:tcBorders>
            <w:shd w:val="clear" w:color="auto" w:fill="ADF582"/>
            <w:tcMar>
              <w:top w:w="40" w:type="dxa"/>
              <w:left w:w="40" w:type="dxa"/>
              <w:bottom w:w="40" w:type="dxa"/>
              <w:right w:w="40" w:type="dxa"/>
            </w:tcMar>
            <w:vAlign w:val="bottom"/>
          </w:tcPr>
          <w:p w14:paraId="4F4F82A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7041</w:t>
            </w:r>
          </w:p>
        </w:tc>
      </w:tr>
      <w:tr w:rsidR="003F2BAB" w14:paraId="612E8433"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0868436"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638ACC0E"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EDC686"/>
            <w:tcMar>
              <w:top w:w="40" w:type="dxa"/>
              <w:left w:w="40" w:type="dxa"/>
              <w:bottom w:w="40" w:type="dxa"/>
              <w:right w:w="40" w:type="dxa"/>
            </w:tcMar>
            <w:vAlign w:val="bottom"/>
          </w:tcPr>
          <w:p w14:paraId="5EC3170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ROSE</w:t>
            </w:r>
          </w:p>
        </w:tc>
        <w:tc>
          <w:tcPr>
            <w:tcW w:w="806" w:type="dxa"/>
            <w:tcBorders>
              <w:top w:val="single" w:sz="5" w:space="0" w:color="CCCCCC"/>
              <w:left w:val="single" w:sz="5" w:space="0" w:color="CCCCCC"/>
              <w:bottom w:val="single" w:sz="6" w:space="0" w:color="000000"/>
              <w:right w:val="single" w:sz="6" w:space="0" w:color="000000"/>
            </w:tcBorders>
            <w:shd w:val="clear" w:color="auto" w:fill="EDC686"/>
            <w:tcMar>
              <w:top w:w="40" w:type="dxa"/>
              <w:left w:w="40" w:type="dxa"/>
              <w:bottom w:w="40" w:type="dxa"/>
              <w:right w:w="40" w:type="dxa"/>
            </w:tcMar>
            <w:vAlign w:val="bottom"/>
          </w:tcPr>
          <w:p w14:paraId="7D56DDC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11.1419</w:t>
            </w:r>
          </w:p>
        </w:tc>
        <w:tc>
          <w:tcPr>
            <w:tcW w:w="806" w:type="dxa"/>
            <w:tcBorders>
              <w:top w:val="single" w:sz="5" w:space="0" w:color="CCCCCC"/>
              <w:left w:val="single" w:sz="5" w:space="0" w:color="CCCCCC"/>
              <w:bottom w:val="single" w:sz="6" w:space="0" w:color="000000"/>
              <w:right w:val="single" w:sz="6" w:space="0" w:color="000000"/>
            </w:tcBorders>
            <w:shd w:val="clear" w:color="auto" w:fill="EDC686"/>
            <w:tcMar>
              <w:top w:w="40" w:type="dxa"/>
              <w:left w:w="40" w:type="dxa"/>
              <w:bottom w:w="40" w:type="dxa"/>
              <w:right w:w="40" w:type="dxa"/>
            </w:tcMar>
            <w:vAlign w:val="bottom"/>
          </w:tcPr>
          <w:p w14:paraId="0887EA2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9.9276</w:t>
            </w:r>
          </w:p>
        </w:tc>
      </w:tr>
    </w:tbl>
    <w:p w14:paraId="509294E8"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3: ROCE</w:t>
      </w:r>
    </w:p>
    <w:p w14:paraId="22677634"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762E6E45" w14:textId="078C2AD5"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722C74">
        <w:rPr>
          <w:rFonts w:ascii="Times New Roman" w:eastAsia="Times New Roman" w:hAnsi="Times New Roman" w:cs="Times New Roman"/>
          <w:sz w:val="24"/>
          <w:szCs w:val="24"/>
        </w:rPr>
        <w:t xml:space="preserve">ROCE </w:t>
      </w:r>
      <w:r>
        <w:rPr>
          <w:rFonts w:ascii="Times New Roman" w:eastAsia="Times New Roman" w:hAnsi="Times New Roman" w:cs="Times New Roman"/>
          <w:sz w:val="24"/>
          <w:szCs w:val="24"/>
        </w:rPr>
        <w:t xml:space="preserve">is a </w:t>
      </w:r>
      <w:r w:rsidR="00722C74">
        <w:rPr>
          <w:rFonts w:ascii="Times New Roman" w:eastAsia="Times New Roman" w:hAnsi="Times New Roman" w:cs="Times New Roman"/>
          <w:sz w:val="24"/>
          <w:szCs w:val="24"/>
        </w:rPr>
        <w:t xml:space="preserve">FR </w:t>
      </w:r>
      <w:r>
        <w:rPr>
          <w:rFonts w:ascii="Times New Roman" w:eastAsia="Times New Roman" w:hAnsi="Times New Roman" w:cs="Times New Roman"/>
          <w:sz w:val="24"/>
          <w:szCs w:val="24"/>
        </w:rPr>
        <w:t xml:space="preserve">that helps the company to </w:t>
      </w:r>
      <w:r w:rsidR="00722C74">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its </w:t>
      </w:r>
      <w:r w:rsidR="00722C74">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 xml:space="preserve"> and </w:t>
      </w:r>
      <w:r w:rsidR="00722C74">
        <w:rPr>
          <w:rFonts w:ascii="Times New Roman" w:eastAsia="Times New Roman" w:hAnsi="Times New Roman" w:cs="Times New Roman"/>
          <w:sz w:val="24"/>
          <w:szCs w:val="24"/>
        </w:rPr>
        <w:t xml:space="preserve">CE. </w:t>
      </w:r>
      <w:r>
        <w:rPr>
          <w:rFonts w:ascii="Times New Roman" w:eastAsia="Times New Roman" w:hAnsi="Times New Roman" w:cs="Times New Roman"/>
          <w:sz w:val="24"/>
          <w:szCs w:val="24"/>
        </w:rPr>
        <w:t xml:space="preserve">The table shows that the return on capital employed in 2021 is £7725 and in 2020 it is £7041. It is clear from the table that ROCE increased from 2020 to 2021. It indicates the company is becoming more and more profitable and its profit increasing (Kaplan, 2020). </w:t>
      </w:r>
    </w:p>
    <w:p w14:paraId="6E4954E9"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3"/>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79EB2DE2"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0E4B54A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AFA39D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6C89E46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10BB0C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888F9F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49466806"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6B26B"/>
            <w:tcMar>
              <w:top w:w="40" w:type="dxa"/>
              <w:left w:w="40" w:type="dxa"/>
              <w:bottom w:w="40" w:type="dxa"/>
              <w:right w:w="40" w:type="dxa"/>
            </w:tcMar>
            <w:vAlign w:val="center"/>
          </w:tcPr>
          <w:p w14:paraId="4E4C2DA3"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ROE</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center"/>
          </w:tcPr>
          <w:p w14:paraId="5B7FADD7"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income/ Shareholder's equity</w:t>
            </w:r>
          </w:p>
        </w:tc>
        <w:tc>
          <w:tcPr>
            <w:tcW w:w="1742"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4C3CF2F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Net income</w:t>
            </w:r>
          </w:p>
        </w:tc>
        <w:tc>
          <w:tcPr>
            <w:tcW w:w="806"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5941A9B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431</w:t>
            </w:r>
          </w:p>
        </w:tc>
        <w:tc>
          <w:tcPr>
            <w:tcW w:w="806"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4719F12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366</w:t>
            </w:r>
          </w:p>
        </w:tc>
      </w:tr>
      <w:tr w:rsidR="003F2BAB" w14:paraId="40241395"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D1180C1"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3852609"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610EA6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Shareholder's equity</w:t>
            </w:r>
          </w:p>
        </w:tc>
        <w:tc>
          <w:tcPr>
            <w:tcW w:w="806"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01FD680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300</w:t>
            </w:r>
          </w:p>
        </w:tc>
        <w:tc>
          <w:tcPr>
            <w:tcW w:w="806"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718CC30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300</w:t>
            </w:r>
          </w:p>
        </w:tc>
      </w:tr>
      <w:tr w:rsidR="003F2BAB" w14:paraId="7F3F6725"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31012B8"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5AAB03A5"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6DB7B2D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ROE</w:t>
            </w:r>
          </w:p>
        </w:tc>
        <w:tc>
          <w:tcPr>
            <w:tcW w:w="806"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3B55FE5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1.4367</w:t>
            </w:r>
          </w:p>
        </w:tc>
        <w:tc>
          <w:tcPr>
            <w:tcW w:w="806" w:type="dxa"/>
            <w:tcBorders>
              <w:top w:val="single" w:sz="5" w:space="0" w:color="CCCCCC"/>
              <w:left w:val="single" w:sz="5" w:space="0" w:color="CCCCCC"/>
              <w:bottom w:val="single" w:sz="6" w:space="0" w:color="000000"/>
              <w:right w:val="single" w:sz="6" w:space="0" w:color="000000"/>
            </w:tcBorders>
            <w:shd w:val="clear" w:color="auto" w:fill="F6B26B"/>
            <w:tcMar>
              <w:top w:w="40" w:type="dxa"/>
              <w:left w:w="40" w:type="dxa"/>
              <w:bottom w:w="40" w:type="dxa"/>
              <w:right w:w="40" w:type="dxa"/>
            </w:tcMar>
            <w:vAlign w:val="bottom"/>
          </w:tcPr>
          <w:p w14:paraId="6D0BF83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1.2200</w:t>
            </w:r>
          </w:p>
        </w:tc>
      </w:tr>
    </w:tbl>
    <w:p w14:paraId="3E64E3C3"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4: ROE</w:t>
      </w:r>
    </w:p>
    <w:p w14:paraId="3F828A47"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0DFFA8DA" w14:textId="53AA31C5"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ROE refers to the return on equity. It represents the company's net income. It represents a clear picture of the financial position of the company. </w:t>
      </w:r>
      <w:r w:rsidR="00722C74">
        <w:rPr>
          <w:rFonts w:ascii="Times New Roman" w:eastAsia="Times New Roman" w:hAnsi="Times New Roman" w:cs="Times New Roman"/>
          <w:sz w:val="24"/>
          <w:szCs w:val="24"/>
        </w:rPr>
        <w:t>ROE</w:t>
      </w:r>
      <w:r>
        <w:rPr>
          <w:rFonts w:ascii="Times New Roman" w:eastAsia="Times New Roman" w:hAnsi="Times New Roman" w:cs="Times New Roman"/>
          <w:sz w:val="24"/>
          <w:szCs w:val="24"/>
        </w:rPr>
        <w:t xml:space="preserve"> is calculated by dividing the </w:t>
      </w:r>
      <w:r w:rsidR="00722C74">
        <w:rPr>
          <w:rFonts w:ascii="Times New Roman" w:eastAsia="Times New Roman" w:hAnsi="Times New Roman" w:cs="Times New Roman"/>
          <w:sz w:val="24"/>
          <w:szCs w:val="24"/>
        </w:rPr>
        <w:t>NI</w:t>
      </w:r>
      <w:r>
        <w:rPr>
          <w:rFonts w:ascii="Times New Roman" w:eastAsia="Times New Roman" w:hAnsi="Times New Roman" w:cs="Times New Roman"/>
          <w:sz w:val="24"/>
          <w:szCs w:val="24"/>
        </w:rPr>
        <w:t xml:space="preserve"> by equity</w:t>
      </w:r>
      <w:r w:rsidR="00722C74">
        <w:rPr>
          <w:rFonts w:ascii="Times New Roman" w:eastAsia="Times New Roman" w:hAnsi="Times New Roman" w:cs="Times New Roman"/>
          <w:sz w:val="24"/>
          <w:szCs w:val="24"/>
        </w:rPr>
        <w:t xml:space="preserve"> of shareholde</w:t>
      </w:r>
      <w:r w:rsidR="00DB00B2">
        <w:rPr>
          <w:rFonts w:ascii="Times New Roman" w:eastAsia="Times New Roman" w:hAnsi="Times New Roman" w:cs="Times New Roman"/>
          <w:sz w:val="24"/>
          <w:szCs w:val="24"/>
        </w:rPr>
        <w:t>r</w:t>
      </w:r>
      <w:r>
        <w:rPr>
          <w:rFonts w:ascii="Times New Roman" w:eastAsia="Times New Roman" w:hAnsi="Times New Roman" w:cs="Times New Roman"/>
          <w:sz w:val="24"/>
          <w:szCs w:val="24"/>
        </w:rPr>
        <w:t xml:space="preserve">. In the above table, the ROE for 2020 is 1.22 and in 2021 it is 1.43. It can be seen that the ROE increased from 2020 to 2021 which means the company is productive and efficient and it is efficient at generating shareholders' capital and reinvesting it in the company (Corporatefinanceinstitute, 2023). </w:t>
      </w:r>
    </w:p>
    <w:p w14:paraId="23FD6B9E"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4"/>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35B3593D"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4C165D9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111272B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BC74A5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77BDB7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659F921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6ECC09AE"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00FF00"/>
            <w:tcMar>
              <w:top w:w="40" w:type="dxa"/>
              <w:left w:w="40" w:type="dxa"/>
              <w:bottom w:w="40" w:type="dxa"/>
              <w:right w:w="40" w:type="dxa"/>
            </w:tcMar>
            <w:vAlign w:val="center"/>
          </w:tcPr>
          <w:p w14:paraId="3C734271"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Earnings per Share</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center"/>
          </w:tcPr>
          <w:p w14:paraId="2CC8B541"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income-preferred dividend / Weighted average of common shares</w:t>
            </w:r>
          </w:p>
        </w:tc>
        <w:tc>
          <w:tcPr>
            <w:tcW w:w="1742"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2ADE4E0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Net Income</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2D649DC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431</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0806252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366</w:t>
            </w:r>
          </w:p>
        </w:tc>
      </w:tr>
      <w:tr w:rsidR="003F2BAB" w14:paraId="20D85F3D"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49C411D"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97AB467"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1367961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Outstanding shares</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07F6569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300</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10657F7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300</w:t>
            </w:r>
          </w:p>
        </w:tc>
      </w:tr>
      <w:tr w:rsidR="003F2BAB" w14:paraId="03A54F01"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7CA5A90"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9011105"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58F6A3F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Average outstanding shares</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08FD089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300</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6E3F0B6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150</w:t>
            </w:r>
          </w:p>
        </w:tc>
      </w:tr>
      <w:tr w:rsidR="003F2BAB" w14:paraId="01A88781"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7D49215"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0F51CBA"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65BD10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Common shares</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B6EE1F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600</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77E0AF0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450</w:t>
            </w:r>
          </w:p>
        </w:tc>
      </w:tr>
      <w:tr w:rsidR="003F2BAB" w14:paraId="43895EA8"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963040E"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69F5CAA"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AB2A0F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Earnings per share</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1D5772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0.7183</w:t>
            </w:r>
          </w:p>
        </w:tc>
        <w:tc>
          <w:tcPr>
            <w:tcW w:w="806" w:type="dxa"/>
            <w:tcBorders>
              <w:top w:val="single" w:sz="5" w:space="0" w:color="CCCCCC"/>
              <w:left w:val="single" w:sz="5"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3548C3B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0.8133</w:t>
            </w:r>
          </w:p>
        </w:tc>
      </w:tr>
    </w:tbl>
    <w:p w14:paraId="080133B1"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5:Earning per share</w:t>
      </w:r>
    </w:p>
    <w:p w14:paraId="3128CCEB"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054A0F05"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Earning per share refers to the profitability of a company. It is evaluated by dividing the annual income by the number of outstanding shares. A company that has a higher EPS is said to be more profitable and more favored by investors (Gartner_Inc, 2020). The table shows that the EPS of 2020 is 0.8133 and for 2021 it is 0.7183. The EPS has decreased from 2020 to 2021 which means the company has less profit and it is less likely to give dividends to its shareholders  (Corporatefinanceinstitute, 2023). </w:t>
      </w:r>
    </w:p>
    <w:p w14:paraId="052ED669"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5"/>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35DF0EEB"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70E4385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E520BF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CA0E82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3F704A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67A1E0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2B8C06D9"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B6D7A8"/>
            <w:tcMar>
              <w:top w:w="40" w:type="dxa"/>
              <w:left w:w="40" w:type="dxa"/>
              <w:bottom w:w="40" w:type="dxa"/>
              <w:right w:w="40" w:type="dxa"/>
            </w:tcMar>
            <w:vAlign w:val="center"/>
          </w:tcPr>
          <w:p w14:paraId="494C2A6F"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 margin</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center"/>
          </w:tcPr>
          <w:p w14:paraId="0A04AEBB"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 Revenue)*100</w:t>
            </w:r>
          </w:p>
        </w:tc>
        <w:tc>
          <w:tcPr>
            <w:tcW w:w="1742"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70AFFD9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Net profit</w:t>
            </w:r>
          </w:p>
        </w:tc>
        <w:tc>
          <w:tcPr>
            <w:tcW w:w="806"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2A9FA86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431</w:t>
            </w:r>
          </w:p>
        </w:tc>
        <w:tc>
          <w:tcPr>
            <w:tcW w:w="806"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4A0B38B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366</w:t>
            </w:r>
          </w:p>
        </w:tc>
      </w:tr>
      <w:tr w:rsidR="003F2BAB" w14:paraId="27C535B9"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5EF6D0D"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D376ABB"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12066E1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Total Revenue</w:t>
            </w:r>
          </w:p>
        </w:tc>
        <w:tc>
          <w:tcPr>
            <w:tcW w:w="806"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1BB9256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6738</w:t>
            </w:r>
          </w:p>
        </w:tc>
        <w:tc>
          <w:tcPr>
            <w:tcW w:w="806"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28DC556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6441</w:t>
            </w:r>
          </w:p>
        </w:tc>
      </w:tr>
      <w:tr w:rsidR="003F2BAB" w14:paraId="5C1AA065"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53AAC3DC"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5928BDF7"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0B0C8DE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Net Profit Margin</w:t>
            </w:r>
          </w:p>
        </w:tc>
        <w:tc>
          <w:tcPr>
            <w:tcW w:w="806"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7BAD140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6.3966</w:t>
            </w:r>
          </w:p>
        </w:tc>
        <w:tc>
          <w:tcPr>
            <w:tcW w:w="806" w:type="dxa"/>
            <w:tcBorders>
              <w:top w:val="single" w:sz="5" w:space="0" w:color="CCCCCC"/>
              <w:left w:val="single" w:sz="5"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39E688C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5.6823</w:t>
            </w:r>
          </w:p>
        </w:tc>
      </w:tr>
    </w:tbl>
    <w:p w14:paraId="04883BEE"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6: Net profit margin</w:t>
      </w:r>
    </w:p>
    <w:p w14:paraId="796FC8E3"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507AABD8" w14:textId="66278C49"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above table, the </w:t>
      </w:r>
      <w:r w:rsidR="00DB00B2">
        <w:rPr>
          <w:rFonts w:ascii="Times New Roman" w:eastAsia="Times New Roman" w:hAnsi="Times New Roman" w:cs="Times New Roman"/>
          <w:sz w:val="24"/>
          <w:szCs w:val="24"/>
        </w:rPr>
        <w:t>NPM</w:t>
      </w:r>
      <w:r>
        <w:rPr>
          <w:rFonts w:ascii="Times New Roman" w:eastAsia="Times New Roman" w:hAnsi="Times New Roman" w:cs="Times New Roman"/>
          <w:sz w:val="24"/>
          <w:szCs w:val="24"/>
        </w:rPr>
        <w:t xml:space="preserve"> for year 2020 is 5.68 and for the year 2021, it is 6.39. It can be seen that the Net profit margin increased from 2020 to 2021 which means the company is becoming profitable year on year and it is effectively controlling its cost (Corporatefinanceinstitute, 2023). </w:t>
      </w:r>
    </w:p>
    <w:p w14:paraId="0D1F4F38"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6"/>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4E1CAE47"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052ED15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021C0B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59EAD23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090835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630B933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0CEEFC4F"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FE599"/>
            <w:tcMar>
              <w:top w:w="40" w:type="dxa"/>
              <w:left w:w="40" w:type="dxa"/>
              <w:bottom w:w="40" w:type="dxa"/>
              <w:right w:w="40" w:type="dxa"/>
            </w:tcMar>
            <w:vAlign w:val="center"/>
          </w:tcPr>
          <w:p w14:paraId="3D56C431"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Asset turnover</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center"/>
          </w:tcPr>
          <w:p w14:paraId="44B162F1"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Sales/ Average Total Sales</w:t>
            </w: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642D9AE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Total revenue</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449C8A9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6738</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447D108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6441</w:t>
            </w:r>
          </w:p>
        </w:tc>
      </w:tr>
      <w:tr w:rsidR="003F2BAB" w14:paraId="7F0822E1"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7521533"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3042FB4"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42A6CEA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Total asset</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1451BFD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9736</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1F3994A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10087</w:t>
            </w:r>
          </w:p>
        </w:tc>
      </w:tr>
      <w:tr w:rsidR="003F2BAB" w14:paraId="69F63DAC"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62F00A1"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04381A1A"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774E036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Average total asset</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06E65E5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9912</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4EBDFF4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5043.5</w:t>
            </w:r>
          </w:p>
        </w:tc>
      </w:tr>
      <w:tr w:rsidR="003F2BAB" w14:paraId="0F2303F6"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6A8E041"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37AFDF40"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7114789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Asset Turnover Ratio</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3962E04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0.6798</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21427F8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1.2771</w:t>
            </w:r>
          </w:p>
        </w:tc>
      </w:tr>
    </w:tbl>
    <w:p w14:paraId="4D5BA465"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7: Asset turnover</w:t>
      </w:r>
    </w:p>
    <w:p w14:paraId="4FBEA117"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5F36C67F"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represents the asset turnover of sweet plc for the years 2020 and 2021. In 2020 it is 1.27 and in 2021 it is 0.67. The assets turnover decreased from 2020 to 2021 which means the company is very effectively utilizing its assets to generate profit  (Corporatefinanceinstitute, 2023). </w:t>
      </w:r>
    </w:p>
    <w:p w14:paraId="5369D97E"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7"/>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1E50CB48"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1EC98B1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4E8F24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67A3653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26F87AA"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BB4489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53F95358"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FE599"/>
            <w:tcMar>
              <w:top w:w="40" w:type="dxa"/>
              <w:left w:w="40" w:type="dxa"/>
              <w:bottom w:w="40" w:type="dxa"/>
              <w:right w:w="40" w:type="dxa"/>
            </w:tcMar>
            <w:vAlign w:val="center"/>
          </w:tcPr>
          <w:p w14:paraId="1C934325"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Stock holding days</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center"/>
          </w:tcPr>
          <w:p w14:paraId="58839D4C"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(Closing Stock/ Cost of Goods Sold )*365</w:t>
            </w: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4C364D4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Closing stock</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5A407FA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708</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776E0D1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659</w:t>
            </w:r>
          </w:p>
        </w:tc>
      </w:tr>
      <w:tr w:rsidR="003F2BAB" w14:paraId="44AE910A"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EFF3A1A"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064B6D6"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72C6FCD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Cost of goods sold</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56DEC0C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3235</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3A96C27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3096</w:t>
            </w:r>
          </w:p>
        </w:tc>
      </w:tr>
      <w:tr w:rsidR="003F2BAB" w14:paraId="5D2FB1AF"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7FF0F9C"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0F06D1DB"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13AD6D8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Stock holding days</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7F501CB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79.8825</w:t>
            </w:r>
          </w:p>
        </w:tc>
        <w:tc>
          <w:tcPr>
            <w:tcW w:w="806" w:type="dxa"/>
            <w:tcBorders>
              <w:top w:val="single" w:sz="5" w:space="0" w:color="CCCCCC"/>
              <w:left w:val="single" w:sz="5" w:space="0" w:color="CCCCCC"/>
              <w:bottom w:val="single" w:sz="6" w:space="0" w:color="000000"/>
              <w:right w:val="single" w:sz="6" w:space="0" w:color="000000"/>
            </w:tcBorders>
            <w:shd w:val="clear" w:color="auto" w:fill="FFE599"/>
            <w:tcMar>
              <w:top w:w="40" w:type="dxa"/>
              <w:left w:w="40" w:type="dxa"/>
              <w:bottom w:w="40" w:type="dxa"/>
              <w:right w:w="40" w:type="dxa"/>
            </w:tcMar>
            <w:vAlign w:val="bottom"/>
          </w:tcPr>
          <w:p w14:paraId="3F69E98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77.6922</w:t>
            </w:r>
          </w:p>
        </w:tc>
      </w:tr>
    </w:tbl>
    <w:p w14:paraId="09C06CC8"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8: Stock holding days</w:t>
      </w:r>
    </w:p>
    <w:p w14:paraId="3619DED8"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w:t>
      </w:r>
    </w:p>
    <w:p w14:paraId="1986C210" w14:textId="653DAD04"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represents the Stock holding days. </w:t>
      </w:r>
      <w:r w:rsidR="00DB00B2">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n 2020 the stock holding days are 77.69 and in 2021 it is 79.88. </w:t>
      </w:r>
      <w:r w:rsidR="00DB00B2">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w:t>
      </w:r>
      <w:r w:rsidR="00DB00B2">
        <w:rPr>
          <w:rFonts w:ascii="Times New Roman" w:eastAsia="Times New Roman" w:hAnsi="Times New Roman" w:cs="Times New Roman"/>
          <w:sz w:val="24"/>
          <w:szCs w:val="24"/>
        </w:rPr>
        <w:t>SHD</w:t>
      </w:r>
      <w:r>
        <w:rPr>
          <w:rFonts w:ascii="Times New Roman" w:eastAsia="Times New Roman" w:hAnsi="Times New Roman" w:cs="Times New Roman"/>
          <w:sz w:val="24"/>
          <w:szCs w:val="24"/>
        </w:rPr>
        <w:t xml:space="preserve"> increased from 2020 to 2021 which means the company is unable to turn its inventory into sales in time  (Corporatefinanceinstitute, 2023). </w:t>
      </w:r>
    </w:p>
    <w:p w14:paraId="61CF9F20"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8"/>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58517314"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75187B1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47382EB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51646C2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1496204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5E615D9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39577607"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1C232"/>
            <w:tcMar>
              <w:top w:w="40" w:type="dxa"/>
              <w:left w:w="40" w:type="dxa"/>
              <w:bottom w:w="40" w:type="dxa"/>
              <w:right w:w="40" w:type="dxa"/>
            </w:tcMar>
            <w:vAlign w:val="center"/>
          </w:tcPr>
          <w:p w14:paraId="47B8A9B2"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Debtors collection period</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center"/>
          </w:tcPr>
          <w:p w14:paraId="1252ECEE"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365 days/ Account Receivable Turnover</w:t>
            </w:r>
          </w:p>
        </w:tc>
        <w:tc>
          <w:tcPr>
            <w:tcW w:w="1742"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1258231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The amount owed by Debtors</w:t>
            </w:r>
          </w:p>
        </w:tc>
        <w:tc>
          <w:tcPr>
            <w:tcW w:w="806"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5A468E1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1249</w:t>
            </w:r>
          </w:p>
        </w:tc>
        <w:tc>
          <w:tcPr>
            <w:tcW w:w="806"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5FC590F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1287</w:t>
            </w:r>
          </w:p>
        </w:tc>
      </w:tr>
      <w:tr w:rsidR="003F2BAB" w14:paraId="0A9EB09C"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6B57AEA7"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DD41AC8"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6D14238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Credit sales</w:t>
            </w:r>
          </w:p>
        </w:tc>
        <w:tc>
          <w:tcPr>
            <w:tcW w:w="806"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38A3C6B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6738</w:t>
            </w:r>
          </w:p>
        </w:tc>
        <w:tc>
          <w:tcPr>
            <w:tcW w:w="806"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7E0B17D8"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6441</w:t>
            </w:r>
          </w:p>
        </w:tc>
      </w:tr>
      <w:tr w:rsidR="003F2BAB" w14:paraId="16889D2B"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04E9FCF5"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F9A03E5"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7294273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Debtors Collection Period</w:t>
            </w:r>
          </w:p>
        </w:tc>
        <w:tc>
          <w:tcPr>
            <w:tcW w:w="806"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38B0ECE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67.6588</w:t>
            </w:r>
          </w:p>
        </w:tc>
        <w:tc>
          <w:tcPr>
            <w:tcW w:w="806" w:type="dxa"/>
            <w:tcBorders>
              <w:top w:val="single" w:sz="5" w:space="0" w:color="CCCCCC"/>
              <w:left w:val="single" w:sz="5"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767C384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72.9320</w:t>
            </w:r>
          </w:p>
        </w:tc>
      </w:tr>
    </w:tbl>
    <w:p w14:paraId="12024148"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 9: Debtors collection period </w:t>
      </w:r>
    </w:p>
    <w:p w14:paraId="7B8F25A5"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(Srelf)</w:t>
      </w:r>
    </w:p>
    <w:p w14:paraId="3DA41783"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represents the debtor's collection period. It shows that in 2020 it is 72.93 and in 2021 it is 67.65. It is clear from the table that the debtor's collection period decreased from 2020 to 2021 which means the company is more efficient in collecting debt than before (Capital, 2020). </w:t>
      </w:r>
    </w:p>
    <w:p w14:paraId="5B26DE12"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9"/>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3D8E38F2"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7D223E7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5C2501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A87508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428500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992533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34A96F00"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CE5CD"/>
            <w:tcMar>
              <w:top w:w="40" w:type="dxa"/>
              <w:left w:w="40" w:type="dxa"/>
              <w:bottom w:w="40" w:type="dxa"/>
              <w:right w:w="40" w:type="dxa"/>
            </w:tcMar>
            <w:vAlign w:val="center"/>
          </w:tcPr>
          <w:p w14:paraId="142B73F5"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ratio</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center"/>
          </w:tcPr>
          <w:p w14:paraId="620C41E3"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Asset/ Current Liabilities</w:t>
            </w:r>
          </w:p>
        </w:tc>
        <w:tc>
          <w:tcPr>
            <w:tcW w:w="1742"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0B48910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Current Assets</w:t>
            </w:r>
          </w:p>
        </w:tc>
        <w:tc>
          <w:tcPr>
            <w:tcW w:w="806"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79F0CB8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2303</w:t>
            </w:r>
          </w:p>
        </w:tc>
        <w:tc>
          <w:tcPr>
            <w:tcW w:w="806"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25BBE76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2355</w:t>
            </w:r>
          </w:p>
        </w:tc>
      </w:tr>
      <w:tr w:rsidR="003F2BAB" w14:paraId="78A53BC8"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63143441"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92598FA"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526A6FD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Current Liabilities</w:t>
            </w:r>
          </w:p>
        </w:tc>
        <w:tc>
          <w:tcPr>
            <w:tcW w:w="806"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585217D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2511</w:t>
            </w:r>
          </w:p>
        </w:tc>
        <w:tc>
          <w:tcPr>
            <w:tcW w:w="806"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606AB4C1"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3046</w:t>
            </w:r>
          </w:p>
        </w:tc>
      </w:tr>
      <w:tr w:rsidR="003F2BAB" w14:paraId="52655609"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5F36888"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15FE136F"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4F3C3DB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Current Ratio</w:t>
            </w:r>
          </w:p>
        </w:tc>
        <w:tc>
          <w:tcPr>
            <w:tcW w:w="806"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5517D49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0.9172</w:t>
            </w:r>
          </w:p>
        </w:tc>
        <w:tc>
          <w:tcPr>
            <w:tcW w:w="806" w:type="dxa"/>
            <w:tcBorders>
              <w:top w:val="single" w:sz="5" w:space="0" w:color="CCCCCC"/>
              <w:left w:val="single" w:sz="5" w:space="0" w:color="CCCCCC"/>
              <w:bottom w:val="single" w:sz="6" w:space="0" w:color="000000"/>
              <w:right w:val="single" w:sz="6" w:space="0" w:color="000000"/>
            </w:tcBorders>
            <w:shd w:val="clear" w:color="auto" w:fill="FCE5CD"/>
            <w:tcMar>
              <w:top w:w="40" w:type="dxa"/>
              <w:left w:w="40" w:type="dxa"/>
              <w:bottom w:w="40" w:type="dxa"/>
              <w:right w:w="40" w:type="dxa"/>
            </w:tcMar>
            <w:vAlign w:val="bottom"/>
          </w:tcPr>
          <w:p w14:paraId="0E43998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0.7731</w:t>
            </w:r>
          </w:p>
        </w:tc>
      </w:tr>
    </w:tbl>
    <w:p w14:paraId="14A2857E"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10: Current ratio</w:t>
      </w:r>
    </w:p>
    <w:p w14:paraId="39E7EDAB"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11958A1F"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 represents the current ratio. The current ratio for the year 2020 is 0.77 and for the year 2021, it is 0.91. It can be seen the current ratio increased from 2020 to 2021 which means the company has more assets than liabilities (Girardin, 2023). </w:t>
      </w:r>
    </w:p>
    <w:p w14:paraId="30E0884D"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10"/>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3B5570BC"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30D9BEE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lastRenderedPageBreak/>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2C7E527B"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52EFDF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76D2D3C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1113B00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492FD5FF"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D5A6BD"/>
            <w:tcMar>
              <w:top w:w="40" w:type="dxa"/>
              <w:left w:w="40" w:type="dxa"/>
              <w:bottom w:w="40" w:type="dxa"/>
              <w:right w:w="40" w:type="dxa"/>
            </w:tcMar>
            <w:vAlign w:val="center"/>
          </w:tcPr>
          <w:p w14:paraId="57D2B4DC"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center"/>
          </w:tcPr>
          <w:p w14:paraId="49715096"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Debt/Total Equity or EBIT/Total interest or Total debt/ Total assets</w:t>
            </w:r>
          </w:p>
        </w:tc>
        <w:tc>
          <w:tcPr>
            <w:tcW w:w="1742"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1B2D5D37"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Loans or Borrowings</w:t>
            </w:r>
          </w:p>
        </w:tc>
        <w:tc>
          <w:tcPr>
            <w:tcW w:w="806"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365DCED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4137</w:t>
            </w:r>
          </w:p>
        </w:tc>
        <w:tc>
          <w:tcPr>
            <w:tcW w:w="806"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47D4C90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4129</w:t>
            </w:r>
          </w:p>
        </w:tc>
      </w:tr>
      <w:tr w:rsidR="003F2BAB" w14:paraId="14B0E905"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B317F0A"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4E36F96"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643C95DF"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Shareholders' Equity</w:t>
            </w:r>
          </w:p>
        </w:tc>
        <w:tc>
          <w:tcPr>
            <w:tcW w:w="806"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034E77B0"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3088</w:t>
            </w:r>
          </w:p>
        </w:tc>
        <w:tc>
          <w:tcPr>
            <w:tcW w:w="806"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74524F1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2912</w:t>
            </w:r>
          </w:p>
        </w:tc>
      </w:tr>
      <w:tr w:rsidR="003F2BAB" w14:paraId="7012A2AF"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61E8301E"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238ADDCB"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216B87F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Gearing Ratio</w:t>
            </w:r>
          </w:p>
        </w:tc>
        <w:tc>
          <w:tcPr>
            <w:tcW w:w="806"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354CED8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1.3397</w:t>
            </w:r>
          </w:p>
        </w:tc>
        <w:tc>
          <w:tcPr>
            <w:tcW w:w="806" w:type="dxa"/>
            <w:tcBorders>
              <w:top w:val="single" w:sz="5" w:space="0" w:color="CCCCCC"/>
              <w:left w:val="single" w:sz="5" w:space="0" w:color="CCCCCC"/>
              <w:bottom w:val="single" w:sz="6" w:space="0" w:color="000000"/>
              <w:right w:val="single" w:sz="6" w:space="0" w:color="000000"/>
            </w:tcBorders>
            <w:shd w:val="clear" w:color="auto" w:fill="D5A6BD"/>
            <w:tcMar>
              <w:top w:w="40" w:type="dxa"/>
              <w:left w:w="40" w:type="dxa"/>
              <w:bottom w:w="40" w:type="dxa"/>
              <w:right w:w="40" w:type="dxa"/>
            </w:tcMar>
            <w:vAlign w:val="bottom"/>
          </w:tcPr>
          <w:p w14:paraId="6341D84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1.4179</w:t>
            </w:r>
          </w:p>
        </w:tc>
      </w:tr>
    </w:tbl>
    <w:p w14:paraId="15F808B1"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11: Gearing Ratio</w:t>
      </w:r>
    </w:p>
    <w:p w14:paraId="67721E2E" w14:textId="77777777" w:rsidR="003F2BAB"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1FFCA72D"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represents the gearing ratio and it can be seen that in 2020 it is 1.41 and in 2021 it is 1.33. It is clear from the table that the gearing ratio decreased from 2020 to 2021 which indicates the company has a low debt-to-equity ratio  (Corporatefinanceinstitute, 2023). </w:t>
      </w:r>
    </w:p>
    <w:p w14:paraId="3AA6225E" w14:textId="77777777" w:rsidR="003F2BAB" w:rsidRDefault="003F2BAB">
      <w:pPr>
        <w:pStyle w:val="Normal1"/>
        <w:spacing w:line="360" w:lineRule="auto"/>
        <w:jc w:val="both"/>
        <w:rPr>
          <w:rFonts w:ascii="Times New Roman" w:eastAsia="Times New Roman" w:hAnsi="Times New Roman" w:cs="Times New Roman"/>
          <w:sz w:val="24"/>
          <w:szCs w:val="24"/>
        </w:rPr>
      </w:pPr>
    </w:p>
    <w:tbl>
      <w:tblPr>
        <w:tblStyle w:val="Table11"/>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93"/>
        <w:gridCol w:w="4179"/>
        <w:gridCol w:w="1742"/>
        <w:gridCol w:w="806"/>
        <w:gridCol w:w="806"/>
      </w:tblGrid>
      <w:tr w:rsidR="003F2BAB" w14:paraId="0F15D449" w14:textId="77777777">
        <w:trPr>
          <w:trHeight w:val="345"/>
        </w:trPr>
        <w:tc>
          <w:tcPr>
            <w:tcW w:w="1492" w:type="dxa"/>
            <w:tcBorders>
              <w:top w:val="single" w:sz="6" w:space="0" w:color="000000"/>
              <w:left w:val="single" w:sz="6" w:space="0" w:color="000000"/>
              <w:bottom w:val="single" w:sz="6" w:space="0" w:color="000000"/>
              <w:right w:val="single" w:sz="6" w:space="0" w:color="000000"/>
            </w:tcBorders>
            <w:shd w:val="clear" w:color="auto" w:fill="F9F97B"/>
            <w:tcMar>
              <w:top w:w="40" w:type="dxa"/>
              <w:left w:w="40" w:type="dxa"/>
              <w:bottom w:w="40" w:type="dxa"/>
              <w:right w:w="40" w:type="dxa"/>
            </w:tcMar>
            <w:vAlign w:val="bottom"/>
          </w:tcPr>
          <w:p w14:paraId="128152C2"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Ratio</w:t>
            </w:r>
          </w:p>
        </w:tc>
        <w:tc>
          <w:tcPr>
            <w:tcW w:w="4178"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6509174"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Formula</w:t>
            </w:r>
          </w:p>
        </w:tc>
        <w:tc>
          <w:tcPr>
            <w:tcW w:w="1742"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5BE8D2B9"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Particulars</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0DE8FD4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2021</w:t>
            </w:r>
          </w:p>
        </w:tc>
        <w:tc>
          <w:tcPr>
            <w:tcW w:w="806" w:type="dxa"/>
            <w:tcBorders>
              <w:top w:val="single" w:sz="6" w:space="0" w:color="000000"/>
              <w:left w:val="single" w:sz="5" w:space="0" w:color="CCCCCC"/>
              <w:bottom w:val="single" w:sz="6" w:space="0" w:color="000000"/>
              <w:right w:val="single" w:sz="6" w:space="0" w:color="000000"/>
            </w:tcBorders>
            <w:shd w:val="clear" w:color="auto" w:fill="F9F97B"/>
            <w:tcMar>
              <w:top w:w="40" w:type="dxa"/>
              <w:left w:w="40" w:type="dxa"/>
              <w:bottom w:w="40" w:type="dxa"/>
              <w:right w:w="40" w:type="dxa"/>
            </w:tcMar>
            <w:vAlign w:val="bottom"/>
          </w:tcPr>
          <w:p w14:paraId="3E48EF6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2020</w:t>
            </w:r>
          </w:p>
        </w:tc>
      </w:tr>
      <w:tr w:rsidR="003F2BAB" w14:paraId="6135E609" w14:textId="77777777">
        <w:trPr>
          <w:trHeight w:val="345"/>
        </w:trPr>
        <w:tc>
          <w:tcPr>
            <w:tcW w:w="1492" w:type="dxa"/>
            <w:vMerge w:val="restart"/>
            <w:tcBorders>
              <w:top w:val="single" w:sz="5" w:space="0" w:color="CCCCCC"/>
              <w:left w:val="single" w:sz="6" w:space="0" w:color="000000"/>
              <w:bottom w:val="single" w:sz="6" w:space="0" w:color="000000"/>
              <w:right w:val="single" w:sz="6" w:space="0" w:color="000000"/>
            </w:tcBorders>
            <w:shd w:val="clear" w:color="auto" w:fill="FFD966"/>
            <w:tcMar>
              <w:top w:w="40" w:type="dxa"/>
              <w:left w:w="40" w:type="dxa"/>
              <w:bottom w:w="40" w:type="dxa"/>
              <w:right w:w="40" w:type="dxa"/>
            </w:tcMar>
            <w:vAlign w:val="center"/>
          </w:tcPr>
          <w:p w14:paraId="537DA406"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 cover</w:t>
            </w:r>
          </w:p>
        </w:tc>
        <w:tc>
          <w:tcPr>
            <w:tcW w:w="4178" w:type="dxa"/>
            <w:vMerge w:val="restart"/>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center"/>
          </w:tcPr>
          <w:p w14:paraId="160A5A2A" w14:textId="77777777" w:rsidR="003F2BAB" w:rsidRDefault="0000000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EBIT for the period/Total interest paid for the period</w:t>
            </w:r>
          </w:p>
        </w:tc>
        <w:tc>
          <w:tcPr>
            <w:tcW w:w="1742"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2631CAE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EBIT</w:t>
            </w:r>
          </w:p>
        </w:tc>
        <w:tc>
          <w:tcPr>
            <w:tcW w:w="806"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5F4120D5"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805</w:t>
            </w:r>
          </w:p>
        </w:tc>
        <w:tc>
          <w:tcPr>
            <w:tcW w:w="806"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6095785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699</w:t>
            </w:r>
          </w:p>
        </w:tc>
      </w:tr>
      <w:tr w:rsidR="003F2BAB" w14:paraId="3C575298"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6BC6D7F6"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657D966"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333C0096"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Interest Paid</w:t>
            </w:r>
          </w:p>
        </w:tc>
        <w:tc>
          <w:tcPr>
            <w:tcW w:w="806"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1FEF4ED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226</w:t>
            </w:r>
          </w:p>
        </w:tc>
        <w:tc>
          <w:tcPr>
            <w:tcW w:w="806"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3AB13BFE"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sz w:val="24"/>
                <w:szCs w:val="24"/>
              </w:rPr>
              <w:t>181</w:t>
            </w:r>
          </w:p>
        </w:tc>
      </w:tr>
      <w:tr w:rsidR="003F2BAB" w14:paraId="23645ECA" w14:textId="77777777">
        <w:trPr>
          <w:trHeight w:val="345"/>
        </w:trPr>
        <w:tc>
          <w:tcPr>
            <w:tcW w:w="1492"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7D086A74" w14:textId="77777777" w:rsidR="003F2BAB" w:rsidRDefault="003F2BAB">
            <w:pPr>
              <w:pStyle w:val="Normal1"/>
              <w:widowControl w:val="0"/>
              <w:spacing w:line="360" w:lineRule="auto"/>
              <w:jc w:val="both"/>
              <w:rPr>
                <w:sz w:val="20"/>
                <w:szCs w:val="20"/>
              </w:rPr>
            </w:pPr>
          </w:p>
        </w:tc>
        <w:tc>
          <w:tcPr>
            <w:tcW w:w="4178" w:type="dxa"/>
            <w:vMerge/>
            <w:tcBorders>
              <w:bottom w:val="single" w:sz="6" w:space="0" w:color="000000"/>
              <w:right w:val="single" w:sz="6" w:space="0" w:color="000000"/>
            </w:tcBorders>
            <w:shd w:val="clear" w:color="auto" w:fill="auto"/>
            <w:tcMar>
              <w:top w:w="100" w:type="dxa"/>
              <w:left w:w="100" w:type="dxa"/>
              <w:bottom w:w="100" w:type="dxa"/>
              <w:right w:w="100" w:type="dxa"/>
            </w:tcMar>
          </w:tcPr>
          <w:p w14:paraId="46E8F128" w14:textId="77777777" w:rsidR="003F2BAB" w:rsidRDefault="003F2BAB">
            <w:pPr>
              <w:pStyle w:val="Normal1"/>
              <w:widowControl w:val="0"/>
              <w:spacing w:line="360" w:lineRule="auto"/>
              <w:jc w:val="both"/>
              <w:rPr>
                <w:sz w:val="20"/>
                <w:szCs w:val="20"/>
              </w:rPr>
            </w:pPr>
          </w:p>
        </w:tc>
        <w:tc>
          <w:tcPr>
            <w:tcW w:w="1742"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71785FAC"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Interest Cover</w:t>
            </w:r>
          </w:p>
        </w:tc>
        <w:tc>
          <w:tcPr>
            <w:tcW w:w="806"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31FB4903"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3.5619</w:t>
            </w:r>
          </w:p>
        </w:tc>
        <w:tc>
          <w:tcPr>
            <w:tcW w:w="806" w:type="dxa"/>
            <w:tcBorders>
              <w:top w:val="single" w:sz="5" w:space="0" w:color="CCCCCC"/>
              <w:left w:val="single" w:sz="5" w:space="0" w:color="CCCCCC"/>
              <w:bottom w:val="single" w:sz="6" w:space="0" w:color="000000"/>
              <w:right w:val="single" w:sz="6" w:space="0" w:color="000000"/>
            </w:tcBorders>
            <w:shd w:val="clear" w:color="auto" w:fill="FFD966"/>
            <w:tcMar>
              <w:top w:w="40" w:type="dxa"/>
              <w:left w:w="40" w:type="dxa"/>
              <w:bottom w:w="40" w:type="dxa"/>
              <w:right w:w="40" w:type="dxa"/>
            </w:tcMar>
            <w:vAlign w:val="bottom"/>
          </w:tcPr>
          <w:p w14:paraId="102CD7ED" w14:textId="77777777" w:rsidR="003F2BAB" w:rsidRDefault="00000000">
            <w:pPr>
              <w:pStyle w:val="Normal1"/>
              <w:widowControl w:val="0"/>
              <w:spacing w:line="360" w:lineRule="auto"/>
              <w:jc w:val="both"/>
              <w:rPr>
                <w:sz w:val="20"/>
                <w:szCs w:val="20"/>
              </w:rPr>
            </w:pPr>
            <w:r>
              <w:rPr>
                <w:rFonts w:ascii="Times New Roman" w:eastAsia="Times New Roman" w:hAnsi="Times New Roman" w:cs="Times New Roman"/>
                <w:b/>
                <w:sz w:val="24"/>
                <w:szCs w:val="24"/>
              </w:rPr>
              <w:t>3.8619</w:t>
            </w:r>
          </w:p>
        </w:tc>
      </w:tr>
    </w:tbl>
    <w:p w14:paraId="5C952DFE"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12; Interest cover</w:t>
      </w:r>
    </w:p>
    <w:p w14:paraId="62125578" w14:textId="77777777" w:rsidR="003F2BAB"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(Self)</w:t>
      </w:r>
    </w:p>
    <w:p w14:paraId="7465C185" w14:textId="77777777"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 represents interest cover and it can be seen that in 2020 it is 3.86 and in 2021 it is 3.56. It is clear from the table that interest cover decreased from 2020 to 2021 which indicates the company is struggling to pay off its debts and there is a risk of bankruptcy and the company’s profit is decreasing (Corporatefinanceinstitute, 2023). </w:t>
      </w:r>
    </w:p>
    <w:p w14:paraId="5803FFCC" w14:textId="77777777" w:rsidR="002C61E0" w:rsidRDefault="00000000" w:rsidP="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 </w:t>
      </w:r>
      <w:r>
        <w:rPr>
          <w:rFonts w:ascii="Times New Roman" w:eastAsia="Times New Roman" w:hAnsi="Times New Roman" w:cs="Times New Roman"/>
          <w:sz w:val="24"/>
          <w:szCs w:val="24"/>
        </w:rPr>
        <w:t xml:space="preserve">From the above analysis it can be said that the company Sweet plc is struggling to make a decent profit. The profit and loss account shows that the company's profit is £ 366 million for 2020 and the year 2021, it is £ 431 million. From the analysis of the ratio, it is clear that the company is slowly recovering its debt-to-equity ratio and its current ratio is also increasing which indicates its asset is increasing but its ability to pay off debts is decreasing which can be very bad in the future. </w:t>
      </w:r>
      <w:bookmarkStart w:id="3" w:name="_ucfn5dossgy4" w:colFirst="0" w:colLast="0"/>
      <w:bookmarkEnd w:id="3"/>
    </w:p>
    <w:p w14:paraId="59E6F4FE" w14:textId="2F43D30A" w:rsidR="003F2BAB" w:rsidRPr="002C61E0" w:rsidRDefault="00000000" w:rsidP="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p>
    <w:p w14:paraId="0C51A199" w14:textId="57A6B249" w:rsidR="003F2BAB"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said that the </w:t>
      </w:r>
      <w:r w:rsidR="00DB00B2">
        <w:rPr>
          <w:rFonts w:ascii="Times New Roman" w:eastAsia="Times New Roman" w:hAnsi="Times New Roman" w:cs="Times New Roman"/>
          <w:sz w:val="24"/>
          <w:szCs w:val="24"/>
        </w:rPr>
        <w:t>statement of income</w:t>
      </w:r>
      <w:r>
        <w:rPr>
          <w:rFonts w:ascii="Times New Roman" w:eastAsia="Times New Roman" w:hAnsi="Times New Roman" w:cs="Times New Roman"/>
          <w:sz w:val="24"/>
          <w:szCs w:val="24"/>
        </w:rPr>
        <w:t xml:space="preserve"> and the </w:t>
      </w:r>
      <w:r w:rsidR="00DB00B2">
        <w:rPr>
          <w:rFonts w:ascii="Times New Roman" w:eastAsia="Times New Roman" w:hAnsi="Times New Roman" w:cs="Times New Roman"/>
          <w:sz w:val="24"/>
          <w:szCs w:val="24"/>
        </w:rPr>
        <w:t>BS</w:t>
      </w:r>
      <w:r>
        <w:rPr>
          <w:rFonts w:ascii="Times New Roman" w:eastAsia="Times New Roman" w:hAnsi="Times New Roman" w:cs="Times New Roman"/>
          <w:sz w:val="24"/>
          <w:szCs w:val="24"/>
        </w:rPr>
        <w:t xml:space="preserve"> are one of the most important financial statements that help a company to evaluate its profit and loss and shows a </w:t>
      </w:r>
      <w:r>
        <w:rPr>
          <w:rFonts w:ascii="Times New Roman" w:eastAsia="Times New Roman" w:hAnsi="Times New Roman" w:cs="Times New Roman"/>
          <w:sz w:val="24"/>
          <w:szCs w:val="24"/>
        </w:rPr>
        <w:lastRenderedPageBreak/>
        <w:t xml:space="preserve">clear picture of a company's financial position. The profit of Wales plc is £3350 and the balance sheet of Wales plc is balanced which means it represents the correct assets and liabilities of the company. Sweet Plc is trying to maintain its profit but struggling to pay off its debts. </w:t>
      </w:r>
    </w:p>
    <w:p w14:paraId="4D21BBAB" w14:textId="77777777" w:rsidR="002C61E0" w:rsidRDefault="002C61E0">
      <w:pPr>
        <w:rPr>
          <w:rFonts w:ascii="Times New Roman" w:eastAsia="Times New Roman" w:hAnsi="Times New Roman" w:cs="Times New Roman"/>
          <w:b/>
          <w:sz w:val="24"/>
          <w:szCs w:val="24"/>
        </w:rPr>
      </w:pPr>
      <w:bookmarkStart w:id="4" w:name="_r6uzv5xvpw6k" w:colFirst="0" w:colLast="0"/>
      <w:bookmarkEnd w:id="4"/>
      <w:r>
        <w:rPr>
          <w:rFonts w:ascii="Times New Roman" w:eastAsia="Times New Roman" w:hAnsi="Times New Roman" w:cs="Times New Roman"/>
          <w:b/>
          <w:sz w:val="24"/>
          <w:szCs w:val="24"/>
        </w:rPr>
        <w:br w:type="page"/>
      </w:r>
    </w:p>
    <w:p w14:paraId="32B11E95" w14:textId="68778B23" w:rsidR="003F2BAB" w:rsidRDefault="00000000">
      <w:pPr>
        <w:pStyle w:v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101B010D" w14:textId="77777777" w:rsidR="002C61E0" w:rsidRDefault="002C61E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Capital, (2020) </w:t>
      </w:r>
      <w:r>
        <w:rPr>
          <w:rFonts w:ascii="Times New Roman" w:eastAsia="Times New Roman" w:hAnsi="Times New Roman" w:cs="Times New Roman"/>
          <w:i/>
          <w:sz w:val="24"/>
          <w:szCs w:val="24"/>
        </w:rPr>
        <w:t>What is a debtor collection period | Capital.com</w:t>
      </w:r>
      <w:r>
        <w:rPr>
          <w:rFonts w:ascii="Times New Roman" w:eastAsia="Times New Roman" w:hAnsi="Times New Roman" w:cs="Times New Roman"/>
          <w:sz w:val="24"/>
          <w:szCs w:val="24"/>
        </w:rPr>
        <w:t xml:space="preserve">. Available at: https://capital.com/debtor-collection-period-definition#:~:text=A%20debtor%20collection%20period%20is,debtors%20or%20less%20overall%20efficiency. (Accessed: April 26, 2023). </w:t>
      </w:r>
    </w:p>
    <w:p w14:paraId="7703F76E" w14:textId="77777777" w:rsidR="002C61E0" w:rsidRDefault="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Corporatefinanceinstitute, (2023)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xml:space="preserve">. Available at: https://corporatefinanceinstitute.com/resources/accounting/income-statement/ (Accessed: April 26, 2023). </w:t>
      </w:r>
    </w:p>
    <w:p w14:paraId="6E384180" w14:textId="77777777" w:rsidR="002C61E0" w:rsidRDefault="002C61E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Corporatefinanceinstitute, (2023)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xml:space="preserve">. Available at: https://corporatefinanceinstitute.com/resources/accounting/net-profit-margin-formula/#:~:text=A%20high%20net%20profit%20margin , Efficient%20management (Accessed: April 26, 2023). </w:t>
      </w:r>
    </w:p>
    <w:p w14:paraId="7F35C627" w14:textId="77777777" w:rsidR="002C61E0" w:rsidRDefault="002C61E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Gartner_Inc (2020) </w:t>
      </w:r>
      <w:r>
        <w:rPr>
          <w:rFonts w:ascii="Times New Roman" w:eastAsia="Times New Roman" w:hAnsi="Times New Roman" w:cs="Times New Roman"/>
          <w:i/>
          <w:sz w:val="24"/>
          <w:szCs w:val="24"/>
        </w:rPr>
        <w:t>Definition of earnings per share (EPS) - gartner finance glossary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Gartner</w:t>
      </w:r>
      <w:r>
        <w:rPr>
          <w:rFonts w:ascii="Times New Roman" w:eastAsia="Times New Roman" w:hAnsi="Times New Roman" w:cs="Times New Roman"/>
          <w:sz w:val="24"/>
          <w:szCs w:val="24"/>
        </w:rPr>
        <w:t xml:space="preserve">. Available at: https://www.gartner.com/en/finance/glossary/earnings-per-share-eps- (Accessed: April 26, 2023). </w:t>
      </w:r>
    </w:p>
    <w:p w14:paraId="4CFFD3B5" w14:textId="17E69C8A" w:rsidR="002C61E0" w:rsidRDefault="002C61E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Girardin, M.K. (2023) </w:t>
      </w:r>
      <w:r>
        <w:rPr>
          <w:rFonts w:ascii="Times New Roman" w:eastAsia="Times New Roman" w:hAnsi="Times New Roman" w:cs="Times New Roman"/>
          <w:i/>
          <w:sz w:val="24"/>
          <w:szCs w:val="24"/>
        </w:rPr>
        <w:t>What is the current ratio? formula and definition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Forage</w:t>
      </w:r>
      <w:r>
        <w:rPr>
          <w:rFonts w:ascii="Times New Roman" w:eastAsia="Times New Roman" w:hAnsi="Times New Roman" w:cs="Times New Roman"/>
          <w:sz w:val="24"/>
          <w:szCs w:val="24"/>
        </w:rPr>
        <w:t xml:space="preserve">. Available at: https://www.theforage.com/blog/skills/current-ratio#:~:text=The%20current%20ratio%20describes%20the,has%20more%20assets%20than%20liabilities. (Accessed: April 26, 2023). </w:t>
      </w:r>
    </w:p>
    <w:p w14:paraId="0D69A53E" w14:textId="77777777" w:rsidR="002C61E0" w:rsidRDefault="002C61E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GoCardless (2021) </w:t>
      </w:r>
      <w:r>
        <w:rPr>
          <w:rFonts w:ascii="Times New Roman" w:eastAsia="Times New Roman" w:hAnsi="Times New Roman" w:cs="Times New Roman"/>
          <w:i/>
          <w:sz w:val="24"/>
          <w:szCs w:val="24"/>
        </w:rPr>
        <w:t>Why does a balance sheet need to balance?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United Kingdom</w:t>
      </w:r>
      <w:r>
        <w:rPr>
          <w:rFonts w:ascii="Times New Roman" w:eastAsia="Times New Roman" w:hAnsi="Times New Roman" w:cs="Times New Roman"/>
          <w:sz w:val="24"/>
          <w:szCs w:val="24"/>
        </w:rPr>
        <w:t xml:space="preserve">. GoCardless. Available at: https://gocardless.com/en-au/guides/posts/why-does-a-balance-sheet-need-to-balance/ (Accessed: April 26, 2023). </w:t>
      </w:r>
    </w:p>
    <w:p w14:paraId="28F4F0E0" w14:textId="77777777" w:rsidR="002C61E0" w:rsidRDefault="002C61E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Kaplan, (2020) </w:t>
      </w:r>
      <w:r>
        <w:rPr>
          <w:rFonts w:ascii="Times New Roman" w:eastAsia="Times New Roman" w:hAnsi="Times New Roman" w:cs="Times New Roman"/>
          <w:i/>
          <w:sz w:val="24"/>
          <w:szCs w:val="24"/>
        </w:rPr>
        <w:t>Accountancy, Bookkeeping, Tax, and Finance Training Courses</w:t>
      </w:r>
      <w:r>
        <w:rPr>
          <w:rFonts w:ascii="Times New Roman" w:eastAsia="Times New Roman" w:hAnsi="Times New Roman" w:cs="Times New Roman"/>
          <w:sz w:val="24"/>
          <w:szCs w:val="24"/>
        </w:rPr>
        <w:t xml:space="preserve">. Available at: https://kaplan.co.uk/insights/article-detail/insights/2022/12/29/how-can-a-company-improve-its-return-on-capital-employed-roce#:~:text=Paying%20off%20debt%20will%20reduce,rates%20or%20better%20repayment%20terms. (Accessed: April 26, 2023). </w:t>
      </w:r>
    </w:p>
    <w:p w14:paraId="57C98170" w14:textId="77777777" w:rsidR="002C61E0" w:rsidRDefault="002C61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Wallstreetmojo, (2022) </w:t>
      </w:r>
      <w:r>
        <w:rPr>
          <w:rFonts w:ascii="Times New Roman" w:eastAsia="Times New Roman" w:hAnsi="Times New Roman" w:cs="Times New Roman"/>
          <w:i/>
          <w:sz w:val="24"/>
          <w:szCs w:val="24"/>
        </w:rPr>
        <w:t>Statement of financial position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WallStreetMojo</w:t>
      </w:r>
      <w:r>
        <w:rPr>
          <w:rFonts w:ascii="Times New Roman" w:eastAsia="Times New Roman" w:hAnsi="Times New Roman" w:cs="Times New Roman"/>
          <w:sz w:val="24"/>
          <w:szCs w:val="24"/>
        </w:rPr>
        <w:t xml:space="preserve">. Available at: https://www.wallstreetmojo.com/statement-of-financial-position/ (Accessed: April 26, 2023). </w:t>
      </w:r>
    </w:p>
    <w:sectPr w:rsidR="002C61E0" w:rsidSect="002C61E0">
      <w:footerReference w:type="default" r:id="rId7"/>
      <w:footerReference w:type="firs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D8096" w14:textId="77777777" w:rsidR="00B96DE5" w:rsidRDefault="00B96DE5">
      <w:pPr>
        <w:spacing w:line="240" w:lineRule="auto"/>
      </w:pPr>
      <w:r>
        <w:separator/>
      </w:r>
    </w:p>
  </w:endnote>
  <w:endnote w:type="continuationSeparator" w:id="0">
    <w:p w14:paraId="457081FF" w14:textId="77777777" w:rsidR="00B96DE5" w:rsidRDefault="00B96D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0D02D" w14:textId="77777777" w:rsidR="003F2BAB" w:rsidRDefault="00000000">
    <w:pPr>
      <w:pStyle w:val="Normal1"/>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9D6A29">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78706" w14:textId="77777777" w:rsidR="003F2BAB" w:rsidRDefault="003F2BAB">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1E344" w14:textId="77777777" w:rsidR="00B96DE5" w:rsidRDefault="00B96DE5">
      <w:pPr>
        <w:spacing w:line="240" w:lineRule="auto"/>
      </w:pPr>
      <w:r>
        <w:separator/>
      </w:r>
    </w:p>
  </w:footnote>
  <w:footnote w:type="continuationSeparator" w:id="0">
    <w:p w14:paraId="59D93FCE" w14:textId="77777777" w:rsidR="00B96DE5" w:rsidRDefault="00B96D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AB"/>
    <w:rsid w:val="002C61E0"/>
    <w:rsid w:val="003F2BAB"/>
    <w:rsid w:val="00722C74"/>
    <w:rsid w:val="008464F0"/>
    <w:rsid w:val="008C32EB"/>
    <w:rsid w:val="009D6A29"/>
    <w:rsid w:val="00A61ADE"/>
    <w:rsid w:val="00AC7E7E"/>
    <w:rsid w:val="00B96DE5"/>
    <w:rsid w:val="00DB00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A5457"/>
  <w15:docId w15:val="{7011417F-64E7-4AD9-BCC6-809160532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before="400" w:after="120"/>
      <w:outlineLvl w:val="0"/>
    </w:pPr>
    <w:rPr>
      <w:sz w:val="40"/>
      <w:szCs w:val="40"/>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table" w:customStyle="1" w:styleId="Table8">
    <w:name w:val="Table8"/>
    <w:basedOn w:val="TableNormal1"/>
    <w:tblPr>
      <w:tblStyleRowBandSize w:val="1"/>
      <w:tblStyleColBandSize w:val="1"/>
      <w:tblCellMar>
        <w:top w:w="100" w:type="dxa"/>
        <w:left w:w="100" w:type="dxa"/>
        <w:bottom w:w="100" w:type="dxa"/>
        <w:right w:w="100" w:type="dxa"/>
      </w:tblCellMar>
    </w:tblPr>
  </w:style>
  <w:style w:type="table" w:customStyle="1" w:styleId="Table9">
    <w:name w:val="Table9"/>
    <w:basedOn w:val="TableNormal1"/>
    <w:tblPr>
      <w:tblStyleRowBandSize w:val="1"/>
      <w:tblStyleColBandSize w:val="1"/>
      <w:tblCellMar>
        <w:top w:w="100" w:type="dxa"/>
        <w:left w:w="100" w:type="dxa"/>
        <w:bottom w:w="100" w:type="dxa"/>
        <w:right w:w="100" w:type="dxa"/>
      </w:tblCellMar>
    </w:tblPr>
  </w:style>
  <w:style w:type="table" w:customStyle="1" w:styleId="Table10">
    <w:name w:val="Table10"/>
    <w:basedOn w:val="TableNormal1"/>
    <w:tblPr>
      <w:tblStyleRowBandSize w:val="1"/>
      <w:tblStyleColBandSize w:val="1"/>
      <w:tblCellMar>
        <w:top w:w="100" w:type="dxa"/>
        <w:left w:w="100" w:type="dxa"/>
        <w:bottom w:w="100" w:type="dxa"/>
        <w:right w:w="100" w:type="dxa"/>
      </w:tblCellMar>
    </w:tblPr>
  </w:style>
  <w:style w:type="table" w:customStyle="1" w:styleId="Table11">
    <w:name w:val="Table11"/>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14</Pages>
  <Words>2618</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2023-04-26T12:41:00Z</dcterms:created>
  <dcterms:modified xsi:type="dcterms:W3CDTF">2023-05-07T11:36:00Z</dcterms:modified>
</cp:coreProperties>
</file>