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6"/>
        <w:ind w:left="1288"/>
        <w:rPr>
          <w:rFonts w:ascii="Times New Roman"/>
          <w:b w:val="false"/>
          <w:sz w:val="20"/>
        </w:rPr>
      </w:pPr>
      <w:r>
        <w:rPr>
          <w:rFonts w:ascii="Times New Roman"/>
          <w:b w:val="false"/>
          <w:noProof/>
          <w:sz w:val="20"/>
        </w:rPr>
        <w:drawing>
          <wp:inline distL="0" distT="0" distB="0" distR="0">
            <wp:extent cx="3187258" cy="1271397"/>
            <wp:effectExtent l="0" t="0" r="0" b="0"/>
            <wp:docPr id="1026" name="Imag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2"/>
                    <pic:cNvPicPr/>
                  </pic:nvPicPr>
                  <pic:blipFill>
                    <a:blip r:embed="rId2" cstate="print"/>
                    <a:srcRect l="0" t="0" r="0" b="0"/>
                    <a:stretch/>
                  </pic:blipFill>
                  <pic:spPr>
                    <a:xfrm rot="0">
                      <a:off x="0" y="0"/>
                      <a:ext cx="3187258" cy="1271397"/>
                    </a:xfrm>
                    <a:prstGeom prst="rect"/>
                  </pic:spPr>
                </pic:pic>
              </a:graphicData>
            </a:graphic>
          </wp:inline>
        </w:drawing>
      </w:r>
    </w:p>
    <w:p>
      <w:pPr>
        <w:pStyle w:val="style66"/>
        <w:rPr>
          <w:rFonts w:ascii="Times New Roman"/>
          <w:b w:val="false"/>
        </w:rPr>
      </w:pPr>
    </w:p>
    <w:p>
      <w:pPr>
        <w:pStyle w:val="style66"/>
        <w:rPr>
          <w:rFonts w:ascii="Times New Roman"/>
          <w:b w:val="false"/>
        </w:rPr>
      </w:pPr>
    </w:p>
    <w:p>
      <w:pPr>
        <w:pStyle w:val="style66"/>
        <w:rPr>
          <w:rFonts w:ascii="Times New Roman"/>
          <w:b w:val="false"/>
        </w:rPr>
      </w:pPr>
    </w:p>
    <w:p>
      <w:pPr>
        <w:pStyle w:val="style66"/>
        <w:spacing w:before="99"/>
        <w:rPr>
          <w:rFonts w:ascii="Times New Roman"/>
          <w:b w:val="false"/>
        </w:rPr>
      </w:pPr>
    </w:p>
    <w:p>
      <w:pPr>
        <w:spacing w:before="100" w:beforeAutospacing="true" w:after="100" w:afterAutospacing="true" w:lineRule="auto" w:line="360"/>
        <w:jc w:val="center"/>
        <w:rPr/>
      </w:pPr>
      <w:r>
        <w:rPr>
          <w:rFonts w:ascii="Arial" w:cs="Arial" w:eastAsia="Times New Roman" w:hAnsi="Arial" w:hint="default"/>
          <w:b/>
          <w:bCs/>
          <w:i w:val="false"/>
          <w:iCs w:val="false"/>
          <w:color w:val="auto"/>
          <w:kern w:val="0"/>
          <w:sz w:val="36"/>
          <w:szCs w:val="36"/>
          <w:highlight w:val="none"/>
          <w:vertAlign w:val="baseline"/>
          <w:em w:val="none"/>
          <w:lang w:val="en-IN" w:eastAsia="en-GB"/>
        </w:rPr>
        <w:t xml:space="preserve"> </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Marketing</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 xml:space="preserve"> </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Environmental</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 xml:space="preserve"> </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Analysis</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 xml:space="preserve"> </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for</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 xml:space="preserve"> </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Pioneers</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 xml:space="preserve"> </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and</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 xml:space="preserve"> </w:t>
      </w:r>
      <w:r>
        <w:rPr>
          <w:rFonts w:ascii="Times New Roman" w:cs="Times New Roman" w:eastAsia="Times New Roman" w:hAnsi="Times New Roman" w:hint="default"/>
          <w:b/>
          <w:bCs/>
          <w:i w:val="false"/>
          <w:iCs w:val="false"/>
          <w:color w:val="222222"/>
          <w:sz w:val="40"/>
          <w:szCs w:val="40"/>
          <w:highlight w:val="none"/>
          <w:vertAlign w:val="baseline"/>
          <w:em w:val="none"/>
          <w:lang w:val="en-US" w:eastAsia="en-US"/>
        </w:rPr>
        <w:t>Followers</w:t>
      </w:r>
    </w:p>
    <w:p>
      <w:pPr>
        <w:spacing w:before="100" w:beforeAutospacing="true" w:after="100" w:afterAutospacing="true" w:lineRule="auto" w:line="360"/>
        <w:jc w:val="center"/>
        <w:rPr/>
      </w:pPr>
      <w:r>
        <w:rPr>
          <w:rFonts w:ascii="Arial" w:cs="Arial" w:eastAsia="Times New Roman" w:hAnsi="Arial" w:hint="default"/>
          <w:b/>
          <w:bCs/>
          <w:i w:val="false"/>
          <w:iCs w:val="false"/>
          <w:color w:val="auto"/>
          <w:kern w:val="0"/>
          <w:sz w:val="28"/>
          <w:szCs w:val="28"/>
          <w:highlight w:val="none"/>
          <w:vertAlign w:val="baseline"/>
          <w:em w:val="none"/>
          <w:lang w:val="en-IN" w:eastAsia="en-GB"/>
        </w:rPr>
        <w:t>Module</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IN" w:eastAsia="en-GB"/>
        </w:rPr>
        <w:t>Name:</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US" w:eastAsia="en-GB"/>
        </w:rPr>
        <w:t>Market</w:t>
      </w:r>
      <w:r>
        <w:rPr>
          <w:rFonts w:ascii="Arial" w:cs="Arial" w:eastAsia="Times New Roman" w:hAnsi="Arial" w:hint="default"/>
          <w:b/>
          <w:bCs/>
          <w:i w:val="false"/>
          <w:iCs w:val="false"/>
          <w:color w:val="auto"/>
          <w:kern w:val="0"/>
          <w:sz w:val="28"/>
          <w:szCs w:val="28"/>
          <w:highlight w:val="none"/>
          <w:vertAlign w:val="baseline"/>
          <w:em w:val="none"/>
          <w:lang w:val="en-IN" w:eastAsia="en-GB"/>
        </w:rPr>
        <w:t>ing Management</w:t>
      </w:r>
      <w:r>
        <w:rPr>
          <w:rFonts w:ascii="Arial" w:cs="Arial" w:eastAsia="Times New Roman" w:hAnsi="Arial" w:hint="default"/>
          <w:b/>
          <w:bCs/>
          <w:i w:val="false"/>
          <w:iCs w:val="false"/>
          <w:color w:val="auto"/>
          <w:kern w:val="0"/>
          <w:sz w:val="28"/>
          <w:szCs w:val="28"/>
          <w:highlight w:val="none"/>
          <w:vertAlign w:val="baseline"/>
          <w:em w:val="none"/>
          <w:lang w:val="en-US" w:eastAsia="en-GB"/>
        </w:rPr>
        <w:t xml:space="preserve"> Module</w:t>
      </w:r>
      <w:r>
        <w:rPr>
          <w:rFonts w:ascii="Arial" w:cs="Arial" w:eastAsia="Times New Roman" w:hAnsi="Arial"/>
          <w:b/>
          <w:bCs/>
          <w:i w:val="false"/>
          <w:iCs w:val="false"/>
          <w:color w:val="auto"/>
          <w:kern w:val="0"/>
          <w:sz w:val="28"/>
          <w:szCs w:val="28"/>
          <w:highlight w:val="none"/>
          <w:vertAlign w:val="baseline"/>
          <w:em w:val="none"/>
          <w:lang w:val="en-IN" w:eastAsia="en-GB"/>
        </w:rPr>
        <w:br/>
      </w:r>
      <w:r>
        <w:rPr>
          <w:rFonts w:ascii="Arial" w:cs="Arial" w:eastAsia="Times New Roman" w:hAnsi="Arial" w:hint="default"/>
          <w:b/>
          <w:bCs/>
          <w:i w:val="false"/>
          <w:iCs w:val="false"/>
          <w:color w:val="auto"/>
          <w:kern w:val="0"/>
          <w:sz w:val="28"/>
          <w:szCs w:val="28"/>
          <w:highlight w:val="none"/>
          <w:vertAlign w:val="baseline"/>
          <w:em w:val="none"/>
          <w:lang w:val="en-IN" w:eastAsia="en-GB"/>
        </w:rPr>
        <w:t>Module</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IN" w:eastAsia="en-GB"/>
        </w:rPr>
        <w:t>Code:</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Arial" w:hAnsi="Arial" w:hint="default"/>
          <w:b/>
          <w:bCs/>
          <w:i w:val="false"/>
          <w:iCs w:val="false"/>
          <w:color w:val="auto"/>
          <w:sz w:val="26"/>
          <w:szCs w:val="26"/>
          <w:highlight w:val="none"/>
          <w:vertAlign w:val="baseline"/>
          <w:em w:val="none"/>
          <w:lang w:val="en-US" w:eastAsia="en-US"/>
        </w:rPr>
        <w:t>LCMB7024</w:t>
      </w:r>
    </w:p>
    <w:p>
      <w:pPr>
        <w:spacing w:before="100" w:beforeAutospacing="true" w:after="100" w:afterAutospacing="true" w:lineRule="auto" w:line="360"/>
        <w:jc w:val="center"/>
        <w:rPr/>
      </w:pPr>
      <w:r>
        <w:rPr>
          <w:rFonts w:ascii="Arial" w:cs="Arial" w:eastAsia="Times New Roman" w:hAnsi="Arial" w:hint="default"/>
          <w:b/>
          <w:bCs/>
          <w:i w:val="false"/>
          <w:iCs w:val="false"/>
          <w:color w:val="auto"/>
          <w:kern w:val="0"/>
          <w:sz w:val="28"/>
          <w:szCs w:val="28"/>
          <w:highlight w:val="none"/>
          <w:vertAlign w:val="baseline"/>
          <w:em w:val="none"/>
          <w:lang w:val="en-US" w:eastAsia="en-GB"/>
        </w:rPr>
        <w:t>Tutorial: Laila Maazouz</w:t>
      </w:r>
    </w:p>
    <w:p>
      <w:pPr>
        <w:spacing w:before="100" w:beforeAutospacing="true" w:after="100" w:afterAutospacing="true" w:lineRule="auto" w:line="360"/>
        <w:jc w:val="center"/>
        <w:rPr/>
      </w:pPr>
    </w:p>
    <w:p>
      <w:pPr>
        <w:spacing w:before="100" w:beforeAutospacing="true" w:after="100" w:afterAutospacing="true" w:lineRule="auto" w:line="360"/>
        <w:jc w:val="center"/>
        <w:rPr/>
      </w:pPr>
      <w:r>
        <w:rPr>
          <w:rFonts w:ascii="Arial" w:cs="Arial" w:eastAsia="Times New Roman" w:hAnsi="Arial" w:hint="default"/>
          <w:b/>
          <w:bCs/>
          <w:i w:val="false"/>
          <w:iCs w:val="false"/>
          <w:color w:val="auto"/>
          <w:kern w:val="0"/>
          <w:sz w:val="28"/>
          <w:szCs w:val="28"/>
          <w:highlight w:val="none"/>
          <w:vertAlign w:val="baseline"/>
          <w:em w:val="none"/>
          <w:lang w:val="en-IN" w:eastAsia="en-GB"/>
        </w:rPr>
        <w:t>Student</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IN" w:eastAsia="en-GB"/>
        </w:rPr>
        <w:t>Name:</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US" w:eastAsia="en-GB"/>
        </w:rPr>
        <w:t>Henil</w:t>
      </w:r>
      <w:r>
        <w:rPr>
          <w:rFonts w:ascii="Arial" w:cs="Arial" w:eastAsia="Times New Roman" w:hAnsi="Arial" w:hint="default"/>
          <w:b/>
          <w:bCs/>
          <w:i w:val="false"/>
          <w:iCs w:val="false"/>
          <w:color w:val="auto"/>
          <w:kern w:val="0"/>
          <w:sz w:val="28"/>
          <w:szCs w:val="28"/>
          <w:highlight w:val="none"/>
          <w:vertAlign w:val="baseline"/>
          <w:em w:val="none"/>
          <w:lang w:val="en-US"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US" w:eastAsia="en-GB"/>
        </w:rPr>
        <w:t>Rajeshbhai</w:t>
      </w:r>
      <w:r>
        <w:rPr>
          <w:rFonts w:ascii="Arial" w:cs="Arial" w:eastAsia="Times New Roman" w:hAnsi="Arial" w:hint="default"/>
          <w:b/>
          <w:bCs/>
          <w:i w:val="false"/>
          <w:iCs w:val="false"/>
          <w:color w:val="auto"/>
          <w:kern w:val="0"/>
          <w:sz w:val="28"/>
          <w:szCs w:val="28"/>
          <w:highlight w:val="none"/>
          <w:vertAlign w:val="baseline"/>
          <w:em w:val="none"/>
          <w:lang w:val="en-US"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US" w:eastAsia="en-GB"/>
        </w:rPr>
        <w:t>Jasoliya</w:t>
      </w:r>
      <w:r>
        <w:rPr>
          <w:rFonts w:ascii="Arial" w:cs="Arial" w:eastAsia="Times New Roman" w:hAnsi="Arial"/>
          <w:b/>
          <w:bCs/>
          <w:i w:val="false"/>
          <w:iCs w:val="false"/>
          <w:color w:val="auto"/>
          <w:kern w:val="0"/>
          <w:sz w:val="28"/>
          <w:szCs w:val="28"/>
          <w:highlight w:val="none"/>
          <w:vertAlign w:val="baseline"/>
          <w:em w:val="none"/>
          <w:lang w:val="en-IN" w:eastAsia="en-GB"/>
        </w:rPr>
        <w:br/>
      </w:r>
      <w:r>
        <w:rPr>
          <w:rFonts w:ascii="Arial" w:cs="Arial" w:eastAsia="Times New Roman" w:hAnsi="Arial" w:hint="default"/>
          <w:b/>
          <w:bCs/>
          <w:i w:val="false"/>
          <w:iCs w:val="false"/>
          <w:color w:val="auto"/>
          <w:kern w:val="0"/>
          <w:sz w:val="28"/>
          <w:szCs w:val="28"/>
          <w:highlight w:val="none"/>
          <w:vertAlign w:val="baseline"/>
          <w:em w:val="none"/>
          <w:lang w:val="en-IN" w:eastAsia="en-GB"/>
        </w:rPr>
        <w:t>Student</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IN" w:eastAsia="en-GB"/>
        </w:rPr>
        <w:t>ID:</w:t>
      </w:r>
      <w:r>
        <w:rPr>
          <w:rFonts w:ascii="Arial" w:cs="Arial" w:eastAsia="Times New Roman" w:hAnsi="Arial" w:hint="default"/>
          <w:b/>
          <w:bCs/>
          <w:i w:val="false"/>
          <w:iCs w:val="false"/>
          <w:color w:val="auto"/>
          <w:kern w:val="0"/>
          <w:sz w:val="28"/>
          <w:szCs w:val="28"/>
          <w:highlight w:val="none"/>
          <w:vertAlign w:val="baseline"/>
          <w:em w:val="none"/>
          <w:lang w:val="en-US"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US" w:eastAsia="en-GB"/>
        </w:rPr>
        <w:t>2532366</w:t>
      </w:r>
    </w:p>
    <w:p>
      <w:pPr>
        <w:spacing w:before="100" w:beforeAutospacing="true" w:after="100" w:afterAutospacing="true" w:lineRule="auto" w:line="360"/>
        <w:jc w:val="center"/>
        <w:rPr/>
      </w:pPr>
      <w:r>
        <w:rPr>
          <w:rFonts w:ascii="Arial" w:cs="Arial" w:eastAsia="Times New Roman" w:hAnsi="Arial" w:hint="default"/>
          <w:b/>
          <w:bCs/>
          <w:i w:val="false"/>
          <w:iCs w:val="false"/>
          <w:color w:val="auto"/>
          <w:kern w:val="0"/>
          <w:sz w:val="28"/>
          <w:szCs w:val="28"/>
          <w:highlight w:val="none"/>
          <w:vertAlign w:val="baseline"/>
          <w:em w:val="none"/>
          <w:lang w:val="en-IN" w:eastAsia="en-GB"/>
        </w:rPr>
        <w:t>Word</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IN" w:eastAsia="en-GB"/>
        </w:rPr>
        <w:t>Count:</w:t>
      </w:r>
      <w:r>
        <w:rPr>
          <w:rFonts w:ascii="Arial" w:cs="Arial" w:eastAsia="Times New Roman" w:hAnsi="Arial" w:hint="default"/>
          <w:b/>
          <w:bCs/>
          <w:i w:val="false"/>
          <w:iCs w:val="false"/>
          <w:color w:val="auto"/>
          <w:kern w:val="0"/>
          <w:sz w:val="28"/>
          <w:szCs w:val="28"/>
          <w:highlight w:val="none"/>
          <w:vertAlign w:val="baseline"/>
          <w:em w:val="none"/>
          <w:lang w:val="en-IN" w:eastAsia="en-GB"/>
        </w:rPr>
        <w:t xml:space="preserve"> </w:t>
      </w:r>
      <w:r>
        <w:rPr>
          <w:rFonts w:ascii="Arial" w:cs="Arial" w:eastAsia="Times New Roman" w:hAnsi="Arial" w:hint="default"/>
          <w:b/>
          <w:bCs/>
          <w:i w:val="false"/>
          <w:iCs w:val="false"/>
          <w:color w:val="auto"/>
          <w:kern w:val="0"/>
          <w:sz w:val="28"/>
          <w:szCs w:val="28"/>
          <w:highlight w:val="none"/>
          <w:vertAlign w:val="baseline"/>
          <w:em w:val="none"/>
          <w:lang w:val="en-IN" w:eastAsia="en-GB"/>
        </w:rPr>
        <w:t>2</w:t>
      </w:r>
      <w:r>
        <w:rPr>
          <w:rFonts w:ascii="Arial" w:cs="Arial" w:eastAsia="Times New Roman" w:hAnsi="Arial" w:hint="default"/>
          <w:b/>
          <w:bCs/>
          <w:i w:val="false"/>
          <w:iCs w:val="false"/>
          <w:color w:val="auto"/>
          <w:kern w:val="0"/>
          <w:sz w:val="28"/>
          <w:szCs w:val="28"/>
          <w:highlight w:val="none"/>
          <w:vertAlign w:val="baseline"/>
          <w:em w:val="none"/>
          <w:lang w:val="en-US" w:eastAsia="en-GB"/>
        </w:rPr>
        <w:t>587</w:t>
      </w:r>
    </w:p>
    <w:p>
      <w:pPr>
        <w:pStyle w:val="style0"/>
        <w:spacing w:before="100" w:beforeAutospacing="true" w:after="100" w:afterAutospacing="true" w:lineRule="auto" w:line="360"/>
        <w:jc w:val="center"/>
        <w:rPr/>
      </w:pPr>
    </w:p>
    <w:p>
      <w:pPr>
        <w:pStyle w:val="style0"/>
        <w:spacing w:before="100" w:beforeAutospacing="true" w:after="100" w:afterAutospacing="true" w:lineRule="auto" w:line="360"/>
        <w:jc w:val="center"/>
        <w:rPr/>
      </w:pPr>
    </w:p>
    <w:p>
      <w:pPr>
        <w:pStyle w:val="style0"/>
        <w:spacing w:before="100" w:beforeAutospacing="true" w:after="100" w:afterAutospacing="true" w:lineRule="auto" w:line="360"/>
        <w:jc w:val="center"/>
        <w:rPr/>
      </w:pPr>
      <w:r>
        <w:rPr>
          <w:rFonts w:ascii="Arial" w:cs="Arial" w:hAnsi="Arial" w:hint="default"/>
          <w:b/>
          <w:bCs/>
          <w:i w:val="false"/>
          <w:iCs w:val="false"/>
          <w:color w:val="auto"/>
          <w:kern w:val="0"/>
          <w:sz w:val="28"/>
          <w:szCs w:val="28"/>
          <w:highlight w:val="none"/>
          <w:vertAlign w:val="baseline"/>
          <w:em w:val="none"/>
          <w:lang w:val="en-US" w:eastAsia="en-GB"/>
        </w:rPr>
        <w:t>Term 1</w:t>
      </w:r>
    </w:p>
    <w:p>
      <w:pPr>
        <w:pStyle w:val="style66"/>
        <w:spacing w:lineRule="auto" w:line="487"/>
        <w:ind w:left="2428" w:right="3466"/>
        <w:jc w:val="center"/>
        <w:rPr/>
      </w:pPr>
    </w:p>
    <w:p>
      <w:pPr>
        <w:pStyle w:val="style0"/>
        <w:rPr>
          <w:rFonts w:ascii="Times New Roman" w:cs="Times New Roman" w:eastAsia="Times New Roman" w:hAnsi="Times New Roman"/>
          <w:b/>
          <w:bCs/>
          <w:color w:val="222222"/>
          <w:sz w:val="24"/>
          <w:szCs w:val="24"/>
          <w:lang w:val="en-US"/>
        </w:rPr>
      </w:pPr>
      <w:r>
        <w:rPr>
          <w:rFonts w:ascii="Times New Roman" w:cs="Times New Roman" w:eastAsia="Times New Roman" w:hAnsi="Times New Roman"/>
          <w:b/>
          <w:bCs/>
          <w:color w:val="222222"/>
          <w:sz w:val="24"/>
          <w:szCs w:val="24"/>
          <w:lang w:val="en-US"/>
        </w:rPr>
        <w:br w:type="page"/>
      </w:r>
    </w:p>
    <w:p>
      <w:pPr>
        <w:pStyle w:val="style266"/>
        <w:spacing w:lineRule="auto" w:line="360"/>
        <w:jc w:val="center"/>
        <w:rPr>
          <w:rFonts w:ascii="Times New Roman" w:cs="Times New Roman" w:hAnsi="Times New Roman"/>
          <w:color w:val="auto"/>
          <w:sz w:val="24"/>
          <w:szCs w:val="24"/>
        </w:rPr>
      </w:pPr>
      <w:r>
        <w:rPr>
          <w:rFonts w:ascii="Times New Roman" w:cs="Times New Roman" w:hAnsi="Times New Roman"/>
          <w:color w:val="auto"/>
          <w:sz w:val="24"/>
          <w:szCs w:val="24"/>
        </w:rPr>
        <w:t>Table of Contents</w:t>
      </w:r>
    </w:p>
    <w:p>
      <w:pPr>
        <w:pStyle w:val="style19"/>
        <w:tabs>
          <w:tab w:val="right" w:leader="dot" w:pos="9350"/>
        </w:tabs>
        <w:spacing w:lineRule="auto" w:line="360"/>
        <w:jc w:val="center"/>
        <w:rPr>
          <w:rFonts w:ascii="Times New Roman" w:cs="Times New Roman" w:hAnsi="Times New Roman"/>
          <w:noProof/>
          <w:sz w:val="24"/>
          <w:szCs w:val="24"/>
        </w:rPr>
      </w:pPr>
      <w:r>
        <w:rPr>
          <w:rFonts w:ascii="Times New Roman" w:cs="Times New Roman" w:hAnsi="Times New Roman"/>
          <w:sz w:val="24"/>
          <w:szCs w:val="24"/>
        </w:rPr>
        <w:fldChar w:fldCharType="begin"/>
      </w:r>
      <w:r>
        <w:rPr>
          <w:rFonts w:ascii="Times New Roman" w:cs="Times New Roman" w:hAnsi="Times New Roman"/>
          <w:sz w:val="24"/>
          <w:szCs w:val="24"/>
        </w:rPr>
        <w:instrText xml:space="preserve"> TOC \o "1-3" \h \z \u </w:instrText>
      </w:r>
      <w:r>
        <w:rPr>
          <w:rFonts w:ascii="Times New Roman" w:cs="Times New Roman" w:hAnsi="Times New Roman"/>
          <w:sz w:val="24"/>
          <w:szCs w:val="24"/>
        </w:rPr>
        <w:fldChar w:fldCharType="separate"/>
      </w:r>
      <w:r>
        <w:rPr/>
        <w:fldChar w:fldCharType="begin"/>
      </w:r>
      <w:r>
        <w:instrText xml:space="preserve"> HYPERLINK \l "_Toc225516880" </w:instrText>
      </w:r>
      <w:r>
        <w:rPr/>
        <w:fldChar w:fldCharType="separate"/>
      </w:r>
      <w:r>
        <w:rPr>
          <w:rStyle w:val="style85"/>
          <w:rFonts w:ascii="Times New Roman" w:cs="Times New Roman" w:hAnsi="Times New Roman"/>
          <w:noProof/>
          <w:sz w:val="24"/>
          <w:szCs w:val="24"/>
          <w:highlight w:val="white"/>
        </w:rPr>
        <w:t>Introduction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sz w:val="24"/>
          <w:szCs w:val="24"/>
        </w:rPr>
      </w:pPr>
      <w:r>
        <w:rPr/>
        <w:fldChar w:fldCharType="begin"/>
      </w:r>
      <w:r>
        <w:instrText xml:space="preserve"> HYPERLINK \l "_Toc225516881" </w:instrText>
      </w:r>
      <w:r>
        <w:rPr/>
        <w:fldChar w:fldCharType="separate"/>
      </w:r>
      <w:r>
        <w:rPr>
          <w:rStyle w:val="style85"/>
          <w:rFonts w:ascii="Times New Roman" w:cs="Times New Roman" w:hAnsi="Times New Roman"/>
          <w:noProof/>
          <w:sz w:val="24"/>
          <w:szCs w:val="24"/>
          <w:highlight w:val="white"/>
        </w:rPr>
        <w:t>2. Task 1: Critical Analysis of the Macro Marketing Environment</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"_Toc225516882" </w:instrText>
      </w:r>
      <w:r>
        <w:rPr/>
        <w:fldChar w:fldCharType="separate"/>
      </w:r>
      <w:r>
        <w:rPr>
          <w:rStyle w:val="style85"/>
          <w:rFonts w:ascii="Times New Roman" w:cs="Times New Roman" w:hAnsi="Times New Roman"/>
          <w:noProof/>
          <w:sz w:val="24"/>
          <w:szCs w:val="24"/>
          <w:highlight w:val="white"/>
        </w:rPr>
        <w:t>2.1 Macro Marketing Environment: PESTLE overview</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3</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"_Toc225516883" </w:instrText>
      </w:r>
      <w:r>
        <w:rPr/>
        <w:fldChar w:fldCharType="separate"/>
      </w:r>
      <w:r>
        <w:rPr>
          <w:rStyle w:val="style85"/>
          <w:rFonts w:ascii="Times New Roman" w:cs="Times New Roman" w:hAnsi="Times New Roman"/>
          <w:noProof/>
          <w:sz w:val="24"/>
          <w:szCs w:val="24"/>
          <w:highlight w:val="white"/>
        </w:rPr>
        <w:t>2.2 Analysis of Macro Factor 1: Economic</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"_Toc225516884" </w:instrText>
      </w:r>
      <w:r>
        <w:rPr/>
        <w:fldChar w:fldCharType="separate"/>
      </w:r>
      <w:r>
        <w:rPr>
          <w:rStyle w:val="style85"/>
          <w:rFonts w:ascii="Times New Roman" w:cs="Times New Roman" w:hAnsi="Times New Roman"/>
          <w:noProof/>
          <w:sz w:val="24"/>
          <w:szCs w:val="24"/>
          <w:highlight w:val="white"/>
        </w:rPr>
        <w:t>2.2.1 Impact on the Pioneer Organisation: Netflix</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_Toc225516884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6</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"_Toc225516885" </w:instrText>
      </w:r>
      <w:r>
        <w:rPr/>
        <w:fldChar w:fldCharType="separate"/>
      </w:r>
      <w:r>
        <w:rPr>
          <w:rStyle w:val="style85"/>
          <w:rFonts w:ascii="Times New Roman" w:cs="Times New Roman" w:hAnsi="Times New Roman"/>
          <w:noProof/>
          <w:sz w:val="24"/>
          <w:szCs w:val="24"/>
          <w:highlight w:val="white"/>
        </w:rPr>
        <w:t>2.2.2 Impact on the Follower Organisation: Disney+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_Toc225516885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7</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"_Toc225516886" </w:instrText>
      </w:r>
      <w:r>
        <w:rPr/>
        <w:fldChar w:fldCharType="separate"/>
      </w:r>
      <w:r>
        <w:rPr>
          <w:rStyle w:val="style85"/>
          <w:rFonts w:ascii="Times New Roman" w:cs="Times New Roman" w:hAnsi="Times New Roman"/>
          <w:noProof/>
          <w:sz w:val="24"/>
          <w:szCs w:val="24"/>
          <w:highlight w:val="white"/>
        </w:rPr>
        <w:t>2.3 Analysis of Macro Factor 2: Technological</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_Toc225516886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"_Toc225516887" </w:instrText>
      </w:r>
      <w:r>
        <w:rPr/>
        <w:fldChar w:fldCharType="separate"/>
      </w:r>
      <w:r>
        <w:rPr>
          <w:rStyle w:val="style85"/>
          <w:rFonts w:ascii="Times New Roman" w:cs="Times New Roman" w:hAnsi="Times New Roman"/>
          <w:noProof/>
          <w:sz w:val="24"/>
          <w:szCs w:val="24"/>
          <w:highlight w:val="white"/>
        </w:rPr>
        <w:t>2.3.1 Impact on the Pioneer Organisation: Netflix</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_Toc225516887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21"/>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"_Toc225516888" </w:instrText>
      </w:r>
      <w:r>
        <w:rPr/>
        <w:fldChar w:fldCharType="separate"/>
      </w:r>
      <w:r>
        <w:rPr>
          <w:rStyle w:val="style85"/>
          <w:rFonts w:ascii="Times New Roman" w:cs="Times New Roman" w:hAnsi="Times New Roman"/>
          <w:noProof/>
          <w:sz w:val="24"/>
          <w:szCs w:val="24"/>
          <w:highlight w:val="white"/>
        </w:rPr>
        <w:t>2.3.2 Impact on the Follower Organisation: Disney+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_Toc225516888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8</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sz w:val="24"/>
          <w:szCs w:val="24"/>
        </w:rPr>
      </w:pPr>
      <w:r>
        <w:rPr/>
        <w:fldChar w:fldCharType="begin"/>
      </w:r>
      <w:r>
        <w:instrText xml:space="preserve"> HYPERLINK \l "_Toc225516889" </w:instrText>
      </w:r>
      <w:r>
        <w:rPr/>
        <w:fldChar w:fldCharType="separate"/>
      </w:r>
      <w:r>
        <w:rPr>
          <w:rStyle w:val="style85"/>
          <w:rFonts w:ascii="Times New Roman" w:cs="Times New Roman" w:hAnsi="Times New Roman"/>
          <w:noProof/>
          <w:sz w:val="24"/>
          <w:szCs w:val="24"/>
          <w:highlight w:val="white"/>
        </w:rPr>
        <w:t>3. Task 2: Strategic Responses of Pioneering and Follower Organisations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_Toc225516889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"_Toc225516890" </w:instrText>
      </w:r>
      <w:r>
        <w:rPr/>
        <w:fldChar w:fldCharType="separate"/>
      </w:r>
      <w:r>
        <w:rPr>
          <w:rStyle w:val="style85"/>
          <w:rFonts w:ascii="Times New Roman" w:cs="Times New Roman" w:hAnsi="Times New Roman"/>
          <w:noProof/>
          <w:sz w:val="24"/>
          <w:szCs w:val="24"/>
          <w:highlight w:val="white"/>
        </w:rPr>
        <w:t>3.1 Pioneering Organisation’s Strategic Responses: Netflix</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_Toc225516890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9</w:t>
      </w:r>
      <w:r>
        <w:rPr>
          <w:rFonts w:ascii="Times New Roman" w:cs="Times New Roman" w:hAnsi="Times New Roman"/>
          <w:noProof/>
          <w:webHidden/>
          <w:sz w:val="24"/>
          <w:szCs w:val="24"/>
        </w:rPr>
        <w:fldChar w:fldCharType="end"/>
      </w:r>
      <w:r>
        <w:rPr/>
        <w:fldChar w:fldCharType="end"/>
      </w:r>
    </w:p>
    <w:p>
      <w:pPr>
        <w:pStyle w:val="style20"/>
        <w:tabs>
          <w:tab w:val="right" w:leader="dot" w:pos="9350"/>
        </w:tabs>
        <w:spacing w:lineRule="auto" w:line="360"/>
        <w:jc w:val="center"/>
        <w:rPr>
          <w:rFonts w:ascii="Times New Roman" w:cs="Times New Roman" w:eastAsia="宋体" w:hAnsi="Times New Roman"/>
          <w:noProof/>
          <w:kern w:val="2"/>
          <w:sz w:val="24"/>
          <w:szCs w:val="24"/>
          <w:lang w:val="en-US"/>
          <w14:ligatures xmlns:w14="http://schemas.microsoft.com/office/word/2010/wordml" w14:val="standardContextual"/>
        </w:rPr>
      </w:pPr>
      <w:r>
        <w:rPr/>
        <w:fldChar w:fldCharType="begin"/>
      </w:r>
      <w:r>
        <w:instrText xml:space="preserve"> HYPERLINK \l "_Toc225516891" </w:instrText>
      </w:r>
      <w:r>
        <w:rPr/>
        <w:fldChar w:fldCharType="separate"/>
      </w:r>
      <w:r>
        <w:rPr>
          <w:rStyle w:val="style85"/>
          <w:rFonts w:ascii="Times New Roman" w:cs="Times New Roman" w:hAnsi="Times New Roman"/>
          <w:noProof/>
          <w:sz w:val="24"/>
          <w:szCs w:val="24"/>
          <w:highlight w:val="white"/>
        </w:rPr>
        <w:t>3.2 Follower Organisation’s Strategic Responses: Disney+</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_Toc225516891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11</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sz w:val="24"/>
          <w:szCs w:val="24"/>
        </w:rPr>
      </w:pPr>
      <w:r>
        <w:rPr/>
        <w:fldChar w:fldCharType="begin"/>
      </w:r>
      <w:r>
        <w:instrText xml:space="preserve"> HYPERLINK \l "_Toc225516892" </w:instrText>
      </w:r>
      <w:r>
        <w:rPr/>
        <w:fldChar w:fldCharType="separate"/>
      </w:r>
      <w:r>
        <w:rPr>
          <w:rStyle w:val="style85"/>
          <w:rFonts w:ascii="Times New Roman" w:cs="Times New Roman" w:hAnsi="Times New Roman"/>
          <w:noProof/>
          <w:sz w:val="24"/>
          <w:szCs w:val="24"/>
          <w:highlight w:val="white"/>
        </w:rPr>
        <w:t>Conclusion</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_Toc225516892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14</w:t>
      </w:r>
      <w:r>
        <w:rPr>
          <w:rFonts w:ascii="Times New Roman" w:cs="Times New Roman" w:hAnsi="Times New Roman"/>
          <w:noProof/>
          <w:webHidden/>
          <w:sz w:val="24"/>
          <w:szCs w:val="24"/>
        </w:rPr>
        <w:fldChar w:fldCharType="end"/>
      </w:r>
      <w:r>
        <w:rPr/>
        <w:fldChar w:fldCharType="end"/>
      </w:r>
    </w:p>
    <w:p>
      <w:pPr>
        <w:pStyle w:val="style19"/>
        <w:tabs>
          <w:tab w:val="right" w:leader="dot" w:pos="9350"/>
        </w:tabs>
        <w:spacing w:lineRule="auto" w:line="360"/>
        <w:jc w:val="center"/>
        <w:rPr>
          <w:rFonts w:ascii="Times New Roman" w:cs="Times New Roman" w:hAnsi="Times New Roman"/>
          <w:noProof/>
          <w:sz w:val="24"/>
          <w:szCs w:val="24"/>
        </w:rPr>
      </w:pPr>
      <w:r>
        <w:rPr/>
        <w:fldChar w:fldCharType="begin"/>
      </w:r>
      <w:r>
        <w:instrText xml:space="preserve"> HYPERLINK \l "_Toc225516893" </w:instrText>
      </w:r>
      <w:r>
        <w:rPr/>
        <w:fldChar w:fldCharType="separate"/>
      </w:r>
      <w:r>
        <w:rPr>
          <w:rStyle w:val="style85"/>
          <w:rFonts w:ascii="Times New Roman" w:cs="Times New Roman" w:hAnsi="Times New Roman"/>
          <w:noProof/>
          <w:sz w:val="24"/>
          <w:szCs w:val="24"/>
          <w:highlight w:val="white"/>
        </w:rPr>
        <w:t>References</w:t>
      </w:r>
      <w:r>
        <w:rPr>
          <w:rFonts w:ascii="Times New Roman" w:cs="Times New Roman" w:hAnsi="Times New Roman"/>
          <w:noProof/>
          <w:webHidden/>
          <w:sz w:val="24"/>
          <w:szCs w:val="24"/>
        </w:rPr>
        <w:tab/>
      </w:r>
      <w:r>
        <w:rPr>
          <w:rFonts w:ascii="Times New Roman" w:cs="Times New Roman" w:hAnsi="Times New Roman"/>
          <w:noProof/>
          <w:webHidden/>
          <w:sz w:val="24"/>
          <w:szCs w:val="24"/>
        </w:rPr>
        <w:fldChar w:fldCharType="begin"/>
      </w:r>
      <w:r>
        <w:rPr>
          <w:rFonts w:ascii="Times New Roman" w:cs="Times New Roman" w:hAnsi="Times New Roman"/>
          <w:noProof/>
          <w:webHidden/>
          <w:sz w:val="24"/>
          <w:szCs w:val="24"/>
        </w:rPr>
        <w:instrText xml:space="preserve"> PAGEREF _Toc225516893 \h </w:instrText>
      </w:r>
      <w:r>
        <w:rPr>
          <w:rFonts w:ascii="Times New Roman" w:cs="Times New Roman" w:hAnsi="Times New Roman"/>
          <w:noProof/>
          <w:webHidden/>
          <w:sz w:val="24"/>
          <w:szCs w:val="24"/>
        </w:rPr>
        <w:fldChar w:fldCharType="separate"/>
      </w:r>
      <w:r>
        <w:rPr>
          <w:rFonts w:ascii="Times New Roman" w:cs="Times New Roman" w:hAnsi="Times New Roman"/>
          <w:noProof/>
          <w:webHidden/>
          <w:sz w:val="24"/>
          <w:szCs w:val="24"/>
        </w:rPr>
        <w:t>15</w:t>
      </w:r>
      <w:r>
        <w:rPr>
          <w:rFonts w:ascii="Times New Roman" w:cs="Times New Roman" w:hAnsi="Times New Roman"/>
          <w:noProof/>
          <w:webHidden/>
          <w:sz w:val="24"/>
          <w:szCs w:val="24"/>
        </w:rPr>
        <w:fldChar w:fldCharType="end"/>
      </w:r>
      <w:r>
        <w:rPr/>
        <w:fldChar w:fldCharType="end"/>
      </w:r>
    </w:p>
    <w:p>
      <w:pPr>
        <w:pStyle w:val="style0"/>
        <w:spacing w:lineRule="auto" w:line="360"/>
        <w:jc w:val="center"/>
        <w:rPr/>
      </w:pPr>
      <w:r>
        <w:rPr>
          <w:rFonts w:ascii="Times New Roman" w:cs="Times New Roman" w:hAnsi="Times New Roman"/>
          <w:b/>
          <w:bCs/>
          <w:noProof/>
          <w:sz w:val="24"/>
          <w:szCs w:val="24"/>
        </w:rPr>
        <w:fldChar w:fldCharType="end"/>
      </w:r>
    </w:p>
    <w:p>
      <w:pPr>
        <w:pStyle w:val="style0"/>
        <w:rPr>
          <w:rFonts w:ascii="Times New Roman" w:cs="Times New Roman" w:eastAsia="Times New Roman" w:hAnsi="Times New Roman"/>
          <w:b/>
          <w:bCs/>
          <w:color w:val="222222"/>
          <w:sz w:val="24"/>
          <w:szCs w:val="24"/>
          <w:highlight w:val="white"/>
        </w:rPr>
      </w:pPr>
      <w:r>
        <w:rPr>
          <w:rFonts w:ascii="Times New Roman" w:cs="Times New Roman" w:eastAsia="Times New Roman" w:hAnsi="Times New Roman"/>
          <w:b/>
          <w:bCs/>
          <w:color w:val="222222"/>
          <w:sz w:val="24"/>
          <w:szCs w:val="24"/>
          <w:highlight w:val="white"/>
        </w:rPr>
        <w:br w:type="page"/>
      </w:r>
    </w:p>
    <w:bookmarkStart w:id="0" w:name="_Toc225516880"/>
    <w:p>
      <w:pPr>
        <w:pStyle w:val="style1"/>
        <w:rPr>
          <w:highlight w:val="white"/>
        </w:rPr>
      </w:pPr>
      <w:r>
        <w:rPr>
          <w:highlight w:val="white"/>
        </w:rPr>
        <w:t>Introduction</w:t>
      </w:r>
      <w:bookmarkEnd w:id="0"/>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111111"/>
          <w:sz w:val="24"/>
          <w:szCs w:val="24"/>
          <w:highlight w:val="white"/>
        </w:rPr>
        <w:t xml:space="preserve">The present report is a critical observation of strategic marketing management within the subscription video streaming industries with Netflix taking the place of the pioneer and Disney+ taking the place of the follower </w:t>
      </w:r>
      <w:r>
        <w:rPr>
          <w:rFonts w:ascii="Times New Roman" w:cs="Times New Roman" w:eastAsia="Times New Roman" w:hAnsi="Times New Roman"/>
          <w:color w:val="111111"/>
          <w:sz w:val="24"/>
          <w:szCs w:val="24"/>
          <w:highlight w:val="white"/>
        </w:rPr>
        <w:t>organisation</w:t>
      </w:r>
      <w:r>
        <w:rPr>
          <w:rFonts w:ascii="Times New Roman" w:cs="Times New Roman" w:eastAsia="Times New Roman" w:hAnsi="Times New Roman"/>
          <w:color w:val="111111"/>
          <w:sz w:val="24"/>
          <w:szCs w:val="24"/>
          <w:highlight w:val="white"/>
        </w:rPr>
        <w:t>.</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111111"/>
          <w:sz w:val="24"/>
          <w:szCs w:val="24"/>
          <w:highlight w:val="white"/>
        </w:rPr>
        <w:t>The industry is rather competitive and dynamic. Netflix acquired 302 million paid subscriptions in over 190 countries in 2024 (q4cdn.com, 2024).</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111111"/>
          <w:sz w:val="24"/>
          <w:szCs w:val="24"/>
          <w:highlight w:val="white"/>
        </w:rPr>
        <w:t>Conversely, Disney reported 123 million paid Disney+ subscribers, Disney plus hot stars subscribers as 36 million, and Hulu subscribers as 52 million as of 28 September 2024 (Sec.gov, 2024a).</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111111"/>
          <w:sz w:val="24"/>
          <w:szCs w:val="24"/>
          <w:highlight w:val="white"/>
        </w:rPr>
        <w:t>The macro-marketing environment is an important analysis as the external environment like regulation, change in technology and movement of consumer attention may redefine the opportunity and threat in the market.</w:t>
      </w:r>
      <w:r>
        <w:rPr>
          <w:rFonts w:ascii="Times New Roman" w:cs="Times New Roman" w:eastAsia="Times New Roman" w:hAnsi="Times New Roman"/>
          <w:color w:val="222222"/>
          <w:sz w:val="24"/>
          <w:szCs w:val="24"/>
          <w:highlight w:val="white"/>
        </w:rPr>
        <w:t xml:space="preserve"> </w:t>
      </w:r>
      <w:r>
        <w:rPr>
          <w:rFonts w:ascii="Times New Roman" w:cs="Times New Roman" w:eastAsia="Times New Roman" w:hAnsi="Times New Roman"/>
          <w:color w:val="111111"/>
          <w:sz w:val="24"/>
          <w:szCs w:val="24"/>
          <w:highlight w:val="white"/>
        </w:rPr>
        <w:t xml:space="preserve">In the annual report, Netflix states that the entertainment video market is highly competitive which is affected by the change in regulation, price, and licensing, and consumer </w:t>
      </w:r>
      <w:r>
        <w:rPr>
          <w:rFonts w:ascii="Times New Roman" w:cs="Times New Roman" w:eastAsia="Times New Roman" w:hAnsi="Times New Roman"/>
          <w:color w:val="111111"/>
          <w:sz w:val="24"/>
          <w:szCs w:val="24"/>
          <w:highlight w:val="white"/>
        </w:rPr>
        <w:t>behaviour</w:t>
      </w:r>
      <w:r>
        <w:rPr>
          <w:rFonts w:ascii="Times New Roman" w:cs="Times New Roman" w:eastAsia="Times New Roman" w:hAnsi="Times New Roman"/>
          <w:color w:val="111111"/>
          <w:sz w:val="24"/>
          <w:szCs w:val="24"/>
          <w:highlight w:val="white"/>
        </w:rPr>
        <w:t xml:space="preserve"> (q4cdn.com, 2024).</w:t>
      </w:r>
    </w:p>
    <w:p>
      <w:pPr>
        <w:pStyle w:val="style0"/>
        <w:spacing w:before="240" w:after="240"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111111"/>
          <w:sz w:val="24"/>
          <w:szCs w:val="24"/>
          <w:highlight w:val="white"/>
        </w:rPr>
        <w:t>The report, therefore, examines first two macro-environmental factors in which the two firms belong and then reviews their strategic reactions on the relevant marketing theories to assess how each of them is attempting to maintain the competitive edge.</w:t>
      </w:r>
    </w:p>
    <w:bookmarkStart w:id="1" w:name="_heading=h.ihiq6kg0agc9" w:colFirst="0" w:colLast="0"/>
    <w:bookmarkStart w:id="2" w:name="_Toc225516881"/>
    <w:bookmarkEnd w:id="1"/>
    <w:p>
      <w:pPr>
        <w:pStyle w:val="style1"/>
        <w:rPr>
          <w:highlight w:val="white"/>
        </w:rPr>
      </w:pPr>
      <w:r>
        <w:rPr>
          <w:highlight w:val="white"/>
        </w:rPr>
        <w:t>2. Task 1: Critical Analysis of the Macro Marketing Environment</w:t>
      </w:r>
      <w:bookmarkEnd w:id="2"/>
    </w:p>
    <w:bookmarkStart w:id="3" w:name="_heading=h.4n46niobo8fe" w:colFirst="0" w:colLast="0"/>
    <w:bookmarkStart w:id="4" w:name="_Toc225516882"/>
    <w:bookmarkEnd w:id="3"/>
    <w:p>
      <w:pPr>
        <w:pStyle w:val="style2"/>
        <w:rPr>
          <w:highlight w:val="white"/>
        </w:rPr>
      </w:pPr>
      <w:r>
        <w:rPr>
          <w:highlight w:val="white"/>
        </w:rPr>
        <w:t>2.1 Macro Marketing Environment: PESTLE overview</w:t>
      </w:r>
      <w:bookmarkEnd w:id="4"/>
    </w:p>
    <w:p>
      <w:pPr>
        <w:pStyle w:val="style0"/>
        <w:rPr>
          <w:rFonts w:ascii="Times New Roman" w:cs="Times New Roman" w:eastAsia="Times New Roman" w:hAnsi="Times New Roman"/>
          <w:sz w:val="24"/>
          <w:szCs w:val="24"/>
          <w:highlight w:val="white"/>
        </w:rPr>
      </w:pPr>
    </w:p>
    <w:tbl>
      <w:tblPr>
        <w:tblStyle w:val="style410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69"/>
        <w:gridCol w:w="5224"/>
        <w:gridCol w:w="2367"/>
      </w:tblGrid>
      <w:tr>
        <w:trPr>
          <w:trHeight w:val="1040" w:hRule="atLeast"/>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PESTLE factor</w:t>
            </w:r>
          </w:p>
        </w:tc>
        <w:tc>
          <w:tcPr>
            <w:tcW w:w="5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What it means for Netflix and Disney+ (with references)</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Strategic implication for streaming</w:t>
            </w:r>
          </w:p>
        </w:tc>
      </w:tr>
      <w:tr>
        <w:tblPrEx/>
        <w:trPr>
          <w:trHeight w:val="1850" w:hRule="atLeast"/>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Political</w:t>
            </w:r>
          </w:p>
        </w:tc>
        <w:tc>
          <w:tcPr>
            <w:tcW w:w="5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Online TV services should address the government regulations about the security of the Internet, age verification, regulation and international viewing.</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According to the EU Digital Services Act, the well-being, privacy and security of minors have to be safeguarded, and the guidance of age verification has to be reinforced between 2025 and 2026 (europa.eu, 2025)</w:t>
            </w:r>
            <w:r>
              <w:rPr>
                <w:rFonts w:ascii="Times New Roman" w:cs="Times New Roman" w:eastAsia="Times New Roman" w:hAnsi="Times New Roman"/>
                <w:color w:val="111111"/>
                <w:sz w:val="24"/>
                <w:szCs w:val="24"/>
                <w:highlight w:val="white"/>
              </w:rPr>
              <w:t>.</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Greater compliance will cost more yet benefit bigger companies with greater legal and technical capabilities.</w:t>
            </w:r>
          </w:p>
        </w:tc>
      </w:tr>
      <w:tr>
        <w:tblPrEx/>
        <w:trPr>
          <w:trHeight w:val="1580" w:hRule="atLeast"/>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Economic</w:t>
            </w:r>
          </w:p>
        </w:tc>
        <w:tc>
          <w:tcPr>
            <w:tcW w:w="5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Pricing and inflation cause households to be price sensitive, which heightens the risk of churn.</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According to data provided by Deloitte, nearly 75 percent of consumers become frustrated due to price increases, and approximately 40 percent of consumers have cut back on subscriptions (deloitte.com, 2026).</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Pricing strategy, bundling, ad-</w:t>
            </w:r>
            <w:r>
              <w:rPr>
                <w:rFonts w:ascii="Times New Roman" w:cs="Times New Roman" w:eastAsia="Times New Roman" w:hAnsi="Times New Roman"/>
                <w:color w:val="111111"/>
                <w:sz w:val="24"/>
                <w:szCs w:val="24"/>
                <w:highlight w:val="white"/>
              </w:rPr>
              <w:t>naturalisation</w:t>
            </w:r>
            <w:r>
              <w:rPr>
                <w:rFonts w:ascii="Times New Roman" w:cs="Times New Roman" w:eastAsia="Times New Roman" w:hAnsi="Times New Roman"/>
                <w:color w:val="111111"/>
                <w:sz w:val="24"/>
                <w:szCs w:val="24"/>
                <w:highlight w:val="white"/>
              </w:rPr>
              <w:t xml:space="preserve"> levels and business retention.</w:t>
            </w:r>
          </w:p>
        </w:tc>
      </w:tr>
      <w:tr>
        <w:tblPrEx/>
        <w:trPr>
          <w:trHeight w:val="1850" w:hRule="atLeast"/>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Social</w:t>
            </w:r>
          </w:p>
        </w:tc>
        <w:tc>
          <w:tcPr>
            <w:tcW w:w="5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color w:val="111111"/>
                <w:sz w:val="24"/>
                <w:szCs w:val="24"/>
                <w:highlight w:val="white"/>
              </w:rPr>
            </w:pPr>
            <w:r>
              <w:rPr>
                <w:rFonts w:ascii="Times New Roman" w:cs="Times New Roman" w:eastAsia="Times New Roman" w:hAnsi="Times New Roman"/>
                <w:color w:val="111111"/>
                <w:sz w:val="24"/>
                <w:szCs w:val="24"/>
                <w:highlight w:val="white"/>
              </w:rPr>
              <w:t>Watching patterns are changing on streaming platforms, social media and interactive games and live shows.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Multi-platform viewing, which is identified by Deloitte (2026), is used by 42.4 percent of all ad-supported television viewing, and by 56 percent of all marketers</w:t>
            </w:r>
            <w:r>
              <w:rPr>
                <w:rFonts w:ascii="Times New Roman" w:cs="Times New Roman" w:eastAsia="Times New Roman" w:hAnsi="Times New Roman"/>
                <w:color w:val="111111"/>
                <w:sz w:val="24"/>
                <w:szCs w:val="24"/>
                <w:highlight w:val="white"/>
              </w:rPr>
              <w:t>26.0% broadcasting</w:t>
            </w:r>
            <w:r>
              <w:rPr>
                <w:rFonts w:ascii="Times New Roman" w:cs="Times New Roman" w:eastAsia="Times New Roman" w:hAnsi="Times New Roman"/>
                <w:color w:val="111111"/>
                <w:sz w:val="24"/>
                <w:szCs w:val="24"/>
                <w:highlight w:val="white"/>
              </w:rPr>
              <w:t>, further OTT spending is planned (nielsen.com, 2025).</w:t>
            </w:r>
          </w:p>
          <w:p>
            <w:pPr>
              <w:pStyle w:val="style0"/>
              <w:spacing w:lineRule="auto" w:line="360"/>
              <w:jc w:val="center"/>
              <w:rPr>
                <w:rFonts w:ascii="Times New Roman" w:cs="Times New Roman" w:eastAsia="Times New Roman" w:hAnsi="Times New Roman"/>
                <w:color w:val="111111"/>
                <w:sz w:val="24"/>
                <w:szCs w:val="24"/>
                <w:highlight w:val="white"/>
              </w:rPr>
            </w:pPr>
            <w:r>
              <w:rPr>
                <w:rFonts w:ascii="Times New Roman" w:cs="Times New Roman" w:eastAsia="Times New Roman" w:hAnsi="Times New Roman"/>
                <w:noProof/>
                <w:color w:val="111111"/>
                <w:sz w:val="24"/>
                <w:szCs w:val="24"/>
              </w:rPr>
              <w:drawing>
                <wp:inline distL="0" distT="0" distB="0" distR="0">
                  <wp:extent cx="3190240" cy="1812290"/>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3190240" cy="1812290"/>
                          </a:xfrm>
                          <a:prstGeom prst="rect"/>
                        </pic:spPr>
                      </pic:pic>
                    </a:graphicData>
                  </a:graphic>
                </wp:inline>
              </w:drawing>
            </w:r>
          </w:p>
          <w:p>
            <w:pPr>
              <w:pStyle w:val="style0"/>
              <w:spacing w:lineRule="auto" w:line="360"/>
              <w:jc w:val="center"/>
              <w:rPr>
                <w:rFonts w:ascii="Times New Roman" w:cs="Times New Roman" w:eastAsia="Times New Roman" w:hAnsi="Times New Roman"/>
                <w:color w:val="111111"/>
                <w:sz w:val="24"/>
                <w:szCs w:val="24"/>
                <w:highlight w:val="white"/>
              </w:rPr>
            </w:pPr>
            <w:r>
              <w:rPr>
                <w:rFonts w:ascii="Times New Roman" w:cs="Times New Roman" w:eastAsia="Times New Roman" w:hAnsi="Times New Roman"/>
                <w:b/>
                <w:bCs/>
                <w:color w:val="111111"/>
                <w:sz w:val="24"/>
                <w:szCs w:val="24"/>
                <w:highlight w:val="white"/>
              </w:rPr>
              <w:t>Figure 1: broadcasting</w:t>
            </w:r>
            <w:r>
              <w:rPr>
                <w:rFonts w:ascii="Times New Roman" w:cs="Times New Roman" w:eastAsia="Times New Roman" w:hAnsi="Times New Roman"/>
                <w:b/>
                <w:bCs/>
                <w:color w:val="111111"/>
                <w:sz w:val="24"/>
                <w:szCs w:val="24"/>
                <w:highlight w:val="white"/>
              </w:rPr>
              <w:br/>
            </w:r>
            <w:r>
              <w:rPr>
                <w:rFonts w:ascii="Times New Roman" w:cs="Times New Roman" w:eastAsia="Times New Roman" w:hAnsi="Times New Roman"/>
                <w:color w:val="111111"/>
                <w:sz w:val="24"/>
                <w:szCs w:val="24"/>
                <w:highlight w:val="white"/>
              </w:rPr>
              <w:t xml:space="preserve">(Source: </w:t>
            </w:r>
            <w:r>
              <w:rPr>
                <w:rFonts w:ascii="Times New Roman" w:cs="Times New Roman" w:eastAsia="Times New Roman" w:hAnsi="Times New Roman"/>
                <w:color w:val="111111"/>
                <w:sz w:val="24"/>
                <w:szCs w:val="24"/>
                <w:highlight w:val="white"/>
              </w:rPr>
              <w:t>Clark</w:t>
            </w:r>
            <w:r>
              <w:rPr>
                <w:rFonts w:ascii="Times New Roman" w:cs="Times New Roman" w:eastAsia="Times New Roman" w:hAnsi="Times New Roman"/>
                <w:color w:val="111111"/>
                <w:sz w:val="24"/>
                <w:szCs w:val="24"/>
                <w:highlight w:val="white"/>
              </w:rPr>
              <w:t>,2025)</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Platforms are forced to compete in the broader attention economy.</w:t>
            </w:r>
          </w:p>
        </w:tc>
      </w:tr>
      <w:tr>
        <w:tblPrEx/>
        <w:trPr>
          <w:trHeight w:val="1310" w:hRule="atLeast"/>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Technological</w:t>
            </w:r>
          </w:p>
        </w:tc>
        <w:tc>
          <w:tcPr>
            <w:tcW w:w="5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Streaming is based on recommendation systems, connected television, ad-technology and scalable delivery.</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Streaming is out to constitute 42.4% of the ad-supported TV viewing (nielsen.com, 2025).</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The </w:t>
            </w:r>
            <w:r>
              <w:rPr>
                <w:rFonts w:ascii="Times New Roman" w:cs="Times New Roman" w:eastAsia="Times New Roman" w:hAnsi="Times New Roman"/>
                <w:color w:val="111111"/>
                <w:sz w:val="24"/>
                <w:szCs w:val="24"/>
                <w:highlight w:val="white"/>
              </w:rPr>
              <w:t>monetisation</w:t>
            </w:r>
            <w:r>
              <w:rPr>
                <w:rFonts w:ascii="Times New Roman" w:cs="Times New Roman" w:eastAsia="Times New Roman" w:hAnsi="Times New Roman"/>
                <w:color w:val="111111"/>
                <w:sz w:val="24"/>
                <w:szCs w:val="24"/>
                <w:highlight w:val="white"/>
              </w:rPr>
              <w:t>, target and differentiation are dependent on technology.</w:t>
            </w:r>
          </w:p>
        </w:tc>
      </w:tr>
      <w:tr>
        <w:tblPrEx/>
        <w:trPr>
          <w:trHeight w:val="1040" w:hRule="atLeast"/>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Legal</w:t>
            </w:r>
          </w:p>
        </w:tc>
        <w:tc>
          <w:tcPr>
            <w:tcW w:w="5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The operations are influenced by copyright, privacy and licensing laws.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The regulatory risks, IP and cybersecurity risks were reported to the company (Sec.gov, 2024b).</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Increases business risk and could stifle growth.</w:t>
            </w:r>
          </w:p>
        </w:tc>
      </w:tr>
      <w:tr>
        <w:tblPrEx/>
        <w:trPr>
          <w:trHeight w:val="1310" w:hRule="atLeast"/>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Environmental</w:t>
            </w:r>
          </w:p>
        </w:tc>
        <w:tc>
          <w:tcPr>
            <w:tcW w:w="52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color w:val="111111"/>
                <w:sz w:val="24"/>
                <w:szCs w:val="24"/>
                <w:highlight w:val="white"/>
              </w:rPr>
            </w:pPr>
            <w:r>
              <w:rPr>
                <w:rFonts w:ascii="Times New Roman" w:cs="Times New Roman" w:eastAsia="Times New Roman" w:hAnsi="Times New Roman"/>
                <w:color w:val="111111"/>
                <w:sz w:val="24"/>
                <w:szCs w:val="24"/>
                <w:highlight w:val="white"/>
              </w:rPr>
              <w:t>Sustainability expectations disrupt reputation and costs.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Disney has 2030 objectives in terms of emissions, waste and climate risk (thewaltdisneycompany.com, 2024).</w:t>
            </w:r>
          </w:p>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noProof/>
                <w:sz w:val="24"/>
                <w:szCs w:val="24"/>
              </w:rPr>
              <w:drawing>
                <wp:inline distL="0" distT="0" distB="0" distR="0">
                  <wp:extent cx="3190240" cy="3583940"/>
                  <wp:effectExtent l="0" t="0" r="0" b="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3190240" cy="3583940"/>
                          </a:xfrm>
                          <a:prstGeom prst="rect"/>
                        </pic:spPr>
                      </pic:pic>
                    </a:graphicData>
                  </a:graphic>
                </wp:inline>
              </w:drawing>
            </w:r>
          </w:p>
          <w:p>
            <w:pPr>
              <w:pStyle w:val="style0"/>
              <w:spacing w:lineRule="auto" w:line="360"/>
              <w:jc w:val="both"/>
              <w:rPr>
                <w:rFonts w:ascii="Times New Roman" w:cs="Times New Roman" w:eastAsia="Times New Roman" w:hAnsi="Times New Roman"/>
                <w:sz w:val="24"/>
                <w:szCs w:val="24"/>
                <w:highlight w:val="white"/>
              </w:rPr>
            </w:pPr>
          </w:p>
          <w:p>
            <w:pPr>
              <w:pStyle w:val="style0"/>
              <w:spacing w:lineRule="auto" w:line="360"/>
              <w:jc w:val="center"/>
              <w:rPr>
                <w:rFonts w:ascii="Times New Roman" w:cs="Times New Roman" w:eastAsia="Times New Roman" w:hAnsi="Times New Roman"/>
                <w:b/>
                <w:bCs/>
                <w:sz w:val="24"/>
                <w:szCs w:val="24"/>
                <w:highlight w:val="white"/>
              </w:rPr>
            </w:pPr>
            <w:r>
              <w:rPr>
                <w:rFonts w:ascii="Times New Roman" w:cs="Times New Roman" w:eastAsia="Times New Roman" w:hAnsi="Times New Roman"/>
                <w:b/>
                <w:bCs/>
                <w:sz w:val="24"/>
                <w:szCs w:val="24"/>
                <w:highlight w:val="white"/>
              </w:rPr>
              <w:t xml:space="preserve">Figure 2: </w:t>
            </w:r>
            <w:r>
              <w:rPr>
                <w:rFonts w:ascii="Times New Roman" w:cs="Times New Roman" w:eastAsia="Times New Roman" w:hAnsi="Times New Roman"/>
                <w:b/>
                <w:bCs/>
                <w:color w:val="111111"/>
                <w:sz w:val="24"/>
                <w:szCs w:val="24"/>
                <w:highlight w:val="white"/>
              </w:rPr>
              <w:t>Disney goals</w:t>
            </w:r>
          </w:p>
          <w:p>
            <w:pPr>
              <w:pStyle w:val="style0"/>
              <w:spacing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(Source: </w:t>
            </w:r>
            <w:r>
              <w:rPr>
                <w:rFonts w:ascii="Times New Roman" w:cs="Times New Roman" w:eastAsia="Times New Roman" w:hAnsi="Times New Roman"/>
                <w:sz w:val="24"/>
                <w:szCs w:val="24"/>
                <w:highlight w:val="white"/>
              </w:rPr>
              <w:t>‌</w:t>
            </w:r>
            <w:r>
              <w:rPr>
                <w:rFonts w:ascii="Times New Roman" w:cs="Times New Roman" w:eastAsia="Times New Roman" w:hAnsi="Times New Roman"/>
                <w:sz w:val="24"/>
                <w:szCs w:val="24"/>
                <w:highlight w:val="white"/>
              </w:rPr>
              <w:t>Saptakee</w:t>
            </w:r>
            <w:r>
              <w:rPr>
                <w:rFonts w:ascii="Times New Roman" w:cs="Times New Roman" w:eastAsia="Times New Roman" w:hAnsi="Times New Roman"/>
                <w:sz w:val="24"/>
                <w:szCs w:val="24"/>
                <w:highlight w:val="white"/>
              </w:rPr>
              <w:t>, 2025)</w:t>
            </w:r>
          </w:p>
        </w:tc>
        <w:tc>
          <w:tcPr>
            <w:tcW w:w="23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Disclosure of impacts, costs and cost structure etc.</w:t>
            </w:r>
          </w:p>
        </w:tc>
      </w:tr>
    </w:tbl>
    <w:p>
      <w:pPr>
        <w:pStyle w:val="style0"/>
        <w:rPr>
          <w:rFonts w:ascii="Times New Roman" w:cs="Times New Roman" w:eastAsia="Times New Roman" w:hAnsi="Times New Roman"/>
          <w:sz w:val="24"/>
          <w:szCs w:val="24"/>
          <w:highlight w:val="white"/>
        </w:rPr>
      </w:pP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Economic and Technological are the two macro factors chosen to be further </w:t>
      </w:r>
      <w:r>
        <w:rPr>
          <w:rFonts w:ascii="Times New Roman" w:cs="Times New Roman" w:eastAsia="Times New Roman" w:hAnsi="Times New Roman"/>
          <w:color w:val="111111"/>
          <w:sz w:val="24"/>
          <w:szCs w:val="24"/>
          <w:highlight w:val="white"/>
        </w:rPr>
        <w:t>analysed</w:t>
      </w:r>
      <w:r>
        <w:rPr>
          <w:rFonts w:ascii="Times New Roman" w:cs="Times New Roman" w:eastAsia="Times New Roman" w:hAnsi="Times New Roman"/>
          <w:color w:val="111111"/>
          <w:sz w:val="24"/>
          <w:szCs w:val="24"/>
          <w:highlight w:val="white"/>
        </w:rPr>
        <w:t>.</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It is strategically important since the streaming business is founded on consumer recurrent pay and progressively with hybrid </w:t>
      </w:r>
      <w:r>
        <w:rPr>
          <w:rFonts w:ascii="Times New Roman" w:cs="Times New Roman" w:eastAsia="Times New Roman" w:hAnsi="Times New Roman"/>
          <w:color w:val="111111"/>
          <w:sz w:val="24"/>
          <w:szCs w:val="24"/>
          <w:highlight w:val="white"/>
        </w:rPr>
        <w:t>monetisation</w:t>
      </w:r>
      <w:r>
        <w:rPr>
          <w:rFonts w:ascii="Times New Roman" w:cs="Times New Roman" w:eastAsia="Times New Roman" w:hAnsi="Times New Roman"/>
          <w:color w:val="111111"/>
          <w:sz w:val="24"/>
          <w:szCs w:val="24"/>
          <w:highlight w:val="white"/>
        </w:rPr>
        <w:t xml:space="preserve"> by advertising.</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Netflix makes it clear that it will provide a variety of pricing plans such as an ad-supported plan whereas Disney states that Disney+ will be primarily made up of subscription fees and secondarily based on advertising.</w:t>
      </w:r>
    </w:p>
    <w:bookmarkStart w:id="5" w:name="_heading=h.qeshdgktxszd" w:colFirst="0" w:colLast="0"/>
    <w:bookmarkStart w:id="6" w:name="_Toc225516883"/>
    <w:bookmarkEnd w:id="5"/>
    <w:p>
      <w:pPr>
        <w:pStyle w:val="style2"/>
        <w:rPr>
          <w:highlight w:val="white"/>
        </w:rPr>
      </w:pPr>
      <w:r>
        <w:rPr>
          <w:highlight w:val="white"/>
        </w:rPr>
        <w:t>2.2 Analysis of Macro Factor 1: Economic</w:t>
      </w:r>
      <w:bookmarkEnd w:id="6"/>
    </w:p>
    <w:bookmarkStart w:id="7" w:name="_heading=h.td30yvbdiux1" w:colFirst="0" w:colLast="0"/>
    <w:bookmarkStart w:id="8" w:name="_Toc225516884"/>
    <w:bookmarkEnd w:id="7"/>
    <w:p>
      <w:pPr>
        <w:pStyle w:val="style2"/>
        <w:rPr>
          <w:highlight w:val="white"/>
        </w:rPr>
      </w:pPr>
      <w:r>
        <w:rPr>
          <w:highlight w:val="white"/>
        </w:rPr>
        <w:t xml:space="preserve">2.2.1 Impact on the Pioneer </w:t>
      </w:r>
      <w:r>
        <w:rPr>
          <w:highlight w:val="white"/>
        </w:rPr>
        <w:t>Organisation</w:t>
      </w:r>
      <w:r>
        <w:rPr>
          <w:highlight w:val="white"/>
        </w:rPr>
        <w:t>: Netflix</w:t>
      </w:r>
      <w:bookmarkEnd w:id="8"/>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Economic factors are considered to be both an opportunity and threat for the company.</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The risk is that customers are price-sensitive as a study by Deloitte (2026) identified more than three-quarters </w:t>
      </w:r>
      <w:r>
        <w:rPr>
          <w:rFonts w:ascii="Times New Roman" w:cs="Times New Roman" w:eastAsia="Times New Roman" w:hAnsi="Times New Roman"/>
          <w:color w:val="111111"/>
          <w:sz w:val="24"/>
          <w:szCs w:val="24"/>
          <w:highlight w:val="white"/>
        </w:rPr>
        <w:t>of customers becoming unsatisfied about soaring entertainment prices and nearly half of consumers cancelled more subscriptions to entertainment products in 2021 because of price.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This increases the churn risk and undermines the capacity of any streaming platform to count on subscription growth solely (deloitte.com, 2026).</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In the case of Netflix, the competitive position of the company is reinforced by the same environment. However,</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Netflix has a current size of 302 million paid memberships recorded at the end of 2024. This implies that the company is the biggest streamer in terms of size and allows the company to have more pricing strength and brand strength than smaller competitors.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The company’s 2024 filing also says that its core strategy is international expansion of its operating margin target. If in any case the company plans to provide pricing plans such as ad-supported plans it may provide a range of consumer requirements.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The importance is that economically strained consumers can be held on by less expensive entry, compared to losing out to compete completely (Sec.gov, 2024b).</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Due to this fact, economic turbulence may in fact build up Netflix's advantage.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It </w:t>
      </w:r>
      <w:r>
        <w:rPr>
          <w:rFonts w:ascii="Times New Roman" w:cs="Times New Roman" w:eastAsia="Times New Roman" w:hAnsi="Times New Roman"/>
          <w:color w:val="111111"/>
          <w:sz w:val="24"/>
          <w:szCs w:val="24"/>
          <w:highlight w:val="white"/>
        </w:rPr>
        <w:t>is capable of dividing</w:t>
      </w:r>
      <w:r>
        <w:rPr>
          <w:rFonts w:ascii="Times New Roman" w:cs="Times New Roman" w:eastAsia="Times New Roman" w:hAnsi="Times New Roman"/>
          <w:color w:val="111111"/>
          <w:sz w:val="24"/>
          <w:szCs w:val="24"/>
          <w:highlight w:val="white"/>
        </w:rPr>
        <w:t xml:space="preserve"> customers better along the </w:t>
      </w:r>
      <w:r>
        <w:rPr>
          <w:rFonts w:ascii="Times New Roman" w:cs="Times New Roman" w:eastAsia="Times New Roman" w:hAnsi="Times New Roman"/>
          <w:color w:val="111111"/>
          <w:sz w:val="24"/>
          <w:szCs w:val="24"/>
          <w:highlight w:val="white"/>
        </w:rPr>
        <w:t>high and low end</w:t>
      </w:r>
      <w:r>
        <w:rPr>
          <w:rFonts w:ascii="Times New Roman" w:cs="Times New Roman" w:eastAsia="Times New Roman" w:hAnsi="Times New Roman"/>
          <w:color w:val="111111"/>
          <w:sz w:val="24"/>
          <w:szCs w:val="24"/>
          <w:highlight w:val="white"/>
        </w:rPr>
        <w:t xml:space="preserve"> spectrum due to its size and has a global presence that can harness diversification in markets.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Netflix is more competitive than the followers to match the pressure of affordability into growth by offering level pricing as well as achieving a higher rate of </w:t>
      </w:r>
      <w:r>
        <w:rPr>
          <w:rFonts w:ascii="Times New Roman" w:cs="Times New Roman" w:eastAsia="Times New Roman" w:hAnsi="Times New Roman"/>
          <w:color w:val="111111"/>
          <w:sz w:val="24"/>
          <w:szCs w:val="24"/>
          <w:highlight w:val="white"/>
        </w:rPr>
        <w:t>monetisation</w:t>
      </w:r>
      <w:r>
        <w:rPr>
          <w:rFonts w:ascii="Times New Roman" w:cs="Times New Roman" w:eastAsia="Times New Roman" w:hAnsi="Times New Roman"/>
          <w:color w:val="111111"/>
          <w:sz w:val="24"/>
          <w:szCs w:val="24"/>
          <w:highlight w:val="white"/>
        </w:rPr>
        <w:t xml:space="preserve"> (Sec.gov, 2024b).</w:t>
      </w:r>
    </w:p>
    <w:bookmarkStart w:id="9" w:name="_heading=h.58jzx613sd" w:colFirst="0" w:colLast="0"/>
    <w:bookmarkStart w:id="10" w:name="_Toc225516885"/>
    <w:bookmarkEnd w:id="9"/>
    <w:p>
      <w:pPr>
        <w:pStyle w:val="style3"/>
        <w:rPr>
          <w:highlight w:val="white"/>
        </w:rPr>
      </w:pPr>
      <w:r>
        <w:rPr>
          <w:highlight w:val="white"/>
        </w:rPr>
        <w:t xml:space="preserve">2.2.2 Impact on the Follower </w:t>
      </w:r>
      <w:r>
        <w:rPr>
          <w:highlight w:val="white"/>
        </w:rPr>
        <w:t>Organisation</w:t>
      </w:r>
      <w:r>
        <w:rPr>
          <w:highlight w:val="white"/>
        </w:rPr>
        <w:t>: Disney+</w:t>
      </w:r>
      <w:bookmarkEnd w:id="10"/>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Disney + is under the same economic pressure though it is somewhat more vulnerable, as it is currently making tradeoffs between growth and profitability on a larger corporate platform.</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As of </w:t>
      </w:r>
      <w:r>
        <w:rPr>
          <w:rFonts w:ascii="Times New Roman" w:cs="Times New Roman" w:eastAsia="Times New Roman" w:hAnsi="Times New Roman"/>
          <w:color w:val="111111"/>
          <w:sz w:val="24"/>
          <w:szCs w:val="24"/>
          <w:highlight w:val="white"/>
        </w:rPr>
        <w:t>September 2024</w:t>
      </w:r>
      <w:r>
        <w:rPr>
          <w:rFonts w:ascii="Times New Roman" w:cs="Times New Roman" w:eastAsia="Times New Roman" w:hAnsi="Times New Roman"/>
          <w:color w:val="111111"/>
          <w:sz w:val="24"/>
          <w:szCs w:val="24"/>
          <w:highlight w:val="white"/>
        </w:rPr>
        <w:t xml:space="preserve"> Disney had 123 million Disney+ </w:t>
      </w:r>
      <w:r>
        <w:rPr>
          <w:rFonts w:ascii="Times New Roman" w:cs="Times New Roman" w:eastAsia="Times New Roman" w:hAnsi="Times New Roman"/>
          <w:color w:val="111111"/>
          <w:sz w:val="24"/>
          <w:szCs w:val="24"/>
          <w:highlight w:val="white"/>
        </w:rPr>
        <w:t>subscribers</w:t>
      </w:r>
      <w:r>
        <w:rPr>
          <w:rFonts w:ascii="Times New Roman" w:cs="Times New Roman" w:eastAsia="Times New Roman" w:hAnsi="Times New Roman"/>
          <w:color w:val="111111"/>
          <w:sz w:val="24"/>
          <w:szCs w:val="24"/>
          <w:highlight w:val="white"/>
        </w:rPr>
        <w:t xml:space="preserve"> and its Direct-to-Consumer segment had a shift in loss to operating income between 2023 and 2024-2025.</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Such an improvement is possible to indicate that the business is gaining greater resilience, yet it also indicates that pricing and </w:t>
      </w:r>
      <w:r>
        <w:rPr>
          <w:rFonts w:ascii="Times New Roman" w:cs="Times New Roman" w:eastAsia="Times New Roman" w:hAnsi="Times New Roman"/>
          <w:color w:val="111111"/>
          <w:sz w:val="24"/>
          <w:szCs w:val="24"/>
          <w:highlight w:val="white"/>
        </w:rPr>
        <w:t>monetisation</w:t>
      </w:r>
      <w:r>
        <w:rPr>
          <w:rFonts w:ascii="Times New Roman" w:cs="Times New Roman" w:eastAsia="Times New Roman" w:hAnsi="Times New Roman"/>
          <w:color w:val="111111"/>
          <w:sz w:val="24"/>
          <w:szCs w:val="24"/>
          <w:highlight w:val="white"/>
        </w:rPr>
        <w:t xml:space="preserve"> will continue to play a vital role (thewaltdisneycompany.com, 2024).</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Disney+ has an opportunity of bundling and reduced pricing.</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According to the 2024 annual report, Disney+ gets its primary revenue in the form of subscription fee and a smaller share through advertising and the company has provided ad-supported Disney + in the U.S. Canada and some </w:t>
      </w:r>
      <w:r>
        <w:rPr>
          <w:rFonts w:ascii="Times New Roman" w:cs="Times New Roman" w:eastAsia="Times New Roman" w:hAnsi="Times New Roman"/>
          <w:color w:val="111111"/>
          <w:sz w:val="24"/>
          <w:szCs w:val="24"/>
          <w:highlight w:val="white"/>
        </w:rPr>
        <w:t>other countries.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This is beneficial in that Disney targets cost-conscious families and </w:t>
      </w:r>
      <w:r>
        <w:rPr>
          <w:rFonts w:ascii="Times New Roman" w:cs="Times New Roman" w:eastAsia="Times New Roman" w:hAnsi="Times New Roman"/>
          <w:color w:val="111111"/>
          <w:sz w:val="24"/>
          <w:szCs w:val="24"/>
          <w:highlight w:val="white"/>
        </w:rPr>
        <w:t>minimises</w:t>
      </w:r>
      <w:r>
        <w:rPr>
          <w:rFonts w:ascii="Times New Roman" w:cs="Times New Roman" w:eastAsia="Times New Roman" w:hAnsi="Times New Roman"/>
          <w:color w:val="111111"/>
          <w:sz w:val="24"/>
          <w:szCs w:val="24"/>
          <w:highlight w:val="white"/>
        </w:rPr>
        <w:t xml:space="preserve"> the risk of cancellations (thewaltdisneycompany.com, 2024).</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Nevertheless, Disney+ is not as platform-scale or concentration-focused on its subscribers as Netflix, which makes it more vulnerable to sensitivity to price changes.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It therefore has a positioning on the market more based on value perception, franchise strength and bundle appeal.</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Disney + is performing well in terms of economic adaptation, yet it is on the defensive side compared to the stronger global pricing power of Netflix.</w:t>
      </w:r>
    </w:p>
    <w:bookmarkStart w:id="11" w:name="_heading=h.qx8dl5kc8g4" w:colFirst="0" w:colLast="0"/>
    <w:bookmarkStart w:id="12" w:name="_Toc225516886"/>
    <w:bookmarkEnd w:id="11"/>
    <w:p>
      <w:pPr>
        <w:pStyle w:val="style2"/>
        <w:rPr>
          <w:highlight w:val="white"/>
        </w:rPr>
      </w:pPr>
      <w:r>
        <w:rPr>
          <w:highlight w:val="white"/>
        </w:rPr>
        <w:t>2.3 Analysis of Macro Factor 2: Technological</w:t>
      </w:r>
      <w:bookmarkEnd w:id="12"/>
    </w:p>
    <w:bookmarkStart w:id="13" w:name="_heading=h.eepukmdjvjd1" w:colFirst="0" w:colLast="0"/>
    <w:bookmarkStart w:id="14" w:name="_Toc225516887"/>
    <w:bookmarkEnd w:id="13"/>
    <w:p>
      <w:pPr>
        <w:pStyle w:val="style3"/>
        <w:rPr>
          <w:highlight w:val="white"/>
        </w:rPr>
      </w:pPr>
      <w:r>
        <w:rPr>
          <w:highlight w:val="white"/>
        </w:rPr>
        <w:t xml:space="preserve">2.3.1 Impact on the Pioneer </w:t>
      </w:r>
      <w:r>
        <w:rPr>
          <w:highlight w:val="white"/>
        </w:rPr>
        <w:t>Organisation</w:t>
      </w:r>
      <w:r>
        <w:rPr>
          <w:highlight w:val="white"/>
        </w:rPr>
        <w:t>: Netflix</w:t>
      </w:r>
      <w:bookmarkEnd w:id="14"/>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According to Netflix, generative AI offers a major opportunity on its streaming platform, not only in its recommendations, advertising as a business venture, and content of movies and TV shows (Butts, 2025).</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Netflix has broken one of the biggest milestones in the globe after recording a figure of over 325 million paid memberships as of the end of 2025, which is a sharp increase compared to the previous report of slightly above 301 million subscribers a year </w:t>
      </w:r>
      <w:r>
        <w:rPr>
          <w:rFonts w:ascii="Times New Roman" w:cs="Times New Roman" w:eastAsia="Times New Roman" w:hAnsi="Times New Roman"/>
          <w:color w:val="111111"/>
          <w:sz w:val="24"/>
          <w:szCs w:val="24"/>
          <w:highlight w:val="white"/>
        </w:rPr>
        <w:t>ago(</w:t>
      </w:r>
      <w:r>
        <w:rPr>
          <w:rFonts w:ascii="Times New Roman" w:cs="Times New Roman" w:eastAsia="Times New Roman" w:hAnsi="Times New Roman"/>
          <w:color w:val="111111"/>
          <w:sz w:val="24"/>
          <w:szCs w:val="24"/>
          <w:highlight w:val="white"/>
        </w:rPr>
        <w:t>Maheshwari, 2026).</w:t>
      </w:r>
    </w:p>
    <w:p>
      <w:pPr>
        <w:pStyle w:val="style0"/>
        <w:spacing w:before="240" w:after="240" w:lineRule="auto" w:line="360"/>
        <w:jc w:val="both"/>
        <w:rPr>
          <w:rFonts w:ascii="Times New Roman" w:cs="Times New Roman" w:eastAsia="Times New Roman" w:hAnsi="Times New Roman"/>
          <w:color w:val="171717"/>
          <w:sz w:val="24"/>
          <w:szCs w:val="24"/>
          <w:highlight w:val="white"/>
        </w:rPr>
      </w:pPr>
      <w:r>
        <w:rPr>
          <w:rFonts w:ascii="Times New Roman" w:cs="Times New Roman" w:eastAsia="Times New Roman" w:hAnsi="Times New Roman"/>
          <w:color w:val="111111"/>
          <w:sz w:val="24"/>
          <w:szCs w:val="24"/>
          <w:highlight w:val="white"/>
        </w:rPr>
        <w:t>The danger is that ad-tech is becoming a core capability, and not an add-on.</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To </w:t>
      </w:r>
      <w:r>
        <w:rPr>
          <w:rFonts w:ascii="Times New Roman" w:cs="Times New Roman" w:eastAsia="Times New Roman" w:hAnsi="Times New Roman"/>
          <w:color w:val="111111"/>
          <w:sz w:val="24"/>
          <w:szCs w:val="24"/>
          <w:highlight w:val="white"/>
        </w:rPr>
        <w:t>monetise</w:t>
      </w:r>
      <w:r>
        <w:rPr>
          <w:rFonts w:ascii="Times New Roman" w:cs="Times New Roman" w:eastAsia="Times New Roman" w:hAnsi="Times New Roman"/>
          <w:color w:val="111111"/>
          <w:sz w:val="24"/>
          <w:szCs w:val="24"/>
          <w:highlight w:val="white"/>
        </w:rPr>
        <w:t xml:space="preserve"> its ad tier, Netflix needs to keep on enhancing measurement, targeting and advertiser confidence.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The break is even greater however; technology enables Netflix to reduce entry points, expand its fan base and establish a more diversified revenue approach.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That enhances competitive strength as well as market strength (Sec.gov, 2024b).</w:t>
      </w:r>
    </w:p>
    <w:bookmarkStart w:id="15" w:name="_heading=h.vl9h4du4vro8" w:colFirst="0" w:colLast="0"/>
    <w:bookmarkStart w:id="16" w:name="_Toc225516888"/>
    <w:bookmarkEnd w:id="15"/>
    <w:p>
      <w:pPr>
        <w:pStyle w:val="style3"/>
        <w:rPr>
          <w:b w:val="false"/>
          <w:highlight w:val="white"/>
        </w:rPr>
      </w:pPr>
      <w:r>
        <w:rPr>
          <w:highlight w:val="white"/>
        </w:rPr>
        <w:t xml:space="preserve">2.3.2 Impact on the Follower </w:t>
      </w:r>
      <w:r>
        <w:rPr>
          <w:highlight w:val="white"/>
        </w:rPr>
        <w:t>Organisation</w:t>
      </w:r>
      <w:r>
        <w:rPr>
          <w:highlight w:val="white"/>
        </w:rPr>
        <w:t>: Disney+</w:t>
      </w:r>
      <w:bookmarkEnd w:id="16"/>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Disney+ should equally focus on technology but its strategy is more ecosystem based.</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According to the 2024 Annual Report of Disney, Disney Plus and Disney Plus Hotstar are primarily </w:t>
      </w:r>
      <w:r>
        <w:rPr>
          <w:rFonts w:ascii="Times New Roman" w:cs="Times New Roman" w:eastAsia="Times New Roman" w:hAnsi="Times New Roman"/>
          <w:color w:val="111111"/>
          <w:sz w:val="24"/>
          <w:szCs w:val="24"/>
          <w:highlight w:val="white"/>
        </w:rPr>
        <w:t>monetised</w:t>
      </w:r>
      <w:r>
        <w:rPr>
          <w:rFonts w:ascii="Times New Roman" w:cs="Times New Roman" w:eastAsia="Times New Roman" w:hAnsi="Times New Roman"/>
          <w:color w:val="111111"/>
          <w:sz w:val="24"/>
          <w:szCs w:val="24"/>
          <w:highlight w:val="white"/>
        </w:rPr>
        <w:t xml:space="preserve"> through subscription and advertising and that Disney Plus advertising increased revenue led to better Direct-to-Consumer profitability.</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It is also reported that the company had 125 million Disney+ subscribers in early 2025, which means that the platform is sufficiently large to compete, </w:t>
      </w:r>
      <w:r>
        <w:rPr>
          <w:rFonts w:ascii="Times New Roman" w:cs="Times New Roman" w:eastAsia="Times New Roman" w:hAnsi="Times New Roman"/>
          <w:color w:val="111111"/>
          <w:sz w:val="24"/>
          <w:szCs w:val="24"/>
          <w:highlight w:val="white"/>
        </w:rPr>
        <w:t xml:space="preserve">despite the deceleration of subscriber growth and </w:t>
      </w:r>
      <w:r>
        <w:rPr>
          <w:rFonts w:ascii="Times New Roman" w:cs="Times New Roman" w:eastAsia="Times New Roman" w:hAnsi="Times New Roman"/>
          <w:color w:val="111111"/>
          <w:sz w:val="24"/>
          <w:szCs w:val="24"/>
          <w:highlight w:val="white"/>
        </w:rPr>
        <w:t>monetisation</w:t>
      </w:r>
      <w:r>
        <w:rPr>
          <w:rFonts w:ascii="Times New Roman" w:cs="Times New Roman" w:eastAsia="Times New Roman" w:hAnsi="Times New Roman"/>
          <w:color w:val="111111"/>
          <w:sz w:val="24"/>
          <w:szCs w:val="24"/>
          <w:highlight w:val="white"/>
        </w:rPr>
        <w:t xml:space="preserve"> becoming the main challenge (thewaltdisneycompany.com, 2024).</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The Disney+ opportunity lies in the fact that technology allows better segmentation of the audience, more efficient ad placement and greater incorporation into the broader Disney ecosystem, such as Hulu and sports.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The risk is that Netflix has accelerated on turning ad-supported streaming into a core strategic asset.</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Disney plus is thus more likely to be a follower than a leader on the innovation of platforms, and this aspect implies that its technological response is enhancing competitiveness but has not fully reversed the stance of Netflix.</w:t>
      </w:r>
    </w:p>
    <w:bookmarkStart w:id="17" w:name="_heading=h.lh8mmtc9a70c" w:colFirst="0" w:colLast="0"/>
    <w:bookmarkStart w:id="18" w:name="_Toc225516889"/>
    <w:bookmarkEnd w:id="17"/>
    <w:p>
      <w:pPr>
        <w:pStyle w:val="style1"/>
        <w:rPr>
          <w:highlight w:val="white"/>
        </w:rPr>
      </w:pPr>
      <w:r>
        <w:rPr>
          <w:highlight w:val="white"/>
        </w:rPr>
        <w:t xml:space="preserve">3. Task 2: Strategic Responses of Pioneering and Follower </w:t>
      </w:r>
      <w:r>
        <w:rPr>
          <w:highlight w:val="white"/>
        </w:rPr>
        <w:t>Organisations</w:t>
      </w:r>
      <w:bookmarkEnd w:id="18"/>
    </w:p>
    <w:bookmarkStart w:id="19" w:name="_heading=h.998ox4kvk256" w:colFirst="0" w:colLast="0"/>
    <w:bookmarkStart w:id="20" w:name="_Toc225516890"/>
    <w:bookmarkEnd w:id="19"/>
    <w:p>
      <w:pPr>
        <w:pStyle w:val="style2"/>
        <w:rPr>
          <w:highlight w:val="white"/>
        </w:rPr>
      </w:pPr>
      <w:r>
        <w:rPr>
          <w:highlight w:val="white"/>
        </w:rPr>
        <w:t xml:space="preserve">3.1 Pioneering </w:t>
      </w:r>
      <w:r>
        <w:rPr>
          <w:highlight w:val="white"/>
        </w:rPr>
        <w:t>Organisation’s</w:t>
      </w:r>
      <w:r>
        <w:rPr>
          <w:highlight w:val="white"/>
        </w:rPr>
        <w:t xml:space="preserve"> Strategic Responses: Netflix</w:t>
      </w:r>
      <w:bookmarkEnd w:id="20"/>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The growth strategy of Netflix is most understandable through the Growth Matrix by Ansoff.</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Its 2021 performance indicates that the strategy is bearing fruit: by Q1 2025, Netflix targeting its ambitions will have a revenue of US$10.54 billion, and by the 2024 holiday period, the total count of subscribers has been 260 million (Spangler, 2025; Lee, 2024).</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Its ad-supported option also hit 40 million monthly active users in 2024, which demonstrates how Netflix is turning already-existing demand into more lucrative content instead of relying on the number of new subscribers alone.</w:t>
      </w:r>
    </w:p>
    <w:tbl>
      <w:tblPr>
        <w:tblStyle w:val="style4103"/>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99"/>
        <w:gridCol w:w="2576"/>
        <w:gridCol w:w="4985"/>
      </w:tblGrid>
      <w:tr>
        <w:trPr>
          <w:trHeight w:val="770" w:hRule="atLeast"/>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Ansoff element</w:t>
            </w:r>
          </w:p>
        </w:tc>
        <w:tc>
          <w:tcPr>
            <w:tcW w:w="2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Netflix’s strategic response</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Recent evidence and critical reading</w:t>
            </w:r>
          </w:p>
        </w:tc>
      </w:tr>
      <w:tr>
        <w:tblPrEx/>
        <w:trPr>
          <w:trHeight w:val="1850" w:hRule="atLeast"/>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Market penetration</w:t>
            </w:r>
          </w:p>
        </w:tc>
        <w:tc>
          <w:tcPr>
            <w:tcW w:w="2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Expand profitability of current markets and current services by </w:t>
            </w:r>
            <w:r>
              <w:rPr>
                <w:rFonts w:ascii="Times New Roman" w:cs="Times New Roman" w:eastAsia="Times New Roman" w:hAnsi="Times New Roman"/>
                <w:color w:val="111111"/>
                <w:sz w:val="24"/>
                <w:szCs w:val="24"/>
                <w:highlight w:val="white"/>
              </w:rPr>
              <w:t>pricing, advertisement and retention.</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In 2024, Netflix had 40 million monthly active users on the </w:t>
            </w:r>
            <w:r>
              <w:rPr>
                <w:rFonts w:ascii="Times New Roman" w:cs="Times New Roman" w:eastAsia="Times New Roman" w:hAnsi="Times New Roman"/>
                <w:color w:val="111111"/>
                <w:sz w:val="24"/>
                <w:szCs w:val="24"/>
                <w:highlight w:val="white"/>
              </w:rPr>
              <w:t>ad based</w:t>
            </w:r>
            <w:r>
              <w:rPr>
                <w:rFonts w:ascii="Times New Roman" w:cs="Times New Roman" w:eastAsia="Times New Roman" w:hAnsi="Times New Roman"/>
                <w:color w:val="111111"/>
                <w:sz w:val="24"/>
                <w:szCs w:val="24"/>
                <w:highlight w:val="white"/>
              </w:rPr>
              <w:t xml:space="preserve"> tier (Whitten et al., 2024).</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Whereas in the first quarter of 2025, the revenue </w:t>
            </w:r>
            <w:r>
              <w:rPr>
                <w:rFonts w:ascii="Times New Roman" w:cs="Times New Roman" w:eastAsia="Times New Roman" w:hAnsi="Times New Roman"/>
                <w:color w:val="111111"/>
                <w:sz w:val="24"/>
                <w:szCs w:val="24"/>
                <w:highlight w:val="white"/>
              </w:rPr>
              <w:t>was US$10.54 billion.</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This means that there is more </w:t>
            </w:r>
            <w:r>
              <w:rPr>
                <w:rFonts w:ascii="Times New Roman" w:cs="Times New Roman" w:eastAsia="Times New Roman" w:hAnsi="Times New Roman"/>
                <w:color w:val="111111"/>
                <w:sz w:val="24"/>
                <w:szCs w:val="24"/>
                <w:highlight w:val="white"/>
              </w:rPr>
              <w:t>monetisation</w:t>
            </w:r>
            <w:r>
              <w:rPr>
                <w:rFonts w:ascii="Times New Roman" w:cs="Times New Roman" w:eastAsia="Times New Roman" w:hAnsi="Times New Roman"/>
                <w:color w:val="111111"/>
                <w:sz w:val="24"/>
                <w:szCs w:val="24"/>
                <w:highlight w:val="white"/>
              </w:rPr>
              <w:t xml:space="preserve"> of the existing customer base.</w:t>
            </w:r>
          </w:p>
        </w:tc>
      </w:tr>
      <w:tr>
        <w:tblPrEx/>
        <w:trPr>
          <w:trHeight w:val="2120" w:hRule="atLeast"/>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Market development</w:t>
            </w:r>
          </w:p>
        </w:tc>
        <w:tc>
          <w:tcPr>
            <w:tcW w:w="2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Use the identical streaming platform to reach new ranks of the audience, particularly the live-event and sports audiences.</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Netflix has introduced live events like WWE wrestling which are meant to attract advertisers and users and this indicates that Netflix is expanding its platform to new viewing events and audiences (finshots.in, 2025).</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Its quarter 2025 income of US$12.1 billion also claims that this expanded appeal is providing commercially.</w:t>
            </w:r>
          </w:p>
        </w:tc>
      </w:tr>
      <w:tr>
        <w:tblPrEx/>
        <w:trPr>
          <w:trHeight w:val="1850" w:hRule="atLeast"/>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Product development</w:t>
            </w:r>
          </w:p>
        </w:tc>
        <w:tc>
          <w:tcPr>
            <w:tcW w:w="2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Introduce novel versions and capabilities into the current offering, such as live broadcast programming, ad-technology and video podcasts.</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In March 2026 Reuters stated that Netflix was creating video podcasting, expanding into live sports and it was </w:t>
            </w:r>
            <w:r>
              <w:rPr>
                <w:rFonts w:ascii="Times New Roman" w:cs="Times New Roman" w:eastAsia="Times New Roman" w:hAnsi="Times New Roman"/>
                <w:color w:val="111111"/>
                <w:sz w:val="24"/>
                <w:szCs w:val="24"/>
                <w:highlight w:val="white"/>
              </w:rPr>
              <w:t>optimising</w:t>
            </w:r>
            <w:r>
              <w:rPr>
                <w:rFonts w:ascii="Times New Roman" w:cs="Times New Roman" w:eastAsia="Times New Roman" w:hAnsi="Times New Roman"/>
                <w:color w:val="111111"/>
                <w:sz w:val="24"/>
                <w:szCs w:val="24"/>
                <w:highlight w:val="white"/>
              </w:rPr>
              <w:t xml:space="preserve"> its ad-supported business.</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This is product development since what Netflix is developing is additional features of services on the same underlying market (reuters.com, 2026).</w:t>
            </w:r>
          </w:p>
        </w:tc>
      </w:tr>
      <w:tr>
        <w:tblPrEx/>
        <w:trPr>
          <w:trHeight w:val="2390" w:hRule="atLeast"/>
        </w:trPr>
        <w:tc>
          <w:tcPr>
            <w:tcW w:w="17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Diversification</w:t>
            </w:r>
          </w:p>
        </w:tc>
        <w:tc>
          <w:tcPr>
            <w:tcW w:w="25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Absolute streaming is over, and now its transition to the adjacent entertainment business in the form of gaming and content ownership is underway.</w:t>
            </w:r>
          </w:p>
        </w:tc>
        <w:tc>
          <w:tcPr>
            <w:tcW w:w="498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Netflix has not been consistent in its gaming strategy, yet it has still mentioned that the acquisition of the assets of Warner Bros. Discovery will further intensify that investment, with Hogwarts Legacy already bringing the company over US 1 billion in revenue (scmp.com, 2025).</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It is the </w:t>
            </w:r>
            <w:r>
              <w:rPr>
                <w:rFonts w:ascii="Times New Roman" w:cs="Times New Roman" w:eastAsia="Times New Roman" w:hAnsi="Times New Roman"/>
                <w:color w:val="111111"/>
                <w:sz w:val="24"/>
                <w:szCs w:val="24"/>
                <w:highlight w:val="white"/>
              </w:rPr>
              <w:t>most risky</w:t>
            </w:r>
            <w:r>
              <w:rPr>
                <w:rFonts w:ascii="Times New Roman" w:cs="Times New Roman" w:eastAsia="Times New Roman" w:hAnsi="Times New Roman"/>
                <w:color w:val="111111"/>
                <w:sz w:val="24"/>
                <w:szCs w:val="24"/>
                <w:highlight w:val="white"/>
              </w:rPr>
              <w:t xml:space="preserve"> Ansoff strategy, yet the </w:t>
            </w:r>
            <w:r>
              <w:rPr>
                <w:rFonts w:ascii="Times New Roman" w:cs="Times New Roman" w:eastAsia="Times New Roman" w:hAnsi="Times New Roman"/>
                <w:color w:val="111111"/>
                <w:sz w:val="24"/>
                <w:szCs w:val="24"/>
                <w:highlight w:val="white"/>
              </w:rPr>
              <w:t>most promising in the long-term should Netflix decide to go beyond streaming.</w:t>
            </w:r>
          </w:p>
        </w:tc>
      </w:tr>
    </w:tbl>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Most importantly, the strategy of Netflix is robust since it leverages external pressure into strength.</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Price architecture and ad-supported access are used to manage economic pressure, whereas new formats and ad delivery capabilities are used to manage technological change.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The focus on live sporting events, podcasts and advertisement have seen the company cease to be an exclusive subscription streamer, it is evolving into a multi revenue entertainment platform.</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With that said, the weakest aspect of the matrix by Netflix remains the diversification since gaming is not yet a huge success and extensive acquisitions may contribute to the integration risk.</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Netflix is most conducive to market penetration and product development, and most experimental to diversification, in the terms of Ansoff.</w:t>
      </w:r>
    </w:p>
    <w:bookmarkStart w:id="21" w:name="_heading=h.3xpng3cnvtre" w:colFirst="0" w:colLast="0"/>
    <w:bookmarkStart w:id="22" w:name="_Toc225516891"/>
    <w:bookmarkEnd w:id="21"/>
    <w:p>
      <w:pPr>
        <w:pStyle w:val="style2"/>
        <w:rPr>
          <w:b w:val="false"/>
          <w:highlight w:val="white"/>
        </w:rPr>
      </w:pPr>
      <w:r>
        <w:rPr>
          <w:highlight w:val="white"/>
        </w:rPr>
        <w:t xml:space="preserve">3.2 Follower </w:t>
      </w:r>
      <w:r>
        <w:rPr>
          <w:highlight w:val="white"/>
        </w:rPr>
        <w:t>Organisation’s</w:t>
      </w:r>
      <w:r>
        <w:rPr>
          <w:highlight w:val="white"/>
        </w:rPr>
        <w:t xml:space="preserve"> Strategic Responses: Disney+</w:t>
      </w:r>
      <w:bookmarkEnd w:id="22"/>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Disney+ also lies in the Growth Matrix provided by Ansoff, although the trend is a bit different in comparison with that of Netflix.</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Disney's approach to streaming is more ecosystem-oriented: the company relies on market penetration to engage existing subscribers, market development to enter sports-oriented viewers, product development to distribute content and services across Disney+, Hulu and ESPN, and diversification to sustain the process of streaming with the help of the rest of the Disney portfolio.</w:t>
      </w:r>
    </w:p>
    <w:tbl>
      <w:tblPr>
        <w:tblStyle w:val="style4104"/>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811"/>
        <w:gridCol w:w="2468"/>
        <w:gridCol w:w="5081"/>
      </w:tblGrid>
      <w:tr>
        <w:trPr>
          <w:trHeight w:val="770" w:hRule="atLeast"/>
        </w:trPr>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Ansoff element</w:t>
            </w:r>
          </w:p>
        </w:tc>
        <w:tc>
          <w:tcPr>
            <w:tcW w:w="2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Disney’s strategic response</w:t>
            </w:r>
          </w:p>
        </w:tc>
        <w:tc>
          <w:tcPr>
            <w:tcW w:w="5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Recent evidence and critical reading</w:t>
            </w:r>
          </w:p>
        </w:tc>
      </w:tr>
      <w:tr>
        <w:tblPrEx/>
        <w:trPr>
          <w:trHeight w:val="2120" w:hRule="atLeast"/>
        </w:trPr>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Market penetration</w:t>
            </w:r>
          </w:p>
        </w:tc>
        <w:tc>
          <w:tcPr>
            <w:tcW w:w="2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Maintain and </w:t>
            </w:r>
            <w:r>
              <w:rPr>
                <w:rFonts w:ascii="Times New Roman" w:cs="Times New Roman" w:eastAsia="Times New Roman" w:hAnsi="Times New Roman"/>
                <w:color w:val="111111"/>
                <w:sz w:val="24"/>
                <w:szCs w:val="24"/>
                <w:highlight w:val="white"/>
              </w:rPr>
              <w:t>capitalise</w:t>
            </w:r>
            <w:r>
              <w:rPr>
                <w:rFonts w:ascii="Times New Roman" w:cs="Times New Roman" w:eastAsia="Times New Roman" w:hAnsi="Times New Roman"/>
                <w:color w:val="111111"/>
                <w:sz w:val="24"/>
                <w:szCs w:val="24"/>
                <w:highlight w:val="white"/>
              </w:rPr>
              <w:t xml:space="preserve"> on the current base of subscribers with bundles, advertising-supported access and better content attractions.</w:t>
            </w:r>
          </w:p>
        </w:tc>
        <w:tc>
          <w:tcPr>
            <w:tcW w:w="5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The streaming business (Q4 2025) of Disney made US 352 million and the Disney plus Hulu gained 12.5 million subscribers to get 196 million (thewaltdisneycompany.com, 2026a).</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This implies that penetration of the existing market is working, but most of the expansion is on price and bundling as opposed to naked platform loyalty.</w:t>
            </w:r>
          </w:p>
        </w:tc>
      </w:tr>
      <w:tr>
        <w:tblPrEx/>
        <w:trPr>
          <w:trHeight w:val="2120" w:hRule="atLeast"/>
        </w:trPr>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Market development</w:t>
            </w:r>
          </w:p>
        </w:tc>
        <w:tc>
          <w:tcPr>
            <w:tcW w:w="2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Reach new customer groups with </w:t>
            </w:r>
            <w:r>
              <w:rPr>
                <w:rFonts w:ascii="Times New Roman" w:cs="Times New Roman" w:eastAsia="Times New Roman" w:hAnsi="Times New Roman"/>
                <w:color w:val="111111"/>
                <w:sz w:val="24"/>
                <w:szCs w:val="24"/>
                <w:highlight w:val="white"/>
              </w:rPr>
              <w:t>direct to consumer</w:t>
            </w:r>
            <w:r>
              <w:rPr>
                <w:rFonts w:ascii="Times New Roman" w:cs="Times New Roman" w:eastAsia="Times New Roman" w:hAnsi="Times New Roman"/>
                <w:color w:val="111111"/>
                <w:sz w:val="24"/>
                <w:szCs w:val="24"/>
                <w:highlight w:val="white"/>
              </w:rPr>
              <w:t xml:space="preserve"> sports streaming.</w:t>
            </w:r>
          </w:p>
        </w:tc>
        <w:tc>
          <w:tcPr>
            <w:tcW w:w="5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ESPN will introduce a </w:t>
            </w:r>
            <w:r>
              <w:rPr>
                <w:rFonts w:ascii="Times New Roman" w:cs="Times New Roman" w:eastAsia="Times New Roman" w:hAnsi="Times New Roman"/>
                <w:color w:val="111111"/>
                <w:sz w:val="24"/>
                <w:szCs w:val="24"/>
                <w:highlight w:val="white"/>
              </w:rPr>
              <w:t>direct to consumer</w:t>
            </w:r>
            <w:r>
              <w:rPr>
                <w:rFonts w:ascii="Times New Roman" w:cs="Times New Roman" w:eastAsia="Times New Roman" w:hAnsi="Times New Roman"/>
                <w:color w:val="111111"/>
                <w:sz w:val="24"/>
                <w:szCs w:val="24"/>
                <w:highlight w:val="white"/>
              </w:rPr>
              <w:t xml:space="preserve"> service on 21 August 2025 at US $29.99 /month and ESPN will be the one-stop-home of all WWE activities including WrestleMania beginning in 2026 (Yoder, 2025).</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It is typical market development Disney is venturing a well-established media brand into a more sports-focused streaming market.</w:t>
            </w:r>
          </w:p>
        </w:tc>
      </w:tr>
      <w:tr>
        <w:tblPrEx/>
        <w:trPr>
          <w:trHeight w:val="2120" w:hRule="atLeast"/>
        </w:trPr>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Product development</w:t>
            </w:r>
          </w:p>
        </w:tc>
        <w:tc>
          <w:tcPr>
            <w:tcW w:w="2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Expand the streaming service by combining Disney+, Hulu and ESPN into a single more durable digital product.</w:t>
            </w:r>
          </w:p>
        </w:tc>
        <w:tc>
          <w:tcPr>
            <w:tcW w:w="5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The fiscal Q1 2026 of Disney reports a total revenue of </w:t>
            </w:r>
            <w:r>
              <w:rPr>
                <w:rFonts w:ascii="Times New Roman" w:cs="Times New Roman" w:eastAsia="Times New Roman" w:hAnsi="Times New Roman"/>
                <w:color w:val="111111"/>
                <w:sz w:val="24"/>
                <w:szCs w:val="24"/>
                <w:highlight w:val="white"/>
              </w:rPr>
              <w:t>11.2 in 2025</w:t>
            </w:r>
            <w:r>
              <w:rPr>
                <w:rFonts w:ascii="Times New Roman" w:cs="Times New Roman" w:eastAsia="Times New Roman" w:hAnsi="Times New Roman"/>
                <w:color w:val="111111"/>
                <w:sz w:val="24"/>
                <w:szCs w:val="24"/>
                <w:highlight w:val="white"/>
              </w:rPr>
              <w:t>, with the Entertainment amounting to US dollar 11.609 billion, Sports to US dollar 4.909 billion, and Experiences amounting to US dollar 10.006 billion (Thewaltdisneycompany.com, 2026b</w:t>
            </w:r>
            <w:r>
              <w:rPr>
                <w:rFonts w:ascii="Times New Roman" w:cs="Times New Roman" w:eastAsia="Times New Roman" w:hAnsi="Times New Roman"/>
                <w:color w:val="111111"/>
                <w:sz w:val="24"/>
                <w:szCs w:val="24"/>
                <w:highlight w:val="white"/>
              </w:rPr>
              <w:t xml:space="preserve">: </w:t>
            </w:r>
            <w:r>
              <w:rPr>
                <w:rFonts w:ascii="Times New Roman" w:cs="Times New Roman" w:eastAsia="Times New Roman" w:hAnsi="Times New Roman"/>
                <w:color w:val="111111"/>
                <w:sz w:val="24"/>
                <w:szCs w:val="24"/>
                <w:highlight w:val="white"/>
              </w:rPr>
              <w:t>Pandey</w:t>
            </w:r>
            <w:r>
              <w:rPr>
                <w:rFonts w:ascii="Times New Roman" w:cs="Times New Roman" w:eastAsia="Times New Roman" w:hAnsi="Times New Roman"/>
                <w:color w:val="111111"/>
                <w:sz w:val="24"/>
                <w:szCs w:val="24"/>
                <w:highlight w:val="white"/>
              </w:rPr>
              <w:t>, 2024</w:t>
            </w:r>
            <w:r>
              <w:rPr>
                <w:rFonts w:ascii="Times New Roman" w:cs="Times New Roman" w:eastAsia="Times New Roman" w:hAnsi="Times New Roman"/>
                <w:color w:val="111111"/>
                <w:sz w:val="24"/>
                <w:szCs w:val="24"/>
                <w:highlight w:val="white"/>
              </w:rPr>
              <w:t>).</w:t>
            </w:r>
            <w:r>
              <w:rPr>
                <w:rFonts w:ascii="Times New Roman" w:cs="Times New Roman" w:eastAsia="Times New Roman" w:hAnsi="Times New Roman"/>
                <w:sz w:val="24"/>
                <w:szCs w:val="24"/>
                <w:highlight w:val="white"/>
              </w:rPr>
              <w:t xml:space="preserve"> </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noProof/>
                <w:sz w:val="24"/>
                <w:szCs w:val="24"/>
              </w:rPr>
              <w:drawing>
                <wp:inline distL="0" distT="0" distB="0" distR="0">
                  <wp:extent cx="3099435" cy="1768475"/>
                  <wp:effectExtent l="0" t="0" r="5715" b="3175"/>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3099435" cy="1768475"/>
                          </a:xfrm>
                          <a:prstGeom prst="rect"/>
                        </pic:spPr>
                      </pic:pic>
                    </a:graphicData>
                  </a:graphic>
                </wp:inline>
              </w:drawing>
            </w:r>
          </w:p>
          <w:p>
            <w:pPr>
              <w:pStyle w:val="style0"/>
              <w:spacing w:before="240" w:after="240" w:lineRule="auto" w:line="360"/>
              <w:jc w:val="center"/>
              <w:rPr>
                <w:rFonts w:ascii="Times New Roman" w:cs="Times New Roman" w:eastAsia="Times New Roman" w:hAnsi="Times New Roman"/>
                <w:b/>
                <w:bCs/>
                <w:sz w:val="24"/>
                <w:szCs w:val="24"/>
                <w:highlight w:val="white"/>
              </w:rPr>
            </w:pPr>
            <w:r>
              <w:rPr>
                <w:rFonts w:ascii="Times New Roman" w:cs="Times New Roman" w:eastAsia="Times New Roman" w:hAnsi="Times New Roman"/>
                <w:b/>
                <w:bCs/>
                <w:sz w:val="24"/>
                <w:szCs w:val="24"/>
                <w:highlight w:val="white"/>
              </w:rPr>
              <w:t>Figure 3: Disney plus revenue</w:t>
            </w:r>
          </w:p>
          <w:p>
            <w:pPr>
              <w:pStyle w:val="style0"/>
              <w:spacing w:before="240" w:after="240" w:lineRule="auto" w:line="360"/>
              <w:jc w:val="center"/>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(Source: </w:t>
            </w:r>
            <w:r>
              <w:rPr>
                <w:rFonts w:ascii="Times New Roman" w:cs="Times New Roman" w:eastAsia="Times New Roman" w:hAnsi="Times New Roman"/>
                <w:sz w:val="24"/>
                <w:szCs w:val="24"/>
                <w:highlight w:val="white"/>
              </w:rPr>
              <w:t>Pandey</w:t>
            </w:r>
            <w:r>
              <w:rPr>
                <w:rFonts w:ascii="Times New Roman" w:cs="Times New Roman" w:eastAsia="Times New Roman" w:hAnsi="Times New Roman"/>
                <w:sz w:val="24"/>
                <w:szCs w:val="24"/>
                <w:highlight w:val="white"/>
              </w:rPr>
              <w:t>, 2024)</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What is meant here, though, is that these are streaming-only numbers, Disney can continue to invest in streaming due to the scale this is creating by its larger portfolio.</w:t>
            </w:r>
          </w:p>
        </w:tc>
      </w:tr>
      <w:tr>
        <w:tblPrEx/>
        <w:trPr>
          <w:trHeight w:val="2120" w:hRule="atLeast"/>
        </w:trPr>
        <w:tc>
          <w:tcPr>
            <w:tcW w:w="18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b/>
                <w:bCs/>
                <w:sz w:val="24"/>
                <w:szCs w:val="24"/>
                <w:highlight w:val="white"/>
              </w:rPr>
              <w:t>Diversification</w:t>
            </w:r>
          </w:p>
        </w:tc>
        <w:tc>
          <w:tcPr>
            <w:tcW w:w="24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 xml:space="preserve">Leverage the broader Disney ecosystem to video streaming and </w:t>
            </w:r>
            <w:r>
              <w:rPr>
                <w:rFonts w:ascii="Times New Roman" w:cs="Times New Roman" w:eastAsia="Times New Roman" w:hAnsi="Times New Roman"/>
                <w:color w:val="111111"/>
                <w:sz w:val="24"/>
                <w:szCs w:val="24"/>
                <w:highlight w:val="white"/>
              </w:rPr>
              <w:t>minimise</w:t>
            </w:r>
            <w:r>
              <w:rPr>
                <w:rFonts w:ascii="Times New Roman" w:cs="Times New Roman" w:eastAsia="Times New Roman" w:hAnsi="Times New Roman"/>
                <w:color w:val="111111"/>
                <w:sz w:val="24"/>
                <w:szCs w:val="24"/>
                <w:highlight w:val="white"/>
              </w:rPr>
              <w:t xml:space="preserve"> reliance on a single income source.</w:t>
            </w:r>
          </w:p>
        </w:tc>
        <w:tc>
          <w:tcPr>
            <w:tcW w:w="50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According to the 2025 annual report, Disney+ provides ad-free and ad-supported services in both markets, and most of the Disney Direct-to-Consumer revenue is generated through subscription and advertising (thewaltdisneycompany.com, 2025).</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This demonstrates that Disney is creating diversified streaming </w:t>
            </w:r>
            <w:r>
              <w:rPr>
                <w:rFonts w:ascii="Times New Roman" w:cs="Times New Roman" w:eastAsia="Times New Roman" w:hAnsi="Times New Roman"/>
                <w:color w:val="111111"/>
                <w:sz w:val="24"/>
                <w:szCs w:val="24"/>
                <w:highlight w:val="white"/>
              </w:rPr>
              <w:t>monetisation</w:t>
            </w:r>
            <w:r>
              <w:rPr>
                <w:rFonts w:ascii="Times New Roman" w:cs="Times New Roman" w:eastAsia="Times New Roman" w:hAnsi="Times New Roman"/>
                <w:color w:val="111111"/>
                <w:sz w:val="24"/>
                <w:szCs w:val="24"/>
                <w:highlight w:val="white"/>
              </w:rPr>
              <w:t xml:space="preserve"> base, as opposed to a single format.</w:t>
            </w:r>
          </w:p>
        </w:tc>
      </w:tr>
    </w:tbl>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color w:val="111111"/>
          <w:sz w:val="24"/>
          <w:szCs w:val="24"/>
          <w:highlight w:val="white"/>
        </w:rPr>
        <w:t>Disney + adapts effectively, although its approach is more defensive as compared to Netflix.</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Networks: Netflix takes advantage of Ansoff to expand out to new forms and models and revenue streams, while Disney takes advantage of Ansoff to expand within its ecosystem to make the corporate portfolio more profitable.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The market penetration and market development, in particular, </w:t>
      </w:r>
      <w:r>
        <w:rPr>
          <w:rFonts w:ascii="Times New Roman" w:cs="Times New Roman" w:eastAsia="Times New Roman" w:hAnsi="Times New Roman"/>
          <w:color w:val="111111"/>
          <w:sz w:val="24"/>
          <w:szCs w:val="24"/>
          <w:highlight w:val="white"/>
        </w:rPr>
        <w:t>with bundles and ESPN streaming, are the most robust moves by Disney.</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Its greatest flaw is that it is relying more on costly content and cross-brand integration instead of a single dominant platform effect to grow.</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That renders the strategy of Disney unsustainable as compared to that of Netflix.</w:t>
      </w:r>
    </w:p>
    <w:bookmarkStart w:id="23" w:name="_Toc225516892"/>
    <w:p>
      <w:pPr>
        <w:pStyle w:val="style1"/>
        <w:rPr>
          <w:highlight w:val="white"/>
        </w:rPr>
      </w:pPr>
      <w:r>
        <w:rPr>
          <w:highlight w:val="white"/>
        </w:rPr>
        <w:t>Conclusion</w:t>
      </w:r>
      <w:bookmarkEnd w:id="23"/>
    </w:p>
    <w:p>
      <w:pPr>
        <w:pStyle w:val="style0"/>
        <w:spacing w:before="240" w:after="240" w:lineRule="auto" w:line="360"/>
        <w:jc w:val="both"/>
        <w:rPr>
          <w:rFonts w:ascii="Times New Roman" w:cs="Times New Roman" w:eastAsia="Times New Roman" w:hAnsi="Times New Roman"/>
          <w:color w:val="111111"/>
          <w:sz w:val="24"/>
          <w:szCs w:val="24"/>
          <w:highlight w:val="white"/>
        </w:rPr>
      </w:pPr>
      <w:r>
        <w:rPr>
          <w:rFonts w:ascii="Times New Roman" w:cs="Times New Roman" w:eastAsia="Times New Roman" w:hAnsi="Times New Roman"/>
          <w:color w:val="111111"/>
          <w:sz w:val="24"/>
          <w:szCs w:val="24"/>
          <w:highlight w:val="white"/>
        </w:rPr>
        <w:t>It can be concluded that the subscription video streaming business is determined by the vibrant macro-environmental forces, especially the economic and technological ones directly affecting the competition positioning.</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It can be </w:t>
      </w:r>
      <w:r>
        <w:rPr>
          <w:rFonts w:ascii="Times New Roman" w:cs="Times New Roman" w:eastAsia="Times New Roman" w:hAnsi="Times New Roman"/>
          <w:color w:val="111111"/>
          <w:sz w:val="24"/>
          <w:szCs w:val="24"/>
          <w:highlight w:val="white"/>
        </w:rPr>
        <w:t>analysed</w:t>
      </w:r>
      <w:r>
        <w:rPr>
          <w:rFonts w:ascii="Times New Roman" w:cs="Times New Roman" w:eastAsia="Times New Roman" w:hAnsi="Times New Roman"/>
          <w:color w:val="111111"/>
          <w:sz w:val="24"/>
          <w:szCs w:val="24"/>
          <w:highlight w:val="white"/>
        </w:rPr>
        <w:t xml:space="preserve"> that Netflix being a pioneering </w:t>
      </w:r>
      <w:r>
        <w:rPr>
          <w:rFonts w:ascii="Times New Roman" w:cs="Times New Roman" w:eastAsia="Times New Roman" w:hAnsi="Times New Roman"/>
          <w:color w:val="111111"/>
          <w:sz w:val="24"/>
          <w:szCs w:val="24"/>
          <w:highlight w:val="white"/>
        </w:rPr>
        <w:t>organisation</w:t>
      </w:r>
      <w:r>
        <w:rPr>
          <w:rFonts w:ascii="Times New Roman" w:cs="Times New Roman" w:eastAsia="Times New Roman" w:hAnsi="Times New Roman"/>
          <w:color w:val="111111"/>
          <w:sz w:val="24"/>
          <w:szCs w:val="24"/>
          <w:highlight w:val="white"/>
        </w:rPr>
        <w:t xml:space="preserve"> is at a better place to transform the external pressure into a strategic benefit due to its scale, pricing flexibility and the ability to implement technological innovations at a very high rate.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Its aggressive exploitation of ad-centric models, live, and platform expansion indicates a growth focus policy in the future.</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 xml:space="preserve">By contrast, a less acquisitive and more defensive and ecosystem-focused approach is evident in Disney + as a follower </w:t>
      </w:r>
      <w:r>
        <w:rPr>
          <w:rFonts w:ascii="Times New Roman" w:cs="Times New Roman" w:eastAsia="Times New Roman" w:hAnsi="Times New Roman"/>
          <w:color w:val="111111"/>
          <w:sz w:val="24"/>
          <w:szCs w:val="24"/>
          <w:highlight w:val="white"/>
        </w:rPr>
        <w:t>organisation</w:t>
      </w:r>
      <w:r>
        <w:rPr>
          <w:rFonts w:ascii="Times New Roman" w:cs="Times New Roman" w:eastAsia="Times New Roman" w:hAnsi="Times New Roman"/>
          <w:color w:val="111111"/>
          <w:sz w:val="24"/>
          <w:szCs w:val="24"/>
          <w:highlight w:val="white"/>
        </w:rPr>
        <w:t>, with bundling, robust content franchises, and integration with more peripheral business units to keep pace with competition.</w:t>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color w:val="111111"/>
          <w:sz w:val="24"/>
          <w:szCs w:val="24"/>
          <w:highlight w:val="white"/>
        </w:rPr>
        <w:t>Disney+ is achieving profitability growth and adjusting to changes in the market better than it was but still is still smaller and more reliant on its broader corporate consumer base.</w:t>
      </w:r>
      <w:r>
        <w:br w:type="page"/>
      </w:r>
    </w:p>
    <w:bookmarkStart w:id="24" w:name="_Toc225516893"/>
    <w:p>
      <w:pPr>
        <w:pStyle w:val="style1"/>
        <w:rPr>
          <w:highlight w:val="white"/>
        </w:rPr>
      </w:pPr>
      <w:r>
        <w:rPr>
          <w:highlight w:val="white"/>
        </w:rPr>
        <w:t>References</w:t>
      </w:r>
      <w:bookmarkEnd w:id="24"/>
      <w:r>
        <w:rPr>
          <w:highlight w:val="white"/>
        </w:rPr>
        <w:t xml:space="preserve"> </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Butts, D. (2025). </w:t>
      </w:r>
      <w:r>
        <w:rPr>
          <w:rFonts w:ascii="Times New Roman" w:cs="Times New Roman" w:eastAsia="Times New Roman" w:hAnsi="Times New Roman"/>
          <w:i/>
          <w:iCs/>
          <w:color w:val="222222"/>
          <w:sz w:val="24"/>
          <w:szCs w:val="24"/>
          <w:highlight w:val="white"/>
        </w:rPr>
        <w:t>Netflix ‘all in’ on leveraging AI as the tech creeps into entertainment industry</w:t>
      </w:r>
      <w:r>
        <w:rPr>
          <w:rFonts w:ascii="Times New Roman" w:cs="Times New Roman" w:eastAsia="Times New Roman" w:hAnsi="Times New Roman"/>
          <w:color w:val="222222"/>
          <w:sz w:val="24"/>
          <w:szCs w:val="24"/>
          <w:highlight w:val="white"/>
        </w:rPr>
        <w:t xml:space="preserve">. [online] CNBC. Available at: </w:t>
      </w:r>
      <w:r>
        <w:rPr/>
        <w:fldChar w:fldCharType="begin"/>
      </w:r>
      <w:r>
        <w:instrText xml:space="preserve"> HYPERLINK "https://www.cnbc.com/2025/10/22/netflix-all-in-on-leveraging-ai-in-its-streaming-platform.html" \l ":~:text=Netflix%20'all%20in'%20on%20leveraging%20AI%20as%20the,tech%20creeps%20into%20entertainment%20industry&amp;text=Netflix%20says%20that%20generative%20AI,and%20movies%20and%20TV%20content" </w:instrText>
      </w:r>
      <w:r>
        <w:rPr/>
        <w:fldChar w:fldCharType="separate"/>
      </w:r>
      <w:r>
        <w:rPr>
          <w:rFonts w:ascii="Times New Roman" w:cs="Times New Roman" w:eastAsia="Times New Roman" w:hAnsi="Times New Roman"/>
          <w:color w:val="1155cc"/>
          <w:sz w:val="24"/>
          <w:szCs w:val="24"/>
          <w:highlight w:val="white"/>
          <w:u w:val="single"/>
        </w:rPr>
        <w:t>https://www.cnbc.com/2025/10/22/netflix-all-in-on-leveraging-ai-in-its-streaming-platform.html#:~:text=Netflix%20'all%20in'%20on%20leveraging%20AI%20as%20the,tech%20creeps%20into%20entertainment%20industry&amp;text=Netflix%20says%20that%20generative%20AI,and%20movies%20and%20TV%20content</w:t>
      </w:r>
      <w:r>
        <w:rPr/>
        <w:fldChar w:fldCharType="end"/>
      </w:r>
      <w:r>
        <w:rPr>
          <w:rFonts w:ascii="Times New Roman" w:cs="Times New Roman" w:eastAsia="Times New Roman" w:hAnsi="Times New Roman"/>
          <w:color w:val="222222"/>
          <w:sz w:val="24"/>
          <w:szCs w:val="24"/>
          <w:highlight w:val="white"/>
        </w:rPr>
        <w:t xml:space="preserve"> . [Accessed 27 Mar. 2026].</w:t>
      </w:r>
    </w:p>
    <w:p>
      <w:pPr>
        <w:pStyle w:val="style0"/>
        <w:spacing w:before="240" w:after="240" w:lineRule="auto" w:line="360"/>
        <w:jc w:val="both"/>
        <w:rPr>
          <w:rFonts w:ascii="Times New Roman" w:cs="Times New Roman" w:eastAsia="Times New Roman" w:hAnsi="Times New Roman"/>
          <w:sz w:val="24"/>
          <w:szCs w:val="24"/>
          <w:highlight w:val="white"/>
          <w:lang w:val="en-US"/>
        </w:rPr>
      </w:pPr>
      <w:r>
        <w:rPr>
          <w:rFonts w:ascii="Times New Roman" w:cs="Times New Roman" w:eastAsia="Times New Roman" w:hAnsi="Times New Roman"/>
          <w:sz w:val="24"/>
          <w:szCs w:val="24"/>
          <w:highlight w:val="white"/>
          <w:lang w:val="en-US"/>
        </w:rPr>
        <w:t xml:space="preserve">Clark, P. (2025). Nearly half of ad-supported TV viewing is streaming. [online] EMARKETER. Available at: </w:t>
      </w:r>
      <w:r>
        <w:rPr/>
        <w:fldChar w:fldCharType="begin"/>
      </w:r>
      <w:r>
        <w:instrText xml:space="preserve"> HYPERLINK "https://www.emarketer.com/content/nearly-half-of-ad-supported-tv-viewing-streaming" </w:instrText>
      </w:r>
      <w:r>
        <w:rPr/>
        <w:fldChar w:fldCharType="separate"/>
      </w:r>
      <w:r>
        <w:rPr>
          <w:rStyle w:val="style85"/>
          <w:rFonts w:ascii="Times New Roman" w:cs="Times New Roman" w:eastAsia="Times New Roman" w:hAnsi="Times New Roman"/>
          <w:sz w:val="24"/>
          <w:szCs w:val="24"/>
          <w:highlight w:val="white"/>
          <w:lang w:val="en-US"/>
        </w:rPr>
        <w:t>https://www.emarketer.com/content/nearly-half-of-ad-supported-tv-viewing-streaming</w:t>
      </w:r>
      <w:r>
        <w:rPr/>
        <w:fldChar w:fldCharType="end"/>
      </w:r>
      <w:r>
        <w:rPr>
          <w:rFonts w:ascii="Times New Roman" w:cs="Times New Roman" w:eastAsia="Times New Roman" w:hAnsi="Times New Roman"/>
          <w:sz w:val="24"/>
          <w:szCs w:val="24"/>
          <w:highlight w:val="white"/>
          <w:lang w:val="en-US"/>
        </w:rPr>
        <w:t xml:space="preserve"> </w:t>
      </w:r>
      <w:r>
        <w:rPr>
          <w:rFonts w:ascii="Times New Roman" w:cs="Times New Roman" w:eastAsia="Times New Roman" w:hAnsi="Times New Roman"/>
          <w:sz w:val="24"/>
          <w:szCs w:val="24"/>
          <w:highlight w:val="white"/>
          <w:lang w:val="en-US"/>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deloitte.com. (2026). </w:t>
      </w:r>
      <w:r>
        <w:rPr>
          <w:rFonts w:ascii="Times New Roman" w:cs="Times New Roman" w:eastAsia="Times New Roman" w:hAnsi="Times New Roman"/>
          <w:i/>
          <w:iCs/>
          <w:color w:val="222222"/>
          <w:sz w:val="24"/>
          <w:szCs w:val="24"/>
          <w:highlight w:val="white"/>
        </w:rPr>
        <w:t>Digital Media Monitor</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"https://www.deloitte.com/us/en/insights/industry/technology/digital-media-trends-consumption-habits-survey/digital-media-monitor-dashboard.html" </w:instrText>
      </w:r>
      <w:r>
        <w:rPr/>
        <w:fldChar w:fldCharType="separate"/>
      </w:r>
      <w:r>
        <w:rPr>
          <w:rFonts w:ascii="Times New Roman" w:cs="Times New Roman" w:eastAsia="Times New Roman" w:hAnsi="Times New Roman"/>
          <w:color w:val="1155cc"/>
          <w:sz w:val="24"/>
          <w:szCs w:val="24"/>
          <w:highlight w:val="white"/>
          <w:u w:val="single"/>
        </w:rPr>
        <w:t>https://www.deloitte.com/us/en/insights/industry/technology/digital-media-trends-consumption-habits-survey/digital-media-monitor-dashboard.html</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europa.eu. (2025). </w:t>
      </w:r>
      <w:r>
        <w:rPr>
          <w:rFonts w:ascii="Times New Roman" w:cs="Times New Roman" w:eastAsia="Times New Roman" w:hAnsi="Times New Roman"/>
          <w:i/>
          <w:iCs/>
          <w:color w:val="222222"/>
          <w:sz w:val="24"/>
          <w:szCs w:val="24"/>
          <w:highlight w:val="white"/>
        </w:rPr>
        <w:t>The impact of the Digital Services Act on digital platforms</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"https://digital-strategy.ec.europa.eu/en/policies/dsa-impact-platforms" </w:instrText>
      </w:r>
      <w:r>
        <w:rPr/>
        <w:fldChar w:fldCharType="separate"/>
      </w:r>
      <w:r>
        <w:rPr>
          <w:rFonts w:ascii="Times New Roman" w:cs="Times New Roman" w:eastAsia="Times New Roman" w:hAnsi="Times New Roman"/>
          <w:color w:val="1155cc"/>
          <w:sz w:val="24"/>
          <w:szCs w:val="24"/>
          <w:highlight w:val="white"/>
          <w:u w:val="single"/>
        </w:rPr>
        <w:t>https://digital-strategy.ec.europa.eu/en/policies/dsa-impact-platforms</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finshots.in. (2025). </w:t>
      </w:r>
      <w:r>
        <w:rPr>
          <w:rFonts w:ascii="Times New Roman" w:cs="Times New Roman" w:eastAsia="Times New Roman" w:hAnsi="Times New Roman"/>
          <w:i/>
          <w:iCs/>
          <w:color w:val="222222"/>
          <w:sz w:val="24"/>
          <w:szCs w:val="24"/>
          <w:highlight w:val="white"/>
        </w:rPr>
        <w:t>Why is Netflix betting big on WWE LIVE events?</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"https://finshots.in/archive/why-is-netflix-betting-big-on-wwe-live-events/" </w:instrText>
      </w:r>
      <w:r>
        <w:rPr/>
        <w:fldChar w:fldCharType="separate"/>
      </w:r>
      <w:r>
        <w:rPr>
          <w:rFonts w:ascii="Times New Roman" w:cs="Times New Roman" w:eastAsia="Times New Roman" w:hAnsi="Times New Roman"/>
          <w:color w:val="1155cc"/>
          <w:sz w:val="24"/>
          <w:szCs w:val="24"/>
          <w:highlight w:val="white"/>
          <w:u w:val="single"/>
        </w:rPr>
        <w:t>https://finshots.in/archive/why-is-netflix-betting-big-on-wwe-live-events/</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Lee, W. (2024). </w:t>
      </w:r>
      <w:r>
        <w:rPr>
          <w:rFonts w:ascii="Times New Roman" w:cs="Times New Roman" w:eastAsia="Times New Roman" w:hAnsi="Times New Roman"/>
          <w:i/>
          <w:iCs/>
          <w:color w:val="222222"/>
          <w:sz w:val="24"/>
          <w:szCs w:val="24"/>
          <w:highlight w:val="white"/>
        </w:rPr>
        <w:t>Netflix adds 13 million subscribers, extending streaming lead</w:t>
      </w:r>
      <w:r>
        <w:rPr>
          <w:rFonts w:ascii="Times New Roman" w:cs="Times New Roman" w:eastAsia="Times New Roman" w:hAnsi="Times New Roman"/>
          <w:color w:val="222222"/>
          <w:sz w:val="24"/>
          <w:szCs w:val="24"/>
          <w:highlight w:val="white"/>
        </w:rPr>
        <w:t xml:space="preserve">. [online] Los Angeles Times. Available at: </w:t>
      </w:r>
      <w:r>
        <w:rPr/>
        <w:fldChar w:fldCharType="begin"/>
      </w:r>
      <w:r>
        <w:instrText xml:space="preserve"> HYPERLINK "https://www.latimes.com/entertainment-arts/business/story/2024-01-23/netflix-adds-13-million-subscribers-extending-its-lead-in-streaming" </w:instrText>
      </w:r>
      <w:r>
        <w:rPr/>
        <w:fldChar w:fldCharType="separate"/>
      </w:r>
      <w:r>
        <w:rPr>
          <w:rFonts w:ascii="Times New Roman" w:cs="Times New Roman" w:eastAsia="Times New Roman" w:hAnsi="Times New Roman"/>
          <w:color w:val="1155cc"/>
          <w:sz w:val="24"/>
          <w:szCs w:val="24"/>
          <w:highlight w:val="white"/>
          <w:u w:val="single"/>
        </w:rPr>
        <w:t>https://www.latimes.com/entertainment-arts/business/story/2024-01-23/netflix-adds-13-million-subscribers-extending-its-lead-in-streaming</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Maheshwari, D. (2026). </w:t>
      </w:r>
      <w:r>
        <w:rPr>
          <w:rFonts w:ascii="Times New Roman" w:cs="Times New Roman" w:eastAsia="Times New Roman" w:hAnsi="Times New Roman"/>
          <w:i/>
          <w:iCs/>
          <w:color w:val="222222"/>
          <w:sz w:val="24"/>
          <w:szCs w:val="24"/>
          <w:highlight w:val="white"/>
        </w:rPr>
        <w:t>Netflix Ended 2025 With a Mammoth Subscriber Total</w:t>
      </w:r>
      <w:r>
        <w:rPr>
          <w:rFonts w:ascii="Times New Roman" w:cs="Times New Roman" w:eastAsia="Times New Roman" w:hAnsi="Times New Roman"/>
          <w:color w:val="222222"/>
          <w:sz w:val="24"/>
          <w:szCs w:val="24"/>
          <w:highlight w:val="white"/>
        </w:rPr>
        <w:t xml:space="preserve">. [online] Yahoo Finance. Available at: </w:t>
      </w:r>
      <w:r>
        <w:rPr/>
        <w:fldChar w:fldCharType="begin"/>
      </w:r>
      <w:r>
        <w:instrText xml:space="preserve"> HYPERLINK "https://finance.yahoo.com/news/netflix-ended-2025-mammoth-subscriber-123554916.html" </w:instrText>
      </w:r>
      <w:r>
        <w:rPr/>
        <w:fldChar w:fldCharType="separate"/>
      </w:r>
      <w:r>
        <w:rPr>
          <w:rFonts w:ascii="Times New Roman" w:cs="Times New Roman" w:eastAsia="Times New Roman" w:hAnsi="Times New Roman"/>
          <w:color w:val="1155cc"/>
          <w:sz w:val="24"/>
          <w:szCs w:val="24"/>
          <w:highlight w:val="white"/>
          <w:u w:val="single"/>
        </w:rPr>
        <w:t>https://finance.yahoo.com/news/netflix-ended-2025-mammoth-subscriber-123554916.html</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nielsen.com. (2025). </w:t>
      </w:r>
      <w:r>
        <w:rPr>
          <w:rFonts w:ascii="Times New Roman" w:cs="Times New Roman" w:eastAsia="Times New Roman" w:hAnsi="Times New Roman"/>
          <w:i/>
          <w:iCs/>
          <w:color w:val="222222"/>
          <w:sz w:val="24"/>
          <w:szCs w:val="24"/>
          <w:highlight w:val="white"/>
        </w:rPr>
        <w:t>Connected TV is transforming advertising</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"https://www.nielsen.com/insights/2025/connected-tv-transforming-advertising-trends/" </w:instrText>
      </w:r>
      <w:r>
        <w:rPr/>
        <w:fldChar w:fldCharType="separate"/>
      </w:r>
      <w:r>
        <w:rPr>
          <w:rFonts w:ascii="Times New Roman" w:cs="Times New Roman" w:eastAsia="Times New Roman" w:hAnsi="Times New Roman"/>
          <w:color w:val="1155cc"/>
          <w:sz w:val="24"/>
          <w:szCs w:val="24"/>
          <w:highlight w:val="white"/>
          <w:u w:val="single"/>
        </w:rPr>
        <w:t>https://www.nielsen.com/insights/2025/connected-tv-transforming-advertising-trends/</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rPr>
        <w:t xml:space="preserve">Pandey, M. (2024). </w:t>
      </w:r>
      <w:r>
        <w:rPr>
          <w:rFonts w:ascii="Times New Roman" w:cs="Times New Roman" w:eastAsia="Times New Roman" w:hAnsi="Times New Roman"/>
          <w:i/>
          <w:iCs/>
          <w:sz w:val="24"/>
          <w:szCs w:val="24"/>
          <w:highlight w:val="white"/>
        </w:rPr>
        <w:t>Disney Plus Revenue and Usage Statistics 2025 | Priori Data</w:t>
      </w:r>
      <w:r>
        <w:rPr>
          <w:rFonts w:ascii="Times New Roman" w:cs="Times New Roman" w:eastAsia="Times New Roman" w:hAnsi="Times New Roman"/>
          <w:sz w:val="24"/>
          <w:szCs w:val="24"/>
          <w:highlight w:val="white"/>
        </w:rPr>
        <w:t xml:space="preserve">. [online] Priori Data. Available at: </w:t>
      </w:r>
      <w:r>
        <w:rPr/>
        <w:fldChar w:fldCharType="begin"/>
      </w:r>
      <w:r>
        <w:instrText xml:space="preserve"> HYPERLINK "https://prioridata.com/data/disney-plus-revenue-statistics/" </w:instrText>
      </w:r>
      <w:r>
        <w:rPr/>
        <w:fldChar w:fldCharType="separate"/>
      </w:r>
      <w:r>
        <w:rPr>
          <w:rStyle w:val="style85"/>
          <w:rFonts w:ascii="Times New Roman" w:cs="Times New Roman" w:eastAsia="Times New Roman" w:hAnsi="Times New Roman"/>
          <w:sz w:val="24"/>
          <w:szCs w:val="24"/>
          <w:highlight w:val="white"/>
        </w:rPr>
        <w:t>https://prioridata.com/data/disney-plus-revenue-statistics/</w:t>
      </w:r>
      <w:r>
        <w:rPr/>
        <w:fldChar w:fldCharType="end"/>
      </w:r>
      <w:r>
        <w:rPr>
          <w:rFonts w:ascii="Times New Roman" w:cs="Times New Roman" w:eastAsia="Times New Roman" w:hAnsi="Times New Roman"/>
          <w:sz w:val="24"/>
          <w:szCs w:val="24"/>
          <w:highlight w:val="white"/>
        </w:rPr>
        <w:t xml:space="preserve"> </w:t>
      </w:r>
      <w:r>
        <w:rPr>
          <w:rFonts w:ascii="Times New Roman" w:cs="Times New Roman" w:eastAsia="Times New Roman" w:hAnsi="Times New Roman"/>
          <w:sz w:val="24"/>
          <w:szCs w:val="24"/>
          <w:highlight w:val="white"/>
        </w:rPr>
        <w:t>[Accessed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sz w:val="24"/>
          <w:szCs w:val="24"/>
          <w:highlight w:val="white"/>
        </w:rPr>
        <w:t>q4cdn.com</w:t>
      </w:r>
      <w:r>
        <w:rPr>
          <w:rFonts w:ascii="Times New Roman" w:cs="Times New Roman" w:eastAsia="Times New Roman" w:hAnsi="Times New Roman"/>
          <w:color w:val="222222"/>
          <w:sz w:val="24"/>
          <w:szCs w:val="24"/>
          <w:highlight w:val="white"/>
        </w:rPr>
        <w:t xml:space="preserve"> (2024). UNITED STATES SECURITIES AND EXCHANGE COMMISSION Washington, D.C. 20549 FORM 10-K. Available at: </w:t>
      </w:r>
      <w:r>
        <w:rPr/>
        <w:fldChar w:fldCharType="begin"/>
      </w:r>
      <w:r>
        <w:instrText xml:space="preserve"> HYPERLINK "https://s22.q4cdn.com/959853165/files/doc_financials/2024/ar/Netflix-10-K-01272025.pdf" </w:instrText>
      </w:r>
      <w:r>
        <w:rPr/>
        <w:fldChar w:fldCharType="separate"/>
      </w:r>
      <w:r>
        <w:rPr>
          <w:rFonts w:ascii="Times New Roman" w:cs="Times New Roman" w:eastAsia="Times New Roman" w:hAnsi="Times New Roman"/>
          <w:color w:val="1155cc"/>
          <w:sz w:val="24"/>
          <w:szCs w:val="24"/>
          <w:highlight w:val="white"/>
          <w:u w:val="single"/>
        </w:rPr>
        <w:t>https://s22.q4cdn.com/959853165/files/doc_financials/2024/ar/Netflix-10-K-01272025.pdf</w:t>
      </w:r>
      <w:r>
        <w:rPr/>
        <w:fldChar w:fldCharType="end"/>
      </w:r>
      <w:r>
        <w:rPr>
          <w:rFonts w:ascii="Times New Roman" w:cs="Times New Roman" w:eastAsia="Times New Roman" w:hAnsi="Times New Roman"/>
          <w:color w:val="222222"/>
          <w:sz w:val="24"/>
          <w:szCs w:val="24"/>
          <w:highlight w:val="white"/>
        </w:rPr>
        <w:t xml:space="preserve"> [Accessed on: 27.03.2026]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reuters.com (2026). </w:t>
      </w:r>
      <w:r>
        <w:rPr>
          <w:rFonts w:ascii="Times New Roman" w:cs="Times New Roman" w:eastAsia="Times New Roman" w:hAnsi="Times New Roman"/>
          <w:i/>
          <w:iCs/>
          <w:color w:val="222222"/>
          <w:sz w:val="24"/>
          <w:szCs w:val="24"/>
          <w:highlight w:val="white"/>
        </w:rPr>
        <w:t>Netflix raises subscription prices across all plans in US</w:t>
      </w:r>
      <w:r>
        <w:rPr>
          <w:rFonts w:ascii="Times New Roman" w:cs="Times New Roman" w:eastAsia="Times New Roman" w:hAnsi="Times New Roman"/>
          <w:color w:val="222222"/>
          <w:sz w:val="24"/>
          <w:szCs w:val="24"/>
          <w:highlight w:val="white"/>
        </w:rPr>
        <w:t xml:space="preserve">. [online] Reuters. Available at: </w:t>
      </w:r>
      <w:r>
        <w:rPr/>
        <w:fldChar w:fldCharType="begin"/>
      </w:r>
      <w:r>
        <w:instrText xml:space="preserve"> HYPERLINK "https://www.reuters.com/business/media-telecom/netflix-raises-subscription-prices-across-all-plans-us-2026-03-26/" </w:instrText>
      </w:r>
      <w:r>
        <w:rPr/>
        <w:fldChar w:fldCharType="separate"/>
      </w:r>
      <w:r>
        <w:rPr>
          <w:rFonts w:ascii="Times New Roman" w:cs="Times New Roman" w:eastAsia="Times New Roman" w:hAnsi="Times New Roman"/>
          <w:color w:val="1155cc"/>
          <w:sz w:val="24"/>
          <w:szCs w:val="24"/>
          <w:highlight w:val="white"/>
          <w:u w:val="single"/>
        </w:rPr>
        <w:t>https://www.reuters.com/business/media-telecom/netflix-raises-subscription-prices-across-all-plans-us-2026-03-26/</w:t>
      </w:r>
      <w:r>
        <w:rPr/>
        <w:fldChar w:fldCharType="end"/>
      </w:r>
      <w:r>
        <w:rPr>
          <w:rFonts w:ascii="Times New Roman" w:cs="Times New Roman" w:eastAsia="Times New Roman" w:hAnsi="Times New Roman"/>
          <w:color w:val="222222"/>
          <w:sz w:val="24"/>
          <w:szCs w:val="24"/>
          <w:highlight w:val="white"/>
        </w:rPr>
        <w:t>?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Richwine, L. and Chmielewski, D. (2025). </w:t>
      </w:r>
      <w:r>
        <w:rPr>
          <w:rFonts w:ascii="Times New Roman" w:cs="Times New Roman" w:eastAsia="Times New Roman" w:hAnsi="Times New Roman"/>
          <w:i/>
          <w:iCs/>
          <w:color w:val="222222"/>
          <w:sz w:val="24"/>
          <w:szCs w:val="24"/>
          <w:highlight w:val="white"/>
        </w:rPr>
        <w:t>‘Squid Game’ boosts Netflix quarter, company raises revenue guidance</w:t>
      </w:r>
      <w:r>
        <w:rPr>
          <w:rFonts w:ascii="Times New Roman" w:cs="Times New Roman" w:eastAsia="Times New Roman" w:hAnsi="Times New Roman"/>
          <w:color w:val="222222"/>
          <w:sz w:val="24"/>
          <w:szCs w:val="24"/>
          <w:highlight w:val="white"/>
        </w:rPr>
        <w:t xml:space="preserve">. [online] Reuters. Available at: </w:t>
      </w:r>
      <w:r>
        <w:rPr/>
        <w:fldChar w:fldCharType="begin"/>
      </w:r>
      <w:r>
        <w:instrText xml:space="preserve"> HYPERLINK "https://www.reuters.com/business/squid-game-boosts-netflix-quarter-company-raises-revenue-guidance-2025-07-17/" </w:instrText>
      </w:r>
      <w:r>
        <w:rPr/>
        <w:fldChar w:fldCharType="separate"/>
      </w:r>
      <w:r>
        <w:rPr>
          <w:rFonts w:ascii="Times New Roman" w:cs="Times New Roman" w:eastAsia="Times New Roman" w:hAnsi="Times New Roman"/>
          <w:color w:val="1155cc"/>
          <w:sz w:val="24"/>
          <w:szCs w:val="24"/>
          <w:highlight w:val="white"/>
          <w:u w:val="single"/>
        </w:rPr>
        <w:t>https://www.reuters.com/business/squid-game-boosts-netflix-quarter-company-raises-revenue-guidance-2025-07-17/</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before="240" w:after="240" w:lineRule="auto" w:line="360"/>
        <w:jc w:val="both"/>
        <w:rPr>
          <w:rFonts w:ascii="Times New Roman" w:cs="Times New Roman" w:eastAsia="Times New Roman" w:hAnsi="Times New Roman"/>
          <w:sz w:val="24"/>
          <w:szCs w:val="24"/>
          <w:highlight w:val="white"/>
        </w:rPr>
      </w:pPr>
      <w:r>
        <w:rPr>
          <w:rFonts w:ascii="Times New Roman" w:cs="Times New Roman" w:eastAsia="Times New Roman" w:hAnsi="Times New Roman"/>
          <w:sz w:val="24"/>
          <w:szCs w:val="24"/>
          <w:highlight w:val="white"/>
          <w:lang w:val="en-US"/>
        </w:rPr>
        <w:t>‌</w:t>
      </w:r>
      <w:r>
        <w:rPr>
          <w:rFonts w:ascii="Times New Roman" w:cs="Times New Roman" w:eastAsia="Times New Roman" w:hAnsi="Times New Roman"/>
          <w:sz w:val="24"/>
          <w:szCs w:val="24"/>
          <w:highlight w:val="white"/>
          <w:lang w:val="en-US"/>
        </w:rPr>
        <w:t>Saptakee</w:t>
      </w:r>
      <w:r>
        <w:rPr>
          <w:rFonts w:ascii="Times New Roman" w:cs="Times New Roman" w:eastAsia="Times New Roman" w:hAnsi="Times New Roman"/>
          <w:sz w:val="24"/>
          <w:szCs w:val="24"/>
          <w:highlight w:val="white"/>
          <w:lang w:val="en-US"/>
        </w:rPr>
        <w:t xml:space="preserve"> S (2025). Is Disney’s Net-Zero Game as Strong as Its Revenue Surge? [online] Carbon Credits. Available at: </w:t>
      </w:r>
      <w:r>
        <w:rPr/>
        <w:fldChar w:fldCharType="begin"/>
      </w:r>
      <w:r>
        <w:instrText xml:space="preserve"> HYPERLINK "https://carboncredits.com/is-disneys-net-zero-game-as-strong-as-its-revenue-surge/" </w:instrText>
      </w:r>
      <w:r>
        <w:rPr/>
        <w:fldChar w:fldCharType="separate"/>
      </w:r>
      <w:r>
        <w:rPr>
          <w:rStyle w:val="style85"/>
          <w:rFonts w:ascii="Times New Roman" w:cs="Times New Roman" w:eastAsia="Times New Roman" w:hAnsi="Times New Roman"/>
          <w:sz w:val="24"/>
          <w:szCs w:val="24"/>
          <w:highlight w:val="white"/>
          <w:lang w:val="en-US"/>
        </w:rPr>
        <w:t>https://carboncredits.com/is-disneys-net-zero-game-as-strong-as-its-revenue-surge/</w:t>
      </w:r>
      <w:r>
        <w:rPr/>
        <w:fldChar w:fldCharType="end"/>
      </w:r>
      <w:r>
        <w:rPr>
          <w:rFonts w:ascii="Times New Roman" w:cs="Times New Roman" w:eastAsia="Times New Roman" w:hAnsi="Times New Roman"/>
          <w:sz w:val="24"/>
          <w:szCs w:val="24"/>
          <w:highlight w:val="white"/>
          <w:lang w:val="en-US"/>
        </w:rPr>
        <w:t xml:space="preserve"> </w:t>
      </w:r>
      <w:r>
        <w:rPr>
          <w:rFonts w:ascii="Times New Roman" w:cs="Times New Roman" w:eastAsia="Times New Roman" w:hAnsi="Times New Roman"/>
          <w:sz w:val="24"/>
          <w:szCs w:val="24"/>
          <w:highlight w:val="white"/>
          <w:lang w:val="en-US"/>
        </w:rPr>
        <w:t>[Accessed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scmp.com. (2025). </w:t>
      </w:r>
      <w:r>
        <w:rPr>
          <w:rFonts w:ascii="Times New Roman" w:cs="Times New Roman" w:eastAsia="Times New Roman" w:hAnsi="Times New Roman"/>
          <w:i/>
          <w:iCs/>
          <w:color w:val="222222"/>
          <w:sz w:val="24"/>
          <w:szCs w:val="24"/>
          <w:highlight w:val="white"/>
        </w:rPr>
        <w:t>South China Morning Post</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"https://www.scmp.com/news/world/united-states-canada/article/3335407/netflix-buys-warner-bros-us72-billion-gaining-harry-potter-game-thrones" </w:instrText>
      </w:r>
      <w:r>
        <w:rPr/>
        <w:fldChar w:fldCharType="separate"/>
      </w:r>
      <w:r>
        <w:rPr>
          <w:rFonts w:ascii="Times New Roman" w:cs="Times New Roman" w:eastAsia="Times New Roman" w:hAnsi="Times New Roman"/>
          <w:color w:val="1155cc"/>
          <w:sz w:val="24"/>
          <w:szCs w:val="24"/>
          <w:highlight w:val="white"/>
          <w:u w:val="single"/>
        </w:rPr>
        <w:t>https://www.scmp.com/news/world/united-states-canada/article/3335407/netflix-buys-warner-bros-us72-billion-gaining-harry-potter-game-thrones</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Sec.gov. (2024a). </w:t>
      </w:r>
      <w:r>
        <w:rPr>
          <w:rFonts w:ascii="Times New Roman" w:cs="Times New Roman" w:eastAsia="Times New Roman" w:hAnsi="Times New Roman"/>
          <w:i/>
          <w:iCs/>
          <w:color w:val="222222"/>
          <w:sz w:val="24"/>
          <w:szCs w:val="24"/>
          <w:highlight w:val="white"/>
        </w:rPr>
        <w:t>dis-20240928</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"https://www.sec.gov/Archives/edgar/data/1744489/000174448924000276/dis-20240928.htm" </w:instrText>
      </w:r>
      <w:r>
        <w:rPr/>
        <w:fldChar w:fldCharType="separate"/>
      </w:r>
      <w:r>
        <w:rPr>
          <w:rFonts w:ascii="Times New Roman" w:cs="Times New Roman" w:eastAsia="Times New Roman" w:hAnsi="Times New Roman"/>
          <w:color w:val="1155cc"/>
          <w:sz w:val="24"/>
          <w:szCs w:val="24"/>
          <w:highlight w:val="white"/>
          <w:u w:val="single"/>
        </w:rPr>
        <w:t>https://www.sec.gov/Archives/edgar/data/1744489/000174448924000276/dis-20240928.htm</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Sec.gov. (2024b). </w:t>
      </w:r>
      <w:r>
        <w:rPr>
          <w:rFonts w:ascii="Times New Roman" w:cs="Times New Roman" w:eastAsia="Times New Roman" w:hAnsi="Times New Roman"/>
          <w:i/>
          <w:iCs/>
          <w:color w:val="222222"/>
          <w:sz w:val="24"/>
          <w:szCs w:val="24"/>
          <w:highlight w:val="white"/>
        </w:rPr>
        <w:t>nflx-20241231</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"https://www.sec.gov/Archives/edgar/data/1065280/000106528025000044/nflx-20241231.htm" </w:instrText>
      </w:r>
      <w:r>
        <w:rPr/>
        <w:fldChar w:fldCharType="separate"/>
      </w:r>
      <w:r>
        <w:rPr>
          <w:rFonts w:ascii="Times New Roman" w:cs="Times New Roman" w:eastAsia="Times New Roman" w:hAnsi="Times New Roman"/>
          <w:color w:val="1155cc"/>
          <w:sz w:val="24"/>
          <w:szCs w:val="24"/>
          <w:highlight w:val="white"/>
          <w:u w:val="single"/>
        </w:rPr>
        <w:t>https://www.sec.gov/Archives/edgar/data/1065280/000106528025000044/nflx-20241231.htm</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Spangler, T. (2025). </w:t>
      </w:r>
      <w:r>
        <w:rPr>
          <w:rFonts w:ascii="Times New Roman" w:cs="Times New Roman" w:eastAsia="Times New Roman" w:hAnsi="Times New Roman"/>
          <w:i/>
          <w:iCs/>
          <w:color w:val="222222"/>
          <w:sz w:val="24"/>
          <w:szCs w:val="24"/>
          <w:highlight w:val="white"/>
        </w:rPr>
        <w:t>Netflix Q1 2025 Earnings Beat, Streamer Stops Reporting Subscribers</w:t>
      </w:r>
      <w:r>
        <w:rPr>
          <w:rFonts w:ascii="Times New Roman" w:cs="Times New Roman" w:eastAsia="Times New Roman" w:hAnsi="Times New Roman"/>
          <w:color w:val="222222"/>
          <w:sz w:val="24"/>
          <w:szCs w:val="24"/>
          <w:highlight w:val="white"/>
        </w:rPr>
        <w:t xml:space="preserve">. [online] Variety. Available at: </w:t>
      </w:r>
      <w:r>
        <w:rPr/>
        <w:fldChar w:fldCharType="begin"/>
      </w:r>
      <w:r>
        <w:instrText xml:space="preserve"> HYPERLINK "https://variety.com/2025/tv/news/netflix-q1-2025-earnings-financial-results-subscriber-counts-1236371830/" </w:instrText>
      </w:r>
      <w:r>
        <w:rPr/>
        <w:fldChar w:fldCharType="separate"/>
      </w:r>
      <w:r>
        <w:rPr>
          <w:rFonts w:ascii="Times New Roman" w:cs="Times New Roman" w:eastAsia="Times New Roman" w:hAnsi="Times New Roman"/>
          <w:color w:val="1155cc"/>
          <w:sz w:val="24"/>
          <w:szCs w:val="24"/>
          <w:highlight w:val="white"/>
          <w:u w:val="single"/>
        </w:rPr>
        <w:t>https://variety.com/2025/tv/news/netflix-q1-2025-earnings-financial-results-subscriber-counts-1236371830/</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111111"/>
          <w:sz w:val="24"/>
          <w:szCs w:val="24"/>
          <w:highlight w:val="white"/>
        </w:rPr>
      </w:pPr>
      <w:r>
        <w:rPr>
          <w:rFonts w:ascii="Times New Roman" w:cs="Times New Roman" w:eastAsia="Times New Roman" w:hAnsi="Times New Roman"/>
          <w:color w:val="222222"/>
          <w:sz w:val="24"/>
          <w:szCs w:val="24"/>
          <w:highlight w:val="white"/>
        </w:rPr>
        <w:t xml:space="preserve">thewaltdisneycompany.com (2025). FISCAL YEAR 2025 ANNUAL FINANCIAL REPORT. Available at: </w:t>
      </w:r>
      <w:r>
        <w:rPr/>
        <w:fldChar w:fldCharType="begin"/>
      </w:r>
      <w:r>
        <w:instrText xml:space="preserve"> HYPERLINK "https://investors.thewaltdisneycompany.com/files/doc_financials/2025/ar/2025-Annual-Report.pdf" </w:instrText>
      </w:r>
      <w:r>
        <w:rPr/>
        <w:fldChar w:fldCharType="separate"/>
      </w:r>
      <w:r>
        <w:rPr>
          <w:rFonts w:ascii="Times New Roman" w:cs="Times New Roman" w:eastAsia="Times New Roman" w:hAnsi="Times New Roman"/>
          <w:color w:val="1155cc"/>
          <w:sz w:val="24"/>
          <w:szCs w:val="24"/>
          <w:highlight w:val="white"/>
          <w:u w:val="single"/>
        </w:rPr>
        <w:t>https://investors.thewaltdisneycompany.com/files/doc_financials/2025/ar/2025-Annual-Report.pdf</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thewaltdisneycompany.com 2024. FISCAL YEAR 2024 ANNUAL FINANCIAL REPORT. Available at: </w:t>
      </w:r>
      <w:r>
        <w:rPr/>
        <w:fldChar w:fldCharType="begin"/>
      </w:r>
      <w:r>
        <w:instrText xml:space="preserve"> HYPERLINK "https://thewaltdisneycompany.com/app/uploads/2025/01/2024-Annual-Report.pdf" </w:instrText>
      </w:r>
      <w:r>
        <w:rPr/>
        <w:fldChar w:fldCharType="separate"/>
      </w:r>
      <w:r>
        <w:rPr>
          <w:rFonts w:ascii="Times New Roman" w:cs="Times New Roman" w:eastAsia="Times New Roman" w:hAnsi="Times New Roman"/>
          <w:color w:val="1155cc"/>
          <w:sz w:val="24"/>
          <w:szCs w:val="24"/>
          <w:highlight w:val="white"/>
          <w:u w:val="single"/>
        </w:rPr>
        <w:t>https://thewaltdisneycompany.com/app/uploads/2025/01/2024-Annual-Report.pdf</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thewaltdisneycompany.com. (2026). </w:t>
      </w:r>
      <w:r>
        <w:rPr>
          <w:rFonts w:ascii="Times New Roman" w:cs="Times New Roman" w:eastAsia="Times New Roman" w:hAnsi="Times New Roman"/>
          <w:i/>
          <w:iCs/>
          <w:color w:val="222222"/>
          <w:sz w:val="24"/>
          <w:szCs w:val="24"/>
          <w:highlight w:val="white"/>
        </w:rPr>
        <w:t>The Walt Disney Company Reports Fourth Quarter and Full Year Earnings for Fiscal 2025 | The Walt Disney Company</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"https://thewaltdisneycompany.com/press-releases/the-walt-disney-company-reports-fourth-quarter-and-full-year-earnings-for-fiscal-2025/" </w:instrText>
      </w:r>
      <w:r>
        <w:rPr/>
        <w:fldChar w:fldCharType="separate"/>
      </w:r>
      <w:r>
        <w:rPr>
          <w:rFonts w:ascii="Times New Roman" w:cs="Times New Roman" w:eastAsia="Times New Roman" w:hAnsi="Times New Roman"/>
          <w:color w:val="1155cc"/>
          <w:sz w:val="24"/>
          <w:szCs w:val="24"/>
          <w:highlight w:val="white"/>
          <w:u w:val="single"/>
        </w:rPr>
        <w:t>https://thewaltdisneycompany.com/press-releases/the-walt-disney-company-reports-fourth-quarter-and-full-year-earnings-for-fiscal-2025/</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Thewaltdisneycompany.com. (2026). </w:t>
      </w:r>
      <w:r>
        <w:rPr>
          <w:rFonts w:ascii="Times New Roman" w:cs="Times New Roman" w:eastAsia="Times New Roman" w:hAnsi="Times New Roman"/>
          <w:i/>
          <w:iCs/>
          <w:color w:val="222222"/>
          <w:sz w:val="24"/>
          <w:szCs w:val="24"/>
          <w:highlight w:val="white"/>
        </w:rPr>
        <w:t>The Walt Disney Company Reports First Quarter Earnings for Fiscal 2026</w:t>
      </w:r>
      <w:r>
        <w:rPr>
          <w:rFonts w:ascii="Times New Roman" w:cs="Times New Roman" w:eastAsia="Times New Roman" w:hAnsi="Times New Roman"/>
          <w:color w:val="222222"/>
          <w:sz w:val="24"/>
          <w:szCs w:val="24"/>
          <w:highlight w:val="white"/>
        </w:rPr>
        <w:t xml:space="preserve">. [online] Available at: </w:t>
      </w:r>
      <w:r>
        <w:rPr/>
        <w:fldChar w:fldCharType="begin"/>
      </w:r>
      <w:r>
        <w:instrText xml:space="preserve"> HYPERLINK "https://investors.thewaltdisneycompany.com/news/news-details/2026/The-Walt-Disney-Company-Reports-First-Quarter-Earnings-for-Fiscal-2026/default.aspx" </w:instrText>
      </w:r>
      <w:r>
        <w:rPr/>
        <w:fldChar w:fldCharType="separate"/>
      </w:r>
      <w:r>
        <w:rPr>
          <w:rFonts w:ascii="Times New Roman" w:cs="Times New Roman" w:eastAsia="Times New Roman" w:hAnsi="Times New Roman"/>
          <w:color w:val="1155cc"/>
          <w:sz w:val="24"/>
          <w:szCs w:val="24"/>
          <w:highlight w:val="white"/>
          <w:u w:val="single"/>
        </w:rPr>
        <w:t>https://investors.thewaltdisneycompany.com/news/news-details/2026/The-Walt-Disney-Company-Reports-First-Quarter-Earnings-for-Fiscal-2026/default.aspx</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Whitten, S., Sherman, A. and Rizzo, L. (2024). </w:t>
      </w:r>
      <w:r>
        <w:rPr>
          <w:rFonts w:ascii="Times New Roman" w:cs="Times New Roman" w:eastAsia="Times New Roman" w:hAnsi="Times New Roman"/>
          <w:i/>
          <w:iCs/>
          <w:color w:val="222222"/>
          <w:sz w:val="24"/>
          <w:szCs w:val="24"/>
          <w:highlight w:val="white"/>
        </w:rPr>
        <w:t>Netflix ad-supported tier has 40 million monthly users, nearly double previous count</w:t>
      </w:r>
      <w:r>
        <w:rPr>
          <w:rFonts w:ascii="Times New Roman" w:cs="Times New Roman" w:eastAsia="Times New Roman" w:hAnsi="Times New Roman"/>
          <w:color w:val="222222"/>
          <w:sz w:val="24"/>
          <w:szCs w:val="24"/>
          <w:highlight w:val="white"/>
        </w:rPr>
        <w:t xml:space="preserve">. [online] CNBC. Available at: </w:t>
      </w:r>
      <w:r>
        <w:rPr/>
        <w:fldChar w:fldCharType="begin"/>
      </w:r>
      <w:r>
        <w:instrText xml:space="preserve"> HYPERLINK "https://www.cnbc.com/2024/05/15/netflix-ad-tier-has-40-million-users.html" </w:instrText>
      </w:r>
      <w:r>
        <w:rPr/>
        <w:fldChar w:fldCharType="separate"/>
      </w:r>
      <w:r>
        <w:rPr>
          <w:rFonts w:ascii="Times New Roman" w:cs="Times New Roman" w:eastAsia="Times New Roman" w:hAnsi="Times New Roman"/>
          <w:color w:val="1155cc"/>
          <w:sz w:val="24"/>
          <w:szCs w:val="24"/>
          <w:highlight w:val="white"/>
          <w:u w:val="single"/>
        </w:rPr>
        <w:t>https://www.cnbc.com/2024/05/15/netflix-ad-tier-has-40-million-users.html</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lineRule="auto" w:line="360"/>
        <w:jc w:val="both"/>
        <w:rPr>
          <w:rFonts w:ascii="Times New Roman" w:cs="Times New Roman" w:eastAsia="Times New Roman" w:hAnsi="Times New Roman"/>
          <w:color w:val="222222"/>
          <w:sz w:val="24"/>
          <w:szCs w:val="24"/>
          <w:highlight w:val="white"/>
        </w:rPr>
      </w:pPr>
      <w:r>
        <w:rPr>
          <w:rFonts w:ascii="Times New Roman" w:cs="Times New Roman" w:eastAsia="Times New Roman" w:hAnsi="Times New Roman"/>
          <w:color w:val="222222"/>
          <w:sz w:val="24"/>
          <w:szCs w:val="24"/>
          <w:highlight w:val="white"/>
        </w:rPr>
        <w:t xml:space="preserve">Yoder, M. (2025). </w:t>
      </w:r>
      <w:r>
        <w:rPr>
          <w:rFonts w:ascii="Times New Roman" w:cs="Times New Roman" w:eastAsia="Times New Roman" w:hAnsi="Times New Roman"/>
          <w:i/>
          <w:iCs/>
          <w:color w:val="222222"/>
          <w:sz w:val="24"/>
          <w:szCs w:val="24"/>
          <w:highlight w:val="white"/>
        </w:rPr>
        <w:t>ESPN DTC platform won’t be universally available through authentication at launch</w:t>
      </w:r>
      <w:r>
        <w:rPr>
          <w:rFonts w:ascii="Times New Roman" w:cs="Times New Roman" w:eastAsia="Times New Roman" w:hAnsi="Times New Roman"/>
          <w:color w:val="222222"/>
          <w:sz w:val="24"/>
          <w:szCs w:val="24"/>
          <w:highlight w:val="white"/>
        </w:rPr>
        <w:t xml:space="preserve">. [online] Awful Announcing. Available at: </w:t>
      </w:r>
      <w:r>
        <w:rPr/>
        <w:fldChar w:fldCharType="begin"/>
      </w:r>
      <w:r>
        <w:instrText xml:space="preserve"> HYPERLINK "https://awfulannouncing.com/espn/espn-dtc-platform-wont-be-universally-available-through-authentication-at-launch.html" </w:instrText>
      </w:r>
      <w:r>
        <w:rPr/>
        <w:fldChar w:fldCharType="separate"/>
      </w:r>
      <w:r>
        <w:rPr>
          <w:rFonts w:ascii="Times New Roman" w:cs="Times New Roman" w:eastAsia="Times New Roman" w:hAnsi="Times New Roman"/>
          <w:color w:val="1155cc"/>
          <w:sz w:val="24"/>
          <w:szCs w:val="24"/>
          <w:highlight w:val="white"/>
          <w:u w:val="single"/>
        </w:rPr>
        <w:t>https://awfulannouncing.com/espn/espn-dtc-platform-wont-be-universally-available-through-authentication-at-launch.html</w:t>
      </w:r>
      <w:r>
        <w:rPr/>
        <w:fldChar w:fldCharType="end"/>
      </w:r>
      <w:r>
        <w:rPr>
          <w:rFonts w:ascii="Times New Roman" w:cs="Times New Roman" w:eastAsia="Times New Roman" w:hAnsi="Times New Roman"/>
          <w:color w:val="222222"/>
          <w:sz w:val="24"/>
          <w:szCs w:val="24"/>
          <w:highlight w:val="white"/>
        </w:rPr>
        <w:t xml:space="preserve">  [Accessed 27 Mar. 2026].</w:t>
      </w:r>
    </w:p>
    <w:p>
      <w:pPr>
        <w:pStyle w:val="style0"/>
        <w:spacing w:after="200" w:lineRule="auto" w:line="360"/>
        <w:jc w:val="both"/>
        <w:rPr>
          <w:rFonts w:ascii="Times New Roman" w:cs="Times New Roman" w:eastAsia="Times New Roman" w:hAnsi="Times New Roman"/>
          <w:sz w:val="24"/>
          <w:szCs w:val="24"/>
          <w:highlight w:val="white"/>
        </w:rPr>
      </w:pPr>
    </w:p>
    <w:sectPr>
      <w:footerReference w:type="default" r:id="rId6"/>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宋体">
    <w:altName w:val="Wingdings 2"/>
    <w:panose1 w:val="05020102010007070707"/>
    <w:charset w:val="02"/>
    <w:family w:val="roman"/>
    <w:pitch w:val="default"/>
    <w:sig w:usb0="00000000" w:usb1="10000000" w:usb2="00000000" w:usb3="00000000" w:csb0="80000000"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removePersonalInformation/>
  <w:removeDateAndTime/>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bidi="ar-SA" w:eastAsia="en-US"/>
      </w:rPr>
    </w:rPrDefault>
    <w:pPrDefault>
      <w:pPr>
        <w:spacing w:lineRule="auto" w:line="276"/>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400" w:after="120" w:lineRule="auto" w:line="480"/>
      <w:jc w:val="both"/>
      <w:outlineLvl w:val="0"/>
    </w:pPr>
    <w:rPr>
      <w:rFonts w:ascii="Times New Roman" w:hAnsi="Times New Roman"/>
      <w:b/>
      <w:sz w:val="24"/>
      <w:szCs w:val="40"/>
    </w:rPr>
  </w:style>
  <w:style w:type="paragraph" w:styleId="style2">
    <w:name w:val="heading 2"/>
    <w:basedOn w:val="style0"/>
    <w:next w:val="style0"/>
    <w:qFormat/>
    <w:uiPriority w:val="9"/>
    <w:pPr>
      <w:keepNext/>
      <w:keepLines/>
      <w:spacing w:before="360" w:after="120" w:lineRule="auto" w:line="480"/>
      <w:jc w:val="both"/>
      <w:outlineLvl w:val="1"/>
    </w:pPr>
    <w:rPr>
      <w:rFonts w:ascii="Times New Roman" w:hAnsi="Times New Roman"/>
      <w:b/>
      <w:sz w:val="24"/>
      <w:szCs w:val="32"/>
    </w:rPr>
  </w:style>
  <w:style w:type="paragraph" w:styleId="style3">
    <w:name w:val="heading 3"/>
    <w:basedOn w:val="style0"/>
    <w:next w:val="style0"/>
    <w:qFormat/>
    <w:uiPriority w:val="9"/>
    <w:pPr>
      <w:keepNext/>
      <w:keepLines/>
      <w:spacing w:before="320" w:after="80" w:lineRule="auto" w:line="480"/>
      <w:jc w:val="both"/>
      <w:outlineLvl w:val="2"/>
    </w:pPr>
    <w:rPr>
      <w:rFonts w:ascii="Times New Roman" w:hAnsi="Times New Roman"/>
      <w:b/>
      <w:sz w:val="24"/>
      <w:szCs w:val="28"/>
    </w:rPr>
  </w:style>
  <w:style w:type="paragraph" w:styleId="style4">
    <w:name w:val="heading 4"/>
    <w:basedOn w:val="style0"/>
    <w:next w:val="style0"/>
    <w:qFormat/>
    <w:uiPriority w:val="9"/>
    <w:pPr>
      <w:keepNext/>
      <w:keepLines/>
      <w:spacing w:before="280" w:after="80"/>
      <w:outlineLvl w:val="3"/>
    </w:pPr>
    <w:rPr>
      <w:color w:val="666666"/>
      <w:sz w:val="24"/>
      <w:szCs w:val="24"/>
    </w:rPr>
  </w:style>
  <w:style w:type="paragraph" w:styleId="style5">
    <w:name w:val="heading 5"/>
    <w:basedOn w:val="style0"/>
    <w:next w:val="style0"/>
    <w:qFormat/>
    <w:uiPriority w:val="9"/>
    <w:pPr>
      <w:keepNext/>
      <w:keepLines/>
      <w:spacing w:before="240" w:after="80"/>
      <w:outlineLvl w:val="4"/>
    </w:pPr>
    <w:rPr>
      <w:color w:val="666666"/>
    </w:rPr>
  </w:style>
  <w:style w:type="paragraph" w:styleId="style6">
    <w:name w:val="heading 6"/>
    <w:basedOn w:val="style0"/>
    <w:next w:val="style0"/>
    <w:qFormat/>
    <w:uiPriority w:val="9"/>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after="60"/>
    </w:pPr>
    <w:rPr>
      <w:sz w:val="52"/>
      <w:szCs w:val="52"/>
    </w:rPr>
  </w:style>
  <w:style w:type="table" w:customStyle="1" w:styleId="style4098">
    <w:name w:val="TableNormal"/>
    <w:next w:val="style4098"/>
    <w:pPr/>
    <w:rPr/>
    <w:tblPr>
      <w:tblCellMar>
        <w:top w:w="100" w:type="dxa"/>
        <w:left w:w="100" w:type="dxa"/>
        <w:bottom w:w="100" w:type="dxa"/>
        <w:right w:w="100" w:type="dxa"/>
      </w:tblCellMar>
    </w:tblPr>
    <w:tcPr>
      <w:tcBorders/>
    </w:tcPr>
  </w:style>
  <w:style w:type="table" w:customStyle="1" w:styleId="style4099">
    <w:basedOn w:val="style4098"/>
    <w:next w:val="style4099"/>
    <w:pPr/>
    <w:rPr/>
    <w:tblPr>
      <w:tblStyleRowBandSize w:val="1"/>
      <w:tblStyleColBandSize w:val="1"/>
    </w:tblPr>
    <w:tcPr>
      <w:tcBorders/>
    </w:tcPr>
  </w:style>
  <w:style w:type="table" w:customStyle="1" w:styleId="style4100">
    <w:basedOn w:val="style4098"/>
    <w:next w:val="style4100"/>
    <w:pPr/>
    <w:rPr/>
    <w:tblPr>
      <w:tblStyleRowBandSize w:val="1"/>
      <w:tblStyleColBandSize w:val="1"/>
    </w:tblPr>
    <w:tcPr>
      <w:tcBorders/>
    </w:tcPr>
  </w:style>
  <w:style w:type="table" w:customStyle="1" w:styleId="style4101">
    <w:basedOn w:val="style4098"/>
    <w:next w:val="style4101"/>
    <w:pPr/>
    <w:rPr/>
    <w:tblPr>
      <w:tblStyleRowBandSize w:val="1"/>
      <w:tblStyleColBandSize w:val="1"/>
    </w:tblPr>
    <w:tcPr>
      <w:tcBorders/>
    </w:tcPr>
  </w:style>
  <w:style w:type="paragraph" w:styleId="style74">
    <w:name w:val="Subtitle"/>
    <w:basedOn w:val="style0"/>
    <w:next w:val="style0"/>
    <w:qFormat/>
    <w:uiPriority w:val="11"/>
    <w:pPr>
      <w:keepNext/>
      <w:keepLines/>
      <w:spacing w:after="320"/>
    </w:pPr>
    <w:rPr>
      <w:color w:val="666666"/>
      <w:sz w:val="30"/>
      <w:szCs w:val="30"/>
    </w:rPr>
  </w:style>
  <w:style w:type="table" w:customStyle="1" w:styleId="style4102">
    <w:basedOn w:val="style4098"/>
    <w:next w:val="style4102"/>
    <w:pPr/>
    <w:rPr/>
    <w:tblPr>
      <w:tblStyleRowBandSize w:val="1"/>
      <w:tblStyleColBandSize w:val="1"/>
    </w:tblPr>
    <w:tcPr>
      <w:tcBorders/>
    </w:tcPr>
  </w:style>
  <w:style w:type="table" w:customStyle="1" w:styleId="style4103">
    <w:basedOn w:val="style4098"/>
    <w:next w:val="style4103"/>
    <w:pPr/>
    <w:rPr/>
    <w:tblPr>
      <w:tblStyleRowBandSize w:val="1"/>
      <w:tblStyleColBandSize w:val="1"/>
    </w:tblPr>
    <w:tcPr>
      <w:tcBorders/>
    </w:tcPr>
  </w:style>
  <w:style w:type="table" w:customStyle="1" w:styleId="style4104">
    <w:basedOn w:val="style4098"/>
    <w:next w:val="style4104"/>
    <w:pPr/>
    <w:rPr/>
    <w:tblPr>
      <w:tblStyleRowBandSize w:val="1"/>
      <w:tblStyleColBandSize w:val="1"/>
    </w:tblPr>
    <w:tcPr>
      <w:tcBorders/>
    </w:tcPr>
  </w:style>
  <w:style w:type="paragraph" w:styleId="style266">
    <w:name w:val="TOC Heading"/>
    <w:basedOn w:val="style1"/>
    <w:next w:val="style0"/>
    <w:qFormat/>
    <w:uiPriority w:val="39"/>
    <w:pPr>
      <w:spacing w:before="240" w:after="0" w:lineRule="auto" w:line="259"/>
      <w:outlineLvl w:val="9"/>
    </w:pPr>
    <w:rPr>
      <w:rFonts w:ascii="Calibri" w:cs="宋体" w:eastAsia="宋体" w:hAnsi="Calibri"/>
      <w:color w:val="365f91"/>
      <w:sz w:val="32"/>
      <w:szCs w:val="32"/>
      <w:lang w:val="en-US"/>
    </w:rPr>
  </w:style>
  <w:style w:type="paragraph" w:styleId="style21">
    <w:name w:val="toc 3"/>
    <w:basedOn w:val="style0"/>
    <w:next w:val="style0"/>
    <w:uiPriority w:val="39"/>
    <w:pPr>
      <w:spacing w:after="100"/>
      <w:ind w:left="44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 w:type="paragraph" w:styleId="style157">
    <w:name w:val="No Spacing"/>
    <w:next w:val="style157"/>
    <w:qFormat/>
    <w:uiPriority w:val="1"/>
    <w:pPr>
      <w:spacing w:lineRule="auto" w:line="240"/>
    </w:pPr>
    <w:rPr/>
  </w:style>
  <w:style w:type="paragraph" w:styleId="style19">
    <w:name w:val="toc 1"/>
    <w:basedOn w:val="style0"/>
    <w:next w:val="style0"/>
    <w:uiPriority w:val="39"/>
    <w:pPr>
      <w:spacing w:after="100"/>
    </w:pPr>
    <w:rPr/>
  </w:style>
  <w:style w:type="paragraph" w:styleId="style31">
    <w:name w:val="header"/>
    <w:basedOn w:val="style0"/>
    <w:next w:val="style31"/>
    <w:link w:val="style4105"/>
    <w:uiPriority w:val="99"/>
    <w:pPr>
      <w:tabs>
        <w:tab w:val="center" w:leader="none" w:pos="4680"/>
        <w:tab w:val="right" w:leader="none" w:pos="9360"/>
      </w:tabs>
      <w:spacing w:lineRule="auto" w:line="240"/>
    </w:pPr>
    <w:rPr/>
  </w:style>
  <w:style w:type="character" w:customStyle="1" w:styleId="style4105">
    <w:name w:val="Header Char_a36d5a0a-3132-4562-b036-42fff8d16107"/>
    <w:basedOn w:val="style65"/>
    <w:next w:val="style4105"/>
    <w:link w:val="style31"/>
    <w:uiPriority w:val="99"/>
  </w:style>
  <w:style w:type="paragraph" w:styleId="style32">
    <w:name w:val="footer"/>
    <w:basedOn w:val="style0"/>
    <w:next w:val="style32"/>
    <w:link w:val="style4106"/>
    <w:uiPriority w:val="99"/>
    <w:pPr>
      <w:tabs>
        <w:tab w:val="center" w:leader="none" w:pos="4680"/>
        <w:tab w:val="right" w:leader="none" w:pos="9360"/>
      </w:tabs>
      <w:spacing w:lineRule="auto" w:line="240"/>
    </w:pPr>
    <w:rPr/>
  </w:style>
  <w:style w:type="character" w:customStyle="1" w:styleId="style4106">
    <w:name w:val="Footer Char_ca30a574-7a2e-4391-8919-2240179b306f"/>
    <w:basedOn w:val="style65"/>
    <w:next w:val="style4106"/>
    <w:link w:val="style32"/>
    <w:uiPriority w:val="99"/>
  </w:style>
  <w:style w:type="character" w:customStyle="1" w:styleId="style4107">
    <w:name w:val="Unresolved Mention"/>
    <w:basedOn w:val="style65"/>
    <w:next w:val="style4107"/>
    <w:uiPriority w:val="99"/>
    <w:rPr>
      <w:color w:val="605e5c"/>
      <w:shd w:val="clear" w:color="auto" w:fill="e1dfdd"/>
    </w:rPr>
  </w:style>
  <w:style w:type="paragraph" w:styleId="style66">
    <w:name w:val="Body Text"/>
    <w:basedOn w:val="style0"/>
    <w:next w:val="style66"/>
    <w:link w:val="style4108"/>
    <w:qFormat/>
    <w:uiPriority w:val="1"/>
    <w:pPr>
      <w:widowControl w:val="false"/>
      <w:autoSpaceDE w:val="false"/>
      <w:autoSpaceDN w:val="false"/>
      <w:spacing w:lineRule="auto" w:line="240"/>
    </w:pPr>
    <w:rPr>
      <w:b/>
      <w:bCs/>
      <w:sz w:val="26"/>
      <w:szCs w:val="26"/>
      <w:lang w:val="en-US"/>
    </w:rPr>
  </w:style>
  <w:style w:type="character" w:customStyle="1" w:styleId="style4108">
    <w:name w:val="Body Text Char"/>
    <w:basedOn w:val="style65"/>
    <w:next w:val="style4108"/>
    <w:link w:val="style66"/>
    <w:uiPriority w:val="1"/>
    <w:rPr>
      <w:b/>
      <w:bCs/>
      <w:sz w:val="26"/>
      <w:szCs w:val="26"/>
      <w:lang w:val="en-US"/>
    </w:rPr>
  </w:style>
  <w:style w:type="character" w:styleId="style88">
    <w:name w:val="Emphasis"/>
    <w:basedOn w:val="style65"/>
    <w:next w:val="style4094"/>
    <w:qFormat/>
    <w:rPr>
      <w:rFonts w:ascii="Times New Roman" w:cs="Times New Roman" w:eastAsia="宋体" w:hAnsi="Times New Roman"/>
      <w:i/>
      <w:sz w:val="21"/>
    </w:rPr>
  </w:style>
  <w:style w:type="paragraph" w:styleId="style94">
    <w:name w:val="Normal (Web)"/>
    <w:basedOn w:val="style0"/>
    <w:next w:val="style4094"/>
    <w:pPr>
      <w:spacing w:before="100" w:beforeAutospacing="true" w:after="100" w:afterAutospacing="true" w:lineRule="auto" w:line="240"/>
      <w:ind w:left="0" w:right="0"/>
      <w:jc w:val="left"/>
    </w:pPr>
    <w:rPr>
      <w:rFonts w:ascii="Times New Roman" w:cs="Times New Roman" w:eastAsia="Times New Roman" w:hAnsi="Times New Roman"/>
      <w:kern w:val="0"/>
      <w:sz w:val="21"/>
      <w:szCs w:val="24"/>
      <w:lang w:val="en-IN" w:eastAsia="en-GB"/>
    </w:rPr>
  </w:style>
  <w:style w:type="character" w:styleId="style87">
    <w:name w:val="Strong"/>
    <w:basedOn w:val="style65"/>
    <w:next w:val="style4094"/>
    <w:qFormat/>
    <w:rPr>
      <w:rFonts w:ascii="Times New Roman" w:cs="Times New Roman" w:eastAsia="宋体" w:hAnsi="Times New Roman"/>
      <w:b/>
      <w:sz w:val="21"/>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12" Type="http://schemas.openxmlformats.org/officeDocument/2006/relationships/customXml" Target="../customXml/item2.xml"/><Relationship Id="rId9" Type="http://schemas.openxmlformats.org/officeDocument/2006/relationships/settings" Target="settings.xml"/><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tP+qw/vUxk1riFLGDPK9WaE5Rg==">CgMxLjAyDmgueGNjYWl4cTB4dHljMg5oLmloaXE2a2cwYWdjOTIOaC40bjQ2bmlvYm84ZmUyDmgucWVzaGRna3R4c3pkMg5oLnRkMzB5dmJkaXV4MTIMaC41OGp6eDYxM3NkMg1oLnF4OGRsNWtjOGc0Mg5oLmVlcHVrbWRqdmpkMTIOaC52bDloNGR1NHZybzgyDmgubGg4bW10YzlhNzBjMg5oLjk5OG94NGt2azI1NjIOaC4zeHBuZzNjbnZ0cmU4AHIhMVRWTzhOV3JVZmo2QW5zeWQwUU1WaXFDWXF5N0pBYk02</go:docsCustomData>
</go:gDocsCustomXmlDataStorage>
</file>

<file path=customXml/itemProps1.xml><?xml version="1.0" encoding="utf-8"?>
<ds:datastoreItem xmlns:ds="http://schemas.openxmlformats.org/officeDocument/2006/customXml" ds:itemID="{79659F3A-7790-4811-AFE9-7F692E4948B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3175</Words>
  <Pages>17</Pages>
  <Characters>20708</Characters>
  <Application>WPS Office</Application>
  <DocSecurity>0</DocSecurity>
  <Paragraphs>173</Paragraphs>
  <ScaleCrop>false</ScaleCrop>
  <LinksUpToDate>false</LinksUpToDate>
  <CharactersWithSpaces>23768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2026-03-27T11:48:00Z</dcterms:created>
  <dc:creator>WPS Office</dc:creator>
  <lastModifiedBy>CPH2569</lastModifiedBy>
  <dcterms:modified xsi:type="dcterms:W3CDTF">2026-03-27T12:31:23Z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5321f2dca2794ce6968ff0788469a23b</vt:lpwstr>
  </property>
</Properties>
</file>