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025F" w:rsidRDefault="00991074" w:rsidP="00991074">
      <w:r>
        <w:rPr>
          <w:sz w:val="40"/>
        </w:rPr>
        <w:t xml:space="preserve">Write a </w:t>
      </w:r>
      <w:r w:rsidR="006B6440">
        <w:rPr>
          <w:sz w:val="40"/>
        </w:rPr>
        <w:t xml:space="preserve">500-word </w:t>
      </w:r>
      <w:r>
        <w:rPr>
          <w:sz w:val="40"/>
        </w:rPr>
        <w:t>gobbet on Xenophon’s Hellenica 2. 2. 3.</w:t>
      </w:r>
    </w:p>
    <w:p w:rsidR="006823EC" w:rsidRDefault="006B6440" w:rsidP="004104A6">
      <w:pPr>
        <w:ind w:firstLine="720"/>
      </w:pPr>
      <w:r>
        <w:t xml:space="preserve">The Hellenica is a literacy piece, which was written by Xenophon during a </w:t>
      </w:r>
      <w:r w:rsidR="00BB050E">
        <w:t xml:space="preserve">particularly </w:t>
      </w:r>
      <w:r>
        <w:t>bloody time in the Greek world.</w:t>
      </w:r>
      <w:r w:rsidR="00D95AE8">
        <w:rPr>
          <w:rStyle w:val="FootnoteReference"/>
        </w:rPr>
        <w:footnoteReference w:id="1"/>
      </w:r>
      <w:r>
        <w:t xml:space="preserve"> </w:t>
      </w:r>
      <w:r w:rsidR="00D95AE8">
        <w:t xml:space="preserve">The </w:t>
      </w:r>
      <w:r w:rsidR="00CA6832">
        <w:t>Hellenica spans the years</w:t>
      </w:r>
      <w:r w:rsidR="00D95AE8">
        <w:t xml:space="preserve"> 411 BCE </w:t>
      </w:r>
      <w:r w:rsidR="00CA6832">
        <w:t>to</w:t>
      </w:r>
      <w:r w:rsidR="00D95AE8">
        <w:t xml:space="preserve"> 362 BC</w:t>
      </w:r>
      <w:r w:rsidR="006823EC">
        <w:t>E, these dates mean that he was able to touch upon the last 7 years of the Peloponnesian War not covered by Thucydides, an Athenian general who wrote about the Peloponnesian War until 411BCE.</w:t>
      </w:r>
      <w:r w:rsidR="004104A6">
        <w:t xml:space="preserve"> </w:t>
      </w:r>
      <w:r w:rsidR="006823EC">
        <w:t>The author, Xenophon, was</w:t>
      </w:r>
      <w:r w:rsidR="00CA6832">
        <w:t xml:space="preserve"> an</w:t>
      </w:r>
      <w:r w:rsidR="006823EC">
        <w:t xml:space="preserve"> Athenian born</w:t>
      </w:r>
      <w:r w:rsidR="00CA6832" w:rsidRPr="00CA6832">
        <w:t xml:space="preserve"> into a wealthy family</w:t>
      </w:r>
      <w:r w:rsidR="006823EC">
        <w:t xml:space="preserve"> </w:t>
      </w:r>
      <w:r w:rsidR="00CA6832">
        <w:t>during the advent</w:t>
      </w:r>
      <w:r w:rsidR="006823EC">
        <w:t xml:space="preserve"> of the Peloponnesian War into a wealthy family.</w:t>
      </w:r>
      <w:r w:rsidR="004104A6">
        <w:t xml:space="preserve"> Due to Athens’ poor performance in the war</w:t>
      </w:r>
      <w:r w:rsidR="00CA6832">
        <w:t>,</w:t>
      </w:r>
      <w:r w:rsidR="004104A6">
        <w:t xml:space="preserve"> Xenophon found himself dissatisfied with the Athenian system of government and Athens as a whole.</w:t>
      </w:r>
      <w:r w:rsidR="004D395A">
        <w:rPr>
          <w:rStyle w:val="FootnoteReference"/>
        </w:rPr>
        <w:footnoteReference w:id="2"/>
      </w:r>
      <w:r w:rsidR="00E30734">
        <w:t xml:space="preserve"> </w:t>
      </w:r>
    </w:p>
    <w:p w:rsidR="007E7EEE" w:rsidRDefault="00EB5675" w:rsidP="007E7EEE">
      <w:pPr>
        <w:ind w:firstLine="720"/>
      </w:pPr>
      <w:r>
        <w:t>“</w:t>
      </w:r>
      <w:r>
        <w:t>It was at night that the Paralus arrived at Athens with</w:t>
      </w:r>
      <w:r>
        <w:t xml:space="preserve"> </w:t>
      </w:r>
      <w:r>
        <w:t>tidings of the disaster, and a sound of wailing ran</w:t>
      </w:r>
      <w:r>
        <w:t xml:space="preserve"> </w:t>
      </w:r>
      <w:r>
        <w:t>from Piraeus through the long walls to the city, one</w:t>
      </w:r>
      <w:r>
        <w:t xml:space="preserve"> </w:t>
      </w:r>
      <w:r>
        <w:t>man passing on the news to another; and during that</w:t>
      </w:r>
      <w:r>
        <w:t xml:space="preserve"> </w:t>
      </w:r>
      <w:r>
        <w:t>night no one slept, all mourning, not for the lost</w:t>
      </w:r>
      <w:r>
        <w:t xml:space="preserve"> </w:t>
      </w:r>
      <w:r>
        <w:t>alone, but far more for their own selves, thinking that</w:t>
      </w:r>
      <w:r>
        <w:t xml:space="preserve"> </w:t>
      </w:r>
      <w:r>
        <w:t>they would suffer such treatment as they had visited</w:t>
      </w:r>
      <w:r>
        <w:t xml:space="preserve"> </w:t>
      </w:r>
      <w:r>
        <w:t>upon the Melians, colonists of the Lacedaemonians,</w:t>
      </w:r>
      <w:r>
        <w:t xml:space="preserve"> </w:t>
      </w:r>
      <w:r>
        <w:t>after reducing them by siege, and upon the</w:t>
      </w:r>
      <w:r>
        <w:t xml:space="preserve"> </w:t>
      </w:r>
      <w:r>
        <w:t>Histiaeans and Scionaeans and Toronaeans and</w:t>
      </w:r>
      <w:r>
        <w:t xml:space="preserve"> </w:t>
      </w:r>
      <w:r>
        <w:t>Aeginetans and many other Greek peoples.</w:t>
      </w:r>
      <w:r>
        <w:t>”</w:t>
      </w:r>
      <w:r w:rsidR="0020422E">
        <w:rPr>
          <w:rStyle w:val="FootnoteReference"/>
        </w:rPr>
        <w:footnoteReference w:id="3"/>
      </w:r>
      <w:r>
        <w:t xml:space="preserve"> </w:t>
      </w:r>
      <w:r w:rsidR="00CA6832">
        <w:t>[</w:t>
      </w:r>
      <w:r w:rsidR="0020422E" w:rsidRPr="0020422E">
        <w:t xml:space="preserve">Xen. Hell. </w:t>
      </w:r>
      <w:r w:rsidR="00197757">
        <w:t>p. 104</w:t>
      </w:r>
      <w:proofErr w:type="gramStart"/>
      <w:r w:rsidR="00197757">
        <w:t xml:space="preserve">. </w:t>
      </w:r>
      <w:proofErr w:type="gramEnd"/>
      <w:r w:rsidR="00197757">
        <w:t>(</w:t>
      </w:r>
      <w:proofErr w:type="gramStart"/>
      <w:r w:rsidR="00197757">
        <w:t>trans.Warner</w:t>
      </w:r>
      <w:proofErr w:type="gramEnd"/>
      <w:r w:rsidR="00197757">
        <w:t>)]</w:t>
      </w:r>
      <w:r w:rsidR="0020422E">
        <w:t>, this section of the work is what I will be basing my gobbet on.</w:t>
      </w:r>
    </w:p>
    <w:p w:rsidR="002E442E" w:rsidRDefault="00017FC4" w:rsidP="002E442E">
      <w:pPr>
        <w:ind w:firstLine="720"/>
      </w:pPr>
      <w:r w:rsidRPr="00017FC4">
        <w:t>The ‘disaster’ mentioned in the text is referring to the loss of Byzantium</w:t>
      </w:r>
      <w:r w:rsidR="00CA6832">
        <w:t>.</w:t>
      </w:r>
      <w:r w:rsidRPr="00017FC4">
        <w:t xml:space="preserve"> Lysander sent all of the survivors to Athens</w:t>
      </w:r>
      <w:r w:rsidR="007E7EEE">
        <w:t xml:space="preserve"> </w:t>
      </w:r>
      <w:r w:rsidRPr="00017FC4">
        <w:t>as seen earlier in the text.</w:t>
      </w:r>
      <w:r w:rsidR="007E7EEE">
        <w:rPr>
          <w:rStyle w:val="FootnoteReference"/>
        </w:rPr>
        <w:footnoteReference w:id="4"/>
      </w:r>
      <w:r w:rsidRPr="00017FC4">
        <w:t xml:space="preserve"> </w:t>
      </w:r>
      <w:r w:rsidR="00B67397">
        <w:t xml:space="preserve">The langage used in this section of the gobbet </w:t>
      </w:r>
      <w:r w:rsidR="00CA6832">
        <w:t>paints</w:t>
      </w:r>
      <w:r w:rsidR="00B67397">
        <w:t xml:space="preserve"> the Athenians </w:t>
      </w:r>
      <w:r w:rsidR="00CA6832">
        <w:t xml:space="preserve">in </w:t>
      </w:r>
      <w:proofErr w:type="gramStart"/>
      <w:r w:rsidR="00CA6832">
        <w:t>a</w:t>
      </w:r>
      <w:proofErr w:type="gramEnd"/>
      <w:r w:rsidR="00CA6832">
        <w:t xml:space="preserve"> </w:t>
      </w:r>
      <w:r w:rsidR="00197757">
        <w:t>inferior and almost cowardly</w:t>
      </w:r>
      <w:r w:rsidR="00CA6832">
        <w:t xml:space="preserve"> manner</w:t>
      </w:r>
      <w:r w:rsidR="00197757">
        <w:t xml:space="preserve"> when facing the possibly of getting what they deserve and mourning it </w:t>
      </w:r>
      <w:r w:rsidR="00B67397">
        <w:t>due to fear which is proven when Xenophon says ‘they were afraid of facing the same fate as the Melians’</w:t>
      </w:r>
      <w:r w:rsidR="00B67397">
        <w:rPr>
          <w:rStyle w:val="FootnoteReference"/>
        </w:rPr>
        <w:footnoteReference w:id="5"/>
      </w:r>
      <w:r>
        <w:t>.</w:t>
      </w:r>
      <w:r w:rsidR="00197757">
        <w:t xml:space="preserve"> The author portrays the plight of the Athenians as almost deserved due to their treatment of </w:t>
      </w:r>
      <w:r w:rsidR="00B67397">
        <w:t xml:space="preserve">the Melians, </w:t>
      </w:r>
      <w:r w:rsidR="00B67397" w:rsidRPr="00B67397">
        <w:t>Histiaeans</w:t>
      </w:r>
      <w:r w:rsidR="00B67397">
        <w:t xml:space="preserve">, </w:t>
      </w:r>
      <w:r w:rsidR="00B67397" w:rsidRPr="00B67397">
        <w:t>Scionaeans</w:t>
      </w:r>
      <w:r w:rsidR="00B67397">
        <w:t xml:space="preserve">, </w:t>
      </w:r>
      <w:r w:rsidR="00B67397" w:rsidRPr="00B67397">
        <w:t>Toronaeans and Aeginetans and many other Greek peoples.</w:t>
      </w:r>
      <w:r w:rsidR="00B67397">
        <w:t xml:space="preserve"> </w:t>
      </w:r>
      <w:r w:rsidR="00197757">
        <w:t xml:space="preserve">Further reading into the </w:t>
      </w:r>
      <w:r w:rsidR="002E442E">
        <w:t>H</w:t>
      </w:r>
      <w:r w:rsidR="00197757">
        <w:t xml:space="preserve">ellenica out of this source Xenephone the fate </w:t>
      </w:r>
      <w:r w:rsidR="002E442E">
        <w:t>of the people who were conquered by Athens such as;</w:t>
      </w:r>
    </w:p>
    <w:p w:rsidR="004629B8" w:rsidRDefault="00197757" w:rsidP="002E442E">
      <w:pPr>
        <w:pStyle w:val="ListParagraph"/>
        <w:numPr>
          <w:ilvl w:val="0"/>
          <w:numId w:val="1"/>
        </w:numPr>
      </w:pPr>
      <w:r>
        <w:t xml:space="preserve"> </w:t>
      </w:r>
      <w:r w:rsidR="004629B8">
        <w:t xml:space="preserve">The </w:t>
      </w:r>
      <w:r w:rsidR="00017FC4">
        <w:t>Melians</w:t>
      </w:r>
      <w:r w:rsidR="002E442E">
        <w:t xml:space="preserve"> had their adult men </w:t>
      </w:r>
      <w:r w:rsidR="004629B8">
        <w:t>executed.</w:t>
      </w:r>
    </w:p>
    <w:p w:rsidR="004629B8" w:rsidRDefault="004629B8" w:rsidP="002E442E">
      <w:pPr>
        <w:pStyle w:val="ListParagraph"/>
        <w:numPr>
          <w:ilvl w:val="0"/>
          <w:numId w:val="1"/>
        </w:numPr>
      </w:pPr>
      <w:r>
        <w:t>T</w:t>
      </w:r>
      <w:r w:rsidR="00017FC4">
        <w:t>he Hestiaians had their la</w:t>
      </w:r>
      <w:r w:rsidR="009E09A8">
        <w:t>n</w:t>
      </w:r>
      <w:r w:rsidR="00017FC4">
        <w:t>d occupied and the people expelled</w:t>
      </w:r>
      <w:r>
        <w:t>.</w:t>
      </w:r>
    </w:p>
    <w:p w:rsidR="004629B8" w:rsidRDefault="004629B8" w:rsidP="002E442E">
      <w:pPr>
        <w:pStyle w:val="ListParagraph"/>
        <w:numPr>
          <w:ilvl w:val="0"/>
          <w:numId w:val="1"/>
        </w:numPr>
      </w:pPr>
      <w:r>
        <w:t>T</w:t>
      </w:r>
      <w:r w:rsidR="00017FC4">
        <w:t xml:space="preserve">he Skionaians </w:t>
      </w:r>
      <w:r>
        <w:t xml:space="preserve">had their </w:t>
      </w:r>
      <w:r w:rsidR="00017FC4">
        <w:t>males were executed, women and children were however sold into slavery</w:t>
      </w:r>
      <w:r>
        <w:t>.</w:t>
      </w:r>
    </w:p>
    <w:p w:rsidR="004629B8" w:rsidRDefault="00017FC4" w:rsidP="004629B8">
      <w:pPr>
        <w:pStyle w:val="ListParagraph"/>
        <w:numPr>
          <w:ilvl w:val="0"/>
          <w:numId w:val="1"/>
        </w:numPr>
      </w:pPr>
      <w:r>
        <w:t>Toronaian women and children were also sold but the males were sent to Athens</w:t>
      </w:r>
      <w:r w:rsidR="004629B8">
        <w:t>.</w:t>
      </w:r>
      <w:r>
        <w:t xml:space="preserve"> </w:t>
      </w:r>
    </w:p>
    <w:p w:rsidR="002E442E" w:rsidRDefault="004629B8" w:rsidP="004629B8">
      <w:pPr>
        <w:pStyle w:val="ListParagraph"/>
        <w:numPr>
          <w:ilvl w:val="0"/>
          <w:numId w:val="1"/>
        </w:numPr>
      </w:pPr>
      <w:r>
        <w:t>T</w:t>
      </w:r>
      <w:r w:rsidR="00017FC4">
        <w:t>he Aiginetans were expelled from their island.</w:t>
      </w:r>
      <w:r w:rsidR="00017FC4">
        <w:rPr>
          <w:rStyle w:val="FootnoteReference"/>
        </w:rPr>
        <w:footnoteReference w:id="6"/>
      </w:r>
      <w:r w:rsidR="00017FC4">
        <w:t xml:space="preserve"> </w:t>
      </w:r>
    </w:p>
    <w:p w:rsidR="007E7EEE" w:rsidRDefault="002E442E" w:rsidP="002E442E">
      <w:r>
        <w:t xml:space="preserve">Xenophon wants the audience, who would have been mostly noblemen like him, to be aware and disgusted with the atrocities perpetrated by Athens during the Peloponnesian War. The purpose of this section of the Hellenica would be to paint the Athenians and their democracy in a bad light. The reason for his biased stance is probably due to </w:t>
      </w:r>
      <w:r w:rsidR="007E7EEE">
        <w:t xml:space="preserve">the loss of the Peloponnesian War </w:t>
      </w:r>
      <w:proofErr w:type="gramStart"/>
      <w:r>
        <w:t>and</w:t>
      </w:r>
      <w:r w:rsidR="007E7EEE">
        <w:t xml:space="preserve"> also</w:t>
      </w:r>
      <w:proofErr w:type="gramEnd"/>
      <w:r w:rsidR="007E7EEE">
        <w:t xml:space="preserve"> due to Xenophon’s apparent disenchantment with the republic. </w:t>
      </w:r>
    </w:p>
    <w:p w:rsidR="004629B8" w:rsidRDefault="004629B8" w:rsidP="004D395A"/>
    <w:p w:rsidR="00F2025F" w:rsidRDefault="00F2025F" w:rsidP="004D395A">
      <w:r>
        <w:lastRenderedPageBreak/>
        <w:t>Bibliography</w:t>
      </w:r>
    </w:p>
    <w:p w:rsidR="00334D23" w:rsidRDefault="00334D23" w:rsidP="004D395A">
      <w:r w:rsidRPr="00334D23">
        <w:t>Dillery, J. (1995).</w:t>
      </w:r>
      <w:r>
        <w:t xml:space="preserve"> </w:t>
      </w:r>
      <w:r w:rsidRPr="00334D23">
        <w:t xml:space="preserve">Xenophon And </w:t>
      </w:r>
      <w:proofErr w:type="gramStart"/>
      <w:r w:rsidRPr="00334D23">
        <w:t>The</w:t>
      </w:r>
      <w:proofErr w:type="gramEnd"/>
      <w:r w:rsidRPr="00334D23">
        <w:t xml:space="preserve"> History Of His Times. London: Routledge</w:t>
      </w:r>
    </w:p>
    <w:p w:rsidR="004D395A" w:rsidRDefault="004D395A" w:rsidP="004629B8">
      <w:r w:rsidRPr="004D395A">
        <w:t>Cawkwell</w:t>
      </w:r>
      <w:r w:rsidR="004629B8">
        <w:t>, George and Warner, Rex</w:t>
      </w:r>
      <w:r w:rsidRPr="004D395A">
        <w:t xml:space="preserve">. </w:t>
      </w:r>
      <w:r w:rsidR="004629B8">
        <w:t>(</w:t>
      </w:r>
      <w:r w:rsidRPr="004D395A">
        <w:t>1979</w:t>
      </w:r>
      <w:r w:rsidR="004629B8">
        <w:t>)</w:t>
      </w:r>
      <w:r w:rsidRPr="004D395A">
        <w:t xml:space="preserve">. </w:t>
      </w:r>
      <w:r w:rsidR="004629B8">
        <w:t xml:space="preserve"> Xenophon: A History of my Times (Hellenica). London,</w:t>
      </w:r>
      <w:r w:rsidR="00334D23">
        <w:t xml:space="preserve"> the </w:t>
      </w:r>
      <w:r w:rsidR="004629B8">
        <w:t>Penguin Group</w:t>
      </w:r>
      <w:r w:rsidR="00334D23">
        <w:t>.</w:t>
      </w:r>
    </w:p>
    <w:p w:rsidR="00AF0867" w:rsidRDefault="00BB050E" w:rsidP="004629B8">
      <w:r w:rsidRPr="00BB050E">
        <w:t>Krentz</w:t>
      </w:r>
      <w:r w:rsidR="00334D23">
        <w:t>, Peter</w:t>
      </w:r>
      <w:r w:rsidRPr="00BB050E">
        <w:t xml:space="preserve">. </w:t>
      </w:r>
      <w:r w:rsidR="00334D23">
        <w:t>(</w:t>
      </w:r>
      <w:r w:rsidRPr="00BB050E">
        <w:t>1989</w:t>
      </w:r>
      <w:r w:rsidR="00334D23">
        <w:t>)</w:t>
      </w:r>
      <w:r w:rsidRPr="00BB050E">
        <w:t>.</w:t>
      </w:r>
      <w:r w:rsidR="00334D23">
        <w:t xml:space="preserve"> Xenophon: Hellenika I-II.3.10. Wiltshire. Aris &amp; Phillips Ltd.</w:t>
      </w:r>
    </w:p>
    <w:p w:rsidR="00334D23" w:rsidRPr="00F2025F" w:rsidRDefault="00BB050E" w:rsidP="004629B8">
      <w:r w:rsidRPr="00BB050E">
        <w:t>Xen</w:t>
      </w:r>
      <w:r w:rsidR="00334D23">
        <w:t>ophon</w:t>
      </w:r>
      <w:r w:rsidRPr="00BB050E">
        <w:t>. Hell</w:t>
      </w:r>
      <w:r w:rsidR="00334D23">
        <w:t>enika</w:t>
      </w:r>
      <w:r w:rsidRPr="00BB050E">
        <w:t xml:space="preserve">. </w:t>
      </w:r>
      <w:r w:rsidR="00334D23" w:rsidRPr="00334D23">
        <w:t>Carleton L. Brownson</w:t>
      </w:r>
      <w:r w:rsidR="00334D23">
        <w:t xml:space="preserve"> (trans.). </w:t>
      </w:r>
      <w:r w:rsidR="00334D23" w:rsidRPr="00334D23">
        <w:t>1918</w:t>
      </w:r>
      <w:r w:rsidR="00334D23">
        <w:t xml:space="preserve">. Cambridge MA </w:t>
      </w:r>
      <w:r w:rsidR="00334D23" w:rsidRPr="00334D23">
        <w:t>Harvard</w:t>
      </w:r>
      <w:r w:rsidR="00334D23">
        <w:t>,</w:t>
      </w:r>
      <w:r w:rsidR="00334D23" w:rsidRPr="00334D23">
        <w:t xml:space="preserve"> Uni</w:t>
      </w:r>
      <w:bookmarkStart w:id="0" w:name="_GoBack"/>
      <w:bookmarkEnd w:id="0"/>
      <w:r w:rsidR="00334D23" w:rsidRPr="00334D23">
        <w:t>versity Press</w:t>
      </w:r>
      <w:r w:rsidR="00334D23">
        <w:t>.</w:t>
      </w:r>
    </w:p>
    <w:sectPr w:rsidR="00334D23" w:rsidRPr="00F2025F">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71EC" w:rsidRDefault="003A71EC" w:rsidP="00F2025F">
      <w:pPr>
        <w:spacing w:after="0" w:line="240" w:lineRule="auto"/>
      </w:pPr>
      <w:r>
        <w:separator/>
      </w:r>
    </w:p>
  </w:endnote>
  <w:endnote w:type="continuationSeparator" w:id="0">
    <w:p w:rsidR="003A71EC" w:rsidRDefault="003A71EC" w:rsidP="00F20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638F" w:rsidRDefault="00FA638F">
    <w:pPr>
      <w:pStyle w:val="Footer"/>
    </w:pPr>
    <w:r>
      <w:tab/>
    </w:r>
    <w:r>
      <w:tab/>
      <w:t>Jacob Summers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71EC" w:rsidRDefault="003A71EC" w:rsidP="00F2025F">
      <w:pPr>
        <w:spacing w:after="0" w:line="240" w:lineRule="auto"/>
      </w:pPr>
      <w:r>
        <w:separator/>
      </w:r>
    </w:p>
  </w:footnote>
  <w:footnote w:type="continuationSeparator" w:id="0">
    <w:p w:rsidR="003A71EC" w:rsidRDefault="003A71EC" w:rsidP="00F2025F">
      <w:pPr>
        <w:spacing w:after="0" w:line="240" w:lineRule="auto"/>
      </w:pPr>
      <w:r>
        <w:continuationSeparator/>
      </w:r>
    </w:p>
  </w:footnote>
  <w:footnote w:id="1">
    <w:p w:rsidR="00E30734" w:rsidRDefault="00E30734">
      <w:pPr>
        <w:pStyle w:val="FootnoteText"/>
      </w:pPr>
      <w:r>
        <w:rPr>
          <w:rStyle w:val="FootnoteReference"/>
        </w:rPr>
        <w:footnoteRef/>
      </w:r>
      <w:r>
        <w:t xml:space="preserve"> </w:t>
      </w:r>
      <w:r w:rsidRPr="00D95AE8">
        <w:t>Dillery</w:t>
      </w:r>
      <w:r w:rsidR="007E7EEE">
        <w:t xml:space="preserve">. </w:t>
      </w:r>
      <w:r w:rsidRPr="00D95AE8">
        <w:t>1995)</w:t>
      </w:r>
      <w:r w:rsidR="007E7EEE">
        <w:t xml:space="preserve"> </w:t>
      </w:r>
      <w:r w:rsidRPr="00D95AE8">
        <w:t>P.3</w:t>
      </w:r>
    </w:p>
  </w:footnote>
  <w:footnote w:id="2">
    <w:p w:rsidR="00E30734" w:rsidRDefault="00E30734">
      <w:pPr>
        <w:pStyle w:val="FootnoteText"/>
      </w:pPr>
      <w:r>
        <w:rPr>
          <w:rStyle w:val="FootnoteReference"/>
        </w:rPr>
        <w:footnoteRef/>
      </w:r>
      <w:r>
        <w:t xml:space="preserve"> Cawkwell. 1979. P. 9</w:t>
      </w:r>
    </w:p>
  </w:footnote>
  <w:footnote w:id="3">
    <w:p w:rsidR="0020422E" w:rsidRDefault="0020422E">
      <w:pPr>
        <w:pStyle w:val="FootnoteText"/>
      </w:pPr>
      <w:r>
        <w:rPr>
          <w:rStyle w:val="FootnoteReference"/>
        </w:rPr>
        <w:footnoteRef/>
      </w:r>
      <w:r>
        <w:t xml:space="preserve"> </w:t>
      </w:r>
      <w:r w:rsidRPr="0020422E">
        <w:t>Xen. Hell. 2.</w:t>
      </w:r>
      <w:r w:rsidR="007E7EEE">
        <w:t xml:space="preserve"> </w:t>
      </w:r>
      <w:r w:rsidRPr="0020422E">
        <w:t>2.</w:t>
      </w:r>
      <w:r w:rsidR="007E7EEE">
        <w:t xml:space="preserve"> </w:t>
      </w:r>
      <w:r w:rsidRPr="0020422E">
        <w:t>3</w:t>
      </w:r>
    </w:p>
  </w:footnote>
  <w:footnote w:id="4">
    <w:p w:rsidR="007E7EEE" w:rsidRDefault="007E7EEE">
      <w:pPr>
        <w:pStyle w:val="FootnoteText"/>
      </w:pPr>
      <w:r>
        <w:rPr>
          <w:rStyle w:val="FootnoteReference"/>
        </w:rPr>
        <w:footnoteRef/>
      </w:r>
      <w:r>
        <w:t xml:space="preserve"> Xen. Hell. 2. 2. 1</w:t>
      </w:r>
    </w:p>
  </w:footnote>
  <w:footnote w:id="5">
    <w:p w:rsidR="00B67397" w:rsidRDefault="00B67397">
      <w:pPr>
        <w:pStyle w:val="FootnoteText"/>
      </w:pPr>
      <w:r>
        <w:rPr>
          <w:rStyle w:val="FootnoteReference"/>
        </w:rPr>
        <w:footnoteRef/>
      </w:r>
      <w:r>
        <w:t xml:space="preserve"> </w:t>
      </w:r>
      <w:r w:rsidRPr="00B67397">
        <w:t>Xen. Hell. 2.2.3</w:t>
      </w:r>
    </w:p>
  </w:footnote>
  <w:footnote w:id="6">
    <w:p w:rsidR="00017FC4" w:rsidRDefault="00017FC4">
      <w:pPr>
        <w:pStyle w:val="FootnoteText"/>
      </w:pPr>
      <w:r>
        <w:rPr>
          <w:rStyle w:val="FootnoteReference"/>
        </w:rPr>
        <w:footnoteRef/>
      </w:r>
      <w:r>
        <w:t xml:space="preserve"> Krentz. 1989. P. 181-182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638F" w:rsidRDefault="00FA638F">
    <w:pPr>
      <w:spacing w:line="264" w:lineRule="auto"/>
    </w:pPr>
    <w:r>
      <w:rPr>
        <w:noProof/>
        <w:color w:val="000000"/>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76A6AFD"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r>
      <w:rPr>
        <w:color w:val="4472C4" w:themeColor="accent1"/>
        <w:sz w:val="20"/>
        <w:szCs w:val="20"/>
      </w:rPr>
      <w:t>14/01/2019</w:t>
    </w:r>
  </w:p>
  <w:p w:rsidR="00FA638F" w:rsidRDefault="00FA63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1773EC"/>
    <w:multiLevelType w:val="hybridMultilevel"/>
    <w:tmpl w:val="8D4288BC"/>
    <w:lvl w:ilvl="0" w:tplc="EBB059E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25F"/>
    <w:rsid w:val="00017FC4"/>
    <w:rsid w:val="00157D20"/>
    <w:rsid w:val="00197757"/>
    <w:rsid w:val="0020422E"/>
    <w:rsid w:val="002131CF"/>
    <w:rsid w:val="0022272D"/>
    <w:rsid w:val="002E442E"/>
    <w:rsid w:val="00334D23"/>
    <w:rsid w:val="003A71EC"/>
    <w:rsid w:val="004104A6"/>
    <w:rsid w:val="004629B8"/>
    <w:rsid w:val="004D395A"/>
    <w:rsid w:val="005C5A75"/>
    <w:rsid w:val="006448F6"/>
    <w:rsid w:val="00665A88"/>
    <w:rsid w:val="006823EC"/>
    <w:rsid w:val="006B6440"/>
    <w:rsid w:val="006E7C42"/>
    <w:rsid w:val="007E7EEE"/>
    <w:rsid w:val="00847239"/>
    <w:rsid w:val="00991074"/>
    <w:rsid w:val="009E09A8"/>
    <w:rsid w:val="00A04BF6"/>
    <w:rsid w:val="00AF0867"/>
    <w:rsid w:val="00B67397"/>
    <w:rsid w:val="00BA0573"/>
    <w:rsid w:val="00BB050E"/>
    <w:rsid w:val="00BF474F"/>
    <w:rsid w:val="00C86E70"/>
    <w:rsid w:val="00CA6832"/>
    <w:rsid w:val="00CD1F3A"/>
    <w:rsid w:val="00D95AE8"/>
    <w:rsid w:val="00E30734"/>
    <w:rsid w:val="00E958DF"/>
    <w:rsid w:val="00EB5675"/>
    <w:rsid w:val="00F2025F"/>
    <w:rsid w:val="00FA63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7A2E9"/>
  <w15:chartTrackingRefBased/>
  <w15:docId w15:val="{C24F0BF9-A063-4638-AFC9-46C494E50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02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025F"/>
  </w:style>
  <w:style w:type="paragraph" w:styleId="Footer">
    <w:name w:val="footer"/>
    <w:basedOn w:val="Normal"/>
    <w:link w:val="FooterChar"/>
    <w:uiPriority w:val="99"/>
    <w:unhideWhenUsed/>
    <w:rsid w:val="00F202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025F"/>
  </w:style>
  <w:style w:type="paragraph" w:styleId="FootnoteText">
    <w:name w:val="footnote text"/>
    <w:basedOn w:val="Normal"/>
    <w:link w:val="FootnoteTextChar"/>
    <w:uiPriority w:val="99"/>
    <w:semiHidden/>
    <w:unhideWhenUsed/>
    <w:rsid w:val="00AF08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0867"/>
    <w:rPr>
      <w:sz w:val="20"/>
      <w:szCs w:val="20"/>
    </w:rPr>
  </w:style>
  <w:style w:type="character" w:styleId="FootnoteReference">
    <w:name w:val="footnote reference"/>
    <w:basedOn w:val="DefaultParagraphFont"/>
    <w:uiPriority w:val="99"/>
    <w:semiHidden/>
    <w:unhideWhenUsed/>
    <w:rsid w:val="00AF0867"/>
    <w:rPr>
      <w:vertAlign w:val="superscript"/>
    </w:rPr>
  </w:style>
  <w:style w:type="paragraph" w:styleId="ListParagraph">
    <w:name w:val="List Paragraph"/>
    <w:basedOn w:val="Normal"/>
    <w:uiPriority w:val="34"/>
    <w:qFormat/>
    <w:rsid w:val="002E44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21BE8-8A0E-49F1-8788-C5775FDD2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2</Pages>
  <Words>487</Words>
  <Characters>2776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jacob.summers2.0.0@gmail.com</dc:creator>
  <cp:keywords/>
  <dc:description/>
  <cp:lastModifiedBy>jacob.summers2.0.0@gmail.com</cp:lastModifiedBy>
  <cp:revision>2</cp:revision>
  <dcterms:created xsi:type="dcterms:W3CDTF">2019-01-14T12:08:00Z</dcterms:created>
  <dcterms:modified xsi:type="dcterms:W3CDTF">2019-01-14T23:23:00Z</dcterms:modified>
</cp:coreProperties>
</file>