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6DCB4" w14:textId="22462E97" w:rsidR="00027433" w:rsidRDefault="00045D17" w:rsidP="001572E2">
      <w:pPr>
        <w:rPr>
          <w:rFonts w:cstheme="minorHAnsi"/>
          <w:sz w:val="28"/>
          <w:szCs w:val="28"/>
        </w:rPr>
      </w:pPr>
      <w:r w:rsidRPr="00045D17">
        <w:rPr>
          <w:rFonts w:cstheme="minorHAnsi"/>
          <w:sz w:val="28"/>
          <w:szCs w:val="28"/>
        </w:rPr>
        <w:t xml:space="preserve">5CO03 </w:t>
      </w:r>
      <w:r>
        <w:rPr>
          <w:rFonts w:cstheme="minorHAnsi"/>
          <w:sz w:val="28"/>
          <w:szCs w:val="28"/>
        </w:rPr>
        <w:t xml:space="preserve">- </w:t>
      </w:r>
      <w:r w:rsidRPr="00045D17">
        <w:rPr>
          <w:rFonts w:cstheme="minorHAnsi"/>
          <w:sz w:val="28"/>
          <w:szCs w:val="28"/>
        </w:rPr>
        <w:t>Professional behaviours</w:t>
      </w:r>
      <w:r>
        <w:rPr>
          <w:rFonts w:cstheme="minorHAnsi"/>
          <w:sz w:val="28"/>
          <w:szCs w:val="28"/>
        </w:rPr>
        <w:t xml:space="preserve"> </w:t>
      </w:r>
      <w:r w:rsidRPr="00045D17">
        <w:rPr>
          <w:rFonts w:cstheme="minorHAnsi"/>
          <w:sz w:val="28"/>
          <w:szCs w:val="28"/>
        </w:rPr>
        <w:t>and valuing people</w:t>
      </w:r>
    </w:p>
    <w:p w14:paraId="43EC88B8" w14:textId="1FD3AAD6" w:rsidR="00045D17" w:rsidRPr="00045D17" w:rsidRDefault="00045D17" w:rsidP="001572E2">
      <w:pPr>
        <w:rPr>
          <w:rFonts w:cstheme="minorHAnsi"/>
          <w:sz w:val="28"/>
          <w:szCs w:val="28"/>
        </w:rPr>
      </w:pPr>
      <w:r>
        <w:rPr>
          <w:rFonts w:cstheme="minorHAnsi"/>
          <w:sz w:val="28"/>
          <w:szCs w:val="28"/>
        </w:rPr>
        <w:t>Melanie Warne</w:t>
      </w:r>
    </w:p>
    <w:p w14:paraId="60D9ACB2" w14:textId="77777777" w:rsidR="00027433" w:rsidRDefault="00027433" w:rsidP="001572E2"/>
    <w:p w14:paraId="71900F3E" w14:textId="0A4DAC5A" w:rsidR="001572E2" w:rsidRPr="001572E2" w:rsidRDefault="001572E2" w:rsidP="001572E2">
      <w:r w:rsidRPr="001572E2">
        <w:t>AC1.1</w:t>
      </w:r>
    </w:p>
    <w:p w14:paraId="3C9F8896" w14:textId="77777777" w:rsidR="001572E2" w:rsidRPr="001572E2" w:rsidRDefault="001572E2"/>
    <w:p w14:paraId="500C9D84" w14:textId="77777777" w:rsidR="001572E2" w:rsidRPr="001572E2" w:rsidRDefault="001572E2" w:rsidP="001572E2">
      <w:r w:rsidRPr="001572E2">
        <w:t>The CIPD Profession Map outlines the competencies, behaviours, and values that define the people profession. In a contact centre context—where high employee turnover, constant change, and intense performance pressures are common—a people professional must not only deliver strategic HR practices but also uphold high ethical standards, promote inclusion, and adhere to international HR standards (CIPD, 2020; HR and standards, 2022).</w:t>
      </w:r>
    </w:p>
    <w:p w14:paraId="0F03AF4B" w14:textId="77777777" w:rsidR="001572E2" w:rsidRPr="001572E2" w:rsidRDefault="001572E2" w:rsidP="001572E2">
      <w:r w:rsidRPr="001572E2">
        <w:t>According to the CIPD Profession Map, key capabilities include strategic insight, service delivery, and professional behaviours. For contact centres, this means leveraging people analytics and evidence-based practices to monitor employee engagement, productivity, and wellbeing. For example, HR professionals in these settings design recruitment, development, and retention initiatives that not only improve performance but also address issues such as stress and burnout—a significant challenge in high-volume environments (Boxall, Purcell &amp; Wright, 2007).</w:t>
      </w:r>
    </w:p>
    <w:p w14:paraId="1B6877A9" w14:textId="7AD71EA1" w:rsidR="001572E2" w:rsidRPr="001572E2" w:rsidRDefault="001572E2" w:rsidP="001572E2">
      <w:r w:rsidRPr="001572E2">
        <w:t>Beyond operational effectiveness, ethical practice is fundamental. The CIPD’s </w:t>
      </w:r>
      <w:r w:rsidRPr="001572E2">
        <w:rPr>
          <w:i/>
          <w:iCs/>
        </w:rPr>
        <w:t>Ethical practice and the role of people professionals</w:t>
      </w:r>
      <w:r w:rsidRPr="001572E2">
        <w:t> (2023) stresses that people professionals must act as ethical ambassadors, embedding principled decision-making into every facet of HR practice. In contact centres, this is critical when addressing issues like fairness in scheduling, equal opportunity in career progression, and transparent communication regarding performance and development. Moreover, the </w:t>
      </w:r>
      <w:r w:rsidRPr="001572E2">
        <w:rPr>
          <w:i/>
          <w:iCs/>
        </w:rPr>
        <w:t>Ethics at work: an employer’s guide</w:t>
      </w:r>
      <w:r w:rsidRPr="001572E2">
        <w:t> (2024) emphasises that a strong ethical framework helps safeguard the organisation from misconduct and builds trust among employees.</w:t>
      </w:r>
    </w:p>
    <w:p w14:paraId="11C356B4" w14:textId="77777777" w:rsidR="001572E2" w:rsidRPr="001572E2" w:rsidRDefault="001572E2" w:rsidP="001572E2">
      <w:r w:rsidRPr="001572E2">
        <w:t>Additionally, the </w:t>
      </w:r>
      <w:r w:rsidRPr="001572E2">
        <w:rPr>
          <w:i/>
          <w:iCs/>
        </w:rPr>
        <w:t>Equality, diversity and inclusion (EDI) in the workplace</w:t>
      </w:r>
      <w:r w:rsidRPr="001572E2">
        <w:t> (2022) article highlights that promoting inclusive environments is key to harnessing the full potential of a diverse workforce. In contact centres, where staff come from various backgrounds and face different challenges, a robust EDI strategy—covering recruitment, retention, and continuous development—ensures that every individual feels valued and has a voice in shaping their work experience.</w:t>
      </w:r>
    </w:p>
    <w:p w14:paraId="0DE1F5BC" w14:textId="77777777" w:rsidR="001572E2" w:rsidRPr="001572E2" w:rsidRDefault="001572E2" w:rsidP="001572E2">
      <w:r w:rsidRPr="001572E2">
        <w:t>In summary, being a people professional in a contact centre involves being a strategic partner who uses data-driven insights to enhance performance while upholding ethical standards and promoting diversity and inclusion. By adhering to the principles outlined in the CIPD Profession Map and related research, such professionals can create a supportive, resilient, and ethically robust work environment that drives both organisational success and individual employee fulfilment.</w:t>
      </w:r>
    </w:p>
    <w:p w14:paraId="536A1F83" w14:textId="77777777" w:rsidR="001572E2" w:rsidRPr="001572E2" w:rsidRDefault="001572E2" w:rsidP="001572E2"/>
    <w:p w14:paraId="3FDFF974" w14:textId="0478CB7B" w:rsidR="001572E2" w:rsidRPr="001572E2" w:rsidRDefault="001572E2" w:rsidP="001572E2">
      <w:r w:rsidRPr="001572E2">
        <w:t>AC 1.2</w:t>
      </w:r>
    </w:p>
    <w:p w14:paraId="2F911CB2" w14:textId="056C33C5" w:rsidR="001572E2" w:rsidRPr="001572E2" w:rsidRDefault="001572E2" w:rsidP="001572E2">
      <w:r w:rsidRPr="001572E2">
        <w:t>As a people manager in a contact centre, my personal value of integrity and my ethical value of respect for others</w:t>
      </w:r>
      <w:r>
        <w:rPr>
          <w:b/>
          <w:bCs/>
        </w:rPr>
        <w:t xml:space="preserve"> </w:t>
      </w:r>
      <w:r w:rsidRPr="001572E2">
        <w:t>guide my leadership approach and decision-making. These values ensure a fair, transparent, and supportive environment for my team while also upholding the organisation’s reputation.</w:t>
      </w:r>
    </w:p>
    <w:p w14:paraId="32404FF6" w14:textId="65C3047B" w:rsidR="001572E2" w:rsidRPr="001572E2" w:rsidRDefault="001572E2" w:rsidP="001572E2">
      <w:r w:rsidRPr="001572E2">
        <w:t>Personal Value: Integrit</w:t>
      </w:r>
      <w:r>
        <w:t xml:space="preserve">y </w:t>
      </w:r>
      <w:r w:rsidRPr="001572E2">
        <w:t xml:space="preserve">means being honest, consistent, and accountable in all interactions. In a contact centre, where performance metrics and targets are crucial, integrity ensures that I set realistic expectations and provide honest feedback to my team. For example, during performance reviews, I give constructive feedback based on accurate data rather than </w:t>
      </w:r>
      <w:r w:rsidRPr="001572E2">
        <w:lastRenderedPageBreak/>
        <w:t xml:space="preserve">favouritism or pressure to meet </w:t>
      </w:r>
      <w:r>
        <w:t>target</w:t>
      </w:r>
      <w:r w:rsidRPr="001572E2">
        <w:t>s. If an issue arises—such as a discrepancy in reported customer service scores—I investigate thoroughly and address it transparently, ensuring fairness in evaluations.</w:t>
      </w:r>
    </w:p>
    <w:p w14:paraId="68486DCD" w14:textId="77777777" w:rsidR="001572E2" w:rsidRPr="001572E2" w:rsidRDefault="001572E2" w:rsidP="001572E2">
      <w:r w:rsidRPr="001572E2">
        <w:t>Integrity also means leading by example. If I expect my team to adhere to policies, I must do the same. For instance, if company policy requires adherence to ethical sales practices, I reinforce this by discouraging misleading sales tactics, even if short-term targets are at stake. This builds trust and credibility within my team, fostering a culture of honesty and ethical behaviour (Trevino &amp; Nelson, 2016).</w:t>
      </w:r>
    </w:p>
    <w:p w14:paraId="20D7EC3E" w14:textId="38D85912" w:rsidR="001572E2" w:rsidRPr="001572E2" w:rsidRDefault="001572E2" w:rsidP="001572E2">
      <w:r w:rsidRPr="001572E2">
        <w:t>Ethical Value: Respect for Others</w:t>
      </w:r>
      <w:r>
        <w:t xml:space="preserve"> </w:t>
      </w:r>
      <w:r w:rsidRPr="001572E2">
        <w:t>is essential in a fast-paced contact centre, where employees face high-pressure situations daily. As a manager, I demonstrate respect by actively listening to my team’s concerns, valuing diverse perspectives, and ensuring fair treatment. For example, when scheduling shifts, I consider employees’ personal circumstances, such as childcare responsibilities or well-being, rather than applying a rigid one-size-fits-all approach.</w:t>
      </w:r>
    </w:p>
    <w:p w14:paraId="168EC05F" w14:textId="77777777" w:rsidR="001572E2" w:rsidRPr="001572E2" w:rsidRDefault="001572E2" w:rsidP="001572E2">
      <w:r w:rsidRPr="001572E2">
        <w:t>Respect also extends to handling workplace conflicts. If two employees disagree over workload distribution, I mediate fairly, allowing each person to express their viewpoint before making a balanced decision. Additionally, fostering an inclusive environment—where all employees feel valued regardless of background—ensures high engagement and retention (Schein, 2017). Research by Gill (2022) highlights that workplaces promoting ethical leadership and respect tend to experience higher employee morale and reduced turnover.</w:t>
      </w:r>
    </w:p>
    <w:p w14:paraId="4E97BF94" w14:textId="77777777" w:rsidR="001572E2" w:rsidRPr="001572E2" w:rsidRDefault="001572E2" w:rsidP="001572E2">
      <w:r w:rsidRPr="001572E2">
        <w:t>By upholding integrity, I ensure transparency and trust in management decisions, and by demonstrating respect, I create a supportive and inclusive team culture. These values enhance employee satisfaction, ethical conduct, and long-term success in a contact centre environment.</w:t>
      </w:r>
    </w:p>
    <w:p w14:paraId="36BDF3B8" w14:textId="77777777" w:rsidR="001572E2" w:rsidRDefault="001572E2" w:rsidP="001572E2"/>
    <w:p w14:paraId="48D49238" w14:textId="17BF53E0" w:rsidR="001572E2" w:rsidRDefault="001572E2" w:rsidP="001572E2">
      <w:r>
        <w:t>AC 1.3</w:t>
      </w:r>
    </w:p>
    <w:p w14:paraId="629B11AC" w14:textId="77777777" w:rsidR="001572E2" w:rsidRPr="001572E2" w:rsidRDefault="001572E2" w:rsidP="001572E2">
      <w:r w:rsidRPr="001572E2">
        <w:t>People professionals play a vital role in shaping organisational culture and driving strategic initiatives through informed, clear, and confident communication. Their ability to influence decision-making is essential for aligning HR practices with broader business objectives and fostering an environment that supports both ethical practices and employee wellbeing.</w:t>
      </w:r>
    </w:p>
    <w:p w14:paraId="7201E992" w14:textId="37C11676" w:rsidR="001572E2" w:rsidRPr="001572E2" w:rsidRDefault="001572E2" w:rsidP="001572E2">
      <w:r w:rsidRPr="001572E2">
        <w:rPr>
          <w:b/>
          <w:bCs/>
        </w:rPr>
        <w:t>Strategic Alignment and Change Management:</w:t>
      </w:r>
      <w:r w:rsidRPr="001572E2">
        <w:br/>
        <w:t>In today’s rapidly evolving business landscape, people professionals are often at the forefront of change initiatives. By presenting evidence-based insights and clear recommendations, they help ensure that change strategies are understood and embraced by all stakeholders (CIPD, 2020). This clarity not only reduces resistance but also supports a culture of continuous improvement and adaptability (Harvard Business Review, 2018).</w:t>
      </w:r>
    </w:p>
    <w:p w14:paraId="4E6A6A11" w14:textId="4D8F0B1A" w:rsidR="001572E2" w:rsidRPr="001572E2" w:rsidRDefault="001572E2" w:rsidP="001572E2">
      <w:r w:rsidRPr="001572E2">
        <w:rPr>
          <w:b/>
          <w:bCs/>
        </w:rPr>
        <w:t>Building Trust and Credibility:</w:t>
      </w:r>
      <w:r w:rsidRPr="001572E2">
        <w:br/>
        <w:t>Effective communication by people professionals builds trust with both senior leaders and employees. When HR practitioners articulate their ideas confidently and transparently, they establish themselves as credible advisors. This trust is crucial for driving engagement and facilitating smooth transitions during organisational change (HR Magazine, 2019).</w:t>
      </w:r>
    </w:p>
    <w:p w14:paraId="6373FAE5" w14:textId="77777777" w:rsidR="001572E2" w:rsidRPr="001572E2" w:rsidRDefault="001572E2" w:rsidP="001572E2">
      <w:r w:rsidRPr="001572E2">
        <w:rPr>
          <w:b/>
          <w:bCs/>
        </w:rPr>
        <w:t>Ethical Decision-Making and Inclusive Practices:</w:t>
      </w:r>
      <w:r w:rsidRPr="001572E2">
        <w:br/>
        <w:t>People professionals are uniquely positioned to embed ethical principles into everyday practice. By contributing in a clear and informed manner, they advocate for fair treatment, diversity, and inclusion. Upholding ethical standards not only safeguards employee rights but also enhances organisational reputation and resilience (CIPD, 2022).</w:t>
      </w:r>
    </w:p>
    <w:p w14:paraId="736D1288" w14:textId="77777777" w:rsidR="001572E2" w:rsidRPr="001572E2" w:rsidRDefault="001572E2" w:rsidP="001572E2">
      <w:r w:rsidRPr="001572E2">
        <w:rPr>
          <w:b/>
          <w:bCs/>
        </w:rPr>
        <w:lastRenderedPageBreak/>
        <w:t>Empowering Leadership and Employee Development:</w:t>
      </w:r>
      <w:r w:rsidRPr="001572E2">
        <w:br/>
        <w:t>Clear communication enables people professionals to empower leaders and employees through effective training, performance management, and development initiatives. By offering precise guidance on best practices and strategic priorities, they help cultivate a motivated and skilled workforce, thereby driving improved performance and productivity (Noe et al., 2014).</w:t>
      </w:r>
    </w:p>
    <w:p w14:paraId="3A6CE876" w14:textId="45BC3261" w:rsidR="001572E2" w:rsidRPr="001572E2" w:rsidRDefault="001572E2" w:rsidP="001572E2">
      <w:r w:rsidRPr="001572E2">
        <w:rPr>
          <w:b/>
          <w:bCs/>
        </w:rPr>
        <w:t>Consequences of Inadequate Influence:</w:t>
      </w:r>
      <w:r w:rsidRPr="001572E2">
        <w:br/>
        <w:t xml:space="preserve">Conversely, if people professionals are unwilling or unable to influence others, organisations may face significant challenges. Resistance to change can become entrenched, resulting in poorly implemented strategies and misaligned objectives. Furthermore, a lack of clear, confident communication can erode trust and credibility, leading to disengagement and reduced productivity. Inadequate advocacy may also result in ethical lapses and compliance risks, ultimately damaging the organisation’s reputation and long-term sustainability </w:t>
      </w:r>
      <w:r>
        <w:t>(</w:t>
      </w:r>
      <w:r w:rsidRPr="001572E2">
        <w:t>People Manager Magazine, 2022).</w:t>
      </w:r>
    </w:p>
    <w:p w14:paraId="7F1ED6D9" w14:textId="278E72E4" w:rsidR="001572E2" w:rsidRDefault="001572E2" w:rsidP="001572E2">
      <w:r w:rsidRPr="001572E2">
        <w:t>In summary, effective, informed, and confident communication by people professionals is critical for strategic alignment, trust-building, ethical decision-making, and workforce empowerment. The absence of such influence can lead to resistance, disengagement, and significant operational risks</w:t>
      </w:r>
      <w:r>
        <w:t xml:space="preserve"> (</w:t>
      </w:r>
      <w:r w:rsidRPr="001572E2">
        <w:t>CIPD, 2022</w:t>
      </w:r>
      <w:r>
        <w:t>)</w:t>
      </w:r>
      <w:r w:rsidRPr="001572E2">
        <w:t>.</w:t>
      </w:r>
    </w:p>
    <w:p w14:paraId="5B0786ED" w14:textId="77777777" w:rsidR="001572E2" w:rsidRDefault="001572E2" w:rsidP="001572E2"/>
    <w:p w14:paraId="2D0A4978" w14:textId="71A98F0F" w:rsidR="001572E2" w:rsidRDefault="001572E2" w:rsidP="001572E2">
      <w:r>
        <w:t>AC 1.4</w:t>
      </w:r>
    </w:p>
    <w:p w14:paraId="172BAE78" w14:textId="073135B0" w:rsidR="001572E2" w:rsidRPr="001572E2" w:rsidRDefault="001572E2" w:rsidP="001572E2">
      <w:r w:rsidRPr="001572E2">
        <w:t xml:space="preserve">Addressing unethical and illegal </w:t>
      </w:r>
      <w:r w:rsidR="0020153C" w:rsidRPr="001572E2">
        <w:t>behaviour</w:t>
      </w:r>
      <w:r w:rsidRPr="001572E2">
        <w:t xml:space="preserve"> requires careful consideration of timing and approach. Margaret Heffernan (</w:t>
      </w:r>
      <w:r w:rsidRPr="001572E2">
        <w:rPr>
          <w:i/>
          <w:iCs/>
        </w:rPr>
        <w:t>Dare to Disagree</w:t>
      </w:r>
      <w:r w:rsidRPr="001572E2">
        <w:t>) and Simon Sinek (</w:t>
      </w:r>
      <w:r w:rsidRPr="001572E2">
        <w:rPr>
          <w:i/>
          <w:iCs/>
        </w:rPr>
        <w:t>A Bit of Optimism</w:t>
      </w:r>
      <w:r w:rsidRPr="001572E2">
        <w:t>) emphasi</w:t>
      </w:r>
      <w:r>
        <w:t>s</w:t>
      </w:r>
      <w:r w:rsidRPr="001572E2">
        <w:t>e the importance of speaking up to foster integrity and accountability.</w:t>
      </w:r>
    </w:p>
    <w:p w14:paraId="01D0F51C" w14:textId="0C333EDB" w:rsidR="001572E2" w:rsidRPr="001572E2" w:rsidRDefault="001572E2" w:rsidP="001572E2">
      <w:pPr>
        <w:rPr>
          <w:b/>
          <w:bCs/>
        </w:rPr>
      </w:pPr>
    </w:p>
    <w:p w14:paraId="6D41369C" w14:textId="749A240A" w:rsidR="001572E2" w:rsidRPr="001572E2" w:rsidRDefault="001572E2" w:rsidP="001572E2">
      <w:r w:rsidRPr="001572E2">
        <w:t xml:space="preserve">Unethical </w:t>
      </w:r>
      <w:r w:rsidR="0020153C" w:rsidRPr="001572E2">
        <w:t>behaviour</w:t>
      </w:r>
      <w:r w:rsidRPr="001572E2">
        <w:t xml:space="preserve"> may not break the law but violates moral standards. For example, a company exaggerating product performance to mislead customers is unethical.</w:t>
      </w:r>
      <w:r>
        <w:t xml:space="preserve"> </w:t>
      </w:r>
      <w:r w:rsidRPr="001572E2">
        <w:t>It is crucial to raise concerns early before unethical actions escalate or cause harm (Heffernan, 2012).</w:t>
      </w:r>
    </w:p>
    <w:p w14:paraId="68DE185A" w14:textId="77777777" w:rsidR="001572E2" w:rsidRDefault="001572E2" w:rsidP="001572E2"/>
    <w:p w14:paraId="79D8E758" w14:textId="24FF153A" w:rsidR="001572E2" w:rsidRPr="001572E2" w:rsidRDefault="001572E2" w:rsidP="001572E2">
      <w:r w:rsidRPr="001572E2">
        <w:t>How to act:</w:t>
      </w:r>
    </w:p>
    <w:p w14:paraId="113011BC" w14:textId="77777777" w:rsidR="001572E2" w:rsidRPr="001572E2" w:rsidRDefault="001572E2" w:rsidP="001572E2">
      <w:pPr>
        <w:numPr>
          <w:ilvl w:val="0"/>
          <w:numId w:val="5"/>
        </w:numPr>
      </w:pPr>
      <w:r w:rsidRPr="001572E2">
        <w:t>Gather Evidence – Document the issue with clear examples.</w:t>
      </w:r>
    </w:p>
    <w:p w14:paraId="7C250906" w14:textId="77777777" w:rsidR="001572E2" w:rsidRPr="001572E2" w:rsidRDefault="001572E2" w:rsidP="001572E2">
      <w:pPr>
        <w:numPr>
          <w:ilvl w:val="0"/>
          <w:numId w:val="5"/>
        </w:numPr>
      </w:pPr>
      <w:r w:rsidRPr="001572E2">
        <w:t>Address the Right People – Speak with a supervisor, ethics officer, or HR.</w:t>
      </w:r>
    </w:p>
    <w:p w14:paraId="33D82012" w14:textId="77777777" w:rsidR="001572E2" w:rsidRPr="001572E2" w:rsidRDefault="001572E2" w:rsidP="001572E2">
      <w:pPr>
        <w:numPr>
          <w:ilvl w:val="0"/>
          <w:numId w:val="5"/>
        </w:numPr>
      </w:pPr>
      <w:r w:rsidRPr="001572E2">
        <w:t>Frame Concerns Productively – Present the issue as a potential risk rather than a direct accusation.</w:t>
      </w:r>
    </w:p>
    <w:p w14:paraId="14BD165B" w14:textId="77777777" w:rsidR="001572E2" w:rsidRDefault="001572E2" w:rsidP="001572E2"/>
    <w:p w14:paraId="055313CE" w14:textId="2B591D12" w:rsidR="001572E2" w:rsidRDefault="001572E2" w:rsidP="001572E2">
      <w:r w:rsidRPr="001572E2">
        <w:t>For example, an employee concerned about misleading marketing might say, “Can we reassess our claims to ensure transparency?” This approach encourages discussion rather than confrontation.</w:t>
      </w:r>
    </w:p>
    <w:p w14:paraId="2905539D" w14:textId="77777777" w:rsidR="001572E2" w:rsidRPr="001572E2" w:rsidRDefault="001572E2" w:rsidP="001572E2"/>
    <w:p w14:paraId="5F2B8154" w14:textId="77777777" w:rsidR="001572E2" w:rsidRPr="001572E2" w:rsidRDefault="001572E2" w:rsidP="001572E2">
      <w:pPr>
        <w:rPr>
          <w:b/>
          <w:bCs/>
        </w:rPr>
      </w:pPr>
      <w:r w:rsidRPr="001572E2">
        <w:rPr>
          <w:b/>
          <w:bCs/>
        </w:rPr>
        <w:t>Reacting to an Illegal Matter</w:t>
      </w:r>
    </w:p>
    <w:p w14:paraId="230D55E6" w14:textId="77777777" w:rsidR="001572E2" w:rsidRPr="001572E2" w:rsidRDefault="001572E2" w:rsidP="001572E2">
      <w:r w:rsidRPr="001572E2">
        <w:t>Illegal actions, such as financial fraud, require immediate action due to legal consequences.</w:t>
      </w:r>
    </w:p>
    <w:p w14:paraId="46A29FDC" w14:textId="436EF507" w:rsidR="001572E2" w:rsidRPr="001572E2" w:rsidRDefault="001572E2" w:rsidP="001572E2">
      <w:r>
        <w:t xml:space="preserve">For </w:t>
      </w:r>
      <w:r w:rsidR="0020153C">
        <w:t>example, i</w:t>
      </w:r>
      <w:r w:rsidR="0020153C" w:rsidRPr="001572E2">
        <w:t>f</w:t>
      </w:r>
      <w:r w:rsidRPr="001572E2">
        <w:t xml:space="preserve"> a company engages in tax evasion by falsifying records, employees have a duty to report it</w:t>
      </w:r>
      <w:r>
        <w:t xml:space="preserve">.  </w:t>
      </w:r>
      <w:r w:rsidRPr="001572E2">
        <w:t>Immediate</w:t>
      </w:r>
      <w:r>
        <w:t xml:space="preserve"> action is needed</w:t>
      </w:r>
      <w:r w:rsidRPr="001572E2">
        <w:t>, as legal violations can lead to severe consequences</w:t>
      </w:r>
      <w:r>
        <w:t xml:space="preserve"> which (in some cases) could have further implications to individuals</w:t>
      </w:r>
      <w:r w:rsidRPr="001572E2">
        <w:t xml:space="preserve"> (Treviño &amp; Nelson, 2016).</w:t>
      </w:r>
    </w:p>
    <w:p w14:paraId="67DB8D7E" w14:textId="77777777" w:rsidR="001572E2" w:rsidRPr="001572E2" w:rsidRDefault="001572E2" w:rsidP="001572E2">
      <w:r w:rsidRPr="001572E2">
        <w:t>How to act:</w:t>
      </w:r>
    </w:p>
    <w:p w14:paraId="6CCFFB0E" w14:textId="77777777" w:rsidR="001572E2" w:rsidRPr="001572E2" w:rsidRDefault="001572E2" w:rsidP="001572E2">
      <w:pPr>
        <w:numPr>
          <w:ilvl w:val="0"/>
          <w:numId w:val="6"/>
        </w:numPr>
      </w:pPr>
      <w:r w:rsidRPr="001572E2">
        <w:t>Collect Concrete Evidence – Ensure reliable proof exists.</w:t>
      </w:r>
    </w:p>
    <w:p w14:paraId="01DF3197" w14:textId="77777777" w:rsidR="001572E2" w:rsidRPr="001572E2" w:rsidRDefault="001572E2" w:rsidP="001572E2">
      <w:pPr>
        <w:numPr>
          <w:ilvl w:val="0"/>
          <w:numId w:val="6"/>
        </w:numPr>
      </w:pPr>
      <w:r w:rsidRPr="001572E2">
        <w:t>Follow Company Protocols – Report through internal whistleblower channels.</w:t>
      </w:r>
    </w:p>
    <w:p w14:paraId="6A7E17BD" w14:textId="77777777" w:rsidR="001572E2" w:rsidRPr="001572E2" w:rsidRDefault="001572E2" w:rsidP="001572E2">
      <w:pPr>
        <w:numPr>
          <w:ilvl w:val="0"/>
          <w:numId w:val="6"/>
        </w:numPr>
      </w:pPr>
      <w:r w:rsidRPr="001572E2">
        <w:lastRenderedPageBreak/>
        <w:t>Escalate if Necessary – If ignored, report to legal authorities. Many countries offer whistleblower protections (Brown, 2008).</w:t>
      </w:r>
    </w:p>
    <w:p w14:paraId="02619C1C" w14:textId="77777777" w:rsidR="001572E2" w:rsidRPr="001572E2" w:rsidRDefault="001572E2" w:rsidP="001572E2">
      <w:pPr>
        <w:rPr>
          <w:b/>
          <w:bCs/>
        </w:rPr>
      </w:pPr>
      <w:r w:rsidRPr="001572E2">
        <w:rPr>
          <w:b/>
          <w:bCs/>
        </w:rPr>
        <w:t>Conclusion</w:t>
      </w:r>
    </w:p>
    <w:p w14:paraId="75AE9E9B" w14:textId="0C739523" w:rsidR="001572E2" w:rsidRPr="001572E2" w:rsidRDefault="001572E2" w:rsidP="001572E2">
      <w:r w:rsidRPr="001572E2">
        <w:t>Unethical concerns require constructive dialogue, while illegal matters demand formal reporting. A culture of open discussion, as advocated by Heffernan and Sinek, strengthens ethical decision-making (Sinek, 2020). Organi</w:t>
      </w:r>
      <w:r>
        <w:t>s</w:t>
      </w:r>
      <w:r w:rsidRPr="001572E2">
        <w:t>ations that encourage speaking up prevent misconduct and foster long-term success.</w:t>
      </w:r>
    </w:p>
    <w:p w14:paraId="3AEA682D" w14:textId="77777777" w:rsidR="001572E2" w:rsidRDefault="001572E2" w:rsidP="001572E2">
      <w:pPr>
        <w:rPr>
          <w:b/>
          <w:bCs/>
        </w:rPr>
      </w:pPr>
    </w:p>
    <w:p w14:paraId="4125F3AA" w14:textId="77777777" w:rsidR="001572E2" w:rsidRDefault="001572E2" w:rsidP="001572E2">
      <w:pPr>
        <w:rPr>
          <w:b/>
          <w:bCs/>
        </w:rPr>
      </w:pPr>
    </w:p>
    <w:p w14:paraId="4BF4D00B" w14:textId="480DA128" w:rsidR="001572E2" w:rsidRPr="001572E2" w:rsidRDefault="001572E2" w:rsidP="001572E2">
      <w:r>
        <w:t>AC 2.1</w:t>
      </w:r>
    </w:p>
    <w:p w14:paraId="6740E31A" w14:textId="77777777" w:rsidR="001572E2" w:rsidRPr="001572E2" w:rsidRDefault="001572E2" w:rsidP="001572E2">
      <w:r w:rsidRPr="001572E2">
        <w:t>Ensuring that employees feel included, valued, and fairly treated is fundamental to both individual well-being and organisational success. Several theories support this, highlighting both human and business benefits.</w:t>
      </w:r>
    </w:p>
    <w:p w14:paraId="100EA434" w14:textId="77777777" w:rsidR="001572E2" w:rsidRDefault="001572E2" w:rsidP="001572E2"/>
    <w:p w14:paraId="3F5556A7" w14:textId="229F6BB1" w:rsidR="001572E2" w:rsidRPr="001572E2" w:rsidRDefault="001572E2" w:rsidP="001572E2">
      <w:pPr>
        <w:rPr>
          <w:b/>
          <w:bCs/>
        </w:rPr>
      </w:pPr>
      <w:r w:rsidRPr="001572E2">
        <w:rPr>
          <w:b/>
          <w:bCs/>
        </w:rPr>
        <w:t>Theoretical Perspectiv</w:t>
      </w:r>
      <w:r>
        <w:rPr>
          <w:b/>
          <w:bCs/>
        </w:rPr>
        <w:t>es</w:t>
      </w:r>
    </w:p>
    <w:p w14:paraId="47EA2853" w14:textId="77777777" w:rsidR="001572E2" w:rsidRPr="001572E2" w:rsidRDefault="001572E2" w:rsidP="001572E2">
      <w:r w:rsidRPr="001572E2">
        <w:t>Maslow’s Hierarchy of Needs (1943) suggests that psychological safety, belonging, and esteem are essential before individuals reach self-actualisation. In the workplace, this means employees perform best when they feel respected and valued (CIPD, 2023). When organisations foster inclusion and fairness, employees experience greater job satisfaction and engagement.</w:t>
      </w:r>
    </w:p>
    <w:p w14:paraId="7D19C1F4" w14:textId="77777777" w:rsidR="001572E2" w:rsidRPr="001572E2" w:rsidRDefault="001572E2" w:rsidP="001572E2">
      <w:r w:rsidRPr="001572E2">
        <w:t>Equity Theory (Adams, 1965) explains that employees assess fairness by comparing their inputs (effort, skills) to their outputs (pay, recognition) relative to peers. If they perceive inequality, motivation and productivity decline (Armstrong &amp; Taylor, 2020). In contrast, when organisations ensure fair treatment, employees are more committed, reducing absenteeism and turnover.</w:t>
      </w:r>
    </w:p>
    <w:p w14:paraId="6032AA9F" w14:textId="77777777" w:rsidR="001572E2" w:rsidRPr="001572E2" w:rsidRDefault="001572E2" w:rsidP="001572E2">
      <w:r w:rsidRPr="001572E2">
        <w:t>Social Exchange Theory (Blau, 1964) argues that employees reciprocate positive treatment with increased loyalty and discretionary effort. When organisations invest in fairness and inclusion—such as transparent career progression or recognition programs—employees respond with enhanced performance and innovation (Guest, 2017).</w:t>
      </w:r>
    </w:p>
    <w:p w14:paraId="045EA5A0" w14:textId="77777777" w:rsidR="001572E2" w:rsidRDefault="001572E2" w:rsidP="001572E2"/>
    <w:p w14:paraId="12C86EB4" w14:textId="58F32EFE" w:rsidR="001572E2" w:rsidRPr="001572E2" w:rsidRDefault="001572E2" w:rsidP="001572E2">
      <w:pPr>
        <w:rPr>
          <w:b/>
          <w:bCs/>
        </w:rPr>
      </w:pPr>
      <w:r w:rsidRPr="001572E2">
        <w:rPr>
          <w:b/>
          <w:bCs/>
        </w:rPr>
        <w:t>Business and Human Benefits</w:t>
      </w:r>
    </w:p>
    <w:p w14:paraId="2E4BBA2C" w14:textId="77777777" w:rsidR="001572E2" w:rsidRPr="001572E2" w:rsidRDefault="001572E2" w:rsidP="001572E2">
      <w:r w:rsidRPr="001572E2">
        <w:t>From a business perspective, fostering inclusion and fairness improves retention, productivity, and innovation. Research by the CIPD (2023) links inclusive workplaces to higher engagement, reduced turnover, and stronger employer branding. Furthermore, diverse and inclusive teams outperform homogeneous teams in problem-solving and decision-making (McKinsey, 2023).</w:t>
      </w:r>
    </w:p>
    <w:p w14:paraId="2A31E81A" w14:textId="77777777" w:rsidR="001572E2" w:rsidRPr="001572E2" w:rsidRDefault="001572E2" w:rsidP="001572E2">
      <w:r w:rsidRPr="001572E2">
        <w:t>From a human perspective, fair treatment enhances employee well-being, reducing stress and burnout. Studies show that employees in inclusive workplaces report higher job satisfaction and mental well-being (Bailey et al., 2018). This supports long-term employability and career development, benefiting both individuals and the economy.</w:t>
      </w:r>
    </w:p>
    <w:p w14:paraId="5031838B" w14:textId="77777777" w:rsidR="001572E2" w:rsidRDefault="001572E2" w:rsidP="001572E2">
      <w:pPr>
        <w:rPr>
          <w:b/>
          <w:bCs/>
        </w:rPr>
      </w:pPr>
    </w:p>
    <w:p w14:paraId="57A1F72C" w14:textId="3E0490BD" w:rsidR="001572E2" w:rsidRPr="001572E2" w:rsidRDefault="001572E2" w:rsidP="001572E2">
      <w:pPr>
        <w:rPr>
          <w:b/>
          <w:bCs/>
        </w:rPr>
      </w:pPr>
      <w:r w:rsidRPr="001572E2">
        <w:rPr>
          <w:b/>
          <w:bCs/>
        </w:rPr>
        <w:t>Conclusion</w:t>
      </w:r>
    </w:p>
    <w:p w14:paraId="36F4AF19" w14:textId="6339F6C1" w:rsidR="001572E2" w:rsidRDefault="001572E2" w:rsidP="001572E2">
      <w:r w:rsidRPr="001572E2">
        <w:t xml:space="preserve">Theories such as Maslow’s Hierarchy of Needs, Equity Theory, and Social Exchange Theory provide a strong foundation for understanding why people must feel included, valued, and fairly treated at work. These principles not only enhance individual well-being but also drive business performance, innovation, and long-term sustainability. However, it is essential to distinguish between motivation and consistency. While motivated employees can achieve </w:t>
      </w:r>
      <w:r w:rsidRPr="001572E2">
        <w:lastRenderedPageBreak/>
        <w:t>exceptional results, without consistency, their efforts may become unstable or unpredictable. To maximise both individual and organisational success, these principles must be deeply embedded within workplace values and culture. By fostering a consistent and inclusive environment, organisations ensure that all employees are aligned toward shared goals, creating a thriving and high-performing workforce.</w:t>
      </w:r>
    </w:p>
    <w:p w14:paraId="40E187E2" w14:textId="77777777" w:rsidR="001572E2" w:rsidRPr="001572E2" w:rsidRDefault="001572E2" w:rsidP="001572E2"/>
    <w:p w14:paraId="528B201B" w14:textId="169C42EE" w:rsidR="001572E2" w:rsidRDefault="001572E2" w:rsidP="001572E2">
      <w:r>
        <w:t>AC 2.2</w:t>
      </w:r>
    </w:p>
    <w:p w14:paraId="5A1270C8" w14:textId="77777777" w:rsidR="001572E2" w:rsidRDefault="001572E2" w:rsidP="001572E2"/>
    <w:p w14:paraId="5476278B" w14:textId="09CDE0B8" w:rsidR="001572E2" w:rsidRDefault="001572E2" w:rsidP="001572E2">
      <w:r>
        <w:t xml:space="preserve">In contact centres ensuring people practices implement inclusive initiatives is crucial to reduce turnover and enhance service quality. </w:t>
      </w:r>
      <w:r w:rsidRPr="001572E2">
        <w:t>Inclusive initiatives should address barriers faced by diverse employees, ensuring equal access to opportunities and support (Armstrong &amp; Taylor, 2020).</w:t>
      </w:r>
    </w:p>
    <w:p w14:paraId="44F26026" w14:textId="77777777" w:rsidR="001572E2" w:rsidRPr="001572E2" w:rsidRDefault="001572E2" w:rsidP="001572E2"/>
    <w:p w14:paraId="53D7F06A" w14:textId="60EC82AB" w:rsidR="001572E2" w:rsidRPr="001572E2" w:rsidRDefault="001572E2" w:rsidP="001572E2">
      <w:r w:rsidRPr="001572E2">
        <w:rPr>
          <w:b/>
          <w:bCs/>
        </w:rPr>
        <w:t>Consulting Employees</w:t>
      </w:r>
      <w:r w:rsidRPr="001572E2">
        <w:t> – Before launching an initiative, engaging employees through surveys or focus groups ensures it meets diverse needs (Guest, 2017). For example, when redesigning shift patterns</w:t>
      </w:r>
      <w:r>
        <w:t xml:space="preserve"> in my organisation we</w:t>
      </w:r>
      <w:r w:rsidRPr="001572E2">
        <w:t xml:space="preserve"> consult</w:t>
      </w:r>
      <w:r>
        <w:t>ed with</w:t>
      </w:r>
      <w:r w:rsidRPr="001572E2">
        <w:t xml:space="preserve"> working parents, neurodivergent employees, and those with health conditions </w:t>
      </w:r>
      <w:r>
        <w:t xml:space="preserve">to </w:t>
      </w:r>
      <w:r w:rsidRPr="001572E2">
        <w:t>ensure fairness.</w:t>
      </w:r>
    </w:p>
    <w:p w14:paraId="1E2EE216" w14:textId="56F17DDC" w:rsidR="001572E2" w:rsidRPr="001572E2" w:rsidRDefault="001572E2" w:rsidP="001572E2">
      <w:r w:rsidRPr="001572E2">
        <w:rPr>
          <w:b/>
          <w:bCs/>
        </w:rPr>
        <w:t>Flexible Policies</w:t>
      </w:r>
      <w:r w:rsidRPr="001572E2">
        <w:t xml:space="preserve"> – </w:t>
      </w:r>
      <w:r>
        <w:t>My organisation</w:t>
      </w:r>
      <w:r w:rsidRPr="001572E2">
        <w:t xml:space="preserve"> operate</w:t>
      </w:r>
      <w:r>
        <w:t>s a mix of flexible and</w:t>
      </w:r>
      <w:r w:rsidRPr="001572E2">
        <w:t xml:space="preserve"> rigid schedules, </w:t>
      </w:r>
      <w:r w:rsidR="0020153C">
        <w:t>with</w:t>
      </w:r>
      <w:r w:rsidR="0020153C" w:rsidRPr="001572E2">
        <w:t xml:space="preserve"> initiatives</w:t>
      </w:r>
      <w:r w:rsidRPr="001572E2">
        <w:t xml:space="preserve"> like hybrid working options </w:t>
      </w:r>
      <w:r>
        <w:t>and</w:t>
      </w:r>
      <w:r w:rsidRPr="001572E2">
        <w:t xml:space="preserve"> well-being breaks </w:t>
      </w:r>
      <w:r>
        <w:t>help inclusion</w:t>
      </w:r>
      <w:r w:rsidRPr="001572E2">
        <w:t xml:space="preserve">. </w:t>
      </w:r>
      <w:r>
        <w:t>They recently</w:t>
      </w:r>
      <w:r w:rsidRPr="001572E2">
        <w:t xml:space="preserve">, </w:t>
      </w:r>
      <w:r>
        <w:t>introduced a</w:t>
      </w:r>
      <w:r w:rsidRPr="001572E2">
        <w:t xml:space="preserve"> prayer space </w:t>
      </w:r>
      <w:r>
        <w:t xml:space="preserve">and </w:t>
      </w:r>
      <w:r w:rsidRPr="001572E2">
        <w:t xml:space="preserve">quiet zones supports </w:t>
      </w:r>
      <w:r>
        <w:t xml:space="preserve">to </w:t>
      </w:r>
      <w:r w:rsidRPr="001572E2">
        <w:t>employees from different religious and neurodivergent backgrounds (CIPD, 2023).</w:t>
      </w:r>
    </w:p>
    <w:p w14:paraId="07A415BA" w14:textId="77777777" w:rsidR="001572E2" w:rsidRPr="001572E2" w:rsidRDefault="001572E2" w:rsidP="001572E2">
      <w:r w:rsidRPr="001572E2">
        <w:rPr>
          <w:b/>
          <w:bCs/>
        </w:rPr>
        <w:t>Accessible Learning &amp; Development</w:t>
      </w:r>
      <w:r w:rsidRPr="001572E2">
        <w:t> – Training should cater to different learning styles. Providing captioned videos, written guides, and interactive sessions ensures inclusivity for employees with disabilities or language barriers (Bailey et al., 2018).</w:t>
      </w:r>
    </w:p>
    <w:p w14:paraId="22E4FD71" w14:textId="77777777" w:rsidR="001572E2" w:rsidRDefault="001572E2" w:rsidP="001572E2">
      <w:pPr>
        <w:rPr>
          <w:b/>
          <w:bCs/>
        </w:rPr>
      </w:pPr>
    </w:p>
    <w:p w14:paraId="3CE228BB" w14:textId="75BB0613" w:rsidR="001572E2" w:rsidRPr="001572E2" w:rsidRDefault="001572E2" w:rsidP="001572E2">
      <w:pPr>
        <w:rPr>
          <w:b/>
          <w:bCs/>
        </w:rPr>
      </w:pPr>
      <w:r w:rsidRPr="001572E2">
        <w:rPr>
          <w:b/>
          <w:bCs/>
        </w:rPr>
        <w:t>Checking Inclusivity Post-Implementation</w:t>
      </w:r>
    </w:p>
    <w:p w14:paraId="4B41758F" w14:textId="77777777" w:rsidR="001572E2" w:rsidRPr="001572E2" w:rsidRDefault="001572E2" w:rsidP="001572E2">
      <w:r w:rsidRPr="001572E2">
        <w:t>Once an initiative is launched, measuring its inclusivity is essential to ensure it benefits all employees fairly.</w:t>
      </w:r>
    </w:p>
    <w:p w14:paraId="2947D0CF" w14:textId="5988D5F5" w:rsidR="001572E2" w:rsidRPr="001572E2" w:rsidRDefault="001572E2" w:rsidP="001572E2">
      <w:r w:rsidRPr="001572E2">
        <w:rPr>
          <w:b/>
          <w:bCs/>
        </w:rPr>
        <w:t>Collecting Feedback</w:t>
      </w:r>
      <w:r w:rsidRPr="001572E2">
        <w:t> – Regular surveys or one-on-one meetings allow employees to voice concerns or suggest improvements (McKinsey, 2023). For example, after introducing flexible shifts, monitoring uptake across different employee groups can identify unintended exclusion.</w:t>
      </w:r>
    </w:p>
    <w:p w14:paraId="43225138" w14:textId="77777777" w:rsidR="001572E2" w:rsidRPr="001572E2" w:rsidRDefault="001572E2" w:rsidP="001572E2">
      <w:r w:rsidRPr="001572E2">
        <w:rPr>
          <w:b/>
          <w:bCs/>
        </w:rPr>
        <w:t>Tracking Key Metrics</w:t>
      </w:r>
      <w:r w:rsidRPr="001572E2">
        <w:t> – HR should analyse data on retention, engagement, and promotion rates among diverse employees (CIPD, 2023). If underrepresented groups are not benefiting from an initiative, adjustments can be made.</w:t>
      </w:r>
    </w:p>
    <w:p w14:paraId="169297C7" w14:textId="6E88329A" w:rsidR="001572E2" w:rsidRPr="001572E2" w:rsidRDefault="001572E2" w:rsidP="001572E2">
      <w:r w:rsidRPr="001572E2">
        <w:rPr>
          <w:b/>
          <w:bCs/>
        </w:rPr>
        <w:t>Inclusive Review Panels</w:t>
      </w:r>
      <w:r w:rsidRPr="001572E2">
        <w:t> – Having diverse employee representatives assess initiatives ensures they remain fair and accessible (Schein, 2017).</w:t>
      </w:r>
      <w:r>
        <w:t xml:space="preserve"> My organisation has employee forums where we encourage input from everyone and allow open discussion to ensure employees feel comfortable in </w:t>
      </w:r>
      <w:r w:rsidR="0020153C">
        <w:t>raising</w:t>
      </w:r>
      <w:r>
        <w:t xml:space="preserve"> topics that may be difficult or seen as controversial.</w:t>
      </w:r>
    </w:p>
    <w:p w14:paraId="10D57D3F" w14:textId="77777777" w:rsidR="001572E2" w:rsidRPr="001572E2" w:rsidRDefault="001572E2" w:rsidP="001572E2">
      <w:pPr>
        <w:rPr>
          <w:b/>
          <w:bCs/>
        </w:rPr>
      </w:pPr>
      <w:r w:rsidRPr="001572E2">
        <w:rPr>
          <w:b/>
          <w:bCs/>
        </w:rPr>
        <w:t>Conclusion</w:t>
      </w:r>
    </w:p>
    <w:p w14:paraId="69328618" w14:textId="77777777" w:rsidR="001572E2" w:rsidRPr="001572E2" w:rsidRDefault="001572E2" w:rsidP="001572E2">
      <w:r w:rsidRPr="001572E2">
        <w:t>To design inclusive people practice initiatives in a contact centre, organisations must consult employees, create flexible policies, and ensure accessibility. Post-implementation, gathering feedback and tracking diversity data ensures continued fairness. A proactive approach strengthens inclusion, engagement, and long-term business success.</w:t>
      </w:r>
    </w:p>
    <w:p w14:paraId="0952D1D0" w14:textId="77777777" w:rsidR="001572E2" w:rsidRPr="001572E2" w:rsidRDefault="001572E2" w:rsidP="001572E2"/>
    <w:p w14:paraId="7D25CD6A" w14:textId="338BC305" w:rsidR="001572E2" w:rsidRPr="00E33EC5" w:rsidRDefault="00E33EC5" w:rsidP="001572E2">
      <w:r w:rsidRPr="00E33EC5">
        <w:t>AC 2.3</w:t>
      </w:r>
    </w:p>
    <w:p w14:paraId="7EB33F64" w14:textId="77777777" w:rsidR="00B05BBA" w:rsidRPr="00B05BBA" w:rsidRDefault="00B05BBA" w:rsidP="00B05BBA">
      <w:r w:rsidRPr="00B05BBA">
        <w:lastRenderedPageBreak/>
        <w:t>As part of my ongoing development, I recently reflected on my ability to work inclusively and maintain positive working relationships. This reflection was informed by direct feedback from my team, which highlighted several strengths in my approach.</w:t>
      </w:r>
    </w:p>
    <w:p w14:paraId="3D93E29A" w14:textId="77777777" w:rsidR="00B05BBA" w:rsidRPr="00B05BBA" w:rsidRDefault="00B05BBA" w:rsidP="00B05BBA">
      <w:r w:rsidRPr="00B05BBA">
        <w:t>According to the feedback received, I am perceived as supportive, encouraging, and inclusive. I take care to ensure that work is distributed fairly and tailored to individuals’ capabilities, while also creating development opportunities that help address any skills gaps. This not only supports performance but also promotes a culture where everyone feels valued and included. My team also indicated that they trust my leadership and decision-making, recognising that I act in their best interests while maintaining alignment with organisational goals and expectations.</w:t>
      </w:r>
    </w:p>
    <w:p w14:paraId="6D6910C6" w14:textId="77777777" w:rsidR="00B05BBA" w:rsidRPr="00B05BBA" w:rsidRDefault="00B05BBA" w:rsidP="00B05BBA">
      <w:r w:rsidRPr="00B05BBA">
        <w:t>From my perspective, I place a strong emphasis on open communication, respect, and transparency. These values help to create an environment where individuals feel comfortable contributing and where differences in background, experience, or working style are respected. I make a conscious effort to involve team members in discussions and decision-making, fostering collaboration and ownership.</w:t>
      </w:r>
    </w:p>
    <w:p w14:paraId="72B56C2B" w14:textId="77777777" w:rsidR="00B05BBA" w:rsidRPr="00B05BBA" w:rsidRDefault="00B05BBA" w:rsidP="00B05BBA">
      <w:r w:rsidRPr="00B05BBA">
        <w:t>A notable example that tested my ability to manage inclusively involved a challenging situation early in my time at Maximus. I was asked by a seconded senior manager to temporarily supervise a peer—a task that carried a high risk of disrupting professional relationships. Acknowledging the sensitivity of the situation, I approached the individual directly and explained the context with full transparency. I invited them to work with me to find a practical way to complete the task while maintaining mutual respect. While this was not an ideal setup, our collaborative approach allowed us to navigate the assignment without conflict. Fortunately, the arrangement ended once my line manager returned from maternity leave.</w:t>
      </w:r>
    </w:p>
    <w:p w14:paraId="3503B1B8" w14:textId="77777777" w:rsidR="00B05BBA" w:rsidRPr="00B05BBA" w:rsidRDefault="00B05BBA" w:rsidP="00B05BBA">
      <w:r w:rsidRPr="00B05BBA">
        <w:t>In hindsight, while I handled the situation with honesty and empathy, I now recognise that I could have addressed the issue more assertively. I would be more confident today in raising concerns about the appropriateness of such a request and the potential risks to team dynamics and morale. This reflection has strengthened my awareness of the importance of psychological safety and fairness in fostering inclusive working relationships.</w:t>
      </w:r>
    </w:p>
    <w:p w14:paraId="69C5C2AC" w14:textId="77777777" w:rsidR="00B05BBA" w:rsidRPr="00B05BBA" w:rsidRDefault="00B05BBA" w:rsidP="00B05BBA">
      <w:r w:rsidRPr="00B05BBA">
        <w:t>Overall, both feedback and personal experience suggest that I have developed strong inclusive leadership behaviours. I build positive relationships by promoting trust, collaboration, and transparency. At the same time, I recognise there are areas where I can continue to grow—particularly in challenging decisions that may compromise team cohesion or fairness.</w:t>
      </w:r>
    </w:p>
    <w:p w14:paraId="467EDAE5" w14:textId="77777777" w:rsidR="00B05BBA" w:rsidRDefault="00B05BBA" w:rsidP="001572E2"/>
    <w:p w14:paraId="7579F2EF" w14:textId="43559D43" w:rsidR="00E33EC5" w:rsidRPr="00E33EC5" w:rsidRDefault="00E33EC5" w:rsidP="001572E2">
      <w:r w:rsidRPr="00E33EC5">
        <w:t>AC 3.2</w:t>
      </w:r>
    </w:p>
    <w:p w14:paraId="723ABC5C" w14:textId="3739673A" w:rsidR="001572E2" w:rsidRDefault="001572E2" w:rsidP="001572E2">
      <w:pPr>
        <w:rPr>
          <w:b/>
          <w:bCs/>
        </w:rPr>
      </w:pPr>
    </w:p>
    <w:p w14:paraId="4CBFE78E" w14:textId="77777777" w:rsidR="009D54D4" w:rsidRDefault="009D54D4" w:rsidP="009D54D4">
      <w:r w:rsidRPr="009D54D4">
        <w:t>As part of my development, I have assessed myself against two core behavioural areas from the CIPD Profession Map at Associate level: Professional Courage and Influence and Commercial Drive. This reflection draws on both self-assessment and feedback received from colleagues and my line manager.</w:t>
      </w:r>
    </w:p>
    <w:p w14:paraId="484D8141" w14:textId="77777777" w:rsidR="009D54D4" w:rsidRPr="009D54D4" w:rsidRDefault="009D54D4" w:rsidP="009D54D4"/>
    <w:p w14:paraId="792317A9" w14:textId="77777777" w:rsidR="009D54D4" w:rsidRPr="009D54D4" w:rsidRDefault="009D54D4" w:rsidP="009D54D4">
      <w:pPr>
        <w:rPr>
          <w:b/>
          <w:bCs/>
        </w:rPr>
      </w:pPr>
      <w:r w:rsidRPr="009D54D4">
        <w:rPr>
          <w:b/>
          <w:bCs/>
        </w:rPr>
        <w:t>Professional Courage and Influence</w:t>
      </w:r>
    </w:p>
    <w:p w14:paraId="524FAFDF" w14:textId="77777777" w:rsidR="009D54D4" w:rsidRPr="009D54D4" w:rsidRDefault="009D54D4" w:rsidP="009D54D4">
      <w:r w:rsidRPr="009D54D4">
        <w:t>This behaviour focuses on the ability to challenge constructively, make ethical decisions, and influence others effectively.</w:t>
      </w:r>
    </w:p>
    <w:p w14:paraId="561AD30E" w14:textId="77777777" w:rsidR="009D54D4" w:rsidRPr="009D54D4" w:rsidRDefault="009D54D4" w:rsidP="009D54D4">
      <w:r w:rsidRPr="009D54D4">
        <w:t xml:space="preserve">Since starting the CIPD course, I have become more confident in navigating challenging conversations—particularly those I may have previously avoided. Being new to a team where </w:t>
      </w:r>
      <w:r w:rsidRPr="009D54D4">
        <w:lastRenderedPageBreak/>
        <w:t>colleagues have worked together for many years, I initially had to be selective in how and when I raised concerns. Over time, I’ve built credibility, and my line manager has acknowledged this by assigning me more complex HR cases. She has expressed confidence in my ability to remain impartial and to consider all perspectives before making decisions.</w:t>
      </w:r>
    </w:p>
    <w:p w14:paraId="5E1FA024" w14:textId="77777777" w:rsidR="009D54D4" w:rsidRPr="009D54D4" w:rsidRDefault="009D54D4" w:rsidP="009D54D4">
      <w:r w:rsidRPr="009D54D4">
        <w:t>A recent example involved a colleague pushing for the dismissal of an employee with ongoing performance and behavioural issues. While the concerns were valid, my assessment found there was insufficient evidence of structured support or clear direction. The individual had been placed on repeated performance action plans (PAPs), although the concerns were more behavioural in nature and should have been managed via a conduct process.</w:t>
      </w:r>
    </w:p>
    <w:p w14:paraId="7E4F8008" w14:textId="77777777" w:rsidR="009D54D4" w:rsidRPr="009D54D4" w:rsidRDefault="009D54D4" w:rsidP="009D54D4">
      <w:r w:rsidRPr="009D54D4">
        <w:t>I respectfully challenged the proposed course of action and discussed my rationale with my line manager. She supported my decision to move the employee to a different team to allow a fresh start—mitigating risk and avoiding potential claims of victimisation. This situation reflected my growth in professional courage, as I advocated for a fair and compliant approach, despite pressure from a peer.</w:t>
      </w:r>
    </w:p>
    <w:p w14:paraId="1A4E60B0" w14:textId="77777777" w:rsidR="009D54D4" w:rsidRDefault="009D54D4" w:rsidP="009D54D4"/>
    <w:p w14:paraId="4AEFB5E1" w14:textId="197E389B" w:rsidR="009D54D4" w:rsidRPr="009D54D4" w:rsidRDefault="009D54D4" w:rsidP="009D54D4">
      <w:r w:rsidRPr="009D54D4">
        <w:t>Assessment Outcome:</w:t>
      </w:r>
    </w:p>
    <w:p w14:paraId="6921660E" w14:textId="77777777" w:rsidR="009D54D4" w:rsidRPr="009D54D4" w:rsidRDefault="009D54D4" w:rsidP="009D54D4">
      <w:r w:rsidRPr="009D54D4">
        <w:t>Strengths: Ethical reasoning, impartiality, and willingness to challenge where necessary.</w:t>
      </w:r>
    </w:p>
    <w:p w14:paraId="7AE532A5" w14:textId="597D2C44" w:rsidR="009D54D4" w:rsidRDefault="009D54D4" w:rsidP="009D54D4">
      <w:r w:rsidRPr="009D54D4">
        <w:t>Development Area: Continue building influence by improving confidence in group settings and learning how to present challenges in more senior stakeholder discussions.</w:t>
      </w:r>
    </w:p>
    <w:p w14:paraId="5DB1A053" w14:textId="77777777" w:rsidR="009D54D4" w:rsidRPr="009D54D4" w:rsidRDefault="009D54D4" w:rsidP="009D54D4"/>
    <w:p w14:paraId="45D4ED36" w14:textId="77777777" w:rsidR="009D54D4" w:rsidRPr="009D54D4" w:rsidRDefault="009D54D4" w:rsidP="009D54D4">
      <w:pPr>
        <w:rPr>
          <w:b/>
          <w:bCs/>
        </w:rPr>
      </w:pPr>
      <w:r w:rsidRPr="009D54D4">
        <w:rPr>
          <w:b/>
          <w:bCs/>
        </w:rPr>
        <w:t>Commercial Drive</w:t>
      </w:r>
    </w:p>
    <w:p w14:paraId="149D0178" w14:textId="77777777" w:rsidR="009D54D4" w:rsidRPr="009D54D4" w:rsidRDefault="009D54D4" w:rsidP="009D54D4">
      <w:r w:rsidRPr="009D54D4">
        <w:t>This behaviour relates to understanding the business context, adding value through people practices, and demonstrating responsiveness to commercial challenges.</w:t>
      </w:r>
    </w:p>
    <w:p w14:paraId="664E0BB1" w14:textId="77777777" w:rsidR="009D54D4" w:rsidRPr="009D54D4" w:rsidRDefault="009D54D4" w:rsidP="009D54D4">
      <w:r w:rsidRPr="009D54D4">
        <w:t>This is an area where I have identified a clear development need. During my first six months in the role, performance metrics under my area fell short, which led to scrutiny and negative feedback from newly appointed senior leaders. This affected my confidence, particularly in external-facing interactions.</w:t>
      </w:r>
    </w:p>
    <w:p w14:paraId="5B2380DB" w14:textId="77777777" w:rsidR="009D54D4" w:rsidRPr="009D54D4" w:rsidRDefault="009D54D4" w:rsidP="009D54D4">
      <w:r w:rsidRPr="009D54D4">
        <w:t>In response, I proactively approached the Customer Relationship Manager (CRM) for my contracts and asked for regular feedback following customer meetings. His insights have been candid, but by framing this feedback as a development opportunity, I’ve started to identify practical areas for improvement. This includes refining my communication style, demonstrating a clearer understanding of client priorities, and aligning updates more directly with commercial goals.</w:t>
      </w:r>
    </w:p>
    <w:p w14:paraId="7C133F8D" w14:textId="77777777" w:rsidR="009D54D4" w:rsidRDefault="009D54D4" w:rsidP="009D54D4">
      <w:r w:rsidRPr="009D54D4">
        <w:t>By taking ownership of the relationship and seeking tangible guidance, I am working to rebuild credibility and improve my effectiveness in commercial discussions. This also reflects a growing awareness of how my role contributes to the wider success of the business.</w:t>
      </w:r>
    </w:p>
    <w:p w14:paraId="1187859A" w14:textId="77777777" w:rsidR="009D54D4" w:rsidRPr="009D54D4" w:rsidRDefault="009D54D4" w:rsidP="009D54D4"/>
    <w:p w14:paraId="0979F6F1" w14:textId="77777777" w:rsidR="009D54D4" w:rsidRPr="009D54D4" w:rsidRDefault="009D54D4" w:rsidP="009D54D4">
      <w:r w:rsidRPr="009D54D4">
        <w:t>Assessment Outcome:</w:t>
      </w:r>
    </w:p>
    <w:p w14:paraId="270332A0" w14:textId="77777777" w:rsidR="009D54D4" w:rsidRPr="009D54D4" w:rsidRDefault="009D54D4" w:rsidP="009D54D4">
      <w:r w:rsidRPr="009D54D4">
        <w:t>Strengths: Openness to feedback, resilience, and commitment to improvement.</w:t>
      </w:r>
    </w:p>
    <w:p w14:paraId="40B9EB02" w14:textId="77777777" w:rsidR="009D54D4" w:rsidRPr="009D54D4" w:rsidRDefault="009D54D4" w:rsidP="009D54D4">
      <w:r w:rsidRPr="009D54D4">
        <w:t>Development Area: Enhancing commercial acumen and building stronger client-facing communication skills.</w:t>
      </w:r>
    </w:p>
    <w:p w14:paraId="37797F1F" w14:textId="60647E7E" w:rsidR="009D54D4" w:rsidRPr="009D54D4" w:rsidRDefault="009D54D4" w:rsidP="009D54D4"/>
    <w:p w14:paraId="4B0EA878" w14:textId="77777777" w:rsidR="009D54D4" w:rsidRPr="009D54D4" w:rsidRDefault="009D54D4" w:rsidP="009D54D4">
      <w:r w:rsidRPr="009D54D4">
        <w:t>Summary</w:t>
      </w:r>
    </w:p>
    <w:p w14:paraId="0C61E621" w14:textId="77777777" w:rsidR="009D54D4" w:rsidRPr="009D54D4" w:rsidRDefault="009D54D4" w:rsidP="009D54D4">
      <w:r w:rsidRPr="009D54D4">
        <w:t xml:space="preserve">Based on both self-reflection and feedback from peers and managers, I can identify Professional Courage and Influence as a developing strength, while Commercial Drive remains a key focus for growth. Through continued feedback, targeted learning, and </w:t>
      </w:r>
      <w:r w:rsidRPr="009D54D4">
        <w:lastRenderedPageBreak/>
        <w:t>reflective practice, I am confident in my ability to strengthen both behaviours and increase my effectiveness as a people professional.</w:t>
      </w:r>
    </w:p>
    <w:p w14:paraId="3BB3C013" w14:textId="77777777" w:rsidR="00C84BA7" w:rsidRDefault="00C84BA7" w:rsidP="001572E2">
      <w:pPr>
        <w:rPr>
          <w:b/>
          <w:bCs/>
        </w:rPr>
      </w:pPr>
    </w:p>
    <w:p w14:paraId="19AC0EE1" w14:textId="77777777" w:rsidR="00C84BA7" w:rsidRDefault="00C84BA7" w:rsidP="001572E2">
      <w:pPr>
        <w:rPr>
          <w:b/>
          <w:bCs/>
        </w:rPr>
      </w:pPr>
    </w:p>
    <w:p w14:paraId="76F74725" w14:textId="77777777" w:rsidR="00C84BA7" w:rsidRDefault="00C84BA7" w:rsidP="00C84BA7">
      <w:pPr>
        <w:pStyle w:val="Title"/>
        <w:spacing w:after="240"/>
      </w:pPr>
      <w:r>
        <w:t>People Practitioner Development Plan</w:t>
      </w:r>
    </w:p>
    <w:tbl>
      <w:tblPr>
        <w:tblW w:w="78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6"/>
        <w:gridCol w:w="2050"/>
        <w:gridCol w:w="1915"/>
        <w:gridCol w:w="1628"/>
      </w:tblGrid>
      <w:tr w:rsidR="00C84BA7" w14:paraId="773B61D7" w14:textId="77777777" w:rsidTr="00FE745A">
        <w:trPr>
          <w:trHeight w:val="253"/>
        </w:trPr>
        <w:tc>
          <w:tcPr>
            <w:tcW w:w="2226" w:type="dxa"/>
          </w:tcPr>
          <w:p w14:paraId="5D107FAC" w14:textId="77777777" w:rsidR="00C84BA7" w:rsidRPr="00714B64" w:rsidRDefault="00C84BA7" w:rsidP="00FE745A">
            <w:pPr>
              <w:rPr>
                <w:rFonts w:asciiTheme="majorHAnsi" w:hAnsiTheme="majorHAnsi" w:cstheme="majorHAnsi"/>
                <w:b/>
                <w:sz w:val="20"/>
              </w:rPr>
            </w:pPr>
            <w:r w:rsidRPr="00714B64">
              <w:rPr>
                <w:rFonts w:asciiTheme="majorHAnsi" w:hAnsiTheme="majorHAnsi" w:cstheme="majorHAnsi"/>
                <w:b/>
                <w:sz w:val="20"/>
              </w:rPr>
              <w:t>NAME:</w:t>
            </w:r>
          </w:p>
        </w:tc>
        <w:tc>
          <w:tcPr>
            <w:tcW w:w="2050" w:type="dxa"/>
          </w:tcPr>
          <w:p w14:paraId="5CFED42E"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Melanie Warne</w:t>
            </w:r>
          </w:p>
        </w:tc>
        <w:tc>
          <w:tcPr>
            <w:tcW w:w="1915" w:type="dxa"/>
          </w:tcPr>
          <w:p w14:paraId="371EDBBA" w14:textId="77777777" w:rsidR="00C84BA7" w:rsidRPr="00714B64" w:rsidRDefault="00C84BA7" w:rsidP="00FE745A">
            <w:pPr>
              <w:rPr>
                <w:rFonts w:asciiTheme="majorHAnsi" w:hAnsiTheme="majorHAnsi" w:cstheme="majorHAnsi"/>
                <w:b/>
                <w:sz w:val="20"/>
              </w:rPr>
            </w:pPr>
            <w:r w:rsidRPr="00714B64">
              <w:rPr>
                <w:rFonts w:asciiTheme="majorHAnsi" w:hAnsiTheme="majorHAnsi" w:cstheme="majorHAnsi"/>
                <w:b/>
                <w:sz w:val="20"/>
              </w:rPr>
              <w:t>MEMBERSHIP NUMBER:</w:t>
            </w:r>
          </w:p>
        </w:tc>
        <w:tc>
          <w:tcPr>
            <w:tcW w:w="1628" w:type="dxa"/>
          </w:tcPr>
          <w:p w14:paraId="35E04171" w14:textId="452E9167" w:rsidR="00C84BA7" w:rsidRPr="00714B64" w:rsidRDefault="00027433" w:rsidP="00FE745A">
            <w:pPr>
              <w:rPr>
                <w:rFonts w:asciiTheme="majorHAnsi" w:hAnsiTheme="majorHAnsi" w:cstheme="majorHAnsi"/>
                <w:sz w:val="20"/>
              </w:rPr>
            </w:pPr>
            <w:r>
              <w:rPr>
                <w:rFonts w:asciiTheme="majorHAnsi" w:hAnsiTheme="majorHAnsi" w:cstheme="majorHAnsi"/>
                <w:sz w:val="20"/>
              </w:rPr>
              <w:t>9000292</w:t>
            </w:r>
          </w:p>
        </w:tc>
      </w:tr>
      <w:tr w:rsidR="00C84BA7" w14:paraId="3D929C23" w14:textId="77777777" w:rsidTr="00FE745A">
        <w:trPr>
          <w:trHeight w:val="253"/>
        </w:trPr>
        <w:tc>
          <w:tcPr>
            <w:tcW w:w="2226" w:type="dxa"/>
          </w:tcPr>
          <w:p w14:paraId="3C25747C"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COVERING THE PERIOD FROM:</w:t>
            </w:r>
          </w:p>
        </w:tc>
        <w:tc>
          <w:tcPr>
            <w:tcW w:w="2050" w:type="dxa"/>
          </w:tcPr>
          <w:p w14:paraId="03F28ACC"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September 2024</w:t>
            </w:r>
          </w:p>
        </w:tc>
        <w:tc>
          <w:tcPr>
            <w:tcW w:w="1915" w:type="dxa"/>
          </w:tcPr>
          <w:p w14:paraId="0AC36E1C"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TO:</w:t>
            </w:r>
          </w:p>
        </w:tc>
        <w:tc>
          <w:tcPr>
            <w:tcW w:w="1628" w:type="dxa"/>
          </w:tcPr>
          <w:p w14:paraId="0663CBEB" w14:textId="77777777" w:rsidR="00C84BA7" w:rsidRPr="00714B64" w:rsidRDefault="00C84BA7" w:rsidP="00FE745A">
            <w:pPr>
              <w:rPr>
                <w:rFonts w:asciiTheme="majorHAnsi" w:hAnsiTheme="majorHAnsi" w:cstheme="majorHAnsi"/>
                <w:sz w:val="20"/>
              </w:rPr>
            </w:pPr>
            <w:r w:rsidRPr="00714B64">
              <w:rPr>
                <w:rFonts w:asciiTheme="majorHAnsi" w:hAnsiTheme="majorHAnsi" w:cstheme="majorHAnsi"/>
                <w:sz w:val="20"/>
              </w:rPr>
              <w:t>September 2025</w:t>
            </w:r>
          </w:p>
        </w:tc>
      </w:tr>
    </w:tbl>
    <w:p w14:paraId="3A362FB9" w14:textId="77777777" w:rsidR="00C84BA7" w:rsidRDefault="00C84BA7" w:rsidP="001572E2">
      <w:pPr>
        <w:rPr>
          <w:b/>
          <w:bCs/>
        </w:rPr>
      </w:pPr>
    </w:p>
    <w:p w14:paraId="447190D1" w14:textId="77777777" w:rsidR="00C84BA7" w:rsidRDefault="00C84BA7" w:rsidP="001572E2">
      <w:pPr>
        <w:rPr>
          <w:b/>
          <w:bCs/>
        </w:rPr>
      </w:pPr>
    </w:p>
    <w:p w14:paraId="75C3D293" w14:textId="77777777" w:rsidR="00C84BA7" w:rsidRDefault="00C84BA7" w:rsidP="00C84BA7"/>
    <w:p w14:paraId="473460D3" w14:textId="77777777" w:rsidR="00C84BA7" w:rsidRDefault="00C84BA7" w:rsidP="00C84BA7"/>
    <w:p w14:paraId="45422087" w14:textId="77777777" w:rsidR="00C84BA7" w:rsidRDefault="00C84BA7" w:rsidP="00C84BA7"/>
    <w:p w14:paraId="747239B3" w14:textId="77777777" w:rsidR="00C84BA7" w:rsidRDefault="00C84BA7" w:rsidP="00C84BA7"/>
    <w:tbl>
      <w:tblPr>
        <w:tblStyle w:val="TableGrid"/>
        <w:tblpPr w:leftFromText="180" w:rightFromText="180" w:vertAnchor="page" w:horzAnchor="margin" w:tblpX="-861" w:tblpY="4906"/>
        <w:tblW w:w="10768" w:type="dxa"/>
        <w:tblLook w:val="04A0" w:firstRow="1" w:lastRow="0" w:firstColumn="1" w:lastColumn="0" w:noHBand="0" w:noVBand="1"/>
      </w:tblPr>
      <w:tblGrid>
        <w:gridCol w:w="2405"/>
        <w:gridCol w:w="2196"/>
        <w:gridCol w:w="2198"/>
        <w:gridCol w:w="1985"/>
        <w:gridCol w:w="1984"/>
      </w:tblGrid>
      <w:tr w:rsidR="00C84BA7" w:rsidRPr="00714B64" w14:paraId="7E97567A" w14:textId="77777777" w:rsidTr="00C84BA7">
        <w:tc>
          <w:tcPr>
            <w:tcW w:w="2405" w:type="dxa"/>
            <w:shd w:val="clear" w:color="auto" w:fill="000000" w:themeFill="text1"/>
          </w:tcPr>
          <w:p w14:paraId="5D1C823C" w14:textId="77777777" w:rsidR="00C84BA7" w:rsidRPr="00714B64" w:rsidRDefault="00C84BA7" w:rsidP="00C84BA7">
            <w:pPr>
              <w:rPr>
                <w:rFonts w:asciiTheme="majorHAnsi" w:hAnsiTheme="majorHAnsi" w:cstheme="majorHAnsi"/>
                <w:color w:val="FFFFFF" w:themeColor="background1"/>
              </w:rPr>
            </w:pPr>
            <w:r w:rsidRPr="00714B64">
              <w:rPr>
                <w:rFonts w:asciiTheme="majorHAnsi" w:hAnsiTheme="majorHAnsi" w:cstheme="majorHAnsi"/>
                <w:color w:val="FFFFFF" w:themeColor="background1"/>
              </w:rPr>
              <w:t>What do I want/need to learn?</w:t>
            </w:r>
          </w:p>
        </w:tc>
        <w:tc>
          <w:tcPr>
            <w:tcW w:w="2196" w:type="dxa"/>
            <w:shd w:val="clear" w:color="auto" w:fill="000000" w:themeFill="text1"/>
          </w:tcPr>
          <w:p w14:paraId="29BD1B87" w14:textId="77777777" w:rsidR="00C84BA7" w:rsidRPr="00714B64" w:rsidRDefault="00C84BA7" w:rsidP="00C84BA7">
            <w:pPr>
              <w:rPr>
                <w:rFonts w:asciiTheme="majorHAnsi" w:hAnsiTheme="majorHAnsi" w:cstheme="majorHAnsi"/>
                <w:color w:val="FFFFFF" w:themeColor="background1"/>
              </w:rPr>
            </w:pPr>
            <w:r w:rsidRPr="00714B64">
              <w:rPr>
                <w:rFonts w:asciiTheme="majorHAnsi" w:hAnsiTheme="majorHAnsi" w:cstheme="majorHAnsi"/>
                <w:color w:val="FFFFFF" w:themeColor="background1"/>
              </w:rPr>
              <w:t>What will I do to achieve this?</w:t>
            </w:r>
          </w:p>
        </w:tc>
        <w:tc>
          <w:tcPr>
            <w:tcW w:w="2198" w:type="dxa"/>
            <w:shd w:val="clear" w:color="auto" w:fill="000000" w:themeFill="text1"/>
          </w:tcPr>
          <w:p w14:paraId="56D5DAD1" w14:textId="77777777" w:rsidR="00C84BA7" w:rsidRPr="00714B64" w:rsidRDefault="00C84BA7" w:rsidP="00C84BA7">
            <w:pPr>
              <w:rPr>
                <w:rFonts w:asciiTheme="majorHAnsi" w:hAnsiTheme="majorHAnsi" w:cstheme="majorHAnsi"/>
                <w:color w:val="FFFFFF" w:themeColor="background1"/>
              </w:rPr>
            </w:pPr>
            <w:r w:rsidRPr="00714B64">
              <w:rPr>
                <w:rFonts w:asciiTheme="majorHAnsi" w:hAnsiTheme="majorHAnsi" w:cstheme="majorHAnsi"/>
                <w:color w:val="FFFFFF" w:themeColor="background1"/>
              </w:rPr>
              <w:t>What resources or support will I need?</w:t>
            </w:r>
          </w:p>
        </w:tc>
        <w:tc>
          <w:tcPr>
            <w:tcW w:w="1985" w:type="dxa"/>
            <w:shd w:val="clear" w:color="auto" w:fill="000000" w:themeFill="text1"/>
          </w:tcPr>
          <w:p w14:paraId="6538566B" w14:textId="77777777" w:rsidR="00C84BA7" w:rsidRPr="00714B64" w:rsidRDefault="00C84BA7" w:rsidP="00C84BA7">
            <w:pPr>
              <w:rPr>
                <w:rFonts w:asciiTheme="majorHAnsi" w:hAnsiTheme="majorHAnsi" w:cstheme="majorHAnsi"/>
                <w:color w:val="FFFFFF" w:themeColor="background1"/>
              </w:rPr>
            </w:pPr>
            <w:r w:rsidRPr="00714B64">
              <w:rPr>
                <w:rFonts w:asciiTheme="majorHAnsi" w:hAnsiTheme="majorHAnsi" w:cstheme="majorHAnsi"/>
                <w:color w:val="FFFFFF" w:themeColor="background1"/>
              </w:rPr>
              <w:t>What will my success criteria be?</w:t>
            </w:r>
          </w:p>
        </w:tc>
        <w:tc>
          <w:tcPr>
            <w:tcW w:w="1984" w:type="dxa"/>
            <w:shd w:val="clear" w:color="auto" w:fill="000000" w:themeFill="text1"/>
          </w:tcPr>
          <w:p w14:paraId="3D58468D" w14:textId="77777777" w:rsidR="00C84BA7" w:rsidRPr="00714B64" w:rsidRDefault="00C84BA7" w:rsidP="00C84BA7">
            <w:pPr>
              <w:rPr>
                <w:rFonts w:asciiTheme="majorHAnsi" w:hAnsiTheme="majorHAnsi" w:cstheme="majorHAnsi"/>
                <w:color w:val="FFFFFF" w:themeColor="background1"/>
              </w:rPr>
            </w:pPr>
            <w:r w:rsidRPr="00714B64">
              <w:rPr>
                <w:rFonts w:asciiTheme="majorHAnsi" w:hAnsiTheme="majorHAnsi" w:cstheme="majorHAnsi"/>
                <w:color w:val="FFFFFF" w:themeColor="background1"/>
              </w:rPr>
              <w:t>Target dates for review and completion</w:t>
            </w:r>
          </w:p>
        </w:tc>
      </w:tr>
      <w:tr w:rsidR="00C84BA7" w:rsidRPr="00714B64" w14:paraId="6764BC99" w14:textId="77777777" w:rsidTr="00C84BA7">
        <w:trPr>
          <w:trHeight w:val="1295"/>
        </w:trPr>
        <w:tc>
          <w:tcPr>
            <w:tcW w:w="2405" w:type="dxa"/>
          </w:tcPr>
          <w:p w14:paraId="0EDD7C8F"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Deepen knowledge of HR practices and UK employment law</w:t>
            </w:r>
          </w:p>
        </w:tc>
        <w:tc>
          <w:tcPr>
            <w:tcW w:w="2196" w:type="dxa"/>
          </w:tcPr>
          <w:p w14:paraId="620045B3"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 xml:space="preserve">Enroll in CIPD Level </w:t>
            </w:r>
            <w:r>
              <w:rPr>
                <w:rFonts w:asciiTheme="majorHAnsi" w:hAnsiTheme="majorHAnsi" w:cstheme="majorHAnsi"/>
              </w:rPr>
              <w:t>5</w:t>
            </w:r>
            <w:r w:rsidRPr="00714B64">
              <w:rPr>
                <w:rFonts w:asciiTheme="majorHAnsi" w:hAnsiTheme="majorHAnsi" w:cstheme="majorHAnsi"/>
              </w:rPr>
              <w:t xml:space="preserve"> </w:t>
            </w:r>
          </w:p>
        </w:tc>
        <w:tc>
          <w:tcPr>
            <w:tcW w:w="2198" w:type="dxa"/>
          </w:tcPr>
          <w:p w14:paraId="3F7ED65E"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Budget approval; study time; CIPD website</w:t>
            </w:r>
          </w:p>
        </w:tc>
        <w:tc>
          <w:tcPr>
            <w:tcW w:w="1985" w:type="dxa"/>
          </w:tcPr>
          <w:p w14:paraId="7FF2B507"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Completion of qualification or modules</w:t>
            </w:r>
          </w:p>
        </w:tc>
        <w:tc>
          <w:tcPr>
            <w:tcW w:w="1984" w:type="dxa"/>
          </w:tcPr>
          <w:p w14:paraId="1D17C86E" w14:textId="77777777" w:rsidR="00C84BA7" w:rsidRDefault="00C84BA7" w:rsidP="00C84BA7">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3470D33E"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br/>
              <w:t xml:space="preserve">Complete: </w:t>
            </w:r>
            <w:r>
              <w:rPr>
                <w:rFonts w:asciiTheme="majorHAnsi" w:hAnsiTheme="majorHAnsi" w:cstheme="majorHAnsi"/>
              </w:rPr>
              <w:t>Sept 2025</w:t>
            </w:r>
          </w:p>
        </w:tc>
      </w:tr>
      <w:tr w:rsidR="00C84BA7" w:rsidRPr="00714B64" w14:paraId="40667D2F" w14:textId="77777777" w:rsidTr="00C84BA7">
        <w:tc>
          <w:tcPr>
            <w:tcW w:w="2405" w:type="dxa"/>
          </w:tcPr>
          <w:p w14:paraId="1EA439F0"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Gain experience in employee relations (ER) casework</w:t>
            </w:r>
          </w:p>
        </w:tc>
        <w:tc>
          <w:tcPr>
            <w:tcW w:w="2196" w:type="dxa"/>
          </w:tcPr>
          <w:p w14:paraId="1D4F656F"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Shadow HR on performance, conduct, or grievance cases</w:t>
            </w:r>
          </w:p>
        </w:tc>
        <w:tc>
          <w:tcPr>
            <w:tcW w:w="2198" w:type="dxa"/>
          </w:tcPr>
          <w:p w14:paraId="09F3247A"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Support from HRBP; access to relevant meetings</w:t>
            </w:r>
          </w:p>
        </w:tc>
        <w:tc>
          <w:tcPr>
            <w:tcW w:w="1985" w:type="dxa"/>
          </w:tcPr>
          <w:p w14:paraId="4FCB04EE"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Able to describe case processes and outcomes</w:t>
            </w:r>
          </w:p>
        </w:tc>
        <w:tc>
          <w:tcPr>
            <w:tcW w:w="1984" w:type="dxa"/>
          </w:tcPr>
          <w:p w14:paraId="3A890989" w14:textId="77777777" w:rsidR="00C84BA7" w:rsidRDefault="00C84BA7" w:rsidP="00C84BA7">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363F95E7"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br/>
              <w:t xml:space="preserve">Complete: </w:t>
            </w:r>
            <w:r>
              <w:rPr>
                <w:rFonts w:asciiTheme="majorHAnsi" w:hAnsiTheme="majorHAnsi" w:cstheme="majorHAnsi"/>
              </w:rPr>
              <w:t>Sept 2025</w:t>
            </w:r>
          </w:p>
        </w:tc>
      </w:tr>
      <w:tr w:rsidR="00C84BA7" w:rsidRPr="00714B64" w14:paraId="5B6877EA" w14:textId="77777777" w:rsidTr="00C84BA7">
        <w:tc>
          <w:tcPr>
            <w:tcW w:w="2405" w:type="dxa"/>
          </w:tcPr>
          <w:p w14:paraId="36DD4BBE"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Improve understanding of recruitment processes</w:t>
            </w:r>
          </w:p>
        </w:tc>
        <w:tc>
          <w:tcPr>
            <w:tcW w:w="2196" w:type="dxa"/>
          </w:tcPr>
          <w:p w14:paraId="62AF7F6E"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Support a full recruitment cycle (job spec to onboarding)</w:t>
            </w:r>
          </w:p>
        </w:tc>
        <w:tc>
          <w:tcPr>
            <w:tcW w:w="2198" w:type="dxa"/>
          </w:tcPr>
          <w:p w14:paraId="01B87CC6"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Involvement in live recruitment with HR</w:t>
            </w:r>
          </w:p>
        </w:tc>
        <w:tc>
          <w:tcPr>
            <w:tcW w:w="1985" w:type="dxa"/>
          </w:tcPr>
          <w:p w14:paraId="1D977B4B"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Completion of 1 full cycle; feedback from hiring team</w:t>
            </w:r>
          </w:p>
        </w:tc>
        <w:tc>
          <w:tcPr>
            <w:tcW w:w="1984" w:type="dxa"/>
          </w:tcPr>
          <w:p w14:paraId="5761AB0A" w14:textId="77777777" w:rsidR="00C84BA7" w:rsidRDefault="00C84BA7" w:rsidP="00C84BA7">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58EB715A"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 xml:space="preserve">Complete: </w:t>
            </w:r>
            <w:r>
              <w:rPr>
                <w:rFonts w:asciiTheme="majorHAnsi" w:hAnsiTheme="majorHAnsi" w:cstheme="majorHAnsi"/>
              </w:rPr>
              <w:t>Sept 2025</w:t>
            </w:r>
          </w:p>
        </w:tc>
      </w:tr>
      <w:tr w:rsidR="00C84BA7" w:rsidRPr="00714B64" w14:paraId="065F59BC" w14:textId="77777777" w:rsidTr="00C84BA7">
        <w:tc>
          <w:tcPr>
            <w:tcW w:w="2405" w:type="dxa"/>
          </w:tcPr>
          <w:p w14:paraId="51CD2D44"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Build experience in people metrics and analytics</w:t>
            </w:r>
          </w:p>
        </w:tc>
        <w:tc>
          <w:tcPr>
            <w:tcW w:w="2196" w:type="dxa"/>
          </w:tcPr>
          <w:p w14:paraId="474E5AB3"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Track and analyse team attrition, absence, engagement data</w:t>
            </w:r>
          </w:p>
        </w:tc>
        <w:tc>
          <w:tcPr>
            <w:tcW w:w="2198" w:type="dxa"/>
          </w:tcPr>
          <w:p w14:paraId="23FA6C6E"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Guidance from HR/L&amp;D on systems; Excel or HRIS access</w:t>
            </w:r>
          </w:p>
        </w:tc>
        <w:tc>
          <w:tcPr>
            <w:tcW w:w="1985" w:type="dxa"/>
          </w:tcPr>
          <w:p w14:paraId="591E84E9"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Present insights in a review or meeting</w:t>
            </w:r>
          </w:p>
        </w:tc>
        <w:tc>
          <w:tcPr>
            <w:tcW w:w="1984" w:type="dxa"/>
          </w:tcPr>
          <w:p w14:paraId="02DDCD65" w14:textId="77777777" w:rsidR="00C84BA7" w:rsidRDefault="00C84BA7" w:rsidP="00C84BA7">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121D3AA4"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 xml:space="preserve">Complete: </w:t>
            </w:r>
            <w:r>
              <w:rPr>
                <w:rFonts w:asciiTheme="majorHAnsi" w:hAnsiTheme="majorHAnsi" w:cstheme="majorHAnsi"/>
              </w:rPr>
              <w:t>Sept 2025</w:t>
            </w:r>
          </w:p>
        </w:tc>
      </w:tr>
      <w:tr w:rsidR="00C84BA7" w:rsidRPr="00714B64" w14:paraId="4EAD5148" w14:textId="77777777" w:rsidTr="00C84BA7">
        <w:tc>
          <w:tcPr>
            <w:tcW w:w="2405" w:type="dxa"/>
          </w:tcPr>
          <w:p w14:paraId="1302359A"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Lead a people initiative or engagement project</w:t>
            </w:r>
          </w:p>
        </w:tc>
        <w:tc>
          <w:tcPr>
            <w:tcW w:w="2196" w:type="dxa"/>
          </w:tcPr>
          <w:p w14:paraId="56CF002E"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Take ownership of a wellbeing, culture, or onboarding project</w:t>
            </w:r>
          </w:p>
        </w:tc>
        <w:tc>
          <w:tcPr>
            <w:tcW w:w="2198" w:type="dxa"/>
          </w:tcPr>
          <w:p w14:paraId="5E46B721"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Time allocation; stakeholder support</w:t>
            </w:r>
          </w:p>
        </w:tc>
        <w:tc>
          <w:tcPr>
            <w:tcW w:w="1985" w:type="dxa"/>
          </w:tcPr>
          <w:p w14:paraId="59EC65B2"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Successful project delivery; engagement impact</w:t>
            </w:r>
          </w:p>
        </w:tc>
        <w:tc>
          <w:tcPr>
            <w:tcW w:w="1984" w:type="dxa"/>
          </w:tcPr>
          <w:p w14:paraId="5D064F67" w14:textId="77777777" w:rsidR="00C84BA7" w:rsidRDefault="00C84BA7" w:rsidP="00C84BA7">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56211847"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 xml:space="preserve">Complete: </w:t>
            </w:r>
            <w:r>
              <w:rPr>
                <w:rFonts w:asciiTheme="majorHAnsi" w:hAnsiTheme="majorHAnsi" w:cstheme="majorHAnsi"/>
              </w:rPr>
              <w:t>Sept 2025</w:t>
            </w:r>
          </w:p>
        </w:tc>
      </w:tr>
      <w:tr w:rsidR="00C84BA7" w:rsidRPr="00714B64" w14:paraId="364AD252" w14:textId="77777777" w:rsidTr="00C84BA7">
        <w:tc>
          <w:tcPr>
            <w:tcW w:w="2405" w:type="dxa"/>
          </w:tcPr>
          <w:p w14:paraId="6A1409CD"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Develop internal profile as future HR/People leader</w:t>
            </w:r>
          </w:p>
        </w:tc>
        <w:tc>
          <w:tcPr>
            <w:tcW w:w="2196" w:type="dxa"/>
          </w:tcPr>
          <w:p w14:paraId="1DC8E4BA"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Attend HR meetings; express career intent to manager/HR</w:t>
            </w:r>
          </w:p>
        </w:tc>
        <w:tc>
          <w:tcPr>
            <w:tcW w:w="2198" w:type="dxa"/>
          </w:tcPr>
          <w:p w14:paraId="3EFB7296"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Support from line manager &amp; HR</w:t>
            </w:r>
          </w:p>
        </w:tc>
        <w:tc>
          <w:tcPr>
            <w:tcW w:w="1985" w:type="dxa"/>
          </w:tcPr>
          <w:p w14:paraId="4F67B51D"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Recognition in talent reviews or offered stretch opportunity</w:t>
            </w:r>
          </w:p>
        </w:tc>
        <w:tc>
          <w:tcPr>
            <w:tcW w:w="1984" w:type="dxa"/>
          </w:tcPr>
          <w:p w14:paraId="589C0475" w14:textId="77777777" w:rsidR="00C84BA7" w:rsidRDefault="00C84BA7" w:rsidP="00C84BA7">
            <w:pPr>
              <w:rPr>
                <w:rFonts w:asciiTheme="majorHAnsi" w:hAnsiTheme="majorHAnsi" w:cstheme="majorHAnsi"/>
              </w:rPr>
            </w:pPr>
            <w:r w:rsidRPr="00714B64">
              <w:rPr>
                <w:rFonts w:asciiTheme="majorHAnsi" w:hAnsiTheme="majorHAnsi" w:cstheme="majorHAnsi"/>
              </w:rPr>
              <w:t xml:space="preserve">Start: </w:t>
            </w:r>
            <w:r>
              <w:rPr>
                <w:rFonts w:asciiTheme="majorHAnsi" w:hAnsiTheme="majorHAnsi" w:cstheme="majorHAnsi"/>
              </w:rPr>
              <w:t xml:space="preserve">Sept </w:t>
            </w:r>
            <w:r w:rsidRPr="00714B64">
              <w:rPr>
                <w:rFonts w:asciiTheme="majorHAnsi" w:hAnsiTheme="majorHAnsi" w:cstheme="majorHAnsi"/>
              </w:rPr>
              <w:t>20</w:t>
            </w:r>
            <w:r>
              <w:rPr>
                <w:rFonts w:asciiTheme="majorHAnsi" w:hAnsiTheme="majorHAnsi" w:cstheme="majorHAnsi"/>
              </w:rPr>
              <w:t>24</w:t>
            </w:r>
          </w:p>
          <w:p w14:paraId="7463DE0F" w14:textId="77777777" w:rsidR="00C84BA7" w:rsidRPr="00714B64" w:rsidRDefault="00C84BA7" w:rsidP="00C84BA7">
            <w:pPr>
              <w:rPr>
                <w:rFonts w:asciiTheme="majorHAnsi" w:hAnsiTheme="majorHAnsi" w:cstheme="majorHAnsi"/>
              </w:rPr>
            </w:pPr>
            <w:r w:rsidRPr="00714B64">
              <w:rPr>
                <w:rFonts w:asciiTheme="majorHAnsi" w:hAnsiTheme="majorHAnsi" w:cstheme="majorHAnsi"/>
              </w:rPr>
              <w:t xml:space="preserve">Complete: </w:t>
            </w:r>
            <w:r>
              <w:rPr>
                <w:rFonts w:asciiTheme="majorHAnsi" w:hAnsiTheme="majorHAnsi" w:cstheme="majorHAnsi"/>
              </w:rPr>
              <w:t>Sept 2025</w:t>
            </w:r>
          </w:p>
        </w:tc>
      </w:tr>
    </w:tbl>
    <w:p w14:paraId="6F736AC7" w14:textId="77777777" w:rsidR="00C84BA7" w:rsidRDefault="00C84BA7" w:rsidP="00C84BA7"/>
    <w:p w14:paraId="4AAE427E" w14:textId="059FF328" w:rsidR="00C84BA7" w:rsidRDefault="00C84BA7" w:rsidP="00C84BA7">
      <w:r>
        <w:t>A</w:t>
      </w:r>
      <w:r>
        <w:t>C 3.1</w:t>
      </w:r>
    </w:p>
    <w:p w14:paraId="1A39BF95" w14:textId="77777777" w:rsidR="00C84BA7" w:rsidRPr="008D4816" w:rsidRDefault="00C84BA7" w:rsidP="00C84BA7">
      <w:pPr>
        <w:spacing w:after="120"/>
      </w:pPr>
      <w:r w:rsidRPr="008D4816">
        <w:t>The People Practitioner</w:t>
      </w:r>
      <w:r>
        <w:t xml:space="preserve"> role</w:t>
      </w:r>
      <w:r w:rsidRPr="008D4816">
        <w:t xml:space="preserve"> is evolving from transactional HR tasks to </w:t>
      </w:r>
      <w:r>
        <w:t xml:space="preserve">becoming more </w:t>
      </w:r>
      <w:r w:rsidRPr="008D4816">
        <w:t xml:space="preserve">strategic </w:t>
      </w:r>
      <w:r>
        <w:t xml:space="preserve">in </w:t>
      </w:r>
      <w:r w:rsidRPr="008D4816">
        <w:t>driv</w:t>
      </w:r>
      <w:r>
        <w:t>ing</w:t>
      </w:r>
      <w:r w:rsidRPr="008D4816">
        <w:t xml:space="preserve"> organisational performance, culture, and ethical behaviour. This shift reflects wider societal and business trends — including the growing focus on </w:t>
      </w:r>
      <w:r>
        <w:t>DE&amp;I</w:t>
      </w:r>
      <w:r w:rsidRPr="008D4816">
        <w:t>, wellbeing, transparency, and data-led decision-making.</w:t>
      </w:r>
      <w:r>
        <w:t xml:space="preserve"> The role must </w:t>
      </w:r>
      <w:r w:rsidRPr="008D4816">
        <w:t xml:space="preserve">champion ethical and </w:t>
      </w:r>
      <w:r w:rsidRPr="008D4816">
        <w:lastRenderedPageBreak/>
        <w:t>inclusive practices, and balance commercial awareness with empathy and professional integrity. For me, this evolution means I must move beyond managing people to shaping the way people are managed.</w:t>
      </w:r>
    </w:p>
    <w:p w14:paraId="34776882" w14:textId="77777777" w:rsidR="00C84BA7" w:rsidRPr="008D4816" w:rsidRDefault="00C84BA7" w:rsidP="00C84BA7">
      <w:pPr>
        <w:spacing w:after="120"/>
      </w:pPr>
      <w:r w:rsidRPr="008D4816">
        <w:t>My development plan reflects this shift</w:t>
      </w:r>
      <w:r>
        <w:t xml:space="preserve"> b</w:t>
      </w:r>
      <w:r w:rsidRPr="008D4816">
        <w:t xml:space="preserve">y studying CIPD frameworks, shadowing HR professionals, and taking ownership of key people initiatives, I’m developing the core behaviours and knowledge expected in the profession today. I’m also prioritising people data analysis, ethical decision-making, and </w:t>
      </w:r>
      <w:r>
        <w:t>D</w:t>
      </w:r>
      <w:r w:rsidRPr="008D4816">
        <w:t>E</w:t>
      </w:r>
      <w:r>
        <w:t>&amp;</w:t>
      </w:r>
      <w:r w:rsidRPr="008D4816">
        <w:t>I-focused leadership.</w:t>
      </w:r>
    </w:p>
    <w:p w14:paraId="63F1119A" w14:textId="77777777" w:rsidR="00C84BA7" w:rsidRDefault="00C84BA7" w:rsidP="00C84BA7">
      <w:r w:rsidRPr="008D4816">
        <w:t xml:space="preserve">Ongoing professional development will be vital. I’ll continue to engage with CIPD research, expand my network, and seek feedback and mentorship. Ultimately, this evolution presents a real opportunity to contribute more meaningfully to organisational culture, employee experience, and long-term sustainability — all while growing in </w:t>
      </w:r>
      <w:r>
        <w:t>credibility</w:t>
      </w:r>
      <w:r w:rsidRPr="008D4816">
        <w:t xml:space="preserve"> and capability as a future People Professional.</w:t>
      </w:r>
    </w:p>
    <w:p w14:paraId="323D1AA3" w14:textId="77777777" w:rsidR="00C84BA7" w:rsidRDefault="00C84BA7" w:rsidP="00C84BA7"/>
    <w:p w14:paraId="6D33A2F3" w14:textId="77777777" w:rsidR="00C84BA7" w:rsidRDefault="00C84BA7" w:rsidP="00C84BA7">
      <w:r>
        <w:t>AC 3.3</w:t>
      </w:r>
    </w:p>
    <w:p w14:paraId="70FF25E8" w14:textId="77777777" w:rsidR="00C84BA7" w:rsidRPr="00FC0014" w:rsidRDefault="00C84BA7" w:rsidP="00C84BA7">
      <w:pPr>
        <w:spacing w:after="120"/>
      </w:pPr>
      <w:r w:rsidRPr="00FC0014">
        <w:t>Following self-assessment and recent feedback from my line manager and direct reports, I have identified several formal and informal development activities that I am integrating into my CPD plan. These activities are intended to enhance my technical knowledge, leadership capability, and strategic thinking—aligned with the evolving expectations of the people profession.</w:t>
      </w:r>
    </w:p>
    <w:p w14:paraId="075E2933" w14:textId="77777777" w:rsidR="00C84BA7" w:rsidRPr="00FC0014" w:rsidRDefault="00C84BA7" w:rsidP="00C84BA7">
      <w:pPr>
        <w:spacing w:after="120"/>
        <w:rPr>
          <w:b/>
          <w:bCs/>
        </w:rPr>
      </w:pPr>
      <w:r w:rsidRPr="00FC0014">
        <w:rPr>
          <w:b/>
          <w:bCs/>
        </w:rPr>
        <w:t>1. Formal Development Activities:</w:t>
      </w:r>
    </w:p>
    <w:p w14:paraId="425F3D01" w14:textId="77777777" w:rsidR="00C84BA7" w:rsidRPr="00FC0014" w:rsidRDefault="00C84BA7" w:rsidP="00C84BA7">
      <w:pPr>
        <w:numPr>
          <w:ilvl w:val="0"/>
          <w:numId w:val="12"/>
        </w:numPr>
        <w:spacing w:after="120"/>
      </w:pPr>
      <w:r w:rsidRPr="00FC0014">
        <w:rPr>
          <w:b/>
          <w:bCs/>
        </w:rPr>
        <w:t>CIPD Level 5 Qualification (Ongoing):</w:t>
      </w:r>
      <w:r w:rsidRPr="00FC0014">
        <w:br/>
        <w:t>This formal qualification is providing me with structured learning on key HR principles and practices. It challenges my existing knowledge and encourages deeper analysis, helping me apply more evidence-based thinking and improve the quality of my reporting and communication. I have already received positive feedback regarding the thought and professionalism reflected in my work.</w:t>
      </w:r>
    </w:p>
    <w:p w14:paraId="5AB42109" w14:textId="77777777" w:rsidR="00C84BA7" w:rsidRPr="00FC0014" w:rsidRDefault="00C84BA7" w:rsidP="00C84BA7">
      <w:pPr>
        <w:numPr>
          <w:ilvl w:val="0"/>
          <w:numId w:val="12"/>
        </w:numPr>
        <w:spacing w:after="120"/>
      </w:pPr>
      <w:r w:rsidRPr="00FC0014">
        <w:rPr>
          <w:b/>
          <w:bCs/>
        </w:rPr>
        <w:t>Workplace Projects and ER Case Handling:</w:t>
      </w:r>
      <w:r w:rsidRPr="00FC0014">
        <w:br/>
        <w:t>I have begun taking the lead on complex ER cases, which has exposed me to more technical HR issues and legal considerations. This hands-on experience is a practical application of my formal learning and is deepening my understanding of fair process and ethical practice in challenging situations.</w:t>
      </w:r>
    </w:p>
    <w:p w14:paraId="4B642FA9" w14:textId="77777777" w:rsidR="00C84BA7" w:rsidRPr="00FC0014" w:rsidRDefault="00C84BA7" w:rsidP="00C84BA7">
      <w:pPr>
        <w:spacing w:after="120"/>
        <w:rPr>
          <w:b/>
          <w:bCs/>
        </w:rPr>
      </w:pPr>
      <w:r w:rsidRPr="00FC0014">
        <w:rPr>
          <w:b/>
          <w:bCs/>
        </w:rPr>
        <w:t>2. Informal Development Activities:</w:t>
      </w:r>
    </w:p>
    <w:p w14:paraId="5D85349E" w14:textId="77777777" w:rsidR="00C84BA7" w:rsidRPr="00FC0014" w:rsidRDefault="00C84BA7" w:rsidP="00C84BA7">
      <w:pPr>
        <w:numPr>
          <w:ilvl w:val="0"/>
          <w:numId w:val="13"/>
        </w:numPr>
        <w:spacing w:after="120"/>
      </w:pPr>
      <w:r w:rsidRPr="00FC0014">
        <w:rPr>
          <w:b/>
          <w:bCs/>
        </w:rPr>
        <w:t>Exploration of AI Tools for Operational Efficiency:</w:t>
      </w:r>
      <w:r w:rsidRPr="00FC0014">
        <w:br/>
        <w:t>In response to feedback about occasional reporting errors during my absence, I have been proactively researching and testing AI tools that reduce repetitive tasks and improve data accuracy. This self-directed learning is helping me identify smarter ways of working, freeing up capacity for higher-value work and supporting team development.</w:t>
      </w:r>
    </w:p>
    <w:p w14:paraId="5A408383" w14:textId="77777777" w:rsidR="00C84BA7" w:rsidRPr="00FC0014" w:rsidRDefault="00C84BA7" w:rsidP="00C84BA7">
      <w:pPr>
        <w:numPr>
          <w:ilvl w:val="0"/>
          <w:numId w:val="13"/>
        </w:numPr>
        <w:spacing w:after="120"/>
      </w:pPr>
      <w:r w:rsidRPr="00FC0014">
        <w:rPr>
          <w:b/>
          <w:bCs/>
        </w:rPr>
        <w:t>Developing DE&amp;I Expertise Through Practical Involvement:</w:t>
      </w:r>
      <w:r w:rsidRPr="00FC0014">
        <w:br/>
        <w:t>I am contributing to culture and inclusion efforts by supporting recruitment and engagement activities. To deepen this, I am actively seeking an opportunity to lead a DE&amp;I-focused project. This initiative will allow me to apply inclusive practice principles in a strategic and measurable way.</w:t>
      </w:r>
    </w:p>
    <w:p w14:paraId="78022AED" w14:textId="77777777" w:rsidR="00C84BA7" w:rsidRPr="00FC0014" w:rsidRDefault="00C84BA7" w:rsidP="00C84BA7">
      <w:pPr>
        <w:numPr>
          <w:ilvl w:val="0"/>
          <w:numId w:val="13"/>
        </w:numPr>
        <w:spacing w:after="120"/>
      </w:pPr>
      <w:r w:rsidRPr="00FC0014">
        <w:rPr>
          <w:b/>
          <w:bCs/>
        </w:rPr>
        <w:lastRenderedPageBreak/>
        <w:t>Peer and Team Coaching:</w:t>
      </w:r>
      <w:r w:rsidRPr="00FC0014">
        <w:br/>
        <w:t>Through recent experience with a change in our appraisal process, I identified knowledge gaps among Team Leaders. I addressed this by creating a “What Good Looks Like” guide and delivering targeted workshops. This coaching activity helped strengthen my leadership and communication skills, while building team capability in preparation for performance-related pay reviews.</w:t>
      </w:r>
    </w:p>
    <w:p w14:paraId="0635CD59" w14:textId="77777777" w:rsidR="00C84BA7" w:rsidRPr="00FC0014" w:rsidRDefault="00C84BA7" w:rsidP="00C84BA7">
      <w:pPr>
        <w:spacing w:after="120"/>
        <w:rPr>
          <w:b/>
          <w:bCs/>
        </w:rPr>
      </w:pPr>
      <w:r w:rsidRPr="00FC0014">
        <w:rPr>
          <w:b/>
          <w:bCs/>
        </w:rPr>
        <w:t>Why These Activities?</w:t>
      </w:r>
    </w:p>
    <w:p w14:paraId="59137D90" w14:textId="77777777" w:rsidR="00C84BA7" w:rsidRPr="00FC0014" w:rsidRDefault="00C84BA7" w:rsidP="00C84BA7">
      <w:pPr>
        <w:spacing w:after="120"/>
      </w:pPr>
      <w:r w:rsidRPr="00FC0014">
        <w:t>Each development action has been selected based on:</w:t>
      </w:r>
    </w:p>
    <w:p w14:paraId="5BC4D9EC" w14:textId="77777777" w:rsidR="00C84BA7" w:rsidRPr="00FC0014" w:rsidRDefault="00C84BA7" w:rsidP="00C84BA7">
      <w:pPr>
        <w:numPr>
          <w:ilvl w:val="0"/>
          <w:numId w:val="14"/>
        </w:numPr>
        <w:spacing w:after="120"/>
      </w:pPr>
      <w:r w:rsidRPr="00FC0014">
        <w:t>Direct feedback from colleagues and my own self-reflection</w:t>
      </w:r>
    </w:p>
    <w:p w14:paraId="29E9200E" w14:textId="77777777" w:rsidR="00C84BA7" w:rsidRPr="00FC0014" w:rsidRDefault="00C84BA7" w:rsidP="00C84BA7">
      <w:pPr>
        <w:numPr>
          <w:ilvl w:val="0"/>
          <w:numId w:val="14"/>
        </w:numPr>
        <w:spacing w:after="120"/>
      </w:pPr>
      <w:r w:rsidRPr="00FC0014">
        <w:t>The core behaviours outlined in the CIPD Profession Map</w:t>
      </w:r>
    </w:p>
    <w:p w14:paraId="6F7F9372" w14:textId="77777777" w:rsidR="00C84BA7" w:rsidRPr="00FC0014" w:rsidRDefault="00C84BA7" w:rsidP="00C84BA7">
      <w:pPr>
        <w:numPr>
          <w:ilvl w:val="0"/>
          <w:numId w:val="14"/>
        </w:numPr>
        <w:spacing w:after="120"/>
      </w:pPr>
      <w:r w:rsidRPr="00FC0014">
        <w:t>The need to stay relevant in a rapidly evolving people profession—particularly in areas like data literacy, technology, ethical practice, and inclusion</w:t>
      </w:r>
    </w:p>
    <w:p w14:paraId="0C487EDE" w14:textId="77777777" w:rsidR="00C84BA7" w:rsidRDefault="00C84BA7" w:rsidP="00C84BA7"/>
    <w:p w14:paraId="5437C744" w14:textId="77777777" w:rsidR="00C84BA7" w:rsidRDefault="00C84BA7" w:rsidP="00C84BA7"/>
    <w:p w14:paraId="7AE45384" w14:textId="77777777" w:rsidR="00C84BA7" w:rsidRDefault="00C84BA7" w:rsidP="00C84BA7">
      <w:r>
        <w:t>AC 3.4</w:t>
      </w:r>
    </w:p>
    <w:p w14:paraId="2464EAA9" w14:textId="77777777" w:rsidR="00C84BA7" w:rsidRPr="001D1E75" w:rsidRDefault="00C84BA7" w:rsidP="00C84BA7">
      <w:pPr>
        <w:spacing w:after="120"/>
        <w:rPr>
          <w:b/>
          <w:bCs/>
        </w:rPr>
      </w:pPr>
      <w:r w:rsidRPr="001D1E75">
        <w:rPr>
          <w:b/>
          <w:bCs/>
        </w:rPr>
        <w:t>1. Enrolling in the CIPD Level 5 Qualification</w:t>
      </w:r>
    </w:p>
    <w:p w14:paraId="4E8B2B09" w14:textId="77777777" w:rsidR="00C84BA7" w:rsidRPr="001D1E75" w:rsidRDefault="00C84BA7" w:rsidP="00C84BA7">
      <w:pPr>
        <w:spacing w:after="120"/>
      </w:pPr>
      <w:r w:rsidRPr="001D1E75">
        <w:t>One of the most impactful development steps I’ve taken is enrolling in the CIPD Level 5 course. This has significantly challenged and expanded my understanding of the people profession. While I often approach tasks with a strong sense of confidence based on experience, the course has required me to engage in deeper research and analysis—frequently questioning assumptions I previously took for granted. As a result, my thinking has become more critical and evidence-based.</w:t>
      </w:r>
      <w:r w:rsidRPr="001D1E75">
        <w:br/>
        <w:t>This shift has improved the quality of my reports and written communications, particularly in the way I present arguments and use professional language. I have received positive feedback from stakeholders on the improved clarity, structure, and consideration shown in my work.</w:t>
      </w:r>
    </w:p>
    <w:p w14:paraId="4BFEE9B6" w14:textId="77777777" w:rsidR="00C84BA7" w:rsidRPr="001D1E75" w:rsidRDefault="00C84BA7" w:rsidP="00C84BA7">
      <w:pPr>
        <w:spacing w:after="120"/>
        <w:rPr>
          <w:b/>
          <w:bCs/>
        </w:rPr>
      </w:pPr>
      <w:r w:rsidRPr="001D1E75">
        <w:rPr>
          <w:b/>
          <w:bCs/>
        </w:rPr>
        <w:t>2. Gathering Feedback from My Line Manager and Team</w:t>
      </w:r>
    </w:p>
    <w:p w14:paraId="0D58C51C" w14:textId="77777777" w:rsidR="00C84BA7" w:rsidRPr="001D1E75" w:rsidRDefault="00C84BA7" w:rsidP="00C84BA7">
      <w:pPr>
        <w:spacing w:after="120"/>
      </w:pPr>
      <w:r w:rsidRPr="001D1E75">
        <w:t>As part of my development journey, I actively sought feedback from both my line manager and direct reports. It was encouraging to find alignment between my own self-awareness and the feedback received. One consistent area highlighted for improvement was developing a more in-depth understanding of the individual contracts my team works on. I recognised that, due to time constraints, I often operated on a ‘need-to-know’ basis.</w:t>
      </w:r>
      <w:r w:rsidRPr="001D1E75">
        <w:br/>
        <w:t>In response, I have committed to dedicating more time to observing day-to-day operations across contracts, allowing me to better understand the nuances and challenges specific to each. This has already enhanced my ability to support my team more effectively and tailor my guidance accordingly.</w:t>
      </w:r>
    </w:p>
    <w:p w14:paraId="218E7C6B" w14:textId="77777777" w:rsidR="00C84BA7" w:rsidRPr="001D1E75" w:rsidRDefault="00C84BA7" w:rsidP="00C84BA7">
      <w:pPr>
        <w:spacing w:after="120"/>
        <w:rPr>
          <w:b/>
          <w:bCs/>
        </w:rPr>
      </w:pPr>
      <w:r w:rsidRPr="001D1E75">
        <w:rPr>
          <w:b/>
          <w:bCs/>
        </w:rPr>
        <w:t>3. Leading Complex Employee Relations (ER) Cases</w:t>
      </w:r>
    </w:p>
    <w:p w14:paraId="7247E604" w14:textId="77777777" w:rsidR="00C84BA7" w:rsidRPr="001D1E75" w:rsidRDefault="00C84BA7" w:rsidP="00C84BA7">
      <w:pPr>
        <w:spacing w:after="120"/>
      </w:pPr>
      <w:r w:rsidRPr="001D1E75">
        <w:t>Through the knowledge and confidence gained during my CIPD studies, I have increasingly taken on more complex employee relations cases—some of which have involved potential dismissals. While these situations are inherently challenging, they have provided invaluable learning experiences. In several cases, I identified gaps in support or process from colleagues which made it difficult to take formal action.</w:t>
      </w:r>
      <w:r w:rsidRPr="001D1E75">
        <w:br/>
        <w:t xml:space="preserve">Rather than view this as a setback, I’ve used these insights to inform constructive discussions </w:t>
      </w:r>
      <w:r w:rsidRPr="001D1E75">
        <w:lastRenderedPageBreak/>
        <w:t>with my manager, helping to highlight areas where further training or process improvement is needed across the business. This has strengthened my ability to lead with both confidence and integrity, while contributing to organisational learning.</w:t>
      </w:r>
    </w:p>
    <w:p w14:paraId="4B501CCA" w14:textId="77777777" w:rsidR="00C84BA7" w:rsidRDefault="00C84BA7" w:rsidP="00C84BA7"/>
    <w:p w14:paraId="0CDB4256" w14:textId="77777777" w:rsidR="00C84BA7" w:rsidRDefault="00C84BA7" w:rsidP="001572E2">
      <w:pPr>
        <w:rPr>
          <w:b/>
          <w:bCs/>
        </w:rPr>
      </w:pPr>
    </w:p>
    <w:p w14:paraId="66AF0490" w14:textId="77777777" w:rsidR="001572E2" w:rsidRDefault="001572E2" w:rsidP="001572E2">
      <w:pPr>
        <w:rPr>
          <w:b/>
          <w:bCs/>
        </w:rPr>
      </w:pPr>
    </w:p>
    <w:p w14:paraId="18BB64E9" w14:textId="77777777" w:rsidR="001572E2" w:rsidRDefault="001572E2" w:rsidP="001572E2">
      <w:pPr>
        <w:rPr>
          <w:b/>
          <w:bCs/>
        </w:rPr>
      </w:pPr>
    </w:p>
    <w:p w14:paraId="1ECA21E0" w14:textId="77777777" w:rsidR="0089667B" w:rsidRPr="0089667B" w:rsidRDefault="0089667B" w:rsidP="0089667B">
      <w:pPr>
        <w:rPr>
          <w:rFonts w:cstheme="minorHAnsi"/>
          <w:b/>
          <w:bCs/>
          <w:sz w:val="32"/>
          <w:szCs w:val="32"/>
          <w:lang w:val="en-US"/>
        </w:rPr>
      </w:pPr>
      <w:r w:rsidRPr="0089667B">
        <w:rPr>
          <w:rFonts w:cstheme="minorHAnsi"/>
          <w:b/>
          <w:bCs/>
          <w:sz w:val="32"/>
          <w:szCs w:val="32"/>
          <w:lang w:val="en-US"/>
        </w:rPr>
        <w:t>Bibliography</w:t>
      </w:r>
    </w:p>
    <w:p w14:paraId="4B8260CC" w14:textId="77777777" w:rsidR="0089667B" w:rsidRPr="0089667B" w:rsidRDefault="0089667B" w:rsidP="0089667B">
      <w:pPr>
        <w:rPr>
          <w:rFonts w:cstheme="minorHAnsi"/>
          <w:lang w:val="en-US"/>
        </w:rPr>
      </w:pPr>
      <w:r w:rsidRPr="0089667B">
        <w:rPr>
          <w:rFonts w:cstheme="minorHAnsi"/>
          <w:lang w:val="en-US"/>
        </w:rPr>
        <w:t>Adams, J.S. (1965) ‘Inequity in Social Exchange’, Advances in Experimental Social Psychology, 2, pp. 267–299.</w:t>
      </w:r>
    </w:p>
    <w:p w14:paraId="63C84474" w14:textId="77777777" w:rsidR="0089667B" w:rsidRPr="0089667B" w:rsidRDefault="0089667B" w:rsidP="0089667B">
      <w:pPr>
        <w:rPr>
          <w:rFonts w:cstheme="minorHAnsi"/>
          <w:lang w:val="en-US"/>
        </w:rPr>
      </w:pPr>
      <w:r w:rsidRPr="0089667B">
        <w:rPr>
          <w:rFonts w:cstheme="minorHAnsi"/>
          <w:lang w:val="en-US"/>
        </w:rPr>
        <w:t>Armstrong, M. and Taylor, S. (2020) Armstrong’s Handbook of Human Resource Management Practice. 15th edn. London: Kogan Page.</w:t>
      </w:r>
    </w:p>
    <w:p w14:paraId="14F707E2" w14:textId="77777777" w:rsidR="0089667B" w:rsidRPr="0089667B" w:rsidRDefault="0089667B" w:rsidP="0089667B">
      <w:pPr>
        <w:rPr>
          <w:rFonts w:cstheme="minorHAnsi"/>
          <w:lang w:val="en-US"/>
        </w:rPr>
      </w:pPr>
      <w:r w:rsidRPr="0089667B">
        <w:rPr>
          <w:rFonts w:cstheme="minorHAnsi"/>
          <w:lang w:val="en-US"/>
        </w:rPr>
        <w:t>Bailey, C., Madden, A., Alfes, K. and Fletcher, L. (2018) Employee Engagement in Theory and Practice. London: Routledge.</w:t>
      </w:r>
    </w:p>
    <w:p w14:paraId="63F63899" w14:textId="77777777" w:rsidR="0089667B" w:rsidRPr="0089667B" w:rsidRDefault="0089667B" w:rsidP="0089667B">
      <w:pPr>
        <w:rPr>
          <w:rFonts w:cstheme="minorHAnsi"/>
          <w:lang w:val="en-US"/>
        </w:rPr>
      </w:pPr>
      <w:r w:rsidRPr="0089667B">
        <w:rPr>
          <w:rFonts w:cstheme="minorHAnsi"/>
          <w:lang w:val="en-US"/>
        </w:rPr>
        <w:t>Blau, P.M. (1964) Exchange and Power in Social Life. New York: Wiley.</w:t>
      </w:r>
    </w:p>
    <w:p w14:paraId="77E63B11" w14:textId="77777777" w:rsidR="0089667B" w:rsidRPr="0089667B" w:rsidRDefault="0089667B" w:rsidP="0089667B">
      <w:pPr>
        <w:rPr>
          <w:rFonts w:cstheme="minorHAnsi"/>
          <w:lang w:val="en-US"/>
        </w:rPr>
      </w:pPr>
      <w:r w:rsidRPr="0089667B">
        <w:rPr>
          <w:rFonts w:cstheme="minorHAnsi"/>
          <w:lang w:val="en-US"/>
        </w:rPr>
        <w:t>Boxall, P., Purcell, J. and Wright, P. (2007) The Oxford Handbook of Human Resource Management. Oxford: Oxford University Press.</w:t>
      </w:r>
    </w:p>
    <w:p w14:paraId="5674F42F" w14:textId="77777777" w:rsidR="0089667B" w:rsidRPr="0089667B" w:rsidRDefault="0089667B" w:rsidP="0089667B">
      <w:pPr>
        <w:rPr>
          <w:rFonts w:cstheme="minorHAnsi"/>
          <w:lang w:val="en-US"/>
        </w:rPr>
      </w:pPr>
      <w:r w:rsidRPr="0089667B">
        <w:rPr>
          <w:rFonts w:cstheme="minorHAnsi"/>
          <w:lang w:val="en-US"/>
        </w:rPr>
        <w:t>Brown, A.J. (2008) Whistleblowing in the Australian Public Sector. Canberra: ANU Press.</w:t>
      </w:r>
    </w:p>
    <w:p w14:paraId="5FC89666" w14:textId="77777777" w:rsidR="0089667B" w:rsidRPr="0089667B" w:rsidRDefault="0089667B" w:rsidP="0089667B">
      <w:pPr>
        <w:rPr>
          <w:rFonts w:cstheme="minorHAnsi"/>
          <w:lang w:val="en-US"/>
        </w:rPr>
      </w:pPr>
      <w:r w:rsidRPr="0089667B">
        <w:rPr>
          <w:rFonts w:cstheme="minorHAnsi"/>
          <w:lang w:val="en-US"/>
        </w:rPr>
        <w:t>CIPD (2020) Employee Experience and Organisational Culture. Available at: https://www.cipd.co.uk (Accessed: 8 February 2025).</w:t>
      </w:r>
    </w:p>
    <w:p w14:paraId="2D3EB367" w14:textId="77777777" w:rsidR="0089667B" w:rsidRPr="0089667B" w:rsidRDefault="0089667B" w:rsidP="0089667B">
      <w:pPr>
        <w:rPr>
          <w:rFonts w:cstheme="minorHAnsi"/>
          <w:lang w:val="en-US"/>
        </w:rPr>
      </w:pPr>
      <w:r w:rsidRPr="0089667B">
        <w:rPr>
          <w:rFonts w:cstheme="minorHAnsi"/>
          <w:lang w:val="en-US"/>
        </w:rPr>
        <w:t>CIPD (2022) Equality, Diversity and Inclusion (EDI) in the Workplace. November. Available at: https://www.cipd.co.uk/knowledge/fundamentals/relations/diversity/factsheet#6428 (Accessed: 8 February 2025).</w:t>
      </w:r>
    </w:p>
    <w:p w14:paraId="597542EB" w14:textId="77777777" w:rsidR="0089667B" w:rsidRPr="0089667B" w:rsidRDefault="0089667B" w:rsidP="0089667B">
      <w:pPr>
        <w:rPr>
          <w:rFonts w:cstheme="minorHAnsi"/>
          <w:lang w:val="en-US"/>
        </w:rPr>
      </w:pPr>
      <w:r w:rsidRPr="0089667B">
        <w:rPr>
          <w:rFonts w:cstheme="minorHAnsi"/>
          <w:lang w:val="en-US"/>
        </w:rPr>
        <w:t>CIPD (2022) HR and Standards. December. Available at: https://www.cipd.co.uk/knowledge/strategy/hr/standards-factsheet (Accessed: 8 February 2025).</w:t>
      </w:r>
    </w:p>
    <w:p w14:paraId="02951CAC" w14:textId="77777777" w:rsidR="0089667B" w:rsidRPr="0089667B" w:rsidRDefault="0089667B" w:rsidP="0089667B">
      <w:pPr>
        <w:rPr>
          <w:rFonts w:cstheme="minorHAnsi"/>
          <w:lang w:val="en-US"/>
        </w:rPr>
      </w:pPr>
      <w:r w:rsidRPr="0089667B">
        <w:rPr>
          <w:rFonts w:cstheme="minorHAnsi"/>
          <w:lang w:val="en-US"/>
        </w:rPr>
        <w:t>CIPD (2023) Ethical Practice and the Role of People Professionals. November. Available at: https://www.cipd.org/uk/knowledge/factsheets/ethics-role-hr-factsheet/ (Accessed: 8 February 2025).</w:t>
      </w:r>
    </w:p>
    <w:p w14:paraId="2D79AA28" w14:textId="77777777" w:rsidR="0089667B" w:rsidRPr="0089667B" w:rsidRDefault="0089667B" w:rsidP="0089667B">
      <w:pPr>
        <w:rPr>
          <w:rFonts w:cstheme="minorHAnsi"/>
          <w:lang w:val="en-US"/>
        </w:rPr>
      </w:pPr>
      <w:r w:rsidRPr="0089667B">
        <w:rPr>
          <w:rFonts w:cstheme="minorHAnsi"/>
          <w:lang w:val="en-US"/>
        </w:rPr>
        <w:t>CIPD (2023) Inclusion at Work: Perspectives on Diversity and Fairness. Available at: https://www.cipd.co.uk (Accessed: 8 February 2025).</w:t>
      </w:r>
    </w:p>
    <w:p w14:paraId="2F8198CD" w14:textId="77777777" w:rsidR="0089667B" w:rsidRPr="0089667B" w:rsidRDefault="0089667B" w:rsidP="0089667B">
      <w:pPr>
        <w:rPr>
          <w:rFonts w:cstheme="minorHAnsi"/>
          <w:lang w:val="en-US"/>
        </w:rPr>
      </w:pPr>
      <w:r w:rsidRPr="0089667B">
        <w:rPr>
          <w:rFonts w:cstheme="minorHAnsi"/>
          <w:lang w:val="en-US"/>
        </w:rPr>
        <w:t>CIPD (2024) Ethics at Work: An Employer’s Guide. February. Available at: https://www.cipd.co.uk/knowledge/culture/ethics/ethics-work-guide (Accessed: 8 February 2025).</w:t>
      </w:r>
    </w:p>
    <w:p w14:paraId="19CFB9E8" w14:textId="77777777" w:rsidR="0089667B" w:rsidRPr="0089667B" w:rsidRDefault="0089667B" w:rsidP="0089667B">
      <w:pPr>
        <w:rPr>
          <w:rFonts w:cstheme="minorHAnsi"/>
          <w:lang w:val="en-US"/>
        </w:rPr>
      </w:pPr>
      <w:r w:rsidRPr="0089667B">
        <w:rPr>
          <w:rFonts w:cstheme="minorHAnsi"/>
          <w:lang w:val="en-US"/>
        </w:rPr>
        <w:t>Gill, R. (2022) Theory and Practice of Leadership. 3rd edn. London: SAGE Publications.</w:t>
      </w:r>
    </w:p>
    <w:p w14:paraId="511BAD0E" w14:textId="77777777" w:rsidR="0089667B" w:rsidRPr="0089667B" w:rsidRDefault="0089667B" w:rsidP="0089667B">
      <w:pPr>
        <w:rPr>
          <w:rFonts w:cstheme="minorHAnsi"/>
          <w:lang w:val="en-US"/>
        </w:rPr>
      </w:pPr>
      <w:r w:rsidRPr="0089667B">
        <w:rPr>
          <w:rFonts w:cstheme="minorHAnsi"/>
          <w:lang w:val="en-US"/>
        </w:rPr>
        <w:t>Guest, D.E. (2017) ‘Human Resource Management and Employee Well-being: Towards a New Analytic Framework’, Human Resource Management Journal, 27(1), pp. 22–38.</w:t>
      </w:r>
    </w:p>
    <w:p w14:paraId="2DCADFA2" w14:textId="77777777" w:rsidR="0089667B" w:rsidRPr="0089667B" w:rsidRDefault="0089667B" w:rsidP="0089667B">
      <w:pPr>
        <w:rPr>
          <w:rFonts w:cstheme="minorHAnsi"/>
          <w:lang w:val="en-US"/>
        </w:rPr>
      </w:pPr>
      <w:r w:rsidRPr="0089667B">
        <w:rPr>
          <w:rFonts w:cstheme="minorHAnsi"/>
          <w:lang w:val="en-US"/>
        </w:rPr>
        <w:t>Harvard Business Review (2018) ‘Data-Driven Customer Service: The Key to Success in a Digital World’. Harvard Business Review. Available at: https://hbr.org (Accessed: 6 February 2025).</w:t>
      </w:r>
    </w:p>
    <w:p w14:paraId="5AF212C1" w14:textId="77777777" w:rsidR="0089667B" w:rsidRPr="0089667B" w:rsidRDefault="0089667B" w:rsidP="0089667B">
      <w:pPr>
        <w:rPr>
          <w:rFonts w:cstheme="minorHAnsi"/>
          <w:lang w:val="en-US"/>
        </w:rPr>
      </w:pPr>
      <w:r w:rsidRPr="0089667B">
        <w:rPr>
          <w:rFonts w:cstheme="minorHAnsi"/>
          <w:lang w:val="en-US"/>
        </w:rPr>
        <w:t>Heffernan, M. (2012) Dare to Disagree. TEDGlobal. [Video]</w:t>
      </w:r>
    </w:p>
    <w:p w14:paraId="13C66C34" w14:textId="77777777" w:rsidR="0089667B" w:rsidRPr="0089667B" w:rsidRDefault="0089667B" w:rsidP="0089667B">
      <w:pPr>
        <w:rPr>
          <w:rFonts w:cstheme="minorHAnsi"/>
          <w:lang w:val="en-US"/>
        </w:rPr>
      </w:pPr>
      <w:r w:rsidRPr="0089667B">
        <w:rPr>
          <w:rFonts w:cstheme="minorHAnsi"/>
          <w:lang w:val="en-US"/>
        </w:rPr>
        <w:t>HR Magazine (2019) ‘The Impact of Organisational Culture on Employee Engagement’. HR Magazine. Available at: https://www.hrmagazine.co.uk (Accessed: 8 February 2025).</w:t>
      </w:r>
    </w:p>
    <w:p w14:paraId="3E31C48F" w14:textId="77777777" w:rsidR="0089667B" w:rsidRPr="0089667B" w:rsidRDefault="0089667B" w:rsidP="0089667B">
      <w:pPr>
        <w:rPr>
          <w:rFonts w:cstheme="minorHAnsi"/>
          <w:lang w:val="en-US"/>
        </w:rPr>
      </w:pPr>
      <w:r w:rsidRPr="0089667B">
        <w:rPr>
          <w:rFonts w:cstheme="minorHAnsi"/>
          <w:lang w:val="en-US"/>
        </w:rPr>
        <w:t>Kotter, J.P. (2014) Accelerate: Building Strategic Agility for a Faster-Moving World. Boston, MA: Harvard Business Review Press.</w:t>
      </w:r>
    </w:p>
    <w:p w14:paraId="164E683C" w14:textId="77777777" w:rsidR="0089667B" w:rsidRPr="0089667B" w:rsidRDefault="0089667B" w:rsidP="0089667B">
      <w:pPr>
        <w:rPr>
          <w:rFonts w:cstheme="minorHAnsi"/>
          <w:lang w:val="en-US"/>
        </w:rPr>
      </w:pPr>
      <w:r w:rsidRPr="0089667B">
        <w:rPr>
          <w:rFonts w:cstheme="minorHAnsi"/>
          <w:lang w:val="en-US"/>
        </w:rPr>
        <w:lastRenderedPageBreak/>
        <w:t>Maslow, A.H. (1943) ‘A Theory of Human Motivation’, Psychological Review, 50(4), pp. 370–396.</w:t>
      </w:r>
    </w:p>
    <w:p w14:paraId="590187CF" w14:textId="77777777" w:rsidR="0089667B" w:rsidRPr="0089667B" w:rsidRDefault="0089667B" w:rsidP="0089667B">
      <w:pPr>
        <w:rPr>
          <w:rFonts w:cstheme="minorHAnsi"/>
          <w:lang w:val="en-US"/>
        </w:rPr>
      </w:pPr>
      <w:r w:rsidRPr="0089667B">
        <w:rPr>
          <w:rFonts w:cstheme="minorHAnsi"/>
          <w:lang w:val="en-US"/>
        </w:rPr>
        <w:t>McKinsey &amp; Company (2023) Diversity Wins: How Inclusion Matters. Available at: https://www.mckinsey.com (Accessed: 8 February 2025).</w:t>
      </w:r>
    </w:p>
    <w:p w14:paraId="2AC3EB04" w14:textId="77777777" w:rsidR="0089667B" w:rsidRPr="0089667B" w:rsidRDefault="0089667B" w:rsidP="0089667B">
      <w:pPr>
        <w:rPr>
          <w:rFonts w:cstheme="minorHAnsi"/>
          <w:lang w:val="en-US"/>
        </w:rPr>
      </w:pPr>
      <w:r w:rsidRPr="0089667B">
        <w:rPr>
          <w:rFonts w:cstheme="minorHAnsi"/>
          <w:lang w:val="en-US"/>
        </w:rPr>
        <w:t>Moore, C. (2019) What Is Appreciative Inquiry? (Definition, Examples &amp; Model). PositivePsychology.com. Available at: https://positivepsychology.com (Accessed: 8 February 2025).</w:t>
      </w:r>
    </w:p>
    <w:p w14:paraId="391BB1A0" w14:textId="77777777" w:rsidR="0089667B" w:rsidRPr="0089667B" w:rsidRDefault="0089667B" w:rsidP="0089667B">
      <w:pPr>
        <w:rPr>
          <w:rFonts w:cstheme="minorHAnsi"/>
          <w:lang w:val="en-US"/>
        </w:rPr>
      </w:pPr>
      <w:r w:rsidRPr="0089667B">
        <w:rPr>
          <w:rFonts w:cstheme="minorHAnsi"/>
          <w:lang w:val="en-US"/>
        </w:rPr>
        <w:t>Noe, R.A., Hollenbeck, J.R., Gerhart, B. and Wright, P.M. (2014) Fundamentals of Human Resource Management. New York: McGraw-Hill Education.</w:t>
      </w:r>
    </w:p>
    <w:p w14:paraId="767A114D" w14:textId="77777777" w:rsidR="0089667B" w:rsidRPr="0089667B" w:rsidRDefault="0089667B" w:rsidP="0089667B">
      <w:pPr>
        <w:rPr>
          <w:rFonts w:cstheme="minorHAnsi"/>
          <w:lang w:val="en-US"/>
        </w:rPr>
      </w:pPr>
      <w:r w:rsidRPr="0089667B">
        <w:rPr>
          <w:rFonts w:cstheme="minorHAnsi"/>
          <w:lang w:val="en-US"/>
        </w:rPr>
        <w:t>People Management Magazine (2022) People Management. Available at: https://www.peoplemanagement.co.uk (Accessed: 8 February 2025).</w:t>
      </w:r>
    </w:p>
    <w:p w14:paraId="43F6B06E" w14:textId="77777777" w:rsidR="0089667B" w:rsidRPr="0089667B" w:rsidRDefault="0089667B" w:rsidP="0089667B">
      <w:pPr>
        <w:rPr>
          <w:rFonts w:cstheme="minorHAnsi"/>
          <w:lang w:val="en-US"/>
        </w:rPr>
      </w:pPr>
      <w:r w:rsidRPr="0089667B">
        <w:rPr>
          <w:rFonts w:cstheme="minorHAnsi"/>
          <w:lang w:val="en-US"/>
        </w:rPr>
        <w:t>Schein, E.H. (2010) Organizational Culture and Leadership. 4th edn. San Francisco, CA: Jossey-Bass.</w:t>
      </w:r>
    </w:p>
    <w:p w14:paraId="69DB56BB" w14:textId="77777777" w:rsidR="0089667B" w:rsidRPr="0089667B" w:rsidRDefault="0089667B" w:rsidP="0089667B">
      <w:pPr>
        <w:rPr>
          <w:rFonts w:cstheme="minorHAnsi"/>
          <w:lang w:val="en-US"/>
        </w:rPr>
      </w:pPr>
      <w:r w:rsidRPr="0089667B">
        <w:rPr>
          <w:rFonts w:cstheme="minorHAnsi"/>
          <w:lang w:val="en-US"/>
        </w:rPr>
        <w:t>Schein, E.H. (2017) Organizational Culture and Leadership. 5th edn. Hoboken, NJ: Wiley.</w:t>
      </w:r>
    </w:p>
    <w:p w14:paraId="1E9B3DEB" w14:textId="77777777" w:rsidR="0089667B" w:rsidRPr="0089667B" w:rsidRDefault="0089667B" w:rsidP="0089667B">
      <w:pPr>
        <w:rPr>
          <w:rFonts w:cstheme="minorHAnsi"/>
          <w:lang w:val="en-US"/>
        </w:rPr>
      </w:pPr>
      <w:r w:rsidRPr="0089667B">
        <w:rPr>
          <w:rFonts w:cstheme="minorHAnsi"/>
          <w:lang w:val="en-US"/>
        </w:rPr>
        <w:t>Sinek, S. (2020) A Bit of Optimism [Podcast].</w:t>
      </w:r>
    </w:p>
    <w:p w14:paraId="44A32F1F" w14:textId="77777777" w:rsidR="0089667B" w:rsidRPr="0089667B" w:rsidRDefault="0089667B" w:rsidP="0089667B">
      <w:pPr>
        <w:rPr>
          <w:rFonts w:cstheme="minorHAnsi"/>
          <w:lang w:val="en-US"/>
        </w:rPr>
      </w:pPr>
      <w:r w:rsidRPr="0089667B">
        <w:rPr>
          <w:rFonts w:cstheme="minorHAnsi"/>
          <w:lang w:val="en-US"/>
        </w:rPr>
        <w:t>Treviño, L.K. and Nelson, K.A. (2016) Managing Business Ethics: Straight Talk About How to Do It Right. 6th edn. Hoboken, NJ: Wiley.</w:t>
      </w:r>
    </w:p>
    <w:p w14:paraId="691C9C8A" w14:textId="42FEFD72" w:rsidR="001572E2" w:rsidRDefault="001572E2" w:rsidP="001572E2"/>
    <w:sectPr w:rsidR="00157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241DB"/>
    <w:multiLevelType w:val="multilevel"/>
    <w:tmpl w:val="69EE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D02AE"/>
    <w:multiLevelType w:val="multilevel"/>
    <w:tmpl w:val="FB161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CE774D"/>
    <w:multiLevelType w:val="multilevel"/>
    <w:tmpl w:val="3668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E450CA"/>
    <w:multiLevelType w:val="multilevel"/>
    <w:tmpl w:val="1480E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774FFB"/>
    <w:multiLevelType w:val="multilevel"/>
    <w:tmpl w:val="0CE8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B5D7C"/>
    <w:multiLevelType w:val="multilevel"/>
    <w:tmpl w:val="2B20D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F423B"/>
    <w:multiLevelType w:val="multilevel"/>
    <w:tmpl w:val="3582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67F1D"/>
    <w:multiLevelType w:val="multilevel"/>
    <w:tmpl w:val="254A0F6A"/>
    <w:lvl w:ilvl="0">
      <w:start w:val="1"/>
      <w:numFmt w:val="bullet"/>
      <w:lvlText w:val=""/>
      <w:lvlJc w:val="left"/>
      <w:pPr>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32A17DD8"/>
    <w:multiLevelType w:val="multilevel"/>
    <w:tmpl w:val="50F6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577CAA"/>
    <w:multiLevelType w:val="multilevel"/>
    <w:tmpl w:val="AA9CA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164EE7"/>
    <w:multiLevelType w:val="multilevel"/>
    <w:tmpl w:val="7660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C51092"/>
    <w:multiLevelType w:val="multilevel"/>
    <w:tmpl w:val="CA06002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5A4D06BF"/>
    <w:multiLevelType w:val="multilevel"/>
    <w:tmpl w:val="1176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AA5467"/>
    <w:multiLevelType w:val="multilevel"/>
    <w:tmpl w:val="841A4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2231B3"/>
    <w:multiLevelType w:val="multilevel"/>
    <w:tmpl w:val="9C8C2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495773"/>
    <w:multiLevelType w:val="multilevel"/>
    <w:tmpl w:val="1D82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084303">
    <w:abstractNumId w:val="5"/>
  </w:num>
  <w:num w:numId="2" w16cid:durableId="1942370748">
    <w:abstractNumId w:val="13"/>
  </w:num>
  <w:num w:numId="3" w16cid:durableId="1141657826">
    <w:abstractNumId w:val="1"/>
  </w:num>
  <w:num w:numId="4" w16cid:durableId="2062174076">
    <w:abstractNumId w:val="9"/>
  </w:num>
  <w:num w:numId="5" w16cid:durableId="17051782">
    <w:abstractNumId w:val="14"/>
  </w:num>
  <w:num w:numId="6" w16cid:durableId="1648588334">
    <w:abstractNumId w:val="8"/>
  </w:num>
  <w:num w:numId="7" w16cid:durableId="1324552693">
    <w:abstractNumId w:val="0"/>
  </w:num>
  <w:num w:numId="8" w16cid:durableId="1568345640">
    <w:abstractNumId w:val="12"/>
  </w:num>
  <w:num w:numId="9" w16cid:durableId="2003048164">
    <w:abstractNumId w:val="3"/>
  </w:num>
  <w:num w:numId="10" w16cid:durableId="444084223">
    <w:abstractNumId w:val="11"/>
  </w:num>
  <w:num w:numId="11" w16cid:durableId="1248998683">
    <w:abstractNumId w:val="7"/>
  </w:num>
  <w:num w:numId="12" w16cid:durableId="1248225272">
    <w:abstractNumId w:val="6"/>
  </w:num>
  <w:num w:numId="13" w16cid:durableId="973756849">
    <w:abstractNumId w:val="15"/>
  </w:num>
  <w:num w:numId="14" w16cid:durableId="1325356641">
    <w:abstractNumId w:val="4"/>
  </w:num>
  <w:num w:numId="15" w16cid:durableId="1690444598">
    <w:abstractNumId w:val="10"/>
  </w:num>
  <w:num w:numId="16" w16cid:durableId="450976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2E2"/>
    <w:rsid w:val="00027433"/>
    <w:rsid w:val="00045D17"/>
    <w:rsid w:val="000E0C10"/>
    <w:rsid w:val="00132E09"/>
    <w:rsid w:val="001572E2"/>
    <w:rsid w:val="001D0E9B"/>
    <w:rsid w:val="0020153C"/>
    <w:rsid w:val="00231A9B"/>
    <w:rsid w:val="006E366B"/>
    <w:rsid w:val="007E1718"/>
    <w:rsid w:val="00861604"/>
    <w:rsid w:val="0089667B"/>
    <w:rsid w:val="009263C2"/>
    <w:rsid w:val="0093387C"/>
    <w:rsid w:val="009D54D4"/>
    <w:rsid w:val="00A349E8"/>
    <w:rsid w:val="00B05BBA"/>
    <w:rsid w:val="00C84BA7"/>
    <w:rsid w:val="00E33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9EA4"/>
  <w15:chartTrackingRefBased/>
  <w15:docId w15:val="{4CAA7029-5EC6-F247-8026-127FEB66B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2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72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72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72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72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72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2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2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2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2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72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72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72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72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7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2E2"/>
    <w:rPr>
      <w:rFonts w:eastAsiaTheme="majorEastAsia" w:cstheme="majorBidi"/>
      <w:color w:val="272727" w:themeColor="text1" w:themeTint="D8"/>
    </w:rPr>
  </w:style>
  <w:style w:type="paragraph" w:styleId="Title">
    <w:name w:val="Title"/>
    <w:basedOn w:val="Normal"/>
    <w:next w:val="Normal"/>
    <w:link w:val="TitleChar"/>
    <w:uiPriority w:val="10"/>
    <w:qFormat/>
    <w:rsid w:val="001572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2E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2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72E2"/>
    <w:rPr>
      <w:i/>
      <w:iCs/>
      <w:color w:val="404040" w:themeColor="text1" w:themeTint="BF"/>
    </w:rPr>
  </w:style>
  <w:style w:type="paragraph" w:styleId="ListParagraph">
    <w:name w:val="List Paragraph"/>
    <w:basedOn w:val="Normal"/>
    <w:uiPriority w:val="34"/>
    <w:qFormat/>
    <w:rsid w:val="001572E2"/>
    <w:pPr>
      <w:ind w:left="720"/>
      <w:contextualSpacing/>
    </w:pPr>
  </w:style>
  <w:style w:type="character" w:styleId="IntenseEmphasis">
    <w:name w:val="Intense Emphasis"/>
    <w:basedOn w:val="DefaultParagraphFont"/>
    <w:uiPriority w:val="21"/>
    <w:qFormat/>
    <w:rsid w:val="001572E2"/>
    <w:rPr>
      <w:i/>
      <w:iCs/>
      <w:color w:val="2F5496" w:themeColor="accent1" w:themeShade="BF"/>
    </w:rPr>
  </w:style>
  <w:style w:type="paragraph" w:styleId="IntenseQuote">
    <w:name w:val="Intense Quote"/>
    <w:basedOn w:val="Normal"/>
    <w:next w:val="Normal"/>
    <w:link w:val="IntenseQuoteChar"/>
    <w:uiPriority w:val="30"/>
    <w:qFormat/>
    <w:rsid w:val="001572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72E2"/>
    <w:rPr>
      <w:i/>
      <w:iCs/>
      <w:color w:val="2F5496" w:themeColor="accent1" w:themeShade="BF"/>
    </w:rPr>
  </w:style>
  <w:style w:type="character" w:styleId="IntenseReference">
    <w:name w:val="Intense Reference"/>
    <w:basedOn w:val="DefaultParagraphFont"/>
    <w:uiPriority w:val="32"/>
    <w:qFormat/>
    <w:rsid w:val="001572E2"/>
    <w:rPr>
      <w:b/>
      <w:bCs/>
      <w:smallCaps/>
      <w:color w:val="2F5496" w:themeColor="accent1" w:themeShade="BF"/>
      <w:spacing w:val="5"/>
    </w:rPr>
  </w:style>
  <w:style w:type="character" w:styleId="Hyperlink">
    <w:name w:val="Hyperlink"/>
    <w:basedOn w:val="DefaultParagraphFont"/>
    <w:uiPriority w:val="99"/>
    <w:unhideWhenUsed/>
    <w:rsid w:val="001572E2"/>
    <w:rPr>
      <w:color w:val="0563C1" w:themeColor="hyperlink"/>
      <w:u w:val="single"/>
    </w:rPr>
  </w:style>
  <w:style w:type="character" w:styleId="UnresolvedMention">
    <w:name w:val="Unresolved Mention"/>
    <w:basedOn w:val="DefaultParagraphFont"/>
    <w:uiPriority w:val="99"/>
    <w:semiHidden/>
    <w:unhideWhenUsed/>
    <w:rsid w:val="001572E2"/>
    <w:rPr>
      <w:color w:val="605E5C"/>
      <w:shd w:val="clear" w:color="auto" w:fill="E1DFDD"/>
    </w:rPr>
  </w:style>
  <w:style w:type="table" w:styleId="TableGrid">
    <w:name w:val="Table Grid"/>
    <w:basedOn w:val="TableNormal"/>
    <w:uiPriority w:val="59"/>
    <w:rsid w:val="00C84BA7"/>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48952">
      <w:bodyDiv w:val="1"/>
      <w:marLeft w:val="0"/>
      <w:marRight w:val="0"/>
      <w:marTop w:val="0"/>
      <w:marBottom w:val="0"/>
      <w:divBdr>
        <w:top w:val="none" w:sz="0" w:space="0" w:color="auto"/>
        <w:left w:val="none" w:sz="0" w:space="0" w:color="auto"/>
        <w:bottom w:val="none" w:sz="0" w:space="0" w:color="auto"/>
        <w:right w:val="none" w:sz="0" w:space="0" w:color="auto"/>
      </w:divBdr>
    </w:div>
    <w:div w:id="181938120">
      <w:bodyDiv w:val="1"/>
      <w:marLeft w:val="0"/>
      <w:marRight w:val="0"/>
      <w:marTop w:val="0"/>
      <w:marBottom w:val="0"/>
      <w:divBdr>
        <w:top w:val="none" w:sz="0" w:space="0" w:color="auto"/>
        <w:left w:val="none" w:sz="0" w:space="0" w:color="auto"/>
        <w:bottom w:val="none" w:sz="0" w:space="0" w:color="auto"/>
        <w:right w:val="none" w:sz="0" w:space="0" w:color="auto"/>
      </w:divBdr>
    </w:div>
    <w:div w:id="222565334">
      <w:bodyDiv w:val="1"/>
      <w:marLeft w:val="0"/>
      <w:marRight w:val="0"/>
      <w:marTop w:val="0"/>
      <w:marBottom w:val="0"/>
      <w:divBdr>
        <w:top w:val="none" w:sz="0" w:space="0" w:color="auto"/>
        <w:left w:val="none" w:sz="0" w:space="0" w:color="auto"/>
        <w:bottom w:val="none" w:sz="0" w:space="0" w:color="auto"/>
        <w:right w:val="none" w:sz="0" w:space="0" w:color="auto"/>
      </w:divBdr>
    </w:div>
    <w:div w:id="236136827">
      <w:bodyDiv w:val="1"/>
      <w:marLeft w:val="0"/>
      <w:marRight w:val="0"/>
      <w:marTop w:val="0"/>
      <w:marBottom w:val="0"/>
      <w:divBdr>
        <w:top w:val="none" w:sz="0" w:space="0" w:color="auto"/>
        <w:left w:val="none" w:sz="0" w:space="0" w:color="auto"/>
        <w:bottom w:val="none" w:sz="0" w:space="0" w:color="auto"/>
        <w:right w:val="none" w:sz="0" w:space="0" w:color="auto"/>
      </w:divBdr>
      <w:divsChild>
        <w:div w:id="968779258">
          <w:marLeft w:val="0"/>
          <w:marRight w:val="0"/>
          <w:marTop w:val="0"/>
          <w:marBottom w:val="0"/>
          <w:divBdr>
            <w:top w:val="none" w:sz="0" w:space="0" w:color="auto"/>
            <w:left w:val="none" w:sz="0" w:space="0" w:color="auto"/>
            <w:bottom w:val="none" w:sz="0" w:space="0" w:color="auto"/>
            <w:right w:val="none" w:sz="0" w:space="0" w:color="auto"/>
          </w:divBdr>
          <w:divsChild>
            <w:div w:id="305206145">
              <w:marLeft w:val="0"/>
              <w:marRight w:val="0"/>
              <w:marTop w:val="0"/>
              <w:marBottom w:val="0"/>
              <w:divBdr>
                <w:top w:val="none" w:sz="0" w:space="0" w:color="auto"/>
                <w:left w:val="none" w:sz="0" w:space="0" w:color="auto"/>
                <w:bottom w:val="none" w:sz="0" w:space="0" w:color="auto"/>
                <w:right w:val="none" w:sz="0" w:space="0" w:color="auto"/>
              </w:divBdr>
              <w:divsChild>
                <w:div w:id="143591068">
                  <w:marLeft w:val="0"/>
                  <w:marRight w:val="0"/>
                  <w:marTop w:val="0"/>
                  <w:marBottom w:val="0"/>
                  <w:divBdr>
                    <w:top w:val="none" w:sz="0" w:space="0" w:color="auto"/>
                    <w:left w:val="none" w:sz="0" w:space="0" w:color="auto"/>
                    <w:bottom w:val="none" w:sz="0" w:space="0" w:color="auto"/>
                    <w:right w:val="none" w:sz="0" w:space="0" w:color="auto"/>
                  </w:divBdr>
                  <w:divsChild>
                    <w:div w:id="207863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324015">
          <w:marLeft w:val="0"/>
          <w:marRight w:val="0"/>
          <w:marTop w:val="0"/>
          <w:marBottom w:val="0"/>
          <w:divBdr>
            <w:top w:val="none" w:sz="0" w:space="0" w:color="auto"/>
            <w:left w:val="none" w:sz="0" w:space="0" w:color="auto"/>
            <w:bottom w:val="none" w:sz="0" w:space="0" w:color="auto"/>
            <w:right w:val="none" w:sz="0" w:space="0" w:color="auto"/>
          </w:divBdr>
          <w:divsChild>
            <w:div w:id="1139229393">
              <w:marLeft w:val="0"/>
              <w:marRight w:val="0"/>
              <w:marTop w:val="0"/>
              <w:marBottom w:val="0"/>
              <w:divBdr>
                <w:top w:val="none" w:sz="0" w:space="0" w:color="auto"/>
                <w:left w:val="none" w:sz="0" w:space="0" w:color="auto"/>
                <w:bottom w:val="none" w:sz="0" w:space="0" w:color="auto"/>
                <w:right w:val="none" w:sz="0" w:space="0" w:color="auto"/>
              </w:divBdr>
              <w:divsChild>
                <w:div w:id="195579090">
                  <w:marLeft w:val="0"/>
                  <w:marRight w:val="0"/>
                  <w:marTop w:val="0"/>
                  <w:marBottom w:val="0"/>
                  <w:divBdr>
                    <w:top w:val="none" w:sz="0" w:space="0" w:color="auto"/>
                    <w:left w:val="none" w:sz="0" w:space="0" w:color="auto"/>
                    <w:bottom w:val="none" w:sz="0" w:space="0" w:color="auto"/>
                    <w:right w:val="none" w:sz="0" w:space="0" w:color="auto"/>
                  </w:divBdr>
                  <w:divsChild>
                    <w:div w:id="11511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525804">
      <w:bodyDiv w:val="1"/>
      <w:marLeft w:val="0"/>
      <w:marRight w:val="0"/>
      <w:marTop w:val="0"/>
      <w:marBottom w:val="0"/>
      <w:divBdr>
        <w:top w:val="none" w:sz="0" w:space="0" w:color="auto"/>
        <w:left w:val="none" w:sz="0" w:space="0" w:color="auto"/>
        <w:bottom w:val="none" w:sz="0" w:space="0" w:color="auto"/>
        <w:right w:val="none" w:sz="0" w:space="0" w:color="auto"/>
      </w:divBdr>
    </w:div>
    <w:div w:id="400909212">
      <w:bodyDiv w:val="1"/>
      <w:marLeft w:val="0"/>
      <w:marRight w:val="0"/>
      <w:marTop w:val="0"/>
      <w:marBottom w:val="0"/>
      <w:divBdr>
        <w:top w:val="none" w:sz="0" w:space="0" w:color="auto"/>
        <w:left w:val="none" w:sz="0" w:space="0" w:color="auto"/>
        <w:bottom w:val="none" w:sz="0" w:space="0" w:color="auto"/>
        <w:right w:val="none" w:sz="0" w:space="0" w:color="auto"/>
      </w:divBdr>
    </w:div>
    <w:div w:id="419565660">
      <w:bodyDiv w:val="1"/>
      <w:marLeft w:val="0"/>
      <w:marRight w:val="0"/>
      <w:marTop w:val="0"/>
      <w:marBottom w:val="0"/>
      <w:divBdr>
        <w:top w:val="none" w:sz="0" w:space="0" w:color="auto"/>
        <w:left w:val="none" w:sz="0" w:space="0" w:color="auto"/>
        <w:bottom w:val="none" w:sz="0" w:space="0" w:color="auto"/>
        <w:right w:val="none" w:sz="0" w:space="0" w:color="auto"/>
      </w:divBdr>
    </w:div>
    <w:div w:id="451946146">
      <w:bodyDiv w:val="1"/>
      <w:marLeft w:val="0"/>
      <w:marRight w:val="0"/>
      <w:marTop w:val="0"/>
      <w:marBottom w:val="0"/>
      <w:divBdr>
        <w:top w:val="none" w:sz="0" w:space="0" w:color="auto"/>
        <w:left w:val="none" w:sz="0" w:space="0" w:color="auto"/>
        <w:bottom w:val="none" w:sz="0" w:space="0" w:color="auto"/>
        <w:right w:val="none" w:sz="0" w:space="0" w:color="auto"/>
      </w:divBdr>
    </w:div>
    <w:div w:id="457335468">
      <w:bodyDiv w:val="1"/>
      <w:marLeft w:val="0"/>
      <w:marRight w:val="0"/>
      <w:marTop w:val="0"/>
      <w:marBottom w:val="0"/>
      <w:divBdr>
        <w:top w:val="none" w:sz="0" w:space="0" w:color="auto"/>
        <w:left w:val="none" w:sz="0" w:space="0" w:color="auto"/>
        <w:bottom w:val="none" w:sz="0" w:space="0" w:color="auto"/>
        <w:right w:val="none" w:sz="0" w:space="0" w:color="auto"/>
      </w:divBdr>
    </w:div>
    <w:div w:id="459111587">
      <w:bodyDiv w:val="1"/>
      <w:marLeft w:val="0"/>
      <w:marRight w:val="0"/>
      <w:marTop w:val="0"/>
      <w:marBottom w:val="0"/>
      <w:divBdr>
        <w:top w:val="none" w:sz="0" w:space="0" w:color="auto"/>
        <w:left w:val="none" w:sz="0" w:space="0" w:color="auto"/>
        <w:bottom w:val="none" w:sz="0" w:space="0" w:color="auto"/>
        <w:right w:val="none" w:sz="0" w:space="0" w:color="auto"/>
      </w:divBdr>
    </w:div>
    <w:div w:id="518087109">
      <w:bodyDiv w:val="1"/>
      <w:marLeft w:val="0"/>
      <w:marRight w:val="0"/>
      <w:marTop w:val="0"/>
      <w:marBottom w:val="0"/>
      <w:divBdr>
        <w:top w:val="none" w:sz="0" w:space="0" w:color="auto"/>
        <w:left w:val="none" w:sz="0" w:space="0" w:color="auto"/>
        <w:bottom w:val="none" w:sz="0" w:space="0" w:color="auto"/>
        <w:right w:val="none" w:sz="0" w:space="0" w:color="auto"/>
      </w:divBdr>
      <w:divsChild>
        <w:div w:id="1063333627">
          <w:marLeft w:val="0"/>
          <w:marRight w:val="0"/>
          <w:marTop w:val="0"/>
          <w:marBottom w:val="0"/>
          <w:divBdr>
            <w:top w:val="none" w:sz="0" w:space="0" w:color="auto"/>
            <w:left w:val="none" w:sz="0" w:space="0" w:color="auto"/>
            <w:bottom w:val="none" w:sz="0" w:space="0" w:color="auto"/>
            <w:right w:val="none" w:sz="0" w:space="0" w:color="auto"/>
          </w:divBdr>
          <w:divsChild>
            <w:div w:id="1169128441">
              <w:marLeft w:val="0"/>
              <w:marRight w:val="0"/>
              <w:marTop w:val="0"/>
              <w:marBottom w:val="0"/>
              <w:divBdr>
                <w:top w:val="none" w:sz="0" w:space="0" w:color="auto"/>
                <w:left w:val="none" w:sz="0" w:space="0" w:color="auto"/>
                <w:bottom w:val="none" w:sz="0" w:space="0" w:color="auto"/>
                <w:right w:val="none" w:sz="0" w:space="0" w:color="auto"/>
              </w:divBdr>
              <w:divsChild>
                <w:div w:id="12612878">
                  <w:marLeft w:val="0"/>
                  <w:marRight w:val="0"/>
                  <w:marTop w:val="0"/>
                  <w:marBottom w:val="0"/>
                  <w:divBdr>
                    <w:top w:val="none" w:sz="0" w:space="0" w:color="auto"/>
                    <w:left w:val="none" w:sz="0" w:space="0" w:color="auto"/>
                    <w:bottom w:val="none" w:sz="0" w:space="0" w:color="auto"/>
                    <w:right w:val="none" w:sz="0" w:space="0" w:color="auto"/>
                  </w:divBdr>
                  <w:divsChild>
                    <w:div w:id="130203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736737">
          <w:marLeft w:val="0"/>
          <w:marRight w:val="0"/>
          <w:marTop w:val="0"/>
          <w:marBottom w:val="0"/>
          <w:divBdr>
            <w:top w:val="none" w:sz="0" w:space="0" w:color="auto"/>
            <w:left w:val="none" w:sz="0" w:space="0" w:color="auto"/>
            <w:bottom w:val="none" w:sz="0" w:space="0" w:color="auto"/>
            <w:right w:val="none" w:sz="0" w:space="0" w:color="auto"/>
          </w:divBdr>
          <w:divsChild>
            <w:div w:id="393893636">
              <w:marLeft w:val="0"/>
              <w:marRight w:val="0"/>
              <w:marTop w:val="0"/>
              <w:marBottom w:val="0"/>
              <w:divBdr>
                <w:top w:val="none" w:sz="0" w:space="0" w:color="auto"/>
                <w:left w:val="none" w:sz="0" w:space="0" w:color="auto"/>
                <w:bottom w:val="none" w:sz="0" w:space="0" w:color="auto"/>
                <w:right w:val="none" w:sz="0" w:space="0" w:color="auto"/>
              </w:divBdr>
              <w:divsChild>
                <w:div w:id="1659337894">
                  <w:marLeft w:val="0"/>
                  <w:marRight w:val="0"/>
                  <w:marTop w:val="0"/>
                  <w:marBottom w:val="0"/>
                  <w:divBdr>
                    <w:top w:val="none" w:sz="0" w:space="0" w:color="auto"/>
                    <w:left w:val="none" w:sz="0" w:space="0" w:color="auto"/>
                    <w:bottom w:val="none" w:sz="0" w:space="0" w:color="auto"/>
                    <w:right w:val="none" w:sz="0" w:space="0" w:color="auto"/>
                  </w:divBdr>
                  <w:divsChild>
                    <w:div w:id="203102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77336">
      <w:bodyDiv w:val="1"/>
      <w:marLeft w:val="0"/>
      <w:marRight w:val="0"/>
      <w:marTop w:val="0"/>
      <w:marBottom w:val="0"/>
      <w:divBdr>
        <w:top w:val="none" w:sz="0" w:space="0" w:color="auto"/>
        <w:left w:val="none" w:sz="0" w:space="0" w:color="auto"/>
        <w:bottom w:val="none" w:sz="0" w:space="0" w:color="auto"/>
        <w:right w:val="none" w:sz="0" w:space="0" w:color="auto"/>
      </w:divBdr>
    </w:div>
    <w:div w:id="620843531">
      <w:bodyDiv w:val="1"/>
      <w:marLeft w:val="0"/>
      <w:marRight w:val="0"/>
      <w:marTop w:val="0"/>
      <w:marBottom w:val="0"/>
      <w:divBdr>
        <w:top w:val="none" w:sz="0" w:space="0" w:color="auto"/>
        <w:left w:val="none" w:sz="0" w:space="0" w:color="auto"/>
        <w:bottom w:val="none" w:sz="0" w:space="0" w:color="auto"/>
        <w:right w:val="none" w:sz="0" w:space="0" w:color="auto"/>
      </w:divBdr>
    </w:div>
    <w:div w:id="639843647">
      <w:bodyDiv w:val="1"/>
      <w:marLeft w:val="0"/>
      <w:marRight w:val="0"/>
      <w:marTop w:val="0"/>
      <w:marBottom w:val="0"/>
      <w:divBdr>
        <w:top w:val="none" w:sz="0" w:space="0" w:color="auto"/>
        <w:left w:val="none" w:sz="0" w:space="0" w:color="auto"/>
        <w:bottom w:val="none" w:sz="0" w:space="0" w:color="auto"/>
        <w:right w:val="none" w:sz="0" w:space="0" w:color="auto"/>
      </w:divBdr>
    </w:div>
    <w:div w:id="648441731">
      <w:bodyDiv w:val="1"/>
      <w:marLeft w:val="0"/>
      <w:marRight w:val="0"/>
      <w:marTop w:val="0"/>
      <w:marBottom w:val="0"/>
      <w:divBdr>
        <w:top w:val="none" w:sz="0" w:space="0" w:color="auto"/>
        <w:left w:val="none" w:sz="0" w:space="0" w:color="auto"/>
        <w:bottom w:val="none" w:sz="0" w:space="0" w:color="auto"/>
        <w:right w:val="none" w:sz="0" w:space="0" w:color="auto"/>
      </w:divBdr>
      <w:divsChild>
        <w:div w:id="1755663731">
          <w:marLeft w:val="0"/>
          <w:marRight w:val="0"/>
          <w:marTop w:val="0"/>
          <w:marBottom w:val="0"/>
          <w:divBdr>
            <w:top w:val="none" w:sz="0" w:space="0" w:color="auto"/>
            <w:left w:val="none" w:sz="0" w:space="0" w:color="auto"/>
            <w:bottom w:val="none" w:sz="0" w:space="0" w:color="auto"/>
            <w:right w:val="none" w:sz="0" w:space="0" w:color="auto"/>
          </w:divBdr>
          <w:divsChild>
            <w:div w:id="1348362836">
              <w:marLeft w:val="0"/>
              <w:marRight w:val="0"/>
              <w:marTop w:val="0"/>
              <w:marBottom w:val="0"/>
              <w:divBdr>
                <w:top w:val="none" w:sz="0" w:space="0" w:color="auto"/>
                <w:left w:val="none" w:sz="0" w:space="0" w:color="auto"/>
                <w:bottom w:val="none" w:sz="0" w:space="0" w:color="auto"/>
                <w:right w:val="none" w:sz="0" w:space="0" w:color="auto"/>
              </w:divBdr>
              <w:divsChild>
                <w:div w:id="689844106">
                  <w:marLeft w:val="0"/>
                  <w:marRight w:val="0"/>
                  <w:marTop w:val="0"/>
                  <w:marBottom w:val="0"/>
                  <w:divBdr>
                    <w:top w:val="none" w:sz="0" w:space="0" w:color="auto"/>
                    <w:left w:val="none" w:sz="0" w:space="0" w:color="auto"/>
                    <w:bottom w:val="none" w:sz="0" w:space="0" w:color="auto"/>
                    <w:right w:val="none" w:sz="0" w:space="0" w:color="auto"/>
                  </w:divBdr>
                  <w:divsChild>
                    <w:div w:id="164072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15209">
          <w:marLeft w:val="0"/>
          <w:marRight w:val="0"/>
          <w:marTop w:val="0"/>
          <w:marBottom w:val="0"/>
          <w:divBdr>
            <w:top w:val="none" w:sz="0" w:space="0" w:color="auto"/>
            <w:left w:val="none" w:sz="0" w:space="0" w:color="auto"/>
            <w:bottom w:val="none" w:sz="0" w:space="0" w:color="auto"/>
            <w:right w:val="none" w:sz="0" w:space="0" w:color="auto"/>
          </w:divBdr>
          <w:divsChild>
            <w:div w:id="1100419295">
              <w:marLeft w:val="0"/>
              <w:marRight w:val="0"/>
              <w:marTop w:val="0"/>
              <w:marBottom w:val="0"/>
              <w:divBdr>
                <w:top w:val="none" w:sz="0" w:space="0" w:color="auto"/>
                <w:left w:val="none" w:sz="0" w:space="0" w:color="auto"/>
                <w:bottom w:val="none" w:sz="0" w:space="0" w:color="auto"/>
                <w:right w:val="none" w:sz="0" w:space="0" w:color="auto"/>
              </w:divBdr>
              <w:divsChild>
                <w:div w:id="75323350">
                  <w:marLeft w:val="0"/>
                  <w:marRight w:val="0"/>
                  <w:marTop w:val="0"/>
                  <w:marBottom w:val="0"/>
                  <w:divBdr>
                    <w:top w:val="none" w:sz="0" w:space="0" w:color="auto"/>
                    <w:left w:val="none" w:sz="0" w:space="0" w:color="auto"/>
                    <w:bottom w:val="none" w:sz="0" w:space="0" w:color="auto"/>
                    <w:right w:val="none" w:sz="0" w:space="0" w:color="auto"/>
                  </w:divBdr>
                  <w:divsChild>
                    <w:div w:id="157970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764766">
      <w:bodyDiv w:val="1"/>
      <w:marLeft w:val="0"/>
      <w:marRight w:val="0"/>
      <w:marTop w:val="0"/>
      <w:marBottom w:val="0"/>
      <w:divBdr>
        <w:top w:val="none" w:sz="0" w:space="0" w:color="auto"/>
        <w:left w:val="none" w:sz="0" w:space="0" w:color="auto"/>
        <w:bottom w:val="none" w:sz="0" w:space="0" w:color="auto"/>
        <w:right w:val="none" w:sz="0" w:space="0" w:color="auto"/>
      </w:divBdr>
    </w:div>
    <w:div w:id="667900434">
      <w:bodyDiv w:val="1"/>
      <w:marLeft w:val="0"/>
      <w:marRight w:val="0"/>
      <w:marTop w:val="0"/>
      <w:marBottom w:val="0"/>
      <w:divBdr>
        <w:top w:val="none" w:sz="0" w:space="0" w:color="auto"/>
        <w:left w:val="none" w:sz="0" w:space="0" w:color="auto"/>
        <w:bottom w:val="none" w:sz="0" w:space="0" w:color="auto"/>
        <w:right w:val="none" w:sz="0" w:space="0" w:color="auto"/>
      </w:divBdr>
    </w:div>
    <w:div w:id="673000531">
      <w:bodyDiv w:val="1"/>
      <w:marLeft w:val="0"/>
      <w:marRight w:val="0"/>
      <w:marTop w:val="0"/>
      <w:marBottom w:val="0"/>
      <w:divBdr>
        <w:top w:val="none" w:sz="0" w:space="0" w:color="auto"/>
        <w:left w:val="none" w:sz="0" w:space="0" w:color="auto"/>
        <w:bottom w:val="none" w:sz="0" w:space="0" w:color="auto"/>
        <w:right w:val="none" w:sz="0" w:space="0" w:color="auto"/>
      </w:divBdr>
    </w:div>
    <w:div w:id="704447882">
      <w:bodyDiv w:val="1"/>
      <w:marLeft w:val="0"/>
      <w:marRight w:val="0"/>
      <w:marTop w:val="0"/>
      <w:marBottom w:val="0"/>
      <w:divBdr>
        <w:top w:val="none" w:sz="0" w:space="0" w:color="auto"/>
        <w:left w:val="none" w:sz="0" w:space="0" w:color="auto"/>
        <w:bottom w:val="none" w:sz="0" w:space="0" w:color="auto"/>
        <w:right w:val="none" w:sz="0" w:space="0" w:color="auto"/>
      </w:divBdr>
    </w:div>
    <w:div w:id="780956875">
      <w:bodyDiv w:val="1"/>
      <w:marLeft w:val="0"/>
      <w:marRight w:val="0"/>
      <w:marTop w:val="0"/>
      <w:marBottom w:val="0"/>
      <w:divBdr>
        <w:top w:val="none" w:sz="0" w:space="0" w:color="auto"/>
        <w:left w:val="none" w:sz="0" w:space="0" w:color="auto"/>
        <w:bottom w:val="none" w:sz="0" w:space="0" w:color="auto"/>
        <w:right w:val="none" w:sz="0" w:space="0" w:color="auto"/>
      </w:divBdr>
    </w:div>
    <w:div w:id="1244873530">
      <w:bodyDiv w:val="1"/>
      <w:marLeft w:val="0"/>
      <w:marRight w:val="0"/>
      <w:marTop w:val="0"/>
      <w:marBottom w:val="0"/>
      <w:divBdr>
        <w:top w:val="none" w:sz="0" w:space="0" w:color="auto"/>
        <w:left w:val="none" w:sz="0" w:space="0" w:color="auto"/>
        <w:bottom w:val="none" w:sz="0" w:space="0" w:color="auto"/>
        <w:right w:val="none" w:sz="0" w:space="0" w:color="auto"/>
      </w:divBdr>
    </w:div>
    <w:div w:id="1480685147">
      <w:bodyDiv w:val="1"/>
      <w:marLeft w:val="0"/>
      <w:marRight w:val="0"/>
      <w:marTop w:val="0"/>
      <w:marBottom w:val="0"/>
      <w:divBdr>
        <w:top w:val="none" w:sz="0" w:space="0" w:color="auto"/>
        <w:left w:val="none" w:sz="0" w:space="0" w:color="auto"/>
        <w:bottom w:val="none" w:sz="0" w:space="0" w:color="auto"/>
        <w:right w:val="none" w:sz="0" w:space="0" w:color="auto"/>
      </w:divBdr>
    </w:div>
    <w:div w:id="1514883283">
      <w:bodyDiv w:val="1"/>
      <w:marLeft w:val="0"/>
      <w:marRight w:val="0"/>
      <w:marTop w:val="0"/>
      <w:marBottom w:val="0"/>
      <w:divBdr>
        <w:top w:val="none" w:sz="0" w:space="0" w:color="auto"/>
        <w:left w:val="none" w:sz="0" w:space="0" w:color="auto"/>
        <w:bottom w:val="none" w:sz="0" w:space="0" w:color="auto"/>
        <w:right w:val="none" w:sz="0" w:space="0" w:color="auto"/>
      </w:divBdr>
    </w:div>
    <w:div w:id="1541044024">
      <w:bodyDiv w:val="1"/>
      <w:marLeft w:val="0"/>
      <w:marRight w:val="0"/>
      <w:marTop w:val="0"/>
      <w:marBottom w:val="0"/>
      <w:divBdr>
        <w:top w:val="none" w:sz="0" w:space="0" w:color="auto"/>
        <w:left w:val="none" w:sz="0" w:space="0" w:color="auto"/>
        <w:bottom w:val="none" w:sz="0" w:space="0" w:color="auto"/>
        <w:right w:val="none" w:sz="0" w:space="0" w:color="auto"/>
      </w:divBdr>
    </w:div>
    <w:div w:id="1612741332">
      <w:bodyDiv w:val="1"/>
      <w:marLeft w:val="0"/>
      <w:marRight w:val="0"/>
      <w:marTop w:val="0"/>
      <w:marBottom w:val="0"/>
      <w:divBdr>
        <w:top w:val="none" w:sz="0" w:space="0" w:color="auto"/>
        <w:left w:val="none" w:sz="0" w:space="0" w:color="auto"/>
        <w:bottom w:val="none" w:sz="0" w:space="0" w:color="auto"/>
        <w:right w:val="none" w:sz="0" w:space="0" w:color="auto"/>
      </w:divBdr>
    </w:div>
    <w:div w:id="1757509343">
      <w:bodyDiv w:val="1"/>
      <w:marLeft w:val="0"/>
      <w:marRight w:val="0"/>
      <w:marTop w:val="0"/>
      <w:marBottom w:val="0"/>
      <w:divBdr>
        <w:top w:val="none" w:sz="0" w:space="0" w:color="auto"/>
        <w:left w:val="none" w:sz="0" w:space="0" w:color="auto"/>
        <w:bottom w:val="none" w:sz="0" w:space="0" w:color="auto"/>
        <w:right w:val="none" w:sz="0" w:space="0" w:color="auto"/>
      </w:divBdr>
    </w:div>
    <w:div w:id="1779175796">
      <w:bodyDiv w:val="1"/>
      <w:marLeft w:val="0"/>
      <w:marRight w:val="0"/>
      <w:marTop w:val="0"/>
      <w:marBottom w:val="0"/>
      <w:divBdr>
        <w:top w:val="none" w:sz="0" w:space="0" w:color="auto"/>
        <w:left w:val="none" w:sz="0" w:space="0" w:color="auto"/>
        <w:bottom w:val="none" w:sz="0" w:space="0" w:color="auto"/>
        <w:right w:val="none" w:sz="0" w:space="0" w:color="auto"/>
      </w:divBdr>
    </w:div>
    <w:div w:id="1800957459">
      <w:bodyDiv w:val="1"/>
      <w:marLeft w:val="0"/>
      <w:marRight w:val="0"/>
      <w:marTop w:val="0"/>
      <w:marBottom w:val="0"/>
      <w:divBdr>
        <w:top w:val="none" w:sz="0" w:space="0" w:color="auto"/>
        <w:left w:val="none" w:sz="0" w:space="0" w:color="auto"/>
        <w:bottom w:val="none" w:sz="0" w:space="0" w:color="auto"/>
        <w:right w:val="none" w:sz="0" w:space="0" w:color="auto"/>
      </w:divBdr>
      <w:divsChild>
        <w:div w:id="190732326">
          <w:marLeft w:val="0"/>
          <w:marRight w:val="0"/>
          <w:marTop w:val="0"/>
          <w:marBottom w:val="0"/>
          <w:divBdr>
            <w:top w:val="none" w:sz="0" w:space="0" w:color="auto"/>
            <w:left w:val="none" w:sz="0" w:space="0" w:color="auto"/>
            <w:bottom w:val="none" w:sz="0" w:space="0" w:color="auto"/>
            <w:right w:val="none" w:sz="0" w:space="0" w:color="auto"/>
          </w:divBdr>
          <w:divsChild>
            <w:div w:id="281351930">
              <w:marLeft w:val="0"/>
              <w:marRight w:val="0"/>
              <w:marTop w:val="0"/>
              <w:marBottom w:val="0"/>
              <w:divBdr>
                <w:top w:val="none" w:sz="0" w:space="0" w:color="auto"/>
                <w:left w:val="none" w:sz="0" w:space="0" w:color="auto"/>
                <w:bottom w:val="none" w:sz="0" w:space="0" w:color="auto"/>
                <w:right w:val="none" w:sz="0" w:space="0" w:color="auto"/>
              </w:divBdr>
              <w:divsChild>
                <w:div w:id="559901714">
                  <w:marLeft w:val="0"/>
                  <w:marRight w:val="0"/>
                  <w:marTop w:val="0"/>
                  <w:marBottom w:val="0"/>
                  <w:divBdr>
                    <w:top w:val="none" w:sz="0" w:space="0" w:color="auto"/>
                    <w:left w:val="none" w:sz="0" w:space="0" w:color="auto"/>
                    <w:bottom w:val="none" w:sz="0" w:space="0" w:color="auto"/>
                    <w:right w:val="none" w:sz="0" w:space="0" w:color="auto"/>
                  </w:divBdr>
                  <w:divsChild>
                    <w:div w:id="100801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12672">
          <w:marLeft w:val="0"/>
          <w:marRight w:val="0"/>
          <w:marTop w:val="0"/>
          <w:marBottom w:val="0"/>
          <w:divBdr>
            <w:top w:val="none" w:sz="0" w:space="0" w:color="auto"/>
            <w:left w:val="none" w:sz="0" w:space="0" w:color="auto"/>
            <w:bottom w:val="none" w:sz="0" w:space="0" w:color="auto"/>
            <w:right w:val="none" w:sz="0" w:space="0" w:color="auto"/>
          </w:divBdr>
          <w:divsChild>
            <w:div w:id="296648179">
              <w:marLeft w:val="0"/>
              <w:marRight w:val="0"/>
              <w:marTop w:val="0"/>
              <w:marBottom w:val="0"/>
              <w:divBdr>
                <w:top w:val="none" w:sz="0" w:space="0" w:color="auto"/>
                <w:left w:val="none" w:sz="0" w:space="0" w:color="auto"/>
                <w:bottom w:val="none" w:sz="0" w:space="0" w:color="auto"/>
                <w:right w:val="none" w:sz="0" w:space="0" w:color="auto"/>
              </w:divBdr>
              <w:divsChild>
                <w:div w:id="2034912225">
                  <w:marLeft w:val="0"/>
                  <w:marRight w:val="0"/>
                  <w:marTop w:val="0"/>
                  <w:marBottom w:val="0"/>
                  <w:divBdr>
                    <w:top w:val="none" w:sz="0" w:space="0" w:color="auto"/>
                    <w:left w:val="none" w:sz="0" w:space="0" w:color="auto"/>
                    <w:bottom w:val="none" w:sz="0" w:space="0" w:color="auto"/>
                    <w:right w:val="none" w:sz="0" w:space="0" w:color="auto"/>
                  </w:divBdr>
                  <w:divsChild>
                    <w:div w:id="11636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617159">
      <w:bodyDiv w:val="1"/>
      <w:marLeft w:val="0"/>
      <w:marRight w:val="0"/>
      <w:marTop w:val="0"/>
      <w:marBottom w:val="0"/>
      <w:divBdr>
        <w:top w:val="none" w:sz="0" w:space="0" w:color="auto"/>
        <w:left w:val="none" w:sz="0" w:space="0" w:color="auto"/>
        <w:bottom w:val="none" w:sz="0" w:space="0" w:color="auto"/>
        <w:right w:val="none" w:sz="0" w:space="0" w:color="auto"/>
      </w:divBdr>
    </w:div>
    <w:div w:id="1860656234">
      <w:bodyDiv w:val="1"/>
      <w:marLeft w:val="0"/>
      <w:marRight w:val="0"/>
      <w:marTop w:val="0"/>
      <w:marBottom w:val="0"/>
      <w:divBdr>
        <w:top w:val="none" w:sz="0" w:space="0" w:color="auto"/>
        <w:left w:val="none" w:sz="0" w:space="0" w:color="auto"/>
        <w:bottom w:val="none" w:sz="0" w:space="0" w:color="auto"/>
        <w:right w:val="none" w:sz="0" w:space="0" w:color="auto"/>
      </w:divBdr>
    </w:div>
    <w:div w:id="1868172919">
      <w:bodyDiv w:val="1"/>
      <w:marLeft w:val="0"/>
      <w:marRight w:val="0"/>
      <w:marTop w:val="0"/>
      <w:marBottom w:val="0"/>
      <w:divBdr>
        <w:top w:val="none" w:sz="0" w:space="0" w:color="auto"/>
        <w:left w:val="none" w:sz="0" w:space="0" w:color="auto"/>
        <w:bottom w:val="none" w:sz="0" w:space="0" w:color="auto"/>
        <w:right w:val="none" w:sz="0" w:space="0" w:color="auto"/>
      </w:divBdr>
    </w:div>
    <w:div w:id="206105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12</Pages>
  <Words>5044</Words>
  <Characters>28751</Characters>
  <Application>Microsoft Office Word</Application>
  <DocSecurity>0</DocSecurity>
  <Lines>239</Lines>
  <Paragraphs>67</Paragraphs>
  <ScaleCrop>false</ScaleCrop>
  <Company/>
  <LinksUpToDate>false</LinksUpToDate>
  <CharactersWithSpaces>33728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thewarnes42@gmail.com</dc:creator>
  <cp:keywords/>
  <dc:description/>
  <cp:lastModifiedBy>Melanie Warne</cp:lastModifiedBy>
  <cp:revision>15</cp:revision>
  <dcterms:created xsi:type="dcterms:W3CDTF">2025-03-31T15:55:00Z</dcterms:created>
  <dcterms:modified xsi:type="dcterms:W3CDTF">2025-03-31T17:03:00Z</dcterms:modified>
</cp:coreProperties>
</file>