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ettings.xml" ContentType="application/vnd.openxmlformats-officedocument.wordprocessingml.settings+xml"/>
  <Override PartName="/docProps/core.xml" ContentType="application/vnd.openxmlformats-package.core-properties+xml"/>
  <Override PartName="/docProps/app.xml" ContentType="application/vnd.openxmlformats-officedocument.extended-properties+xml"/>
  <Override PartName="/word/styles.xml" ContentType="application/vnd.openxmlformats-officedocument.wordprocessingml.styles+xml"/>
  <Override PartName="/word/footnotes.xml" ContentType="application/vnd.openxmlformats-officedocument.wordprocessingml.footnot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spacing w:line="360" w:lineRule="auto"/>
        <w:jc w:val="center"/>
        <w:rPr>
          <w:sz w:val="24"/>
          <w:b/>
        </w:rPr>
      </w:pPr>
      <w:r>
        <w:rPr>
          <w:sz w:val="24"/>
          <w:b/>
        </w:rPr>
        <w:t>Are nonhuman beings deserving of justice?</w:t>
      </w:r>
    </w:p>
    <w:p>
      <w:pPr>
        <w:spacing w:line="360" w:lineRule="auto"/>
        <w:rPr>
          <w:sz w:val="24"/>
        </w:rPr>
      </w:pPr>
    </w:p>
    <w:p>
      <w:pPr>
        <w:spacing w:line="360" w:lineRule="auto"/>
        <w:rPr>
          <w:sz w:val="24"/>
        </w:rPr>
      </w:pPr>
      <w:r>
        <w:rPr>
          <w:sz w:val="24"/>
        </w:rPr>
        <w:t>The concept of Justice is a human construct and there are a number of philosophical theories of what constitutes justice. Some of these theories specifically include nonhuman beings as deserving of justice, while others exclude them, or are not entirely clear on the matter. It is largely a matter of which theory of justice we accept that determines whether or not we extend justice to nonhumans. I will attempt to argue that we should use a definition of justice that does include nonhuman beings. For the purposes of this discussion I will assume the term nonhuman being to mean any sentient animal, other than humans.</w:t>
      </w:r>
    </w:p>
    <w:p>
      <w:pPr>
        <w:spacing w:line="360" w:lineRule="auto"/>
        <w:rPr>
          <w:sz w:val="24"/>
        </w:rPr>
      </w:pPr>
    </w:p>
    <w:p>
      <w:pPr>
        <w:spacing w:line="360" w:lineRule="auto"/>
        <w:rPr>
          <w:sz w:val="24"/>
        </w:rPr>
      </w:pPr>
      <w:r>
        <w:rPr>
          <w:sz w:val="24"/>
        </w:rPr>
        <w:t>Perhaps the biggest barrier to arguing for justice to nonhumans is the anthropocentric nature of some of the widely accepted theories of what justice actually is. John Rawls’s influential theory of justice, for instance, argues that although we humans may have duties towards animals, we are not required to extend rights of justice to them</w:t>
      </w:r>
      <w:r>
        <w:rPr>
          <w:sz w:val="24"/>
          <w:rStyle w:val="FootnoteReference"/>
        </w:rPr>
        <w:footnoteReference w:id="2"/>
      </w:r>
      <w:r>
        <w:rPr>
          <w:sz w:val="24"/>
        </w:rPr>
        <w:t>. This is because nonhumans cannot enter into a moral contract, or understand such a contract, there is no requirement to consider their interests, when constructing a theory of justice and enacting it. For Rawls, a being must be a participate in social life, which depends on cooperation between humans, in order to be owed justice. Therefore, if we do have a moral duty not to inflict suffering on animals, that is because it diminishes us as humans, and not because they have an inherent right to not to be abused.</w:t>
      </w:r>
    </w:p>
    <w:p>
      <w:pPr>
        <w:spacing w:line="360" w:lineRule="auto"/>
        <w:rPr>
          <w:sz w:val="24"/>
        </w:rPr>
      </w:pPr>
    </w:p>
    <w:p>
      <w:pPr>
        <w:spacing w:line="360" w:lineRule="auto"/>
        <w:rPr>
          <w:sz w:val="24"/>
        </w:rPr>
      </w:pPr>
      <w:r>
        <w:rPr>
          <w:sz w:val="24"/>
        </w:rPr>
        <w:t>An argument against the contractarian view would be that it excludes, for example, very young children who, like nonhuman beings, are not capable of entering into a social contract. Rawls, however, saw justice as part of a political and legal system, it’s purpose being to facilitate the smooth running of that society and fairness to individuals within it. He saw children as receiving justice from within families, rather than being owed to them by wider society</w:t>
      </w:r>
      <w:r>
        <w:rPr>
          <w:sz w:val="24"/>
          <w:rStyle w:val="FootnoteReference"/>
        </w:rPr>
        <w:footnoteReference w:id="3"/>
      </w:r>
      <w:r>
        <w:rPr>
          <w:sz w:val="24"/>
        </w:rPr>
        <w:t>. Animals are clearly not part of human families, so there is no contradiction in treating them separately when considering eligibility for inclusion in a system of justice.</w:t>
      </w:r>
    </w:p>
    <w:p>
      <w:pPr>
        <w:spacing w:line="360" w:lineRule="auto"/>
        <w:rPr>
          <w:sz w:val="24"/>
        </w:rPr>
      </w:pPr>
    </w:p>
    <w:p>
      <w:pPr>
        <w:spacing w:line="360" w:lineRule="auto"/>
        <w:rPr>
          <w:sz w:val="24"/>
        </w:rPr>
      </w:pPr>
      <w:r>
        <w:rPr>
          <w:sz w:val="24"/>
        </w:rPr>
        <w:t>According to Ralws’s theory of justice, we owe justice not just to people we come directly into contact with, but with other members of society we may never meet. He gives the example of some one who is elected to public office. Seeking office is a voluntary act, but having sought the trust and confidence of their fellow citizens, they have obligations toward them all. Similarly, all members of society have moral duties towards fellow citizens, including a duty of fairness, which arise from taking advantage of the positive benefits of being part of that society</w:t>
      </w:r>
      <w:r>
        <w:rPr>
          <w:sz w:val="24"/>
          <w:rStyle w:val="FootnoteReference"/>
        </w:rPr>
        <w:footnoteReference w:id="4"/>
      </w:r>
      <w:r>
        <w:rPr>
          <w:sz w:val="24"/>
        </w:rPr>
        <w:t>. Since nonhumans can not fulfil, or even be aware of, such responsibilities</w:t>
      </w:r>
    </w:p>
    <w:p>
      <w:pPr>
        <w:spacing w:line="360" w:lineRule="auto"/>
        <w:rPr>
          <w:sz w:val="24"/>
        </w:rPr>
      </w:pPr>
    </w:p>
    <w:p>
      <w:pPr>
        <w:spacing w:line="360" w:lineRule="auto"/>
        <w:rPr>
          <w:sz w:val="24"/>
        </w:rPr>
      </w:pPr>
      <w:r>
        <w:rPr>
          <w:sz w:val="24"/>
        </w:rPr>
        <w:t>Rawls’s Argument runs into trouble when he tackles the subject of equality. He contends that human beings should be treated with equality, and that is a principal of justice. He then states that ”Our conduct toward animals is not regulated by these principals, or so it is generally believed”</w:t>
      </w:r>
      <w:r>
        <w:rPr>
          <w:sz w:val="24"/>
          <w:rStyle w:val="FootnoteReference"/>
        </w:rPr>
        <w:footnoteReference w:id="5"/>
      </w:r>
      <w:r>
        <w:rPr>
          <w:sz w:val="24"/>
        </w:rPr>
        <w:t xml:space="preserve"> This is an unsupported assertion. The opposite could just as easily be asserted, that it is generally believed that our conduct toward animals is, or should be, regulated by principals of equality and justice. This throws the whole of Rawls’s position on the need to extend justice to animals into doubt. His arbitrary us of unsupported assertion undermines the entire basis of contractarianism. The presumed social contract may not even exist, except in the minds of people who </w:t>
      </w:r>
      <w:r>
        <w:rPr>
          <w:sz w:val="24"/>
          <w:i/>
        </w:rPr>
        <w:t>believe</w:t>
      </w:r>
      <w:r>
        <w:rPr>
          <w:sz w:val="24"/>
        </w:rPr>
        <w:t xml:space="preserve"> it exists. In this case, a human who refuses to accept it’s existence would presumably find themselves with no entitled to expect justice, and whether or not they were </w:t>
      </w:r>
      <w:r>
        <w:rPr>
          <w:sz w:val="24"/>
          <w:i/>
        </w:rPr>
        <w:t>deserving</w:t>
      </w:r>
      <w:r>
        <w:rPr>
          <w:sz w:val="24"/>
        </w:rPr>
        <w:t xml:space="preserve"> of justice would be entirely a matter of opinion.</w:t>
      </w:r>
    </w:p>
    <w:p>
      <w:pPr>
        <w:spacing w:line="360" w:lineRule="auto"/>
        <w:rPr>
          <w:sz w:val="24"/>
        </w:rPr>
      </w:pPr>
    </w:p>
    <w:p>
      <w:pPr>
        <w:spacing w:line="360" w:lineRule="auto"/>
        <w:rPr>
          <w:sz w:val="24"/>
        </w:rPr>
      </w:pPr>
      <w:r>
        <w:rPr>
          <w:sz w:val="24"/>
        </w:rPr>
        <w:t>In Sustainability and intergenerational Justice, Brian Barry, who also takes a contractarian approach to ethics, goes further than Rawls in claiming that we should refrain from treating animals badly, taking into their sentience, he still stops short of including them in any system of justice</w:t>
      </w:r>
      <w:r>
        <w:rPr>
          <w:sz w:val="24"/>
          <w:rStyle w:val="FootnoteReference"/>
        </w:rPr>
        <w:footnoteReference w:id="6"/>
      </w:r>
      <w:r>
        <w:rPr>
          <w:sz w:val="24"/>
        </w:rPr>
        <w:t>. His reason for excluding nonhumans is that “… justice and injustice can be predicated only of relations among creatures who are regarded as moral equals, in the sense that they weigh equally in the moral scales.”</w:t>
      </w:r>
      <w:r>
        <w:rPr>
          <w:sz w:val="24"/>
          <w:rStyle w:val="FootnoteReference"/>
        </w:rPr>
        <w:footnoteReference w:id="7"/>
      </w:r>
      <w:r>
        <w:rPr>
          <w:sz w:val="24"/>
        </w:rPr>
        <w:t xml:space="preserve"> Barry’s view on nonhuman beings is, at least, clearer than Rawls’s. He simply sees humans as more </w:t>
      </w:r>
      <w:r>
        <w:rPr>
          <w:sz w:val="24"/>
          <w:i/>
        </w:rPr>
        <w:t>important</w:t>
      </w:r>
      <w:r>
        <w:rPr>
          <w:sz w:val="24"/>
        </w:rPr>
        <w:t xml:space="preserve"> than nonhumans. Animals may be sentient, but our sentience is better than theirs, because we say so. This is a clear case of what Peter Singer would call speciesism.</w:t>
      </w:r>
      <w:r>
        <w:rPr>
          <w:sz w:val="24"/>
          <w:rStyle w:val="FootnoteReference"/>
        </w:rPr>
        <w:footnoteReference w:id="8"/>
      </w:r>
      <w:r>
        <w:rPr>
          <w:sz w:val="24"/>
        </w:rPr>
        <w:t xml:space="preserve"> Speciesism is a bias against the interests of a nonhuman being because of its species, as racism and sexism confer a bias against the interests of a human being because of their race or gender. The idea that interests of other species have equal importance to human interests is not to say that their interests are the same. The interests of a cow and a human are different – the cow may wish to eat grass and spend time with other bovines, while the human may prefer to eat bread and socialise with fellow humans –  but their need for food, drink, shelter and companionship can be seen as of equal importance to them as individuals. Their interest in not being killed or imprisoned – whether in a factory farm, or a gaol – is, it could be argued, the same. The main difference is that the cow will never have an interest in the human being treated in ways that go contrary to their interest, whereas the human may wish to go against the interests of the cow to provide them with meat or milk.</w:t>
      </w:r>
    </w:p>
    <w:p>
      <w:pPr>
        <w:spacing w:line="360" w:lineRule="auto"/>
        <w:rPr>
          <w:sz w:val="24"/>
        </w:rPr>
      </w:pPr>
    </w:p>
    <w:p>
      <w:pPr>
        <w:spacing w:line="360" w:lineRule="auto"/>
        <w:rPr>
          <w:sz w:val="24"/>
        </w:rPr>
      </w:pPr>
      <w:r>
        <w:rPr>
          <w:sz w:val="24"/>
        </w:rPr>
        <w:t xml:space="preserve">Utilitarian philosophical views such as Singer’s, which aim to maximise pleasure and minimise suffering, generally extend their principles to nonhuman beings, on the grounds that they are capable of suffering, may experience forms of pleasure, and may even have a degree of self-awareness. In fact, if nonhumans are to be afforded </w:t>
      </w:r>
      <w:r>
        <w:rPr>
          <w:sz w:val="24"/>
          <w:i/>
        </w:rPr>
        <w:t>any</w:t>
      </w:r>
      <w:r>
        <w:rPr>
          <w:sz w:val="24"/>
        </w:rPr>
        <w:t xml:space="preserve"> consideration in a system of justice under utilitarianism, I would argue that they must but given equal consideration to humans. The killing, injuring, starving, or imprisoning of a dog or cat or elephant must be seen as having as much negative impact on their lives as the killing, injuring, starving, or imprisoning of a human. Unless we accept that avoiding negative impact is equal importance, we must get into an impossibly complex of weighing up some interests against others. Is the life of a human worth more than the life of an elephant… or ten elephants… or a hundred elephants? Or a hundred sheep? Such a system of justice would surely be unworkable, especially if it were to require legal enforcement. The only other alternative for utilitarians is to completely omit nonhumanbeings from any system of justice, whether written or unwritten. </w:t>
      </w:r>
    </w:p>
    <w:p>
      <w:pPr>
        <w:spacing w:line="360" w:lineRule="auto"/>
        <w:rPr>
          <w:sz w:val="24"/>
        </w:rPr>
      </w:pPr>
    </w:p>
    <w:p>
      <w:pPr>
        <w:spacing w:line="360" w:lineRule="auto"/>
        <w:rPr>
          <w:sz w:val="24"/>
        </w:rPr>
      </w:pPr>
      <w:r>
        <w:rPr>
          <w:sz w:val="24"/>
        </w:rPr>
        <w:t>Tom Regan argues that nonhuman animals have moral rights, because they are subjects-of-a-life, with their own consciousness and experiences. Their right to live and not be made to suffer is intrinsic, simply because they have an interest in living out their lives, in the same way humans have.</w:t>
      </w:r>
      <w:r>
        <w:rPr>
          <w:sz w:val="24"/>
          <w:rStyle w:val="FootnoteReference"/>
        </w:rPr>
        <w:footnoteReference w:id="9"/>
      </w:r>
    </w:p>
    <w:p>
      <w:pPr>
        <w:spacing w:line="360" w:lineRule="auto"/>
        <w:rPr>
          <w:sz w:val="24"/>
        </w:rPr>
      </w:pPr>
      <w:r>
        <w:rPr>
          <w:sz w:val="24"/>
        </w:rPr>
        <w:t>Regan does not see the rights of animals as identical to the rights of humans, but of equal importance, and believes that they can only be overridden in exceptional circumstances. If we accept that these rights exist, we must also accept that any harm done to the beings who hold them are unjust, and therefore as morally unacceptable as harming humans. Robin Attfield foresees difficulties arising if rights are as widely distributed and Regan intends</w:t>
      </w:r>
      <w:r>
        <w:rPr>
          <w:sz w:val="24"/>
          <w:rStyle w:val="FootnoteReference"/>
        </w:rPr>
        <w:footnoteReference w:id="10"/>
      </w:r>
      <w:r>
        <w:rPr>
          <w:sz w:val="24"/>
        </w:rPr>
        <w:t>.  He observes that rights of an individual my clash with the interests of others, and thus the greater good. Competing rights and interests already exist between humans, and are simply seen as unavoidable, if we are to maintain justice on the basis of rights, but can only increase if we extend rights to nonhumans.</w:t>
      </w:r>
    </w:p>
    <w:p>
      <w:pPr>
        <w:spacing w:line="360" w:lineRule="auto"/>
        <w:rPr>
          <w:sz w:val="24"/>
        </w:rPr>
      </w:pPr>
    </w:p>
    <w:p>
      <w:pPr>
        <w:spacing w:line="360" w:lineRule="auto"/>
        <w:rPr>
          <w:sz w:val="24"/>
        </w:rPr>
      </w:pPr>
      <w:r>
        <w:rPr>
          <w:sz w:val="24"/>
        </w:rPr>
        <w:t>Mary Midgley also sees difficulties in the concept of animal rights. As well as the contradictions forseen by Attfield, she notes the tension between moral and legal rights</w:t>
      </w:r>
      <w:r>
        <w:rPr>
          <w:sz w:val="24"/>
          <w:rStyle w:val="FootnoteReference"/>
        </w:rPr>
        <w:footnoteReference w:id="11"/>
      </w:r>
      <w:r>
        <w:rPr>
          <w:sz w:val="24"/>
        </w:rPr>
        <w:t xml:space="preserve">. She proposes a simpler framework for giving animals justice. Much of </w:t>
      </w:r>
      <w:r>
        <w:rPr>
          <w:sz w:val="24"/>
          <w:i/>
        </w:rPr>
        <w:t>Animals and Why They Matter</w:t>
      </w:r>
      <w:r>
        <w:rPr>
          <w:sz w:val="24"/>
        </w:rPr>
        <w:t xml:space="preserve"> is dedicated to encouraging we humans to think both intellectually and emotionally about animals, simply observing that they exhibit “desire, emotion and belief</w:t>
      </w:r>
      <w:r>
        <w:rPr>
          <w:sz w:val="24"/>
          <w:rStyle w:val="FootnoteReference"/>
        </w:rPr>
        <w:footnoteReference w:id="12"/>
      </w:r>
      <w:r>
        <w:rPr>
          <w:sz w:val="24"/>
        </w:rPr>
        <w:t>” and we should fairly and justly, not just because they are like us, although in many ways they are, but because of their inherent value. “They too are persons, not things, entitled to respect because they exist as ends in themselves, not just as objects for us to look at or as means to any of our ends.</w:t>
      </w:r>
      <w:r>
        <w:rPr>
          <w:sz w:val="24"/>
          <w:rStyle w:val="FootnoteReference"/>
        </w:rPr>
        <w:footnoteReference w:id="13"/>
      </w:r>
      <w:r>
        <w:rPr>
          <w:sz w:val="24"/>
        </w:rPr>
        <w:t>”</w:t>
      </w:r>
    </w:p>
    <w:p>
      <w:pPr>
        <w:spacing w:line="360" w:lineRule="auto"/>
        <w:rPr>
          <w:sz w:val="24"/>
        </w:rPr>
      </w:pPr>
    </w:p>
    <w:p>
      <w:pPr>
        <w:spacing w:line="360" w:lineRule="auto"/>
        <w:rPr>
          <w:sz w:val="24"/>
        </w:rPr>
      </w:pPr>
      <w:r>
        <w:rPr>
          <w:sz w:val="24"/>
        </w:rPr>
        <w:t xml:space="preserve">Ultimately, it is humans that must decide who or what is entitled to be treated justly. This may depend at least partly on which theory of justice we follow. What most philosophers agree is that it is best that we treat nonhuman beings well, regardless of whether they have rights, or we owe them a duty of justice. It may be difficult to give a completely convincing argument that they are </w:t>
      </w:r>
      <w:r>
        <w:rPr>
          <w:sz w:val="24"/>
          <w:i/>
        </w:rPr>
        <w:t>deserving</w:t>
      </w:r>
      <w:r>
        <w:rPr>
          <w:sz w:val="24"/>
        </w:rPr>
        <w:t xml:space="preserve"> of justice. It is even more difficult – perhaps impossible – to argue that they are not.</w:t>
      </w:r>
    </w:p>
    <w:p>
      <w:pPr>
        <w:jc w:val="center"/>
        <w:rPr>
          <w:sz w:val="24"/>
        </w:rPr>
      </w:pPr>
      <w:r>
        <w:rPr>
          <w:sz w:val="24"/>
        </w:rPr>
        <w:br w:type="page"/>
      </w:r>
      <w:r>
        <w:rPr>
          <w:sz w:val="24"/>
          <w:b/>
        </w:rPr>
        <w:t>Bibliography</w:t>
      </w:r>
    </w:p>
    <w:p>
      <w:pPr>
        <w:rPr>
          <w:sz w:val="24"/>
        </w:rPr>
      </w:pPr>
    </w:p>
    <w:p>
      <w:pPr>
        <w:rPr>
          <w:sz w:val="24"/>
        </w:rPr>
      </w:pPr>
      <w:r>
        <w:rPr>
          <w:sz w:val="24"/>
        </w:rPr>
        <w:t xml:space="preserve">Attfield, R. (2012). </w:t>
      </w:r>
      <w:r>
        <w:rPr>
          <w:sz w:val="24"/>
          <w:i/>
        </w:rPr>
        <w:t>Ethics: An Overview</w:t>
      </w:r>
      <w:r>
        <w:rPr>
          <w:sz w:val="24"/>
        </w:rPr>
        <w:t>. London: Continuum.</w:t>
      </w:r>
    </w:p>
    <w:p>
      <w:pPr>
        <w:rPr>
          <w:sz w:val="24"/>
        </w:rPr>
      </w:pPr>
    </w:p>
    <w:p>
      <w:pPr>
        <w:rPr>
          <w:sz w:val="24"/>
        </w:rPr>
      </w:pPr>
      <w:r>
        <w:rPr>
          <w:sz w:val="24"/>
        </w:rPr>
        <w:t xml:space="preserve">Barry, B. (1995). </w:t>
      </w:r>
      <w:r>
        <w:rPr>
          <w:sz w:val="24"/>
          <w:i/>
        </w:rPr>
        <w:t>Justice as Impartiality</w:t>
      </w:r>
      <w:r>
        <w:rPr>
          <w:sz w:val="24"/>
        </w:rPr>
        <w:t>. Oxford: Clarendon Press.</w:t>
      </w:r>
    </w:p>
    <w:p>
      <w:pPr>
        <w:rPr>
          <w:sz w:val="24"/>
        </w:rPr>
      </w:pPr>
    </w:p>
    <w:p>
      <w:pPr>
        <w:rPr>
          <w:sz w:val="24"/>
        </w:rPr>
      </w:pPr>
      <w:r>
        <w:rPr>
          <w:sz w:val="24"/>
        </w:rPr>
        <w:t xml:space="preserve">Barry, B. (1999). ‘Sustainability and intergenerational Justice’, in </w:t>
      </w:r>
      <w:r>
        <w:rPr>
          <w:sz w:val="24"/>
          <w:i/>
        </w:rPr>
        <w:t>Fairness and Futurity: Essays on Environmental Sustainability and Social Justice</w:t>
      </w:r>
      <w:r>
        <w:rPr>
          <w:sz w:val="24"/>
        </w:rPr>
        <w:t>, Dobson, A. (ed), Oxford: Oxford University Press.</w:t>
      </w:r>
    </w:p>
    <w:p>
      <w:pPr>
        <w:rPr>
          <w:sz w:val="24"/>
        </w:rPr>
      </w:pPr>
    </w:p>
    <w:p>
      <w:pPr>
        <w:rPr>
          <w:sz w:val="24"/>
        </w:rPr>
      </w:pPr>
      <w:r>
        <w:rPr>
          <w:sz w:val="24"/>
        </w:rPr>
        <w:t xml:space="preserve">Cohen, J. ed. (2012). </w:t>
      </w:r>
      <w:r>
        <w:rPr>
          <w:sz w:val="24"/>
          <w:i/>
        </w:rPr>
        <w:t>Animal, Vegetable, Mineral</w:t>
      </w:r>
      <w:r>
        <w:rPr>
          <w:sz w:val="24"/>
        </w:rPr>
        <w:t xml:space="preserve">: </w:t>
      </w:r>
      <w:r>
        <w:rPr>
          <w:sz w:val="24"/>
          <w:i/>
        </w:rPr>
        <w:t>Ethics and Objects</w:t>
      </w:r>
      <w:r>
        <w:rPr>
          <w:sz w:val="24"/>
        </w:rPr>
        <w:t>. Washington: Oliphaunt.</w:t>
      </w:r>
    </w:p>
    <w:p>
      <w:pPr>
        <w:rPr>
          <w:sz w:val="24"/>
        </w:rPr>
      </w:pPr>
    </w:p>
    <w:p>
      <w:pPr>
        <w:rPr>
          <w:sz w:val="24"/>
        </w:rPr>
      </w:pPr>
      <w:r>
        <w:rPr>
          <w:sz w:val="24"/>
        </w:rPr>
        <w:t xml:space="preserve">Goodin, R. (2009). ‘Brian Barry’, </w:t>
      </w:r>
      <w:r>
        <w:rPr>
          <w:sz w:val="24"/>
          <w:i/>
        </w:rPr>
        <w:t>Political Theory</w:t>
      </w:r>
      <w:r>
        <w:rPr>
          <w:sz w:val="24"/>
        </w:rPr>
        <w:t>, 37(4), pp. 451-454.</w:t>
      </w:r>
    </w:p>
    <w:p>
      <w:pPr>
        <w:rPr>
          <w:sz w:val="24"/>
        </w:rPr>
      </w:pPr>
    </w:p>
    <w:p>
      <w:pPr>
        <w:rPr>
          <w:sz w:val="24"/>
        </w:rPr>
      </w:pPr>
      <w:r>
        <w:rPr>
          <w:sz w:val="24"/>
        </w:rPr>
        <w:t xml:space="preserve">Kirkkopelto, E. (2017).  ‘Species beings Human Animals and New Neighbours’, </w:t>
      </w:r>
      <w:r>
        <w:rPr>
          <w:sz w:val="24"/>
          <w:i/>
        </w:rPr>
        <w:t>Performance Research</w:t>
      </w:r>
      <w:r>
        <w:rPr>
          <w:sz w:val="24"/>
        </w:rPr>
        <w:t>, 22(2), pp. 87-96.</w:t>
      </w:r>
    </w:p>
    <w:p>
      <w:pPr>
        <w:rPr>
          <w:sz w:val="24"/>
        </w:rPr>
      </w:pPr>
    </w:p>
    <w:p>
      <w:pPr>
        <w:rPr>
          <w:sz w:val="24"/>
        </w:rPr>
      </w:pPr>
      <w:r>
        <w:rPr>
          <w:sz w:val="24"/>
        </w:rPr>
        <w:t xml:space="preserve">Midgley, M. (1983). </w:t>
      </w:r>
      <w:r>
        <w:rPr>
          <w:sz w:val="24"/>
          <w:i/>
        </w:rPr>
        <w:t>Animals and Why They Matter</w:t>
      </w:r>
      <w:r>
        <w:rPr>
          <w:sz w:val="24"/>
        </w:rPr>
        <w:t>. Athens: University of Georgia Press.</w:t>
      </w:r>
    </w:p>
    <w:p>
      <w:pPr>
        <w:rPr>
          <w:sz w:val="24"/>
        </w:rPr>
      </w:pPr>
    </w:p>
    <w:p>
      <w:pPr>
        <w:rPr>
          <w:sz w:val="24"/>
        </w:rPr>
      </w:pPr>
      <w:r>
        <w:rPr>
          <w:sz w:val="24"/>
        </w:rPr>
        <w:t xml:space="preserve">Moellendorf, D. (2011). ‘Cosmopolitan and Compatriot Duties’, </w:t>
      </w:r>
      <w:r>
        <w:rPr>
          <w:sz w:val="24"/>
          <w:i/>
        </w:rPr>
        <w:t>The Monist</w:t>
      </w:r>
      <w:r>
        <w:rPr>
          <w:sz w:val="24"/>
        </w:rPr>
        <w:t>, 94(4), pp. 535-554.</w:t>
      </w:r>
    </w:p>
    <w:p>
      <w:pPr>
        <w:rPr>
          <w:sz w:val="24"/>
        </w:rPr>
      </w:pPr>
    </w:p>
    <w:p>
      <w:pPr>
        <w:rPr>
          <w:sz w:val="24"/>
        </w:rPr>
      </w:pPr>
      <w:r>
        <w:rPr>
          <w:sz w:val="24"/>
        </w:rPr>
        <w:t xml:space="preserve">Routledge. (2000). Concise Routledge Encyclopedia of Philosophy. </w:t>
      </w:r>
    </w:p>
    <w:p>
      <w:pPr>
        <w:rPr>
          <w:sz w:val="24"/>
        </w:rPr>
      </w:pPr>
    </w:p>
    <w:p>
      <w:pPr>
        <w:rPr>
          <w:sz w:val="24"/>
        </w:rPr>
      </w:pPr>
      <w:r>
        <w:rPr>
          <w:sz w:val="24"/>
        </w:rPr>
        <w:t xml:space="preserve">Rawls, J. (1971). </w:t>
      </w:r>
      <w:r>
        <w:rPr>
          <w:sz w:val="24"/>
          <w:i/>
        </w:rPr>
        <w:t>A Theory of Justice</w:t>
      </w:r>
      <w:r>
        <w:rPr>
          <w:sz w:val="24"/>
        </w:rPr>
        <w:t>. Cambridge: Harvard university Press.</w:t>
      </w:r>
    </w:p>
    <w:p>
      <w:pPr>
        <w:rPr>
          <w:sz w:val="24"/>
        </w:rPr>
      </w:pPr>
    </w:p>
    <w:p>
      <w:pPr>
        <w:rPr>
          <w:sz w:val="24"/>
        </w:rPr>
      </w:pPr>
      <w:r>
        <w:rPr>
          <w:sz w:val="24"/>
        </w:rPr>
        <w:t xml:space="preserve">Regan, T. (2004), </w:t>
      </w:r>
      <w:r>
        <w:rPr>
          <w:sz w:val="24"/>
          <w:i/>
        </w:rPr>
        <w:t>The Case for Animal Rights</w:t>
      </w:r>
      <w:r>
        <w:rPr>
          <w:sz w:val="24"/>
        </w:rPr>
        <w:t>, 2</w:t>
      </w:r>
      <w:r>
        <w:rPr>
          <w:sz w:val="24"/>
          <w:vertAlign w:val="superscript"/>
        </w:rPr>
        <w:t>nd</w:t>
      </w:r>
      <w:r>
        <w:rPr>
          <w:sz w:val="24"/>
        </w:rPr>
        <w:t xml:space="preserve"> edn. Berkley: University of California Press.</w:t>
      </w:r>
    </w:p>
    <w:p>
      <w:pPr>
        <w:rPr>
          <w:sz w:val="24"/>
        </w:rPr>
      </w:pPr>
    </w:p>
    <w:p>
      <w:pPr>
        <w:rPr>
          <w:sz w:val="24"/>
        </w:rPr>
      </w:pPr>
      <w:r>
        <w:rPr>
          <w:sz w:val="24"/>
        </w:rPr>
        <w:t>Peter Singer, Animal Liberation, 2</w:t>
      </w:r>
      <w:r>
        <w:rPr>
          <w:sz w:val="24"/>
          <w:vertAlign w:val="superscript"/>
        </w:rPr>
        <w:t>nd</w:t>
      </w:r>
      <w:r>
        <w:rPr>
          <w:sz w:val="24"/>
        </w:rPr>
        <w:t xml:space="preserve"> edn (London: Vintage Publishing, 1996).</w:t>
      </w:r>
    </w:p>
    <w:p>
      <w:pPr>
        <w:rPr>
          <w:sz w:val="24"/>
        </w:rPr>
      </w:pPr>
    </w:p>
    <w:p>
      <w:pPr>
        <w:rPr>
          <w:sz w:val="24"/>
        </w:rPr>
      </w:pPr>
      <w:r>
        <w:rPr>
          <w:sz w:val="24"/>
        </w:rPr>
        <w:t xml:space="preserve">Scanlon, T. (1998). </w:t>
      </w:r>
      <w:r>
        <w:rPr>
          <w:sz w:val="24"/>
          <w:i/>
        </w:rPr>
        <w:t>What We Owe Each Other</w:t>
      </w:r>
      <w:r>
        <w:rPr>
          <w:sz w:val="24"/>
        </w:rPr>
        <w:t>. Cambridge: Harvard university Press.</w:t>
      </w:r>
    </w:p>
    <w:p>
      <w:pPr>
        <w:spacing w:line="360" w:lineRule="auto"/>
        <w:rPr>
          <w:sz w:val="24"/>
        </w:rPr>
      </w:pPr>
      <w:r>
        <w:rPr>
          <w:sz w:val="24"/>
        </w:rPr>
      </w:r>
    </w:p>
    <w:sectPr>
      <w:pgSz w:w="11905" w:h="16838"/>
      <w:pgMar w:top="567" w:right="567" w:bottom="567" w:left="567" w:header="0" w:footer="0"/>
      <w:cols w:space="720"/>
      <w:noEndnote/>
      <w:pgNumType w:fmt="decimal"/>
      <w:footnotePr>
        <w:numFmt w:val="decimal"/>
        <w:numRestart w:val="continuous"/>
        <w:numStart w:val="1"/>
        <w:pos w:val="pageBottom"/>
      </w:footnotePr>
      <w:endnotePr>
        <w:numFmt w:val="lowerRoman"/>
        <w:numRestart w:val="continuous"/>
        <w:numStart w:val="1"/>
        <w:pos w:val="docEnd"/>
      </w:endnotePr>
    </w:sectPr>
  </w:body>
</w:document>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pPr>
        <w:spacing w:after="0" w:line="240" w:lineRule="auto"/>
      </w:pPr>
      <w:r>
        <w:separator/>
      </w:r>
    </w:p>
  </w:footnote>
  <w:footnote w:type="continuationSeparator" w:id="1">
    <w:p>
      <w:pPr>
        <w:spacing w:after="0" w:line="240" w:lineRule="auto"/>
      </w:pPr>
      <w:r>
        <w:continuationSeparator/>
      </w:r>
    </w:p>
  </w:footnote>
  <w:footnote w:id="2">
    <w:p>
      <w:pPr>
        <w:pStyle w:val="FootnoteText"/>
        <w:rPr>
          <w:sz w:val="24"/>
        </w:rPr>
      </w:pPr>
      <w:r>
        <w:rPr>
          <w:sz w:val="24"/>
          <w:rStyle w:val="FootnoteReference"/>
        </w:rPr>
        <w:footnoteRef/>
      </w:r>
      <w:r>
        <w:rPr>
          <w:sz w:val="24"/>
        </w:rPr>
        <w:t xml:space="preserve"> Rawls, J. (1971). </w:t>
      </w:r>
      <w:r>
        <w:rPr>
          <w:sz w:val="24"/>
          <w:i/>
        </w:rPr>
        <w:t>A Theory of Justice</w:t>
      </w:r>
      <w:r>
        <w:rPr>
          <w:sz w:val="24"/>
        </w:rPr>
        <w:t>. Cambridge: Harvard university Press.</w:t>
      </w:r>
    </w:p>
  </w:footnote>
  <w:footnote w:id="3">
    <w:p>
      <w:pPr>
        <w:pStyle w:val="FootnoteText"/>
        <w:rPr>
          <w:sz w:val="24"/>
        </w:rPr>
      </w:pPr>
      <w:r>
        <w:rPr>
          <w:sz w:val="24"/>
          <w:rStyle w:val="FootnoteReference"/>
        </w:rPr>
        <w:footnoteRef/>
      </w:r>
      <w:r>
        <w:rPr>
          <w:sz w:val="24"/>
        </w:rPr>
        <w:t xml:space="preserve"> Ibid., p.111.</w:t>
      </w:r>
    </w:p>
  </w:footnote>
  <w:footnote w:id="4">
    <w:p>
      <w:pPr>
        <w:pStyle w:val="FootnoteText"/>
      </w:pPr>
      <w:r>
        <w:rPr>
          <w:sz w:val="24"/>
          <w:rStyle w:val="FootnoteReference"/>
        </w:rPr>
        <w:footnoteRef/>
      </w:r>
      <w:r>
        <w:rPr>
          <w:sz w:val="24"/>
        </w:rPr>
        <w:t xml:space="preserve"> Ibid., p. 97.</w:t>
      </w:r>
      <w:r/>
    </w:p>
  </w:footnote>
  <w:footnote w:id="5">
    <w:p>
      <w:pPr>
        <w:pStyle w:val="FootnoteText"/>
        <w:rPr>
          <w:sz w:val="24"/>
        </w:rPr>
      </w:pPr>
      <w:r>
        <w:rPr>
          <w:rStyle w:val="FootnoteReference"/>
        </w:rPr>
        <w:footnoteRef/>
      </w:r>
      <w:r>
        <w:t xml:space="preserve"> </w:t>
      </w:r>
      <w:r>
        <w:rPr>
          <w:sz w:val="24"/>
        </w:rPr>
        <w:t>Ibid., p. 441</w:t>
      </w:r>
    </w:p>
  </w:footnote>
  <w:footnote w:id="6">
    <w:p>
      <w:pPr>
        <w:pStyle w:val="FootnoteText"/>
        <w:rPr>
          <w:sz w:val="24"/>
        </w:rPr>
      </w:pPr>
      <w:r>
        <w:rPr>
          <w:sz w:val="24"/>
          <w:rStyle w:val="FootnoteReference"/>
        </w:rPr>
        <w:footnoteRef/>
      </w:r>
      <w:r>
        <w:rPr>
          <w:sz w:val="24"/>
        </w:rPr>
        <w:t xml:space="preserve"> Barry, B. (1999). ‘Sustainability and intergenerational Justice’, in </w:t>
      </w:r>
      <w:r>
        <w:rPr>
          <w:sz w:val="24"/>
          <w:i/>
        </w:rPr>
        <w:t>Fairness and Futurity: Essays on Environmental Sustainability and Social Justice</w:t>
      </w:r>
      <w:r>
        <w:rPr>
          <w:sz w:val="24"/>
        </w:rPr>
        <w:t>, Dobson, A. (ed), Oxford: Oxford University Press.</w:t>
      </w:r>
    </w:p>
  </w:footnote>
  <w:footnote w:id="7">
    <w:p>
      <w:pPr>
        <w:pStyle w:val="FootnoteText"/>
      </w:pPr>
      <w:r>
        <w:rPr>
          <w:sz w:val="24"/>
          <w:rStyle w:val="FootnoteReference"/>
        </w:rPr>
        <w:footnoteRef/>
      </w:r>
      <w:r>
        <w:rPr>
          <w:sz w:val="24"/>
        </w:rPr>
        <w:t xml:space="preserve"> Ibid, p.95.</w:t>
      </w:r>
      <w:r/>
    </w:p>
  </w:footnote>
  <w:footnote w:id="8">
    <w:p>
      <w:pPr>
        <w:pStyle w:val="FootnoteText"/>
      </w:pPr>
      <w:r>
        <w:rPr>
          <w:rStyle w:val="FootnoteReference"/>
        </w:rPr>
        <w:footnoteRef/>
      </w:r>
      <w:r>
        <w:t xml:space="preserve"> </w:t>
      </w:r>
      <w:r>
        <w:rPr>
          <w:sz w:val="24"/>
        </w:rPr>
        <w:t>Peter Singer, Animal Liberation, 2</w:t>
      </w:r>
      <w:r>
        <w:rPr>
          <w:sz w:val="24"/>
          <w:vertAlign w:val="superscript"/>
        </w:rPr>
        <w:t>nd</w:t>
      </w:r>
      <w:r>
        <w:rPr>
          <w:sz w:val="24"/>
        </w:rPr>
        <w:t xml:space="preserve"> edn (London: Vintage Publishing, 1996).</w:t>
      </w:r>
      <w:r/>
    </w:p>
  </w:footnote>
  <w:footnote w:id="9">
    <w:p>
      <w:pPr>
        <w:pStyle w:val="FootnoteText"/>
      </w:pPr>
      <w:r>
        <w:rPr>
          <w:sz w:val="24"/>
          <w:rStyle w:val="FootnoteReference"/>
        </w:rPr>
        <w:footnoteRef/>
      </w:r>
      <w:r>
        <w:rPr>
          <w:sz w:val="24"/>
        </w:rPr>
        <w:t xml:space="preserve"> Regan, T. (2004), </w:t>
      </w:r>
      <w:r>
        <w:rPr>
          <w:sz w:val="24"/>
          <w:i/>
        </w:rPr>
        <w:t>The Case for Animal Rights</w:t>
      </w:r>
      <w:r>
        <w:rPr>
          <w:sz w:val="24"/>
        </w:rPr>
        <w:t>, 2</w:t>
      </w:r>
      <w:r>
        <w:rPr>
          <w:sz w:val="24"/>
          <w:vertAlign w:val="superscript"/>
        </w:rPr>
        <w:t>nd</w:t>
      </w:r>
      <w:r>
        <w:rPr>
          <w:sz w:val="24"/>
        </w:rPr>
        <w:t xml:space="preserve"> edn. Berkley: University of California Press.</w:t>
      </w:r>
      <w:r/>
    </w:p>
  </w:footnote>
  <w:footnote w:id="10">
    <w:p>
      <w:pPr>
        <w:pStyle w:val="FootnoteText"/>
      </w:pPr>
      <w:r>
        <w:rPr>
          <w:rStyle w:val="FootnoteReference"/>
        </w:rPr>
        <w:footnoteRef/>
      </w:r>
      <w:r>
        <w:t xml:space="preserve"> </w:t>
      </w:r>
      <w:r>
        <w:rPr>
          <w:sz w:val="24"/>
        </w:rPr>
        <w:t xml:space="preserve">Attfield, R. (2012). </w:t>
      </w:r>
      <w:r>
        <w:rPr>
          <w:sz w:val="24"/>
          <w:i/>
        </w:rPr>
        <w:t>Ethics: An Overview</w:t>
      </w:r>
      <w:r>
        <w:rPr>
          <w:sz w:val="24"/>
        </w:rPr>
        <w:t>. London: Continuum. p.133.</w:t>
      </w:r>
      <w:r/>
    </w:p>
  </w:footnote>
  <w:footnote w:id="11">
    <w:p>
      <w:pPr>
        <w:pStyle w:val="FootnoteText"/>
      </w:pPr>
      <w:r>
        <w:rPr>
          <w:rStyle w:val="FootnoteReference"/>
        </w:rPr>
        <w:footnoteRef/>
      </w:r>
      <w:r>
        <w:t xml:space="preserve"> </w:t>
      </w:r>
      <w:r>
        <w:rPr>
          <w:sz w:val="24"/>
        </w:rPr>
        <w:t xml:space="preserve">Midgley, M. (1983). </w:t>
      </w:r>
      <w:r>
        <w:rPr>
          <w:sz w:val="24"/>
          <w:i/>
        </w:rPr>
        <w:t>Animals and Why They Matter</w:t>
      </w:r>
      <w:r>
        <w:rPr>
          <w:sz w:val="24"/>
        </w:rPr>
        <w:t>. Athens: University of Georgia Press. p. 61</w:t>
      </w:r>
      <w:r/>
    </w:p>
  </w:footnote>
  <w:footnote w:id="12">
    <w:p>
      <w:pPr>
        <w:pStyle w:val="FootnoteText"/>
      </w:pPr>
      <w:r>
        <w:rPr>
          <w:rStyle w:val="FootnoteReference"/>
        </w:rPr>
        <w:footnoteRef/>
      </w:r>
      <w:r>
        <w:t xml:space="preserve"> Ibid., p.58.</w:t>
      </w:r>
    </w:p>
  </w:footnote>
  <w:footnote w:id="13">
    <w:p>
      <w:pPr>
        <w:pStyle w:val="FootnoteText"/>
      </w:pPr>
      <w:r>
        <w:rPr>
          <w:rStyle w:val="FootnoteReference"/>
        </w:rPr>
        <w:footnoteRef/>
      </w:r>
      <w:r>
        <w:t xml:space="preserve"> Ibid., p. 94.</w:t>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val="none" w:percent="100"/>
  <w:defaultTabStop w:val="720"/>
  <w:hyphenationZone w:val="360"/>
  <w:footnotePr>
    <w:footnote w:id="0"/>
    <w:footnote w:id="1"/>
  </w:footnotePr>
</w:settings>
</file>

<file path=word/styles.xml><?xml version="1.0" encoding="utf-8"?>
<w:styles xmlns:r="http://schemas.openxmlformats.org/officeDocument/2006/relationships" xmlns:w="http://schemas.openxmlformats.org/wordprocessingml/2006/main">
  <w:docDefaults>
    <w:rPrDefault>
      <w:rPr>
        <w:rFonts w:ascii="Times New Roman" w:hAnsi="Times New Roman" w:eastAsia="Times New Roman"/>
        <w:sz w:val="20"/>
        <w:lang w:val="en-GB"/>
      </w:rPr>
    </w:rPrDefault>
    <w:pPrDefault>
      <w:pPr>
        <w:spacing w:line="240" w:lineRule="auto"/>
      </w:pPr>
    </w:pPrDefault>
  </w:docDefaults>
  <w:style w:type="paragraph" w:default="1" w:styleId="Normal">
    <w:name w:val="Normal"/>
    <w:rPr>
      <w:rFonts w:ascii="Arial" w:hAnsi="Arial" w:eastAsia="Arial"/>
      <w:sz w:val="22"/>
    </w:rPr>
    <w:pPr>
      <w:widowControl/>
    </w:pPr>
  </w:style>
  <w:style w:type="paragraph" w:styleId="Heading1">
    <w:name w:val="Heading 1"/>
    <w:basedOn w:val="Normal"/>
    <w:next w:val="Normal"/>
    <w:rPr>
      <w:sz w:val="28"/>
      <w:b/>
      <w:kerning w:val="28"/>
    </w:rPr>
    <w:pPr>
      <w:spacing w:before="240" w:beforeAutospacing="0" w:after="60" w:afterAutospacing="0"/>
      <w:keepNext/>
      <w:outlineLvl w:val="0"/>
    </w:pPr>
  </w:style>
  <w:style w:type="paragraph" w:styleId="Heading2">
    <w:name w:val="Heading 2"/>
    <w:basedOn w:val="Normal"/>
    <w:next w:val="Normal"/>
    <w:rPr>
      <w:sz w:val="24"/>
      <w:b/>
      <w:i/>
    </w:rPr>
    <w:pPr>
      <w:spacing w:before="240" w:beforeAutospacing="0" w:after="60" w:afterAutospacing="0"/>
      <w:keepNext/>
      <w:outlineLvl w:val="1"/>
    </w:pPr>
  </w:style>
  <w:style w:type="paragraph" w:styleId="Heading3">
    <w:name w:val="Heading 3"/>
    <w:basedOn w:val="Normal"/>
    <w:next w:val="Normal"/>
    <w:rPr>
      <w:b/>
    </w:rPr>
    <w:pPr>
      <w:spacing w:before="240" w:beforeAutospacing="0" w:after="60" w:afterAutospacing="0"/>
      <w:keepNext/>
      <w:outlineLvl w:val="2"/>
    </w:pPr>
  </w:style>
  <w:style w:type="paragraph" w:styleId="FootnoteText">
    <w:name w:val="Footnote Text"/>
    <w:basedOn w:val="Normal"/>
    <w:rPr>
      <w:sz w:val="20"/>
    </w:rPr>
    <w:pPr/>
  </w:style>
  <w:style w:type="character" w:styleId="FootnoteReference">
    <w:name w:val="Footnote Reference"/>
    <w:rPr>
      <w:vertAlign w:val="superscript"/>
    </w:rPr>
  </w:style>
</w:styles>
</file>

<file path=word/_rels/document.xml.rels><?xml version="1.0" encoding="UTF-8" standalone="yes"?><Relationships xmlns="http://schemas.openxmlformats.org/package/2006/relationships"><Relationship Id="rId0" Type="http://schemas.openxmlformats.org/officeDocument/2006/relationships/settings" Target="settings.xml"/><Relationship Id="rId1" Type="http://schemas.openxmlformats.org/officeDocument/2006/relationships/styles" Target="styles.xml"/><Relationship Id="rId2" Type="http://schemas.openxmlformats.org/officeDocument/2006/relationships/footnotes" Target="footnotes.xml"/></Relationships>
</file>

<file path=docProps/app.xml><?xml version="1.0" encoding="utf-8"?>
<Properties xmlns="http://schemas.openxmlformats.org/officeDocument/2006/extended-properties" xmlns:vt="http://schemas.openxmlformats.org/officeDocument/2006/docPropsVTypes">
  <Application>Atlantis Word Processor</Application>
  <!-- awp:appVersion=1.6.5.12 -->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Stephen</dc:creator>
  <dcterms:created xsi:type="dcterms:W3CDTF">2018-05-13T11:40:09Z</dcterms:created>
  <dcterms:modified xsi:type="dcterms:W3CDTF">2018-05-16T23:54:14Z</dcterms:modified>
</cp:coreProperties>
</file>