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0FC2" w:rsidRPr="00E70FC2" w:rsidRDefault="00E35D77" w:rsidP="00E70FC2">
      <w:pPr>
        <w:jc w:val="center"/>
        <w:rPr>
          <w:b/>
          <w:sz w:val="44"/>
        </w:rPr>
      </w:pPr>
      <w:r w:rsidRPr="00E70FC2">
        <w:rPr>
          <w:b/>
          <w:sz w:val="44"/>
        </w:rPr>
        <w:t>REPORT FOR ACCOUNTING ASSIGNMENT 1</w:t>
      </w:r>
    </w:p>
    <w:p w:rsidR="006476CF" w:rsidRPr="00E70FC2" w:rsidRDefault="00E35D77" w:rsidP="00E70FC2">
      <w:pPr>
        <w:jc w:val="center"/>
        <w:rPr>
          <w:b/>
          <w:sz w:val="44"/>
        </w:rPr>
      </w:pPr>
      <w:r w:rsidRPr="00E70FC2">
        <w:rPr>
          <w:b/>
          <w:sz w:val="44"/>
        </w:rPr>
        <w:t>LEASING</w:t>
      </w:r>
    </w:p>
    <w:p w:rsidR="00E70FC2" w:rsidRDefault="00E70FC2" w:rsidP="00E70FC2">
      <w:pPr>
        <w:jc w:val="center"/>
        <w:rPr>
          <w:b/>
          <w:sz w:val="36"/>
        </w:rPr>
      </w:pPr>
    </w:p>
    <w:p w:rsidR="00E70FC2" w:rsidRDefault="00E70FC2" w:rsidP="00E70FC2">
      <w:pPr>
        <w:jc w:val="center"/>
        <w:rPr>
          <w:b/>
          <w:sz w:val="36"/>
        </w:rPr>
      </w:pPr>
    </w:p>
    <w:p w:rsidR="00E70FC2" w:rsidRDefault="00E35D77" w:rsidP="00E70FC2">
      <w:pPr>
        <w:jc w:val="center"/>
        <w:rPr>
          <w:b/>
          <w:sz w:val="36"/>
        </w:rPr>
      </w:pPr>
      <w:r w:rsidRPr="00E70FC2">
        <w:rPr>
          <w:b/>
          <w:noProof/>
          <w:sz w:val="36"/>
          <w:lang w:eastAsia="en-GB"/>
        </w:rPr>
        <w:drawing>
          <wp:anchor distT="0" distB="0" distL="114300" distR="114300" simplePos="0" relativeHeight="251658240" behindDoc="1" locked="0" layoutInCell="1" allowOverlap="1">
            <wp:simplePos x="0" y="0"/>
            <wp:positionH relativeFrom="column">
              <wp:posOffset>-114618</wp:posOffset>
            </wp:positionH>
            <wp:positionV relativeFrom="paragraph">
              <wp:posOffset>310515</wp:posOffset>
            </wp:positionV>
            <wp:extent cx="6229985" cy="4274820"/>
            <wp:effectExtent l="0" t="0" r="5715" b="5080"/>
            <wp:wrapTight wrapText="bothSides">
              <wp:wrapPolygon edited="0">
                <wp:start x="0" y="0"/>
                <wp:lineTo x="0" y="21561"/>
                <wp:lineTo x="21576" y="21561"/>
                <wp:lineTo x="21576" y="0"/>
                <wp:lineTo x="0" y="0"/>
              </wp:wrapPolygon>
            </wp:wrapTight>
            <wp:docPr id="1" name="Picture 1" descr="Image result for lea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92666" name="Picture 1" descr="Image result for leasi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229985" cy="42748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F385A" w:rsidRDefault="00AF385A" w:rsidP="00E70FC2">
      <w:pPr>
        <w:rPr>
          <w:rStyle w:val="DefaultParagraphFont00"/>
          <w:b/>
          <w:color w:val="000000"/>
          <w:sz w:val="36"/>
        </w:rPr>
      </w:pPr>
    </w:p>
    <w:p w:rsidR="00E148E8" w:rsidRDefault="00E148E8" w:rsidP="00E70FC2">
      <w:pPr>
        <w:rPr>
          <w:rStyle w:val="DefaultParagraphFont00"/>
          <w:b/>
          <w:color w:val="000000"/>
          <w:sz w:val="36"/>
        </w:rPr>
      </w:pPr>
    </w:p>
    <w:p w:rsidR="00E148E8" w:rsidRDefault="00E148E8" w:rsidP="00E70FC2">
      <w:pPr>
        <w:rPr>
          <w:rStyle w:val="DefaultParagraphFont00"/>
          <w:b/>
          <w:color w:val="000000"/>
          <w:sz w:val="36"/>
        </w:rPr>
      </w:pPr>
    </w:p>
    <w:p w:rsidR="00E148E8" w:rsidRDefault="00E148E8" w:rsidP="00E70FC2">
      <w:pPr>
        <w:rPr>
          <w:rStyle w:val="DefaultParagraphFont00"/>
          <w:b/>
          <w:color w:val="000000"/>
          <w:sz w:val="36"/>
        </w:rPr>
      </w:pPr>
    </w:p>
    <w:p w:rsidR="00E70FC2" w:rsidRPr="00E70FC2" w:rsidRDefault="00E35D77" w:rsidP="00AF385A">
      <w:pPr>
        <w:spacing w:line="276" w:lineRule="auto"/>
        <w:rPr>
          <w:sz w:val="28"/>
        </w:rPr>
      </w:pPr>
      <w:r w:rsidRPr="00E70FC2">
        <w:rPr>
          <w:rStyle w:val="DefaultParagraphFont00"/>
          <w:b/>
          <w:color w:val="000000"/>
          <w:sz w:val="36"/>
        </w:rPr>
        <w:t>Module name:             Financial Reporting</w:t>
      </w:r>
    </w:p>
    <w:p w:rsidR="00E70FC2" w:rsidRPr="00E70FC2" w:rsidRDefault="00E35D77" w:rsidP="00AF385A">
      <w:pPr>
        <w:spacing w:line="276" w:lineRule="auto"/>
        <w:rPr>
          <w:sz w:val="28"/>
        </w:rPr>
      </w:pPr>
      <w:r w:rsidRPr="00E70FC2">
        <w:rPr>
          <w:rStyle w:val="DefaultParagraphFont00"/>
          <w:b/>
          <w:color w:val="000000"/>
          <w:sz w:val="36"/>
        </w:rPr>
        <w:t>Name</w:t>
      </w:r>
      <w:r w:rsidR="00AF385A">
        <w:rPr>
          <w:rStyle w:val="DefaultParagraphFont00"/>
          <w:b/>
          <w:color w:val="000000"/>
          <w:sz w:val="36"/>
        </w:rPr>
        <w:t xml:space="preserve"> of the student</w:t>
      </w:r>
      <w:r w:rsidRPr="00E70FC2">
        <w:rPr>
          <w:rStyle w:val="DefaultParagraphFont00"/>
          <w:b/>
          <w:color w:val="000000"/>
          <w:sz w:val="36"/>
        </w:rPr>
        <w:t xml:space="preserve">:  Aniqa </w:t>
      </w:r>
      <w:r w:rsidR="00E148E8" w:rsidRPr="00E70FC2">
        <w:rPr>
          <w:rStyle w:val="DefaultParagraphFont00"/>
          <w:b/>
          <w:color w:val="000000"/>
          <w:sz w:val="36"/>
        </w:rPr>
        <w:t xml:space="preserve">Anjum </w:t>
      </w:r>
      <w:r w:rsidRPr="00E70FC2">
        <w:rPr>
          <w:rStyle w:val="DefaultParagraphFont00"/>
          <w:b/>
          <w:color w:val="000000"/>
          <w:sz w:val="36"/>
        </w:rPr>
        <w:t xml:space="preserve">Niswat </w:t>
      </w:r>
    </w:p>
    <w:p w:rsidR="00E70FC2" w:rsidRPr="00E70FC2" w:rsidRDefault="00E35D77" w:rsidP="00AF385A">
      <w:pPr>
        <w:spacing w:line="276" w:lineRule="auto"/>
        <w:rPr>
          <w:sz w:val="28"/>
        </w:rPr>
      </w:pPr>
      <w:r w:rsidRPr="00E70FC2">
        <w:rPr>
          <w:rStyle w:val="DefaultParagraphFont00"/>
          <w:b/>
          <w:color w:val="000000"/>
          <w:sz w:val="36"/>
        </w:rPr>
        <w:t>Student number:         17</w:t>
      </w:r>
      <w:r w:rsidR="00E148E8">
        <w:rPr>
          <w:rStyle w:val="DefaultParagraphFont00"/>
          <w:b/>
          <w:color w:val="000000"/>
          <w:sz w:val="36"/>
        </w:rPr>
        <w:t xml:space="preserve"> </w:t>
      </w:r>
      <w:r w:rsidRPr="00E70FC2">
        <w:rPr>
          <w:rStyle w:val="DefaultParagraphFont00"/>
          <w:b/>
          <w:color w:val="000000"/>
          <w:sz w:val="36"/>
        </w:rPr>
        <w:t>0</w:t>
      </w:r>
      <w:r w:rsidR="00E148E8">
        <w:rPr>
          <w:rStyle w:val="DefaultParagraphFont00"/>
          <w:b/>
          <w:color w:val="000000"/>
          <w:sz w:val="36"/>
        </w:rPr>
        <w:t xml:space="preserve"> </w:t>
      </w:r>
      <w:r w:rsidRPr="00E70FC2">
        <w:rPr>
          <w:rStyle w:val="DefaultParagraphFont00"/>
          <w:b/>
          <w:color w:val="000000"/>
          <w:sz w:val="36"/>
        </w:rPr>
        <w:t>2</w:t>
      </w:r>
      <w:r w:rsidR="00E148E8">
        <w:rPr>
          <w:rStyle w:val="DefaultParagraphFont00"/>
          <w:b/>
          <w:color w:val="000000"/>
          <w:sz w:val="36"/>
        </w:rPr>
        <w:t xml:space="preserve"> </w:t>
      </w:r>
      <w:r w:rsidRPr="00E70FC2">
        <w:rPr>
          <w:rStyle w:val="DefaultParagraphFont00"/>
          <w:b/>
          <w:color w:val="000000"/>
          <w:sz w:val="36"/>
        </w:rPr>
        <w:t>5</w:t>
      </w:r>
      <w:r w:rsidR="00E148E8">
        <w:rPr>
          <w:rStyle w:val="DefaultParagraphFont00"/>
          <w:b/>
          <w:color w:val="000000"/>
          <w:sz w:val="36"/>
        </w:rPr>
        <w:t xml:space="preserve"> </w:t>
      </w:r>
      <w:r w:rsidRPr="00E70FC2">
        <w:rPr>
          <w:rStyle w:val="DefaultParagraphFont00"/>
          <w:b/>
          <w:color w:val="000000"/>
          <w:sz w:val="36"/>
        </w:rPr>
        <w:t>3</w:t>
      </w:r>
      <w:r w:rsidR="00E148E8">
        <w:rPr>
          <w:rStyle w:val="DefaultParagraphFont00"/>
          <w:b/>
          <w:color w:val="000000"/>
          <w:sz w:val="36"/>
        </w:rPr>
        <w:t xml:space="preserve"> </w:t>
      </w:r>
      <w:r w:rsidRPr="00E70FC2">
        <w:rPr>
          <w:rStyle w:val="DefaultParagraphFont00"/>
          <w:b/>
          <w:color w:val="000000"/>
          <w:sz w:val="36"/>
        </w:rPr>
        <w:t>0</w:t>
      </w:r>
    </w:p>
    <w:p w:rsidR="00E70FC2" w:rsidRDefault="00E70FC2" w:rsidP="00AF385A">
      <w:pPr>
        <w:spacing w:line="276" w:lineRule="auto"/>
        <w:jc w:val="center"/>
        <w:rPr>
          <w:b/>
          <w:sz w:val="36"/>
        </w:rPr>
      </w:pPr>
    </w:p>
    <w:p w:rsidR="00E70FC2" w:rsidRDefault="00E70FC2" w:rsidP="00E70FC2">
      <w:pPr>
        <w:jc w:val="center"/>
        <w:rPr>
          <w:b/>
          <w:sz w:val="36"/>
        </w:rPr>
      </w:pPr>
    </w:p>
    <w:p w:rsidR="00E70FC2" w:rsidRDefault="00E70FC2" w:rsidP="00E70FC2">
      <w:pPr>
        <w:jc w:val="center"/>
        <w:rPr>
          <w:b/>
          <w:sz w:val="36"/>
        </w:rPr>
      </w:pPr>
    </w:p>
    <w:p w:rsidR="00E70FC2" w:rsidRDefault="00E70FC2" w:rsidP="00E70FC2">
      <w:pPr>
        <w:jc w:val="center"/>
        <w:rPr>
          <w:b/>
          <w:sz w:val="36"/>
        </w:rPr>
      </w:pPr>
    </w:p>
    <w:p w:rsidR="00E70FC2" w:rsidRDefault="00E70FC2" w:rsidP="00E70FC2">
      <w:pPr>
        <w:jc w:val="center"/>
        <w:rPr>
          <w:b/>
          <w:sz w:val="36"/>
        </w:rPr>
      </w:pPr>
    </w:p>
    <w:p w:rsidR="00AF385A" w:rsidRDefault="00AF385A" w:rsidP="00E70FC2">
      <w:pPr>
        <w:jc w:val="center"/>
        <w:rPr>
          <w:b/>
          <w:sz w:val="36"/>
        </w:rPr>
      </w:pPr>
    </w:p>
    <w:p w:rsidR="00AF385A" w:rsidRDefault="00AF385A" w:rsidP="00E70FC2">
      <w:pPr>
        <w:jc w:val="center"/>
        <w:rPr>
          <w:b/>
          <w:sz w:val="36"/>
        </w:rPr>
      </w:pPr>
    </w:p>
    <w:p w:rsidR="00AF385A" w:rsidRDefault="00AF385A" w:rsidP="00E70FC2">
      <w:pPr>
        <w:jc w:val="center"/>
        <w:rPr>
          <w:b/>
          <w:sz w:val="36"/>
        </w:rPr>
      </w:pPr>
    </w:p>
    <w:p w:rsidR="00395099" w:rsidRDefault="00395099" w:rsidP="00E70FC2">
      <w:pPr>
        <w:pStyle w:val="Heading1"/>
      </w:pPr>
    </w:p>
    <w:sdt>
      <w:sdtPr>
        <w:rPr>
          <w:rFonts w:asciiTheme="minorHAnsi" w:eastAsiaTheme="minorHAnsi" w:hAnsiTheme="minorHAnsi" w:cstheme="minorBidi"/>
          <w:color w:val="auto"/>
          <w:sz w:val="22"/>
          <w:szCs w:val="22"/>
          <w:lang w:val="en-GB"/>
        </w:rPr>
        <w:id w:val="-323515738"/>
        <w:docPartObj>
          <w:docPartGallery w:val="Table of Contents"/>
          <w:docPartUnique/>
        </w:docPartObj>
      </w:sdtPr>
      <w:sdtEndPr>
        <w:rPr>
          <w:rFonts w:ascii="Times New Roman" w:eastAsia="Times New Roman" w:hAnsi="Times New Roman" w:cs="Times New Roman"/>
          <w:b/>
          <w:bCs/>
          <w:noProof/>
          <w:sz w:val="24"/>
          <w:szCs w:val="24"/>
        </w:rPr>
      </w:sdtEndPr>
      <w:sdtContent>
        <w:p w:rsidR="00395099" w:rsidRDefault="00E35D77">
          <w:pPr>
            <w:pStyle w:val="TOCHeading"/>
          </w:pPr>
          <w:r>
            <w:t>Table of Contents</w:t>
          </w:r>
        </w:p>
        <w:p w:rsidR="00E57364" w:rsidRDefault="00E35D77">
          <w:pPr>
            <w:pStyle w:val="TOC1"/>
            <w:tabs>
              <w:tab w:val="right" w:leader="dot" w:pos="9016"/>
            </w:tabs>
            <w:rPr>
              <w:rFonts w:asciiTheme="minorHAnsi" w:eastAsiaTheme="minorEastAsia" w:hAnsiTheme="minorHAnsi" w:cstheme="minorBidi"/>
              <w:noProof/>
            </w:rPr>
          </w:pPr>
          <w:r>
            <w:rPr>
              <w:b/>
              <w:bCs/>
              <w:noProof/>
            </w:rPr>
            <w:fldChar w:fldCharType="begin"/>
          </w:r>
          <w:r>
            <w:rPr>
              <w:b/>
              <w:bCs/>
              <w:noProof/>
            </w:rPr>
            <w:instrText xml:space="preserve"> TOC \o "1-3" \h \z \u </w:instrText>
          </w:r>
          <w:r>
            <w:rPr>
              <w:b/>
              <w:bCs/>
              <w:noProof/>
            </w:rPr>
            <w:fldChar w:fldCharType="separate"/>
          </w:r>
          <w:hyperlink w:anchor="_Toc7119517" w:history="1">
            <w:r w:rsidR="00E57364" w:rsidRPr="004A6F46">
              <w:rPr>
                <w:rStyle w:val="Hyperlink"/>
                <w:noProof/>
              </w:rPr>
              <w:t>Executive summary</w:t>
            </w:r>
            <w:r w:rsidR="00E57364">
              <w:rPr>
                <w:noProof/>
                <w:webHidden/>
              </w:rPr>
              <w:tab/>
            </w:r>
            <w:r w:rsidR="00E57364">
              <w:rPr>
                <w:noProof/>
                <w:webHidden/>
              </w:rPr>
              <w:fldChar w:fldCharType="begin"/>
            </w:r>
            <w:r w:rsidR="00E57364">
              <w:rPr>
                <w:noProof/>
                <w:webHidden/>
              </w:rPr>
              <w:instrText xml:space="preserve"> PAGEREF _Toc7119517 \h </w:instrText>
            </w:r>
            <w:r w:rsidR="00E57364">
              <w:rPr>
                <w:noProof/>
                <w:webHidden/>
              </w:rPr>
            </w:r>
            <w:r w:rsidR="00E57364">
              <w:rPr>
                <w:noProof/>
                <w:webHidden/>
              </w:rPr>
              <w:fldChar w:fldCharType="separate"/>
            </w:r>
            <w:r w:rsidR="00E57364">
              <w:rPr>
                <w:noProof/>
                <w:webHidden/>
              </w:rPr>
              <w:t>3</w:t>
            </w:r>
            <w:r w:rsidR="00E57364">
              <w:rPr>
                <w:noProof/>
                <w:webHidden/>
              </w:rPr>
              <w:fldChar w:fldCharType="end"/>
            </w:r>
          </w:hyperlink>
        </w:p>
        <w:p w:rsidR="00E57364" w:rsidRDefault="00E57364">
          <w:pPr>
            <w:pStyle w:val="TOC1"/>
            <w:tabs>
              <w:tab w:val="right" w:leader="dot" w:pos="9016"/>
            </w:tabs>
            <w:rPr>
              <w:rFonts w:asciiTheme="minorHAnsi" w:eastAsiaTheme="minorEastAsia" w:hAnsiTheme="minorHAnsi" w:cstheme="minorBidi"/>
              <w:noProof/>
            </w:rPr>
          </w:pPr>
          <w:hyperlink w:anchor="_Toc7119518" w:history="1">
            <w:r w:rsidRPr="004A6F46">
              <w:rPr>
                <w:rStyle w:val="Hyperlink"/>
                <w:noProof/>
              </w:rPr>
              <w:t>Introduction</w:t>
            </w:r>
            <w:r>
              <w:rPr>
                <w:noProof/>
                <w:webHidden/>
              </w:rPr>
              <w:tab/>
            </w:r>
            <w:r>
              <w:rPr>
                <w:noProof/>
                <w:webHidden/>
              </w:rPr>
              <w:fldChar w:fldCharType="begin"/>
            </w:r>
            <w:r>
              <w:rPr>
                <w:noProof/>
                <w:webHidden/>
              </w:rPr>
              <w:instrText xml:space="preserve"> PAGEREF _Toc7119518 \h </w:instrText>
            </w:r>
            <w:r>
              <w:rPr>
                <w:noProof/>
                <w:webHidden/>
              </w:rPr>
            </w:r>
            <w:r>
              <w:rPr>
                <w:noProof/>
                <w:webHidden/>
              </w:rPr>
              <w:fldChar w:fldCharType="separate"/>
            </w:r>
            <w:r>
              <w:rPr>
                <w:noProof/>
                <w:webHidden/>
              </w:rPr>
              <w:t>4</w:t>
            </w:r>
            <w:r>
              <w:rPr>
                <w:noProof/>
                <w:webHidden/>
              </w:rPr>
              <w:fldChar w:fldCharType="end"/>
            </w:r>
          </w:hyperlink>
        </w:p>
        <w:p w:rsidR="00E57364" w:rsidRDefault="00E57364">
          <w:pPr>
            <w:pStyle w:val="TOC1"/>
            <w:tabs>
              <w:tab w:val="right" w:leader="dot" w:pos="9016"/>
            </w:tabs>
            <w:rPr>
              <w:rFonts w:asciiTheme="minorHAnsi" w:eastAsiaTheme="minorEastAsia" w:hAnsiTheme="minorHAnsi" w:cstheme="minorBidi"/>
              <w:noProof/>
            </w:rPr>
          </w:pPr>
          <w:hyperlink w:anchor="_Toc7119519" w:history="1">
            <w:r w:rsidRPr="004A6F46">
              <w:rPr>
                <w:rStyle w:val="Hyperlink"/>
                <w:noProof/>
              </w:rPr>
              <w:t>FRS 102</w:t>
            </w:r>
            <w:r>
              <w:rPr>
                <w:noProof/>
                <w:webHidden/>
              </w:rPr>
              <w:tab/>
            </w:r>
            <w:r>
              <w:rPr>
                <w:noProof/>
                <w:webHidden/>
              </w:rPr>
              <w:fldChar w:fldCharType="begin"/>
            </w:r>
            <w:r>
              <w:rPr>
                <w:noProof/>
                <w:webHidden/>
              </w:rPr>
              <w:instrText xml:space="preserve"> PAGEREF _Toc7119519 \h </w:instrText>
            </w:r>
            <w:r>
              <w:rPr>
                <w:noProof/>
                <w:webHidden/>
              </w:rPr>
            </w:r>
            <w:r>
              <w:rPr>
                <w:noProof/>
                <w:webHidden/>
              </w:rPr>
              <w:fldChar w:fldCharType="separate"/>
            </w:r>
            <w:r>
              <w:rPr>
                <w:noProof/>
                <w:webHidden/>
              </w:rPr>
              <w:t>4</w:t>
            </w:r>
            <w:r>
              <w:rPr>
                <w:noProof/>
                <w:webHidden/>
              </w:rPr>
              <w:fldChar w:fldCharType="end"/>
            </w:r>
          </w:hyperlink>
        </w:p>
        <w:p w:rsidR="00E57364" w:rsidRDefault="00E57364">
          <w:pPr>
            <w:pStyle w:val="TOC1"/>
            <w:tabs>
              <w:tab w:val="right" w:leader="dot" w:pos="9016"/>
            </w:tabs>
            <w:rPr>
              <w:rFonts w:asciiTheme="minorHAnsi" w:eastAsiaTheme="minorEastAsia" w:hAnsiTheme="minorHAnsi" w:cstheme="minorBidi"/>
              <w:noProof/>
            </w:rPr>
          </w:pPr>
          <w:hyperlink w:anchor="_Toc7119520" w:history="1">
            <w:r w:rsidRPr="004A6F46">
              <w:rPr>
                <w:rStyle w:val="Hyperlink"/>
                <w:noProof/>
              </w:rPr>
              <w:t>The new treatment . . .</w:t>
            </w:r>
            <w:r>
              <w:rPr>
                <w:noProof/>
                <w:webHidden/>
              </w:rPr>
              <w:tab/>
            </w:r>
            <w:r>
              <w:rPr>
                <w:noProof/>
                <w:webHidden/>
              </w:rPr>
              <w:fldChar w:fldCharType="begin"/>
            </w:r>
            <w:r>
              <w:rPr>
                <w:noProof/>
                <w:webHidden/>
              </w:rPr>
              <w:instrText xml:space="preserve"> PAGEREF _Toc7119520 \h </w:instrText>
            </w:r>
            <w:r>
              <w:rPr>
                <w:noProof/>
                <w:webHidden/>
              </w:rPr>
            </w:r>
            <w:r>
              <w:rPr>
                <w:noProof/>
                <w:webHidden/>
              </w:rPr>
              <w:fldChar w:fldCharType="separate"/>
            </w:r>
            <w:r>
              <w:rPr>
                <w:noProof/>
                <w:webHidden/>
              </w:rPr>
              <w:t>5</w:t>
            </w:r>
            <w:r>
              <w:rPr>
                <w:noProof/>
                <w:webHidden/>
              </w:rPr>
              <w:fldChar w:fldCharType="end"/>
            </w:r>
          </w:hyperlink>
        </w:p>
        <w:p w:rsidR="00E57364" w:rsidRDefault="00E57364">
          <w:pPr>
            <w:pStyle w:val="TOC1"/>
            <w:tabs>
              <w:tab w:val="right" w:leader="dot" w:pos="9016"/>
            </w:tabs>
            <w:rPr>
              <w:rFonts w:asciiTheme="minorHAnsi" w:eastAsiaTheme="minorEastAsia" w:hAnsiTheme="minorHAnsi" w:cstheme="minorBidi"/>
              <w:noProof/>
            </w:rPr>
          </w:pPr>
          <w:hyperlink w:anchor="_Toc7119521" w:history="1">
            <w:r w:rsidRPr="004A6F46">
              <w:rPr>
                <w:rStyle w:val="Hyperlink"/>
                <w:noProof/>
              </w:rPr>
              <w:t>Criticism, fundamentals and concepts framework in standard accounting.</w:t>
            </w:r>
            <w:r>
              <w:rPr>
                <w:noProof/>
                <w:webHidden/>
              </w:rPr>
              <w:tab/>
            </w:r>
            <w:r>
              <w:rPr>
                <w:noProof/>
                <w:webHidden/>
              </w:rPr>
              <w:fldChar w:fldCharType="begin"/>
            </w:r>
            <w:r>
              <w:rPr>
                <w:noProof/>
                <w:webHidden/>
              </w:rPr>
              <w:instrText xml:space="preserve"> PAGEREF _Toc7119521 \h </w:instrText>
            </w:r>
            <w:r>
              <w:rPr>
                <w:noProof/>
                <w:webHidden/>
              </w:rPr>
            </w:r>
            <w:r>
              <w:rPr>
                <w:noProof/>
                <w:webHidden/>
              </w:rPr>
              <w:fldChar w:fldCharType="separate"/>
            </w:r>
            <w:r>
              <w:rPr>
                <w:noProof/>
                <w:webHidden/>
              </w:rPr>
              <w:t>5</w:t>
            </w:r>
            <w:r>
              <w:rPr>
                <w:noProof/>
                <w:webHidden/>
              </w:rPr>
              <w:fldChar w:fldCharType="end"/>
            </w:r>
          </w:hyperlink>
        </w:p>
        <w:p w:rsidR="00E57364" w:rsidRDefault="00E57364">
          <w:pPr>
            <w:pStyle w:val="TOC1"/>
            <w:tabs>
              <w:tab w:val="right" w:leader="dot" w:pos="9016"/>
            </w:tabs>
            <w:rPr>
              <w:rFonts w:asciiTheme="minorHAnsi" w:eastAsiaTheme="minorEastAsia" w:hAnsiTheme="minorHAnsi" w:cstheme="minorBidi"/>
              <w:noProof/>
            </w:rPr>
          </w:pPr>
          <w:hyperlink w:anchor="_Toc7119522" w:history="1">
            <w:r w:rsidRPr="004A6F46">
              <w:rPr>
                <w:rStyle w:val="Hyperlink"/>
                <w:noProof/>
              </w:rPr>
              <w:t>Conclusion</w:t>
            </w:r>
            <w:r>
              <w:rPr>
                <w:noProof/>
                <w:webHidden/>
              </w:rPr>
              <w:tab/>
            </w:r>
            <w:r>
              <w:rPr>
                <w:noProof/>
                <w:webHidden/>
              </w:rPr>
              <w:fldChar w:fldCharType="begin"/>
            </w:r>
            <w:r>
              <w:rPr>
                <w:noProof/>
                <w:webHidden/>
              </w:rPr>
              <w:instrText xml:space="preserve"> PAGEREF _Toc7119522 \h </w:instrText>
            </w:r>
            <w:r>
              <w:rPr>
                <w:noProof/>
                <w:webHidden/>
              </w:rPr>
            </w:r>
            <w:r>
              <w:rPr>
                <w:noProof/>
                <w:webHidden/>
              </w:rPr>
              <w:fldChar w:fldCharType="separate"/>
            </w:r>
            <w:r>
              <w:rPr>
                <w:noProof/>
                <w:webHidden/>
              </w:rPr>
              <w:t>7</w:t>
            </w:r>
            <w:r>
              <w:rPr>
                <w:noProof/>
                <w:webHidden/>
              </w:rPr>
              <w:fldChar w:fldCharType="end"/>
            </w:r>
          </w:hyperlink>
        </w:p>
        <w:p w:rsidR="00E57364" w:rsidRDefault="00E57364">
          <w:pPr>
            <w:pStyle w:val="TOC1"/>
            <w:tabs>
              <w:tab w:val="right" w:leader="dot" w:pos="9016"/>
            </w:tabs>
            <w:rPr>
              <w:rFonts w:asciiTheme="minorHAnsi" w:eastAsiaTheme="minorEastAsia" w:hAnsiTheme="minorHAnsi" w:cstheme="minorBidi"/>
              <w:noProof/>
            </w:rPr>
          </w:pPr>
          <w:hyperlink w:anchor="_Toc7119523" w:history="1">
            <w:r w:rsidRPr="004A6F46">
              <w:rPr>
                <w:rStyle w:val="Hyperlink"/>
                <w:noProof/>
              </w:rPr>
              <w:t>References</w:t>
            </w:r>
            <w:r>
              <w:rPr>
                <w:noProof/>
                <w:webHidden/>
              </w:rPr>
              <w:tab/>
            </w:r>
            <w:r>
              <w:rPr>
                <w:noProof/>
                <w:webHidden/>
              </w:rPr>
              <w:fldChar w:fldCharType="begin"/>
            </w:r>
            <w:r>
              <w:rPr>
                <w:noProof/>
                <w:webHidden/>
              </w:rPr>
              <w:instrText xml:space="preserve"> PAGEREF _Toc7119523 \h </w:instrText>
            </w:r>
            <w:r>
              <w:rPr>
                <w:noProof/>
                <w:webHidden/>
              </w:rPr>
            </w:r>
            <w:r>
              <w:rPr>
                <w:noProof/>
                <w:webHidden/>
              </w:rPr>
              <w:fldChar w:fldCharType="separate"/>
            </w:r>
            <w:r>
              <w:rPr>
                <w:noProof/>
                <w:webHidden/>
              </w:rPr>
              <w:t>8</w:t>
            </w:r>
            <w:r>
              <w:rPr>
                <w:noProof/>
                <w:webHidden/>
              </w:rPr>
              <w:fldChar w:fldCharType="end"/>
            </w:r>
          </w:hyperlink>
        </w:p>
        <w:p w:rsidR="00395099" w:rsidRDefault="00E35D77">
          <w:r>
            <w:rPr>
              <w:b/>
              <w:bCs/>
              <w:noProof/>
            </w:rPr>
            <w:fldChar w:fldCharType="end"/>
          </w:r>
        </w:p>
      </w:sdtContent>
    </w:sdt>
    <w:p w:rsidR="00395099" w:rsidRDefault="00395099" w:rsidP="00E70FC2">
      <w:pPr>
        <w:pStyle w:val="Heading1"/>
      </w:pPr>
    </w:p>
    <w:p w:rsidR="00395099" w:rsidRDefault="00395099" w:rsidP="00E70FC2">
      <w:pPr>
        <w:pStyle w:val="Heading1"/>
      </w:pPr>
    </w:p>
    <w:p w:rsidR="00395099" w:rsidRDefault="00395099" w:rsidP="00E70FC2">
      <w:pPr>
        <w:pStyle w:val="Heading1"/>
      </w:pPr>
    </w:p>
    <w:p w:rsidR="00395099" w:rsidRDefault="00395099" w:rsidP="00395099"/>
    <w:p w:rsidR="00395099" w:rsidRDefault="00395099" w:rsidP="00395099"/>
    <w:p w:rsidR="00395099" w:rsidRDefault="00395099" w:rsidP="00395099"/>
    <w:p w:rsidR="00395099" w:rsidRDefault="00395099" w:rsidP="00395099"/>
    <w:p w:rsidR="00395099" w:rsidRDefault="00395099" w:rsidP="00395099"/>
    <w:p w:rsidR="00395099" w:rsidRDefault="00395099" w:rsidP="00395099"/>
    <w:p w:rsidR="00395099" w:rsidRDefault="00395099" w:rsidP="00395099"/>
    <w:p w:rsidR="00395099" w:rsidRPr="00395099" w:rsidRDefault="00395099" w:rsidP="00395099"/>
    <w:p w:rsidR="00395099" w:rsidRDefault="00395099" w:rsidP="00E70FC2">
      <w:pPr>
        <w:pStyle w:val="Heading1"/>
      </w:pPr>
    </w:p>
    <w:p w:rsidR="00395099" w:rsidRDefault="00395099" w:rsidP="00395099"/>
    <w:p w:rsidR="00395099" w:rsidRDefault="00395099" w:rsidP="00E70FC2">
      <w:pPr>
        <w:pStyle w:val="Heading1"/>
      </w:pPr>
    </w:p>
    <w:p w:rsidR="00AB1D87" w:rsidRDefault="00AB1D87" w:rsidP="00AB1D87"/>
    <w:p w:rsidR="00A64EA2" w:rsidRDefault="00A64EA2" w:rsidP="00AB1D87"/>
    <w:p w:rsidR="00AF385A" w:rsidRDefault="00AF385A" w:rsidP="00AB1D87"/>
    <w:p w:rsidR="00AF385A" w:rsidRDefault="00AF385A" w:rsidP="00AB1D87"/>
    <w:p w:rsidR="00AF385A" w:rsidRDefault="00AF385A" w:rsidP="00AB1D87"/>
    <w:p w:rsidR="00AF385A" w:rsidRDefault="00AF385A" w:rsidP="00AB1D87"/>
    <w:p w:rsidR="00A64EA2" w:rsidRDefault="00A64EA2" w:rsidP="00AB1D87"/>
    <w:p w:rsidR="00AB1D87" w:rsidRPr="00AB1D87" w:rsidRDefault="00AB1D87" w:rsidP="00AB1D87"/>
    <w:p w:rsidR="00E70FC2" w:rsidRDefault="00E35D77" w:rsidP="00E70FC2">
      <w:pPr>
        <w:pStyle w:val="Heading1"/>
      </w:pPr>
      <w:bookmarkStart w:id="0" w:name="_Toc7119517"/>
      <w:r>
        <w:t>Executive summary</w:t>
      </w:r>
      <w:bookmarkEnd w:id="0"/>
      <w:r>
        <w:t xml:space="preserve"> </w:t>
      </w:r>
    </w:p>
    <w:p w:rsidR="00395099" w:rsidRDefault="00395099" w:rsidP="00395099"/>
    <w:p w:rsidR="000A7726" w:rsidRPr="000A7726" w:rsidRDefault="00E35D77" w:rsidP="00BF0515">
      <w:pPr>
        <w:spacing w:line="480" w:lineRule="auto"/>
        <w:ind w:left="360"/>
        <w:jc w:val="both"/>
        <w:rPr>
          <w:color w:val="FFFFFF" w:themeColor="background1"/>
        </w:rPr>
      </w:pPr>
      <w:r w:rsidRPr="0064139B">
        <w:t xml:space="preserve">Since </w:t>
      </w:r>
      <w:r w:rsidR="1EE15132" w:rsidRPr="0064139B">
        <w:t xml:space="preserve">the beginning of the January 2015, the accounting standards controlling leases for the United Kingdom has been section 30 of FRS 102, in the line with IAS 17, which is </w:t>
      </w:r>
      <w:r w:rsidR="0089165C">
        <w:t>known as the</w:t>
      </w:r>
      <w:r w:rsidR="1EE15132" w:rsidRPr="0064139B">
        <w:t xml:space="preserve"> equivalent international standard. Under these standards, there are two types of leases, </w:t>
      </w:r>
      <w:r w:rsidR="009B203B">
        <w:t xml:space="preserve">known as </w:t>
      </w:r>
      <w:r w:rsidR="1EE15132" w:rsidRPr="0064139B">
        <w:t xml:space="preserve">financial and operating </w:t>
      </w:r>
      <w:r w:rsidR="009B203B">
        <w:t>leases</w:t>
      </w:r>
      <w:r w:rsidR="1EE15132" w:rsidRPr="0064139B">
        <w:t>. Both of the</w:t>
      </w:r>
      <w:r w:rsidR="009B203B">
        <w:t>se leases</w:t>
      </w:r>
      <w:r w:rsidR="1EE15132" w:rsidRPr="0064139B">
        <w:t xml:space="preserve"> are </w:t>
      </w:r>
      <w:r w:rsidR="009B203B">
        <w:t xml:space="preserve">very </w:t>
      </w:r>
      <w:r w:rsidR="1EE15132" w:rsidRPr="0064139B">
        <w:t>different from each other</w:t>
      </w:r>
      <w:r w:rsidR="009D4E50">
        <w:t>:</w:t>
      </w:r>
      <w:r w:rsidR="1EE15132" w:rsidRPr="0064139B">
        <w:t xml:space="preserve"> financial leases are recorded in the balance sheet as assets and liabilities, and operating leases as an ex</w:t>
      </w:r>
      <w:r w:rsidR="00E948B1" w:rsidRPr="0064139B">
        <w:t xml:space="preserve">pense. At the establishment of </w:t>
      </w:r>
      <w:r w:rsidR="1EE15132" w:rsidRPr="0064139B">
        <w:t xml:space="preserve">the standard, this was considered to be suitable and well-judged interpretation of the conceptual framework requirement for the substance of a </w:t>
      </w:r>
      <w:r w:rsidR="00937694" w:rsidRPr="0064139B">
        <w:t>transaction.</w:t>
      </w:r>
      <w:r>
        <w:t xml:space="preserve"> </w:t>
      </w:r>
      <w:r>
        <w:rPr>
          <w:color w:val="FFFFFF" w:themeColor="background1"/>
        </w:rPr>
        <w:t>. . . . .. . . . . . . . . . .</w:t>
      </w:r>
      <w:r>
        <w:rPr>
          <w:color w:val="FFFFFF" w:themeColor="background1"/>
        </w:rPr>
        <w:t xml:space="preserve"> . . . . . . . . . . . . ..</w:t>
      </w:r>
    </w:p>
    <w:p w:rsidR="00610DAB" w:rsidRPr="0064139B" w:rsidRDefault="00E35D77" w:rsidP="00BF0515">
      <w:pPr>
        <w:spacing w:line="480" w:lineRule="auto"/>
        <w:ind w:left="360"/>
        <w:jc w:val="both"/>
      </w:pPr>
      <w:r w:rsidRPr="0064139B">
        <w:t>However, problems were being identified in the current standards over the past few years. This has created problems in the differentiation of two businesses.</w:t>
      </w:r>
      <w:r w:rsidR="00CE7A68">
        <w:t xml:space="preserve"> Sources have confirmed that the most affected </w:t>
      </w:r>
      <w:r w:rsidR="00C232DE">
        <w:t xml:space="preserve">will be </w:t>
      </w:r>
      <w:r w:rsidR="00775304">
        <w:t xml:space="preserve">the </w:t>
      </w:r>
      <w:r w:rsidR="00C232DE">
        <w:t xml:space="preserve">retail </w:t>
      </w:r>
      <w:r w:rsidR="004A575D">
        <w:t>industries</w:t>
      </w:r>
      <w:r w:rsidR="00C232DE">
        <w:t>.</w:t>
      </w:r>
    </w:p>
    <w:p w:rsidR="00610DAB" w:rsidRPr="00FD38F0" w:rsidRDefault="00E35D77" w:rsidP="00BF0515">
      <w:pPr>
        <w:spacing w:line="480" w:lineRule="auto"/>
        <w:ind w:left="360"/>
        <w:jc w:val="both"/>
        <w:rPr>
          <w:color w:val="000000" w:themeColor="text1"/>
        </w:rPr>
      </w:pPr>
      <w:r w:rsidRPr="00FD38F0">
        <w:rPr>
          <w:color w:val="000000" w:themeColor="text1"/>
        </w:rPr>
        <w:t>A major issue</w:t>
      </w:r>
      <w:r w:rsidR="003A6914">
        <w:rPr>
          <w:color w:val="000000" w:themeColor="text1"/>
        </w:rPr>
        <w:t xml:space="preserve"> </w:t>
      </w:r>
      <w:r w:rsidR="00937694" w:rsidRPr="00FD38F0">
        <w:rPr>
          <w:color w:val="000000" w:themeColor="text1"/>
        </w:rPr>
        <w:t xml:space="preserve">is that they allow for operating leases to be recorded off the balance sheet, </w:t>
      </w:r>
      <w:r w:rsidR="00FD38F0" w:rsidRPr="00FD38F0">
        <w:rPr>
          <w:color w:val="000000" w:themeColor="text1"/>
        </w:rPr>
        <w:t>which has resulted</w:t>
      </w:r>
      <w:r w:rsidR="00937694" w:rsidRPr="00FD38F0">
        <w:rPr>
          <w:color w:val="000000" w:themeColor="text1"/>
        </w:rPr>
        <w:t xml:space="preserve"> in differences in the recorded assets and liabilities for similar organisations. </w:t>
      </w:r>
    </w:p>
    <w:p w:rsidR="00395099" w:rsidRPr="0064139B" w:rsidRDefault="00E35D77" w:rsidP="00BF0515">
      <w:pPr>
        <w:spacing w:line="480" w:lineRule="auto"/>
        <w:ind w:left="360"/>
        <w:jc w:val="both"/>
      </w:pPr>
      <w:r w:rsidRPr="0064139B">
        <w:t>1</w:t>
      </w:r>
      <w:r w:rsidRPr="0064139B">
        <w:rPr>
          <w:vertAlign w:val="superscript"/>
        </w:rPr>
        <w:t>st</w:t>
      </w:r>
      <w:r w:rsidRPr="0064139B">
        <w:t xml:space="preserve"> of January 2019</w:t>
      </w:r>
      <w:r w:rsidR="00610DAB" w:rsidRPr="0064139B">
        <w:t xml:space="preserve"> onwards</w:t>
      </w:r>
      <w:r w:rsidRPr="0064139B">
        <w:t xml:space="preserve">, FRS 102 will </w:t>
      </w:r>
      <w:r w:rsidRPr="0064139B">
        <w:t>be replaced by IFRS 16, which merges the treatment of leases and remedies the problems highlighted</w:t>
      </w:r>
      <w:r w:rsidR="007C4989" w:rsidRPr="0064139B">
        <w:t xml:space="preserve"> above</w:t>
      </w:r>
      <w:r w:rsidR="003A6914">
        <w:t xml:space="preserve">, </w:t>
      </w:r>
      <w:r w:rsidR="0073785A" w:rsidRPr="0064139B">
        <w:t>this</w:t>
      </w:r>
      <w:r w:rsidRPr="0064139B">
        <w:t xml:space="preserve"> will </w:t>
      </w:r>
      <w:r w:rsidR="007C4989" w:rsidRPr="0064139B">
        <w:t xml:space="preserve">now </w:t>
      </w:r>
      <w:r w:rsidRPr="0064139B">
        <w:t xml:space="preserve">conduct to an immense impact on the balance sheet of some industries. </w:t>
      </w:r>
      <w:r w:rsidR="00C67276" w:rsidRPr="0064139B">
        <w:t>Although, e</w:t>
      </w:r>
      <w:r w:rsidRPr="0064139B">
        <w:t xml:space="preserve">very organisation that is lessees </w:t>
      </w:r>
      <w:r w:rsidR="0073785A" w:rsidRPr="0064139B">
        <w:t xml:space="preserve">are </w:t>
      </w:r>
      <w:r w:rsidR="003A6914">
        <w:t>r</w:t>
      </w:r>
      <w:bookmarkStart w:id="1" w:name="_GoBack"/>
      <w:bookmarkEnd w:id="1"/>
      <w:r w:rsidR="0073785A" w:rsidRPr="0064139B">
        <w:t>equired to meet the new standard</w:t>
      </w:r>
      <w:r w:rsidR="00655F7C">
        <w:t>.</w:t>
      </w:r>
    </w:p>
    <w:p w:rsidR="00610DAB" w:rsidRDefault="00610DAB" w:rsidP="00395099"/>
    <w:p w:rsidR="000A7726" w:rsidRDefault="000A7726" w:rsidP="00395099"/>
    <w:p w:rsidR="00772ACE" w:rsidRDefault="00772ACE" w:rsidP="00395099"/>
    <w:p w:rsidR="00772ACE" w:rsidRDefault="00772ACE" w:rsidP="00395099"/>
    <w:p w:rsidR="00AF385A" w:rsidRDefault="00AF385A" w:rsidP="00395099"/>
    <w:p w:rsidR="00BF0515" w:rsidRDefault="00BF0515" w:rsidP="00395099"/>
    <w:p w:rsidR="00BF0515" w:rsidRDefault="00BF0515" w:rsidP="00395099"/>
    <w:p w:rsidR="00AF385A" w:rsidRDefault="00AF385A" w:rsidP="00395099"/>
    <w:p w:rsidR="00E70FC2" w:rsidRDefault="00E35D77" w:rsidP="0071651C">
      <w:pPr>
        <w:pStyle w:val="Heading1"/>
      </w:pPr>
      <w:bookmarkStart w:id="2" w:name="_Toc7119518"/>
      <w:r>
        <w:lastRenderedPageBreak/>
        <w:t>Introduction</w:t>
      </w:r>
      <w:bookmarkEnd w:id="2"/>
    </w:p>
    <w:p w:rsidR="00395099" w:rsidRDefault="00395099" w:rsidP="24E44F7A"/>
    <w:p w:rsidR="0061410F" w:rsidRPr="00E874BF" w:rsidRDefault="00E35D77" w:rsidP="00BF0515">
      <w:pPr>
        <w:spacing w:line="360" w:lineRule="auto"/>
      </w:pPr>
      <w:r w:rsidRPr="1EE15132">
        <w:t xml:space="preserve">This report will be discussing the way </w:t>
      </w:r>
      <w:r w:rsidR="00FC5892">
        <w:t xml:space="preserve">in which </w:t>
      </w:r>
      <w:r w:rsidRPr="1EE15132">
        <w:t xml:space="preserve">leases are differentiated and accounted for depending on various important factors. The new standards IFRS are being known to have created inequality between the old and the new accounting standards, </w:t>
      </w:r>
      <w:r w:rsidR="00FC5892">
        <w:t>which</w:t>
      </w:r>
      <w:r w:rsidRPr="1EE15132">
        <w:t xml:space="preserve"> will potentially create issues and have an impact </w:t>
      </w:r>
      <w:r w:rsidRPr="1EE15132">
        <w:t>on financial industries</w:t>
      </w:r>
      <w:r w:rsidR="00262989">
        <w:t xml:space="preserve"> (FRC, 2015)</w:t>
      </w:r>
      <w:r w:rsidRPr="1EE15132">
        <w:t xml:space="preserve">. Additionally, the report will </w:t>
      </w:r>
      <w:r w:rsidR="004517B8">
        <w:t xml:space="preserve">also </w:t>
      </w:r>
      <w:r w:rsidRPr="1EE15132">
        <w:t xml:space="preserve">highlight how leases are recognised and accounted for in two different ways within the current rule, IAS17 (Capkun, 2012).  </w:t>
      </w:r>
      <w:r w:rsidR="00BC5B75" w:rsidRPr="1EE15132">
        <w:t>Criticism</w:t>
      </w:r>
      <w:r w:rsidRPr="1EE15132">
        <w:t xml:space="preserve"> of the approach adopted by the current accounting </w:t>
      </w:r>
      <w:r w:rsidRPr="1EE15132">
        <w:t xml:space="preserve">standard will also be discussed, and how the treatment discussions the principals represented within the </w:t>
      </w:r>
      <w:r w:rsidR="00BC5B75" w:rsidRPr="1EE15132">
        <w:t>Conceptual</w:t>
      </w:r>
      <w:r w:rsidRPr="1EE15132">
        <w:t xml:space="preserve"> Framework.   </w:t>
      </w:r>
      <w:r w:rsidR="00E874BF">
        <w:t xml:space="preserve"> </w:t>
      </w:r>
    </w:p>
    <w:p w:rsidR="00395099" w:rsidRDefault="00E35D77" w:rsidP="0061410F">
      <w:pPr>
        <w:pStyle w:val="Heading1"/>
      </w:pPr>
      <w:bookmarkStart w:id="3" w:name="_Toc7119519"/>
      <w:r>
        <w:t>FRS 102</w:t>
      </w:r>
      <w:bookmarkEnd w:id="3"/>
    </w:p>
    <w:p w:rsidR="005E48A4" w:rsidRDefault="005E48A4" w:rsidP="005E48A4"/>
    <w:p w:rsidR="008D31B6" w:rsidRPr="0073785A" w:rsidRDefault="00E35D77" w:rsidP="00BF0515">
      <w:pPr>
        <w:spacing w:line="360" w:lineRule="auto"/>
        <w:rPr>
          <w:color w:val="000000"/>
          <w:shd w:val="clear" w:color="auto" w:fill="FFFFFF"/>
        </w:rPr>
      </w:pPr>
      <w:r w:rsidRPr="0073785A">
        <w:t xml:space="preserve">In order to </w:t>
      </w:r>
      <w:r w:rsidR="00332CD8" w:rsidRPr="0073785A">
        <w:t xml:space="preserve">determine the </w:t>
      </w:r>
      <w:r w:rsidR="00043C61" w:rsidRPr="0073785A">
        <w:t xml:space="preserve">collision </w:t>
      </w:r>
      <w:r w:rsidR="00D62756" w:rsidRPr="0073785A">
        <w:t>of the approaching changes to leasing standards,</w:t>
      </w:r>
      <w:r w:rsidR="00154316" w:rsidRPr="0073785A">
        <w:t xml:space="preserve"> we should comprehend things </w:t>
      </w:r>
      <w:r w:rsidR="00294BA9" w:rsidRPr="0073785A">
        <w:t xml:space="preserve">the way they currently stand. </w:t>
      </w:r>
      <w:r w:rsidR="006857DA" w:rsidRPr="0073785A">
        <w:t>In t</w:t>
      </w:r>
      <w:r w:rsidR="000631A0" w:rsidRPr="0073785A">
        <w:t>he present standard is FRS 102</w:t>
      </w:r>
      <w:r w:rsidR="00E26C8A" w:rsidRPr="0073785A">
        <w:t>, known as IAS 17 worldwide</w:t>
      </w:r>
      <w:r w:rsidR="00CE13C8" w:rsidRPr="0073785A">
        <w:t xml:space="preserve">, </w:t>
      </w:r>
      <w:r w:rsidR="009A63BD" w:rsidRPr="0073785A">
        <w:t xml:space="preserve">distinctions must be made </w:t>
      </w:r>
      <w:r w:rsidR="00A27C32" w:rsidRPr="0073785A">
        <w:t xml:space="preserve">which again, depends upon what is </w:t>
      </w:r>
      <w:r w:rsidR="006857DA" w:rsidRPr="0073785A">
        <w:t xml:space="preserve">currently being </w:t>
      </w:r>
      <w:r w:rsidR="008E3401" w:rsidRPr="0073785A">
        <w:t>leased</w:t>
      </w:r>
      <w:r w:rsidR="008E3401" w:rsidRPr="0073785A">
        <w:rPr>
          <w:color w:val="000000"/>
          <w:shd w:val="clear" w:color="auto" w:fill="FFFFFF"/>
        </w:rPr>
        <w:t xml:space="preserve"> (IFRS, 2019)</w:t>
      </w:r>
      <w:r w:rsidR="008E3401" w:rsidRPr="0073785A">
        <w:t xml:space="preserve">. </w:t>
      </w:r>
      <w:r w:rsidR="00546C95" w:rsidRPr="0073785A">
        <w:t>Leases can be classified as a finance or operating leases</w:t>
      </w:r>
      <w:r w:rsidR="000F761C" w:rsidRPr="0073785A">
        <w:t xml:space="preserve">, with the </w:t>
      </w:r>
      <w:r w:rsidR="00664D5D" w:rsidRPr="0073785A">
        <w:t xml:space="preserve">agreement being </w:t>
      </w:r>
      <w:r w:rsidR="00F1382F" w:rsidRPr="0073785A">
        <w:t xml:space="preserve">made in the outset. </w:t>
      </w:r>
      <w:r w:rsidR="004E2D4B" w:rsidRPr="0073785A">
        <w:t xml:space="preserve">Like the agreement with the </w:t>
      </w:r>
      <w:r w:rsidR="00522391" w:rsidRPr="0073785A">
        <w:t xml:space="preserve">accounting principle </w:t>
      </w:r>
      <w:r w:rsidR="00B8389E" w:rsidRPr="0073785A">
        <w:t xml:space="preserve">of “Substance </w:t>
      </w:r>
      <w:r w:rsidR="0073785A" w:rsidRPr="0073785A">
        <w:t>over</w:t>
      </w:r>
      <w:r w:rsidR="00B8389E" w:rsidRPr="0073785A">
        <w:t xml:space="preserve"> Form”, the lease </w:t>
      </w:r>
      <w:r w:rsidR="00863E0D" w:rsidRPr="0073785A">
        <w:t xml:space="preserve">is arranged and classified as </w:t>
      </w:r>
      <w:r w:rsidR="00C438AC" w:rsidRPr="0073785A">
        <w:t xml:space="preserve">capital in nature, that if it transfers </w:t>
      </w:r>
      <w:r w:rsidR="00D711D6" w:rsidRPr="0073785A">
        <w:t xml:space="preserve">essentially </w:t>
      </w:r>
      <w:r w:rsidR="00A47596" w:rsidRPr="0073785A">
        <w:t xml:space="preserve">all the rewards as well as the risks </w:t>
      </w:r>
      <w:r w:rsidR="00620BE5" w:rsidRPr="0073785A">
        <w:t>to ownership</w:t>
      </w:r>
      <w:r w:rsidR="0065481E" w:rsidRPr="0073785A">
        <w:t xml:space="preserve"> </w:t>
      </w:r>
      <w:r w:rsidR="0065481E" w:rsidRPr="0073785A">
        <w:rPr>
          <w:color w:val="000000"/>
          <w:shd w:val="clear" w:color="auto" w:fill="FFFFFF"/>
        </w:rPr>
        <w:t xml:space="preserve">(ICAEW, 2019). </w:t>
      </w:r>
      <w:r w:rsidR="00653AF1" w:rsidRPr="0073785A">
        <w:rPr>
          <w:color w:val="000000"/>
          <w:shd w:val="clear" w:color="auto" w:fill="FFFFFF"/>
        </w:rPr>
        <w:t xml:space="preserve">This </w:t>
      </w:r>
      <w:r w:rsidR="001758C1" w:rsidRPr="0073785A">
        <w:rPr>
          <w:color w:val="000000"/>
          <w:shd w:val="clear" w:color="auto" w:fill="FFFFFF"/>
        </w:rPr>
        <w:t xml:space="preserve">contains cases where </w:t>
      </w:r>
      <w:r w:rsidR="00040489" w:rsidRPr="0073785A">
        <w:rPr>
          <w:color w:val="000000"/>
          <w:shd w:val="clear" w:color="auto" w:fill="FFFFFF"/>
        </w:rPr>
        <w:t xml:space="preserve">the </w:t>
      </w:r>
      <w:r w:rsidR="00D841DD" w:rsidRPr="0073785A">
        <w:rPr>
          <w:color w:val="000000"/>
          <w:shd w:val="clear" w:color="auto" w:fill="FFFFFF"/>
        </w:rPr>
        <w:t>ownership of the asset is</w:t>
      </w:r>
      <w:r w:rsidR="00A53B88" w:rsidRPr="0073785A">
        <w:rPr>
          <w:color w:val="000000"/>
          <w:shd w:val="clear" w:color="auto" w:fill="FFFFFF"/>
        </w:rPr>
        <w:t xml:space="preserve"> reassigned right at the end of the lease to the lessee</w:t>
      </w:r>
      <w:r w:rsidR="00334D7B" w:rsidRPr="0073785A">
        <w:rPr>
          <w:color w:val="000000"/>
          <w:shd w:val="clear" w:color="auto" w:fill="FFFFFF"/>
        </w:rPr>
        <w:t xml:space="preserve">. </w:t>
      </w:r>
      <w:r w:rsidRPr="0073785A">
        <w:rPr>
          <w:color w:val="000000"/>
          <w:shd w:val="clear" w:color="auto" w:fill="FFFFFF"/>
        </w:rPr>
        <w:t xml:space="preserve">Only through the principle of Substance over Form, finance accounting establishes that the financial statements are all detailed and correct, </w:t>
      </w:r>
      <w:r w:rsidR="00564451">
        <w:rPr>
          <w:color w:val="000000"/>
          <w:shd w:val="clear" w:color="auto" w:fill="FFFFFF"/>
        </w:rPr>
        <w:t xml:space="preserve">as well as being </w:t>
      </w:r>
      <w:r w:rsidRPr="0073785A">
        <w:rPr>
          <w:color w:val="000000"/>
          <w:shd w:val="clear" w:color="auto" w:fill="FFFFFF"/>
        </w:rPr>
        <w:t>relevant and clearly completed.</w:t>
      </w:r>
    </w:p>
    <w:p w:rsidR="0073785A" w:rsidRDefault="00E35D77" w:rsidP="00BF0515">
      <w:pPr>
        <w:spacing w:line="360" w:lineRule="auto"/>
        <w:rPr>
          <w:color w:val="000000"/>
          <w:shd w:val="clear" w:color="auto" w:fill="FFFFFF"/>
        </w:rPr>
      </w:pPr>
      <w:r w:rsidRPr="0073785A">
        <w:rPr>
          <w:color w:val="000000"/>
          <w:shd w:val="clear" w:color="auto" w:fill="FFFFFF"/>
        </w:rPr>
        <w:t>As written in the Financial Reporting Council, (2019)</w:t>
      </w:r>
      <w:r w:rsidR="00334D7B" w:rsidRPr="0073785A">
        <w:rPr>
          <w:color w:val="000000"/>
          <w:shd w:val="clear" w:color="auto" w:fill="FFFFFF"/>
        </w:rPr>
        <w:t xml:space="preserve"> leases </w:t>
      </w:r>
      <w:r w:rsidR="008D31B6" w:rsidRPr="0073785A">
        <w:rPr>
          <w:color w:val="000000"/>
          <w:shd w:val="clear" w:color="auto" w:fill="FFFFFF"/>
        </w:rPr>
        <w:t xml:space="preserve">that are </w:t>
      </w:r>
      <w:r w:rsidR="00334D7B" w:rsidRPr="0073785A">
        <w:rPr>
          <w:color w:val="000000"/>
          <w:shd w:val="clear" w:color="auto" w:fill="FFFFFF"/>
        </w:rPr>
        <w:t xml:space="preserve">not accounted </w:t>
      </w:r>
      <w:r w:rsidR="007576FC" w:rsidRPr="0073785A">
        <w:rPr>
          <w:color w:val="000000"/>
          <w:shd w:val="clear" w:color="auto" w:fill="FFFFFF"/>
        </w:rPr>
        <w:t xml:space="preserve">to be financial in nature are categorised </w:t>
      </w:r>
      <w:r w:rsidR="008D31B6" w:rsidRPr="0073785A">
        <w:rPr>
          <w:color w:val="000000"/>
          <w:shd w:val="clear" w:color="auto" w:fill="FFFFFF"/>
        </w:rPr>
        <w:t xml:space="preserve">as operating leases. The lease is supposed to regulate the interest and also the repayment </w:t>
      </w:r>
      <w:r w:rsidR="0022075D" w:rsidRPr="0073785A">
        <w:rPr>
          <w:color w:val="000000"/>
          <w:shd w:val="clear" w:color="auto" w:fill="FFFFFF"/>
        </w:rPr>
        <w:t xml:space="preserve">of the liability that is </w:t>
      </w:r>
      <w:r w:rsidR="000D38F0" w:rsidRPr="0073785A">
        <w:rPr>
          <w:color w:val="000000"/>
          <w:shd w:val="clear" w:color="auto" w:fill="FFFFFF"/>
        </w:rPr>
        <w:t>outstanding and</w:t>
      </w:r>
      <w:r w:rsidR="0022075D" w:rsidRPr="0073785A">
        <w:rPr>
          <w:color w:val="000000"/>
          <w:shd w:val="clear" w:color="auto" w:fill="FFFFFF"/>
        </w:rPr>
        <w:t xml:space="preserve"> affirm these as an expense in the related cycle. Meanwhile, the asset should be depreciated in agreement with the property's treatment, plant, and the equipment over its life. Closing each reporting period, all the leases notes the net carrying volume of the relevant asset and creates a range of exposure enclosing the upcoming lease payments due, with a general description of the leasing agreement as well as any renewal </w:t>
      </w:r>
      <w:r w:rsidR="007A369E" w:rsidRPr="0073785A">
        <w:rPr>
          <w:color w:val="000000"/>
          <w:shd w:val="clear" w:color="auto" w:fill="FFFFFF"/>
        </w:rPr>
        <w:t xml:space="preserve">or acquisition options.  </w:t>
      </w:r>
    </w:p>
    <w:p w:rsidR="00854FF6" w:rsidRDefault="00E35D77" w:rsidP="00BF0515">
      <w:pPr>
        <w:spacing w:line="360" w:lineRule="auto"/>
        <w:rPr>
          <w:color w:val="000000"/>
          <w:shd w:val="clear" w:color="auto" w:fill="FFFFFF"/>
        </w:rPr>
      </w:pPr>
      <w:r>
        <w:rPr>
          <w:color w:val="000000"/>
          <w:shd w:val="clear" w:color="auto" w:fill="FFFFFF"/>
        </w:rPr>
        <w:t xml:space="preserve">On the contrary, operating leases are only needed when the lease is acknowledged as an expense.  </w:t>
      </w:r>
      <w:r w:rsidR="00F87515">
        <w:rPr>
          <w:color w:val="000000"/>
          <w:shd w:val="clear" w:color="auto" w:fill="FFFFFF"/>
        </w:rPr>
        <w:t xml:space="preserve">In the event of a rent-free course at the beginning of a lease </w:t>
      </w:r>
      <w:r w:rsidR="00EF775A">
        <w:rPr>
          <w:color w:val="000000"/>
          <w:shd w:val="clear" w:color="auto" w:fill="FFFFFF"/>
        </w:rPr>
        <w:t xml:space="preserve">on the asset which is </w:t>
      </w:r>
      <w:r w:rsidR="00EF775A">
        <w:rPr>
          <w:color w:val="000000"/>
          <w:shd w:val="clear" w:color="auto" w:fill="FFFFFF"/>
        </w:rPr>
        <w:lastRenderedPageBreak/>
        <w:t>leased, can be considered as an accrual payment and decreased on a straight-line basis over the period of the lease reconciliation (</w:t>
      </w:r>
      <w:r w:rsidR="00EF775A" w:rsidRPr="00EF775A">
        <w:rPr>
          <w:color w:val="222222"/>
          <w:shd w:val="clear" w:color="auto" w:fill="FFFFFF"/>
        </w:rPr>
        <w:t>Bennett, B.K. and Bradbury, M.E., 2003</w:t>
      </w:r>
      <w:r w:rsidR="00EF775A">
        <w:rPr>
          <w:color w:val="222222"/>
          <w:shd w:val="clear" w:color="auto" w:fill="FFFFFF"/>
        </w:rPr>
        <w:t>)</w:t>
      </w:r>
    </w:p>
    <w:p w:rsidR="00CC6DF3" w:rsidRPr="00CC6DF3" w:rsidRDefault="00CC6DF3" w:rsidP="00CC6DF3">
      <w:pPr>
        <w:spacing w:line="276" w:lineRule="auto"/>
        <w:rPr>
          <w:color w:val="000000"/>
          <w:shd w:val="clear" w:color="auto" w:fill="FFFFFF"/>
        </w:rPr>
      </w:pPr>
    </w:p>
    <w:p w:rsidR="0061410F" w:rsidRPr="000A7726" w:rsidRDefault="00E35D77" w:rsidP="0061410F">
      <w:pPr>
        <w:pStyle w:val="Heading1"/>
        <w:rPr>
          <w:color w:val="FFFFFF" w:themeColor="background1"/>
        </w:rPr>
      </w:pPr>
      <w:bookmarkStart w:id="4" w:name="_Toc7119520"/>
      <w:r>
        <w:t xml:space="preserve">The new </w:t>
      </w:r>
      <w:r w:rsidR="00BE365C">
        <w:t xml:space="preserve">treatment </w:t>
      </w:r>
      <w:r w:rsidR="000A7726" w:rsidRPr="000A7726">
        <w:rPr>
          <w:color w:val="FFFFFF" w:themeColor="background1"/>
        </w:rPr>
        <w:t>. . .</w:t>
      </w:r>
      <w:bookmarkEnd w:id="4"/>
      <w:r w:rsidR="000A7726" w:rsidRPr="000A7726">
        <w:rPr>
          <w:color w:val="FFFFFF" w:themeColor="background1"/>
        </w:rPr>
        <w:t xml:space="preserve"> </w:t>
      </w:r>
    </w:p>
    <w:p w:rsidR="00854FF6" w:rsidRDefault="00854FF6" w:rsidP="00854FF6"/>
    <w:p w:rsidR="00854FF6" w:rsidRPr="003F163F" w:rsidRDefault="00E35D77" w:rsidP="00BF0515">
      <w:pPr>
        <w:spacing w:line="360" w:lineRule="auto"/>
        <w:rPr>
          <w:color w:val="000000"/>
          <w:shd w:val="clear" w:color="auto" w:fill="FFFFFF"/>
        </w:rPr>
      </w:pPr>
      <w:r>
        <w:t>From the beginning of 1</w:t>
      </w:r>
      <w:r w:rsidRPr="00854FF6">
        <w:rPr>
          <w:vertAlign w:val="superscript"/>
        </w:rPr>
        <w:t>st</w:t>
      </w:r>
      <w:r>
        <w:t xml:space="preserve"> January 2019</w:t>
      </w:r>
      <w:r w:rsidR="00F23827">
        <w:t xml:space="preserve"> </w:t>
      </w:r>
      <w:r>
        <w:t xml:space="preserve">IFRS </w:t>
      </w:r>
      <w:r w:rsidRPr="000302D8">
        <w:t>16</w:t>
      </w:r>
      <w:r w:rsidR="00F23827">
        <w:t>,</w:t>
      </w:r>
      <w:r w:rsidRPr="000302D8">
        <w:t xml:space="preserve"> which is the new standard</w:t>
      </w:r>
      <w:r w:rsidR="00F23827">
        <w:t xml:space="preserve">, </w:t>
      </w:r>
      <w:r w:rsidRPr="000302D8">
        <w:t>become</w:t>
      </w:r>
      <w:r w:rsidR="00F23827">
        <w:t xml:space="preserve">s </w:t>
      </w:r>
      <w:r w:rsidRPr="000302D8">
        <w:t xml:space="preserve">effective for the latest accounting periods. </w:t>
      </w:r>
      <w:r w:rsidR="00DF0C5D" w:rsidRPr="000302D8">
        <w:t>Operating leases will be on the balance sheets and reformulate a lease.  Which means, organisations</w:t>
      </w:r>
      <w:r w:rsidR="00B446BB">
        <w:t>/companies</w:t>
      </w:r>
      <w:r w:rsidR="00DF0C5D" w:rsidRPr="000302D8">
        <w:t xml:space="preserve"> now will have to assess</w:t>
      </w:r>
      <w:r w:rsidR="003D3ED5" w:rsidRPr="000302D8">
        <w:t xml:space="preserve"> whether a contract </w:t>
      </w:r>
      <w:r w:rsidR="003D3ED5" w:rsidRPr="003F163F">
        <w:t>is for a lease or for a service or holds elements of both</w:t>
      </w:r>
      <w:r w:rsidR="000302D8" w:rsidRPr="003F163F">
        <w:rPr>
          <w:color w:val="000000"/>
          <w:shd w:val="clear" w:color="auto" w:fill="FFFFFF"/>
        </w:rPr>
        <w:t xml:space="preserve"> (Kimber Bascom, 2019)</w:t>
      </w:r>
      <w:r w:rsidR="00441BB7">
        <w:rPr>
          <w:color w:val="000000"/>
          <w:shd w:val="clear" w:color="auto" w:fill="FFFFFF"/>
        </w:rPr>
        <w:t>.</w:t>
      </w:r>
    </w:p>
    <w:p w:rsidR="00F176B6" w:rsidRDefault="00E35D77" w:rsidP="00BF0515">
      <w:pPr>
        <w:spacing w:line="360" w:lineRule="auto"/>
        <w:rPr>
          <w:color w:val="000000"/>
          <w:shd w:val="clear" w:color="auto" w:fill="FFFFFF"/>
        </w:rPr>
      </w:pPr>
      <w:r w:rsidRPr="003F163F">
        <w:rPr>
          <w:color w:val="000000"/>
          <w:shd w:val="clear" w:color="auto" w:fill="FFFFFF"/>
        </w:rPr>
        <w:t>From</w:t>
      </w:r>
      <w:r w:rsidR="00FD0722">
        <w:rPr>
          <w:color w:val="000000"/>
          <w:shd w:val="clear" w:color="auto" w:fill="FFFFFF"/>
        </w:rPr>
        <w:t xml:space="preserve"> this period</w:t>
      </w:r>
      <w:r w:rsidRPr="003F163F">
        <w:rPr>
          <w:color w:val="000000"/>
          <w:shd w:val="clear" w:color="auto" w:fill="FFFFFF"/>
        </w:rPr>
        <w:t xml:space="preserve"> all </w:t>
      </w:r>
      <w:r w:rsidR="00460191">
        <w:rPr>
          <w:color w:val="000000"/>
          <w:shd w:val="clear" w:color="auto" w:fill="FFFFFF"/>
        </w:rPr>
        <w:t xml:space="preserve">the </w:t>
      </w:r>
      <w:r w:rsidRPr="003F163F">
        <w:rPr>
          <w:color w:val="000000"/>
          <w:shd w:val="clear" w:color="auto" w:fill="FFFFFF"/>
        </w:rPr>
        <w:t xml:space="preserve">leases will be treated in the same way, </w:t>
      </w:r>
      <w:r w:rsidR="00B61815">
        <w:rPr>
          <w:color w:val="000000"/>
          <w:shd w:val="clear" w:color="auto" w:fill="FFFFFF"/>
        </w:rPr>
        <w:t>in the exact way</w:t>
      </w:r>
      <w:r w:rsidRPr="003F163F">
        <w:rPr>
          <w:color w:val="000000"/>
          <w:shd w:val="clear" w:color="auto" w:fill="FFFFFF"/>
        </w:rPr>
        <w:t xml:space="preserve"> how the financial leases are now </w:t>
      </w:r>
      <w:r w:rsidR="00B61815">
        <w:rPr>
          <w:color w:val="000000"/>
          <w:shd w:val="clear" w:color="auto" w:fill="FFFFFF"/>
        </w:rPr>
        <w:t xml:space="preserve">being </w:t>
      </w:r>
      <w:r w:rsidRPr="003F163F">
        <w:rPr>
          <w:color w:val="000000"/>
          <w:shd w:val="clear" w:color="auto" w:fill="FFFFFF"/>
        </w:rPr>
        <w:t>handled. Leases will have to allow a huge volume of a proportion of the consumption</w:t>
      </w:r>
      <w:r w:rsidR="003F163F" w:rsidRPr="003F163F">
        <w:rPr>
          <w:color w:val="000000"/>
          <w:shd w:val="clear" w:color="auto" w:fill="FFFFFF"/>
        </w:rPr>
        <w:t xml:space="preserve"> of the lease at the beginning of the agreement, regardless of the constant payments </w:t>
      </w:r>
      <w:r w:rsidR="00460191">
        <w:rPr>
          <w:color w:val="000000"/>
          <w:shd w:val="clear" w:color="auto" w:fill="FFFFFF"/>
        </w:rPr>
        <w:t xml:space="preserve">every year </w:t>
      </w:r>
      <w:r w:rsidR="003F163F" w:rsidRPr="003F163F">
        <w:rPr>
          <w:color w:val="000000"/>
          <w:shd w:val="clear" w:color="auto" w:fill="FFFFFF"/>
        </w:rPr>
        <w:t>(Deloitte, 2019).</w:t>
      </w:r>
    </w:p>
    <w:p w:rsidR="00CD3D13" w:rsidRPr="00CD3D13" w:rsidRDefault="00E35D77" w:rsidP="00BF0515">
      <w:pPr>
        <w:spacing w:after="160" w:line="360" w:lineRule="auto"/>
        <w:rPr>
          <w:color w:val="000000" w:themeColor="text1"/>
        </w:rPr>
      </w:pPr>
      <w:r>
        <w:t xml:space="preserve">The </w:t>
      </w:r>
      <w:r w:rsidR="00256146">
        <w:t>differences</w:t>
      </w:r>
      <w:r>
        <w:t xml:space="preserve"> between the two leases being removed will result in frequent formerly "off-balance sheet leases", being transported ahead and could be an argumentative problem in the </w:t>
      </w:r>
      <w:r w:rsidR="00CF55C8">
        <w:t>near</w:t>
      </w:r>
      <w:r w:rsidR="002A6B7A">
        <w:t xml:space="preserve"> future</w:t>
      </w:r>
      <w:r>
        <w:t>. The intensity in whi</w:t>
      </w:r>
      <w:r>
        <w:t>ch a company will be impacted is directly associated</w:t>
      </w:r>
      <w:r w:rsidR="003A3CDC">
        <w:t xml:space="preserve"> wit</w:t>
      </w:r>
      <w:r w:rsidR="00B313CC">
        <w:t xml:space="preserve">h the </w:t>
      </w:r>
      <w:r w:rsidR="003A3CDC">
        <w:t>organisation</w:t>
      </w:r>
      <w:r w:rsidR="00B313CC">
        <w:t>/</w:t>
      </w:r>
      <w:r w:rsidR="00543246">
        <w:t>company</w:t>
      </w:r>
      <w:r w:rsidR="003A3CDC">
        <w:t xml:space="preserve"> they are currently in. </w:t>
      </w:r>
      <w:r w:rsidR="00B03174">
        <w:t xml:space="preserve">Researches have shown that retail industries are </w:t>
      </w:r>
      <w:r w:rsidR="00543246">
        <w:t xml:space="preserve">one to be </w:t>
      </w:r>
      <w:r w:rsidR="00B03174">
        <w:t xml:space="preserve">most likely to be impacted by the changes. Researches have also estimated that retail </w:t>
      </w:r>
      <w:r w:rsidR="00B03174" w:rsidRPr="008D6398">
        <w:rPr>
          <w:color w:val="000000" w:themeColor="text1"/>
        </w:rPr>
        <w:t>industries will see intermediate inflation rates in debt of a total of 98% once their leases are imported onto the balance shee</w:t>
      </w:r>
      <w:r w:rsidR="000A5536" w:rsidRPr="008D6398">
        <w:rPr>
          <w:color w:val="000000" w:themeColor="text1"/>
        </w:rPr>
        <w:t>t</w:t>
      </w:r>
      <w:r w:rsidR="00C75699" w:rsidRPr="008D6398">
        <w:rPr>
          <w:color w:val="000000" w:themeColor="text1"/>
        </w:rPr>
        <w:t>.</w:t>
      </w:r>
      <w:r w:rsidR="008D6398">
        <w:rPr>
          <w:color w:val="000000" w:themeColor="text1"/>
        </w:rPr>
        <w:t xml:space="preserve"> </w:t>
      </w:r>
      <w:r w:rsidR="00B36352" w:rsidRPr="00B36352">
        <w:rPr>
          <w:color w:val="000000" w:themeColor="text1"/>
          <w:shd w:val="clear" w:color="auto" w:fill="FFFFFF"/>
        </w:rPr>
        <w:t>Companies</w:t>
      </w:r>
      <w:r w:rsidR="00C75699" w:rsidRPr="008D6398">
        <w:rPr>
          <w:color w:val="000000" w:themeColor="text1"/>
          <w:shd w:val="clear" w:color="auto" w:fill="FFFFFF"/>
        </w:rPr>
        <w:t>/organisations</w:t>
      </w:r>
      <w:r w:rsidR="00B36352" w:rsidRPr="00B36352">
        <w:rPr>
          <w:color w:val="000000" w:themeColor="text1"/>
          <w:shd w:val="clear" w:color="auto" w:fill="FFFFFF"/>
        </w:rPr>
        <w:t xml:space="preserve"> </w:t>
      </w:r>
      <w:r w:rsidR="00C75699" w:rsidRPr="008D6398">
        <w:rPr>
          <w:color w:val="000000" w:themeColor="text1"/>
          <w:shd w:val="clear" w:color="auto" w:fill="FFFFFF"/>
        </w:rPr>
        <w:t>will be required to assure</w:t>
      </w:r>
      <w:r w:rsidR="00B36352" w:rsidRPr="00B36352">
        <w:rPr>
          <w:color w:val="000000" w:themeColor="text1"/>
          <w:shd w:val="clear" w:color="auto" w:fill="FFFFFF"/>
        </w:rPr>
        <w:t xml:space="preserve"> that their </w:t>
      </w:r>
      <w:r w:rsidR="00C75699" w:rsidRPr="008D6398">
        <w:rPr>
          <w:color w:val="000000" w:themeColor="text1"/>
          <w:shd w:val="clear" w:color="auto" w:fill="FFFFFF"/>
        </w:rPr>
        <w:t xml:space="preserve">boards and </w:t>
      </w:r>
      <w:r w:rsidR="00B36352" w:rsidRPr="00B36352">
        <w:rPr>
          <w:color w:val="000000" w:themeColor="text1"/>
          <w:shd w:val="clear" w:color="auto" w:fill="FFFFFF"/>
        </w:rPr>
        <w:t xml:space="preserve">management </w:t>
      </w:r>
      <w:r w:rsidR="00C75699" w:rsidRPr="008D6398">
        <w:rPr>
          <w:color w:val="000000" w:themeColor="text1"/>
          <w:shd w:val="clear" w:color="auto" w:fill="FFFFFF"/>
        </w:rPr>
        <w:t xml:space="preserve">are acknowledged of </w:t>
      </w:r>
      <w:r w:rsidR="00B36352" w:rsidRPr="00B36352">
        <w:rPr>
          <w:color w:val="000000" w:themeColor="text1"/>
          <w:shd w:val="clear" w:color="auto" w:fill="FFFFFF"/>
        </w:rPr>
        <w:t xml:space="preserve">what the </w:t>
      </w:r>
      <w:r w:rsidR="008D6398" w:rsidRPr="008D6398">
        <w:rPr>
          <w:color w:val="000000" w:themeColor="text1"/>
          <w:shd w:val="clear" w:color="auto" w:fill="FFFFFF"/>
        </w:rPr>
        <w:t xml:space="preserve">modifications </w:t>
      </w:r>
      <w:r w:rsidR="00B36352" w:rsidRPr="00B36352">
        <w:rPr>
          <w:color w:val="000000" w:themeColor="text1"/>
          <w:shd w:val="clear" w:color="auto" w:fill="FFFFFF"/>
        </w:rPr>
        <w:t>will mean</w:t>
      </w:r>
      <w:r w:rsidR="008D6398">
        <w:rPr>
          <w:color w:val="000000" w:themeColor="text1"/>
          <w:shd w:val="clear" w:color="auto" w:fill="FFFFFF"/>
        </w:rPr>
        <w:t xml:space="preserve"> </w:t>
      </w:r>
      <w:r w:rsidR="00C75699">
        <w:t>(ICAEW, 2019)</w:t>
      </w:r>
      <w:r w:rsidR="00A120B2">
        <w:t>.</w:t>
      </w:r>
      <w:r w:rsidR="00393DBE">
        <w:t xml:space="preserve"> </w:t>
      </w:r>
      <w:r w:rsidR="006B4DDB">
        <w:rPr>
          <w:color w:val="000000" w:themeColor="text1"/>
        </w:rPr>
        <w:t>M</w:t>
      </w:r>
      <w:r w:rsidRPr="008A303F">
        <w:rPr>
          <w:color w:val="000000" w:themeColor="text1"/>
        </w:rPr>
        <w:t xml:space="preserve">any </w:t>
      </w:r>
      <w:r w:rsidR="00F40BF7">
        <w:rPr>
          <w:color w:val="000000" w:themeColor="text1"/>
        </w:rPr>
        <w:t xml:space="preserve">other </w:t>
      </w:r>
      <w:r w:rsidRPr="008A303F">
        <w:rPr>
          <w:color w:val="000000" w:themeColor="text1"/>
        </w:rPr>
        <w:t>performance metrics such as</w:t>
      </w:r>
      <w:r w:rsidR="006404A9" w:rsidRPr="006404A9">
        <w:rPr>
          <w:color w:val="000000" w:themeColor="text1"/>
        </w:rPr>
        <w:t xml:space="preserve"> gearing, current ratio, asset turnover, interest cover, operating profit, net income, and operating cash flows</w:t>
      </w:r>
      <w:r w:rsidR="00393DBE">
        <w:rPr>
          <w:color w:val="000000" w:themeColor="text1"/>
        </w:rPr>
        <w:t xml:space="preserve"> </w:t>
      </w:r>
      <w:r w:rsidR="006B4DDB">
        <w:rPr>
          <w:color w:val="000000" w:themeColor="text1"/>
        </w:rPr>
        <w:t xml:space="preserve">will be </w:t>
      </w:r>
      <w:r w:rsidR="00F40BF7">
        <w:rPr>
          <w:color w:val="000000" w:themeColor="text1"/>
        </w:rPr>
        <w:t xml:space="preserve">also highly </w:t>
      </w:r>
      <w:r w:rsidR="006B4DDB">
        <w:rPr>
          <w:color w:val="000000" w:themeColor="text1"/>
        </w:rPr>
        <w:t xml:space="preserve">affected </w:t>
      </w:r>
      <w:r w:rsidR="00393DBE">
        <w:rPr>
          <w:color w:val="000000" w:themeColor="text1"/>
        </w:rPr>
        <w:t>(P</w:t>
      </w:r>
      <w:r w:rsidR="009412B7">
        <w:rPr>
          <w:color w:val="000000" w:themeColor="text1"/>
        </w:rPr>
        <w:t>W</w:t>
      </w:r>
      <w:r w:rsidR="00393DBE">
        <w:rPr>
          <w:color w:val="000000" w:themeColor="text1"/>
        </w:rPr>
        <w:t>C, 2018)</w:t>
      </w:r>
      <w:r w:rsidR="009412B7">
        <w:rPr>
          <w:color w:val="000000" w:themeColor="text1"/>
        </w:rPr>
        <w:t>.</w:t>
      </w:r>
    </w:p>
    <w:p w:rsidR="00F168B2" w:rsidRPr="00DF0C5D" w:rsidRDefault="00F168B2" w:rsidP="003C77B2"/>
    <w:p w:rsidR="00BE365C" w:rsidRDefault="00E35D77" w:rsidP="0061410F">
      <w:pPr>
        <w:pStyle w:val="Heading1"/>
      </w:pPr>
      <w:bookmarkStart w:id="5" w:name="_Toc7119521"/>
      <w:r w:rsidRPr="001E687B">
        <w:t>Criticism</w:t>
      </w:r>
      <w:r w:rsidR="0064139B">
        <w:t xml:space="preserve">, fundamentals </w:t>
      </w:r>
      <w:r w:rsidR="0064139B" w:rsidRPr="001E687B">
        <w:t>and</w:t>
      </w:r>
      <w:r w:rsidRPr="001E687B">
        <w:t xml:space="preserve"> concepts framework in standard accounting</w:t>
      </w:r>
      <w:r w:rsidR="000A7726" w:rsidRPr="000A7726">
        <w:rPr>
          <w:color w:val="FFFFFF" w:themeColor="background1"/>
        </w:rPr>
        <w:t>.</w:t>
      </w:r>
      <w:bookmarkEnd w:id="5"/>
    </w:p>
    <w:p w:rsidR="00395099" w:rsidRDefault="00395099" w:rsidP="00395099"/>
    <w:p w:rsidR="0064188B" w:rsidRPr="000A7726" w:rsidRDefault="00E35D77" w:rsidP="00BF0515">
      <w:pPr>
        <w:spacing w:line="360" w:lineRule="auto"/>
        <w:rPr>
          <w:color w:val="FFFFFF" w:themeColor="background1"/>
        </w:rPr>
      </w:pPr>
      <w:r w:rsidRPr="000A7726">
        <w:t xml:space="preserve">In relation to the lease, </w:t>
      </w:r>
      <w:r w:rsidR="003905D5" w:rsidRPr="000A7726">
        <w:t xml:space="preserve">the new accounting standards bring </w:t>
      </w:r>
      <w:r w:rsidR="003E0F54" w:rsidRPr="000A7726">
        <w:t xml:space="preserve">unfavourable </w:t>
      </w:r>
      <w:r w:rsidR="001506BF" w:rsidRPr="000A7726">
        <w:t>impact on the financial statements</w:t>
      </w:r>
      <w:r w:rsidR="00B87EE8" w:rsidRPr="000A7726">
        <w:t xml:space="preserve">. Transitions from the previous standards </w:t>
      </w:r>
      <w:r w:rsidR="004A7711" w:rsidRPr="000A7726">
        <w:t>into the new have been described by many sources as difficult</w:t>
      </w:r>
      <w:r w:rsidR="00EC3453" w:rsidRPr="000A7726">
        <w:t xml:space="preserve">. </w:t>
      </w:r>
      <w:r w:rsidR="00795DAE" w:rsidRPr="000A7726">
        <w:t xml:space="preserve">Transition’s aspects have been </w:t>
      </w:r>
      <w:r w:rsidR="00731619" w:rsidRPr="000A7726">
        <w:t xml:space="preserve">criticised since the majority of the </w:t>
      </w:r>
      <w:r w:rsidR="002A6B55" w:rsidRPr="000A7726">
        <w:t>businesses have their financial expenses</w:t>
      </w:r>
      <w:r w:rsidR="009E3E47" w:rsidRPr="000A7726">
        <w:t xml:space="preserve"> </w:t>
      </w:r>
      <w:r w:rsidR="002A6B55" w:rsidRPr="000A7726">
        <w:t>a</w:t>
      </w:r>
      <w:r w:rsidR="009E3E47" w:rsidRPr="000A7726">
        <w:t>ltered</w:t>
      </w:r>
      <w:r w:rsidR="00044352" w:rsidRPr="000A7726">
        <w:t xml:space="preserve"> as a deduction</w:t>
      </w:r>
      <w:r w:rsidR="003D7FC9" w:rsidRPr="000A7726">
        <w:t xml:space="preserve">, decreasing the profitability of the companies. </w:t>
      </w:r>
      <w:r w:rsidR="0056035A" w:rsidRPr="000A7726">
        <w:t xml:space="preserve">This concept </w:t>
      </w:r>
      <w:r w:rsidR="00160A42" w:rsidRPr="000A7726">
        <w:t xml:space="preserve">of </w:t>
      </w:r>
      <w:r w:rsidR="001327DA" w:rsidRPr="000A7726">
        <w:t xml:space="preserve">resolving IFRS 16 </w:t>
      </w:r>
      <w:r w:rsidR="0056035A" w:rsidRPr="000A7726">
        <w:t xml:space="preserve">may be </w:t>
      </w:r>
      <w:r w:rsidR="00160A42" w:rsidRPr="000A7726">
        <w:t xml:space="preserve">dominated by </w:t>
      </w:r>
      <w:r w:rsidR="00160A42" w:rsidRPr="000A7726">
        <w:lastRenderedPageBreak/>
        <w:t xml:space="preserve">various risks, </w:t>
      </w:r>
      <w:r w:rsidR="003B3C8B" w:rsidRPr="000A7726">
        <w:t xml:space="preserve">as the lasses might be changing </w:t>
      </w:r>
      <w:r w:rsidR="00391D9B" w:rsidRPr="000A7726">
        <w:t>strategies</w:t>
      </w:r>
      <w:r w:rsidR="00564402" w:rsidRPr="000A7726">
        <w:t xml:space="preserve"> </w:t>
      </w:r>
      <w:r w:rsidR="00391D9B" w:rsidRPr="000A7726">
        <w:t xml:space="preserve">starting with the </w:t>
      </w:r>
      <w:r w:rsidR="00B5548E" w:rsidRPr="000A7726">
        <w:t xml:space="preserve">approach that they </w:t>
      </w:r>
      <w:r w:rsidR="00DF676B" w:rsidRPr="000A7726">
        <w:t xml:space="preserve">operate when </w:t>
      </w:r>
      <w:r w:rsidR="007213D1" w:rsidRPr="000A7726">
        <w:t xml:space="preserve">finalising </w:t>
      </w:r>
      <w:r w:rsidR="00DF676B" w:rsidRPr="000A7726">
        <w:t xml:space="preserve">lease </w:t>
      </w:r>
      <w:r w:rsidR="00EF38BA" w:rsidRPr="000A7726">
        <w:t>arbitration</w:t>
      </w:r>
      <w:r w:rsidR="00DC28D8" w:rsidRPr="000A7726">
        <w:t xml:space="preserve"> (KPMG, </w:t>
      </w:r>
      <w:r w:rsidR="000A7726" w:rsidRPr="000A7726">
        <w:t>2019)</w:t>
      </w:r>
      <w:r w:rsidR="000A7726" w:rsidRPr="000A7726">
        <w:rPr>
          <w:color w:val="000000" w:themeColor="text1"/>
        </w:rPr>
        <w:t xml:space="preserve"> . </w:t>
      </w:r>
      <w:r w:rsidR="000A7726" w:rsidRPr="000A7726">
        <w:rPr>
          <w:color w:val="FFFFFF" w:themeColor="background1"/>
        </w:rPr>
        <w:t>. . . . .</w:t>
      </w:r>
    </w:p>
    <w:p w:rsidR="00DC28D8" w:rsidRPr="000A7726" w:rsidRDefault="00E35D77" w:rsidP="00BF0515">
      <w:pPr>
        <w:spacing w:line="360" w:lineRule="auto"/>
      </w:pPr>
      <w:r w:rsidRPr="000A7726">
        <w:t xml:space="preserve">The criticisms made are described below: </w:t>
      </w:r>
    </w:p>
    <w:p w:rsidR="00AC6F3C" w:rsidRPr="00962697" w:rsidRDefault="00E35D77" w:rsidP="00BF0515">
      <w:pPr>
        <w:pStyle w:val="ListParagraph"/>
        <w:numPr>
          <w:ilvl w:val="0"/>
          <w:numId w:val="8"/>
        </w:numPr>
        <w:spacing w:line="360" w:lineRule="auto"/>
      </w:pPr>
      <w:r w:rsidRPr="00B725ED">
        <w:t xml:space="preserve">As many sources confirmed, </w:t>
      </w:r>
      <w:r w:rsidR="000A7726" w:rsidRPr="00B725ED">
        <w:t xml:space="preserve">the current standard helps to variate the finance and the operating leases. </w:t>
      </w:r>
      <w:r w:rsidR="006A6FF8" w:rsidRPr="00B725ED">
        <w:t xml:space="preserve"> The standard will not</w:t>
      </w:r>
      <w:r w:rsidR="00837459" w:rsidRPr="00B725ED">
        <w:t xml:space="preserve"> feel necessary of the </w:t>
      </w:r>
      <w:r w:rsidR="00A4492A" w:rsidRPr="00B725ED">
        <w:t xml:space="preserve">allowance of that and this </w:t>
      </w:r>
      <w:r w:rsidR="00E604AD" w:rsidRPr="00B725ED">
        <w:t xml:space="preserve">is known as a factor that brings confusion in the financial statements. </w:t>
      </w:r>
      <w:r w:rsidR="004C1ABB" w:rsidRPr="00B725ED">
        <w:t xml:space="preserve">This has been </w:t>
      </w:r>
      <w:r w:rsidR="00B725ED">
        <w:t xml:space="preserve">seen as a criticism because organisations will have problems in </w:t>
      </w:r>
      <w:r w:rsidR="00545BB1">
        <w:t xml:space="preserve">establishing </w:t>
      </w:r>
      <w:r w:rsidR="00B725ED">
        <w:t>the leases</w:t>
      </w:r>
      <w:r w:rsidR="00962697">
        <w:t xml:space="preserve">. </w:t>
      </w:r>
    </w:p>
    <w:p w:rsidR="004E309C" w:rsidRDefault="00E35D77" w:rsidP="00BF0515">
      <w:pPr>
        <w:pStyle w:val="ListParagraph"/>
        <w:numPr>
          <w:ilvl w:val="0"/>
          <w:numId w:val="8"/>
        </w:numPr>
        <w:spacing w:line="360" w:lineRule="auto"/>
      </w:pPr>
      <w:r>
        <w:t xml:space="preserve">It has been discussed that </w:t>
      </w:r>
      <w:r w:rsidR="00D324BE">
        <w:t xml:space="preserve">the structure will not have any impact as seen by many but would </w:t>
      </w:r>
      <w:r w:rsidR="007B6FD1">
        <w:t>make more credible financial statements</w:t>
      </w:r>
      <w:r w:rsidR="004B6810">
        <w:t xml:space="preserve"> (European Commission, 2019)</w:t>
      </w:r>
      <w:r w:rsidR="005D64C0">
        <w:t>. For example, IFRS 16</w:t>
      </w:r>
      <w:r w:rsidR="00F62CF6">
        <w:t xml:space="preserve"> does not require </w:t>
      </w:r>
      <w:r>
        <w:t>a lessee in order</w:t>
      </w:r>
      <w:r w:rsidR="00F62CF6">
        <w:t xml:space="preserve"> </w:t>
      </w:r>
      <w:r w:rsidR="0074477A">
        <w:t>to identify lease assets or liabilities on the balance sheet in two states</w:t>
      </w:r>
      <w:r>
        <w:t>:</w:t>
      </w:r>
    </w:p>
    <w:p w:rsidR="00962697" w:rsidRDefault="00E35D77" w:rsidP="00BF0515">
      <w:pPr>
        <w:pStyle w:val="ListParagraph"/>
        <w:spacing w:line="360" w:lineRule="auto"/>
        <w:ind w:left="927"/>
      </w:pPr>
      <w:r>
        <w:t>- short term leases which are less than twelve months</w:t>
      </w:r>
    </w:p>
    <w:p w:rsidR="004E309C" w:rsidRDefault="00E35D77" w:rsidP="00BF0515">
      <w:pPr>
        <w:pStyle w:val="ListParagraph"/>
        <w:spacing w:line="360" w:lineRule="auto"/>
        <w:ind w:left="927"/>
      </w:pPr>
      <w:r>
        <w:t>-</w:t>
      </w:r>
      <w:r w:rsidR="005F41BE">
        <w:t xml:space="preserve">low term assets such as computer lease. </w:t>
      </w:r>
    </w:p>
    <w:p w:rsidR="00DC28D8" w:rsidRPr="00EF38BA" w:rsidRDefault="00DC28D8" w:rsidP="00BF0515">
      <w:pPr>
        <w:spacing w:line="360" w:lineRule="auto"/>
      </w:pPr>
    </w:p>
    <w:p w:rsidR="00BE7036" w:rsidRDefault="00BE7036" w:rsidP="00BF0515">
      <w:pPr>
        <w:spacing w:line="360" w:lineRule="auto"/>
      </w:pPr>
    </w:p>
    <w:p w:rsidR="00760C62" w:rsidRDefault="00E35D77" w:rsidP="00BF0515">
      <w:pPr>
        <w:spacing w:line="360" w:lineRule="auto"/>
      </w:pPr>
      <w:r>
        <w:t xml:space="preserve">New accounting standards have been </w:t>
      </w:r>
      <w:r w:rsidR="003C5D1F">
        <w:t xml:space="preserve">resolved </w:t>
      </w:r>
      <w:r w:rsidR="007A7C3B">
        <w:t xml:space="preserve">and the </w:t>
      </w:r>
      <w:r w:rsidR="009538E8">
        <w:t xml:space="preserve">approbation of the new standards </w:t>
      </w:r>
      <w:r w:rsidR="00FE1A2B">
        <w:t xml:space="preserve">resulted </w:t>
      </w:r>
      <w:r w:rsidR="007441D9">
        <w:t xml:space="preserve">in newer changes </w:t>
      </w:r>
      <w:r w:rsidR="00DA2385">
        <w:t xml:space="preserve">in a period </w:t>
      </w:r>
      <w:r>
        <w:t>where financial reporting</w:t>
      </w:r>
      <w:r>
        <w:t xml:space="preserve"> </w:t>
      </w:r>
      <w:r w:rsidR="009D7834">
        <w:t xml:space="preserve">has been accomplished. </w:t>
      </w:r>
    </w:p>
    <w:p w:rsidR="00667DD0" w:rsidRDefault="00E35D77" w:rsidP="00BF0515">
      <w:pPr>
        <w:spacing w:line="360" w:lineRule="auto"/>
      </w:pPr>
      <w:r>
        <w:t xml:space="preserve">Under </w:t>
      </w:r>
      <w:r w:rsidR="00250F13">
        <w:t>the new standards</w:t>
      </w:r>
      <w:r w:rsidR="00723439">
        <w:t>, the lessee has to ensure that all</w:t>
      </w:r>
      <w:r w:rsidR="00C95538">
        <w:t xml:space="preserve"> the lease contracts are being recognised within the </w:t>
      </w:r>
      <w:r w:rsidR="001E5FB3">
        <w:t>balance sheet</w:t>
      </w:r>
      <w:r w:rsidR="00716F6E" w:rsidRPr="00716F6E">
        <w:t xml:space="preserve"> </w:t>
      </w:r>
      <w:r w:rsidR="00716F6E">
        <w:t>(</w:t>
      </w:r>
      <w:r w:rsidR="00716F6E" w:rsidRPr="00716F6E">
        <w:t>Sacarin, M., 2017</w:t>
      </w:r>
      <w:r w:rsidR="00716F6E">
        <w:t>)</w:t>
      </w:r>
      <w:r w:rsidR="001E5FB3">
        <w:t>.</w:t>
      </w:r>
      <w:r w:rsidR="00345F6B">
        <w:t xml:space="preserve"> </w:t>
      </w:r>
      <w:r w:rsidR="000A355C">
        <w:t>Withal</w:t>
      </w:r>
      <w:r w:rsidR="00BE1861">
        <w:t xml:space="preserve">, the </w:t>
      </w:r>
      <w:r w:rsidR="00E148E8">
        <w:t>short-term</w:t>
      </w:r>
      <w:r w:rsidR="00BE1861">
        <w:t xml:space="preserve"> leases</w:t>
      </w:r>
      <w:r w:rsidR="00942B06">
        <w:t xml:space="preserve"> have been a </w:t>
      </w:r>
      <w:r w:rsidR="00AA6BDC">
        <w:t xml:space="preserve">dispensation </w:t>
      </w:r>
      <w:r w:rsidR="001F4175">
        <w:t>also</w:t>
      </w:r>
      <w:r w:rsidR="009C15C6">
        <w:t xml:space="preserve"> as </w:t>
      </w:r>
      <w:r w:rsidR="001F4175">
        <w:t xml:space="preserve">the leases which are associated with the </w:t>
      </w:r>
      <w:r w:rsidR="00535D85">
        <w:t xml:space="preserve">low-value assets. This can be seen as one of the key </w:t>
      </w:r>
      <w:r w:rsidR="00777848">
        <w:t xml:space="preserve">entities which </w:t>
      </w:r>
      <w:r w:rsidR="00223AD5">
        <w:t>highlight</w:t>
      </w:r>
      <w:r w:rsidR="00960ABB">
        <w:t xml:space="preserve"> the </w:t>
      </w:r>
      <w:r w:rsidR="00223AD5">
        <w:t>varieties within the new model</w:t>
      </w:r>
      <w:r w:rsidR="00A7061E">
        <w:t xml:space="preserve">. </w:t>
      </w:r>
    </w:p>
    <w:p w:rsidR="005D661E" w:rsidRDefault="00E35D77" w:rsidP="00E148E8">
      <w:pPr>
        <w:spacing w:line="360" w:lineRule="auto"/>
      </w:pPr>
      <w:r>
        <w:t xml:space="preserve">The financial statements can be </w:t>
      </w:r>
      <w:r w:rsidR="00A34EB4">
        <w:t>afflicted</w:t>
      </w:r>
      <w:r w:rsidR="009A7297">
        <w:t xml:space="preserve"> only if the lessees had contracts which were </w:t>
      </w:r>
      <w:r w:rsidR="00EB074E">
        <w:t xml:space="preserve">settled as being operating leases. </w:t>
      </w:r>
      <w:r w:rsidR="00B629CC">
        <w:t xml:space="preserve">As the new period </w:t>
      </w:r>
      <w:r w:rsidR="00037B88">
        <w:t xml:space="preserve">when the income statements will be afflicted as the </w:t>
      </w:r>
      <w:r w:rsidR="00790F08">
        <w:t xml:space="preserve">present standard needs </w:t>
      </w:r>
      <w:r w:rsidR="00B47B92">
        <w:t xml:space="preserve">the depreciation on the asset and also the interest </w:t>
      </w:r>
      <w:r w:rsidR="006E79C4">
        <w:t>expense</w:t>
      </w:r>
      <w:r w:rsidR="00B47B92">
        <w:t xml:space="preserve"> </w:t>
      </w:r>
      <w:r w:rsidR="006E79C4">
        <w:t>to be noted and be accounted for</w:t>
      </w:r>
      <w:r>
        <w:t>.</w:t>
      </w:r>
    </w:p>
    <w:p w:rsidR="00BF0515" w:rsidRDefault="00E35D77" w:rsidP="00E148E8">
      <w:pPr>
        <w:spacing w:line="360" w:lineRule="auto"/>
      </w:pPr>
      <w:r>
        <w:t xml:space="preserve">Various investors and people have criticised </w:t>
      </w:r>
      <w:r w:rsidR="00785B83">
        <w:t>the new accounting standards</w:t>
      </w:r>
      <w:r w:rsidR="00CD1097">
        <w:t xml:space="preserve">, sources believe </w:t>
      </w:r>
      <w:r w:rsidR="0086538B">
        <w:t xml:space="preserve">that this concept </w:t>
      </w:r>
      <w:r w:rsidR="00270871">
        <w:t xml:space="preserve">affect the accounting statements and </w:t>
      </w:r>
      <w:r w:rsidR="00BD50D0">
        <w:t xml:space="preserve">it may be really hard to adopt for most businesses. </w:t>
      </w:r>
      <w:r w:rsidR="001C60B9">
        <w:t xml:space="preserve">Since the financial statement </w:t>
      </w:r>
      <w:r w:rsidR="009D4CD9">
        <w:t>will no longer be accounted</w:t>
      </w:r>
      <w:r w:rsidR="00E209E0">
        <w:t xml:space="preserve"> for the operating leases, then cash flow will be heavily affected under the new acc</w:t>
      </w:r>
      <w:r w:rsidR="00023E40">
        <w:t xml:space="preserve">ounting standard. The lessor is required to be </w:t>
      </w:r>
      <w:r w:rsidR="000C5C9E">
        <w:t>notified and comprehends the new accounting ruled fully as they are</w:t>
      </w:r>
      <w:r w:rsidR="00163900">
        <w:t xml:space="preserve"> </w:t>
      </w:r>
      <w:r w:rsidR="00E148E8">
        <w:t>pertinent within</w:t>
      </w:r>
      <w:r w:rsidR="00695028">
        <w:t xml:space="preserve"> </w:t>
      </w:r>
      <w:r w:rsidR="00E148E8">
        <w:t>the financial statements</w:t>
      </w:r>
      <w:r w:rsidR="00BA6096">
        <w:t xml:space="preserve"> (</w:t>
      </w:r>
      <w:r w:rsidR="00BA6096" w:rsidRPr="00A04841">
        <w:rPr>
          <w:rStyle w:val="DefaultParagraphFont0"/>
          <w:color w:val="000000"/>
          <w:shd w:val="clear" w:color="auto" w:fill="FFFFFF"/>
        </w:rPr>
        <w:t>Bragg, S. and Bragg, S.</w:t>
      </w:r>
      <w:r w:rsidR="00BA6096">
        <w:rPr>
          <w:rStyle w:val="DefaultParagraphFont0"/>
          <w:color w:val="000000"/>
          <w:shd w:val="clear" w:color="auto" w:fill="FFFFFF"/>
        </w:rPr>
        <w:t xml:space="preserve">, </w:t>
      </w:r>
      <w:r w:rsidR="00BA6096" w:rsidRPr="00A04841">
        <w:rPr>
          <w:rStyle w:val="DefaultParagraphFont0"/>
          <w:color w:val="000000"/>
          <w:shd w:val="clear" w:color="auto" w:fill="FFFFFF"/>
        </w:rPr>
        <w:t>2018).</w:t>
      </w:r>
      <w:r w:rsidR="00524D37">
        <w:rPr>
          <w:rStyle w:val="DefaultParagraphFont0"/>
          <w:color w:val="000000"/>
          <w:shd w:val="clear" w:color="auto" w:fill="FFFFFF"/>
        </w:rPr>
        <w:t xml:space="preserve"> All this criticism is mainly due to th</w:t>
      </w:r>
      <w:r w:rsidR="00723209">
        <w:rPr>
          <w:rStyle w:val="DefaultParagraphFont0"/>
          <w:color w:val="000000"/>
          <w:shd w:val="clear" w:color="auto" w:fill="FFFFFF"/>
        </w:rPr>
        <w:t xml:space="preserve">e </w:t>
      </w:r>
      <w:r w:rsidR="004511AF">
        <w:rPr>
          <w:rStyle w:val="DefaultParagraphFont0"/>
          <w:color w:val="000000"/>
          <w:shd w:val="clear" w:color="auto" w:fill="FFFFFF"/>
        </w:rPr>
        <w:t xml:space="preserve">complication with the </w:t>
      </w:r>
      <w:r w:rsidR="00132A5B">
        <w:rPr>
          <w:rStyle w:val="DefaultParagraphFont0"/>
          <w:color w:val="000000"/>
          <w:shd w:val="clear" w:color="auto" w:fill="FFFFFF"/>
        </w:rPr>
        <w:t xml:space="preserve">implementation; organisations would have to </w:t>
      </w:r>
      <w:r w:rsidR="00116ABB">
        <w:rPr>
          <w:rStyle w:val="DefaultParagraphFont0"/>
          <w:color w:val="000000"/>
          <w:shd w:val="clear" w:color="auto" w:fill="FFFFFF"/>
        </w:rPr>
        <w:t>evolve</w:t>
      </w:r>
      <w:r w:rsidR="009E77A6">
        <w:rPr>
          <w:rStyle w:val="DefaultParagraphFont0"/>
          <w:color w:val="000000"/>
          <w:shd w:val="clear" w:color="auto" w:fill="FFFFFF"/>
        </w:rPr>
        <w:t xml:space="preserve"> </w:t>
      </w:r>
      <w:r w:rsidR="001D652A">
        <w:rPr>
          <w:rStyle w:val="DefaultParagraphFont0"/>
          <w:color w:val="000000"/>
          <w:shd w:val="clear" w:color="auto" w:fill="FFFFFF"/>
        </w:rPr>
        <w:t xml:space="preserve">devices </w:t>
      </w:r>
      <w:r w:rsidR="001D652A">
        <w:rPr>
          <w:rStyle w:val="DefaultParagraphFont0"/>
          <w:color w:val="000000"/>
          <w:shd w:val="clear" w:color="auto" w:fill="FFFFFF"/>
        </w:rPr>
        <w:lastRenderedPageBreak/>
        <w:t>in</w:t>
      </w:r>
      <w:r w:rsidR="009E77A6">
        <w:rPr>
          <w:rStyle w:val="DefaultParagraphFont0"/>
          <w:color w:val="000000"/>
          <w:shd w:val="clear" w:color="auto" w:fill="FFFFFF"/>
        </w:rPr>
        <w:t xml:space="preserve"> order to monitor leases</w:t>
      </w:r>
      <w:r w:rsidR="00F256DC">
        <w:rPr>
          <w:rStyle w:val="DefaultParagraphFont0"/>
          <w:color w:val="000000"/>
          <w:shd w:val="clear" w:color="auto" w:fill="FFFFFF"/>
        </w:rPr>
        <w:t>, which enables the centralisation of these lease agreem</w:t>
      </w:r>
      <w:r w:rsidR="00215B37">
        <w:rPr>
          <w:rStyle w:val="DefaultParagraphFont0"/>
          <w:color w:val="000000"/>
          <w:shd w:val="clear" w:color="auto" w:fill="FFFFFF"/>
        </w:rPr>
        <w:t>ents as well as</w:t>
      </w:r>
      <w:r w:rsidR="00334A4A">
        <w:rPr>
          <w:rStyle w:val="DefaultParagraphFont0"/>
          <w:color w:val="000000"/>
          <w:shd w:val="clear" w:color="auto" w:fill="FFFFFF"/>
        </w:rPr>
        <w:t xml:space="preserve"> their characteristic’s assessment</w:t>
      </w:r>
      <w:r w:rsidR="00EA5BB2">
        <w:rPr>
          <w:rStyle w:val="DefaultParagraphFont0"/>
          <w:color w:val="000000"/>
          <w:shd w:val="clear" w:color="auto" w:fill="FFFFFF"/>
        </w:rPr>
        <w:t xml:space="preserve">, the probable lease team particularly. </w:t>
      </w:r>
      <w:r w:rsidR="00334A4A">
        <w:rPr>
          <w:rStyle w:val="DefaultParagraphFont0"/>
          <w:color w:val="000000"/>
          <w:shd w:val="clear" w:color="auto" w:fill="FFFFFF"/>
        </w:rPr>
        <w:t xml:space="preserve">  </w:t>
      </w:r>
    </w:p>
    <w:p w:rsidR="00E148E8" w:rsidRDefault="00E148E8" w:rsidP="00E148E8">
      <w:pPr>
        <w:spacing w:line="360" w:lineRule="auto"/>
      </w:pPr>
    </w:p>
    <w:p w:rsidR="00667DD0" w:rsidRDefault="00E35D77" w:rsidP="00667DD0">
      <w:pPr>
        <w:pStyle w:val="Heading1"/>
      </w:pPr>
      <w:bookmarkStart w:id="6" w:name="_Toc7119522"/>
      <w:r>
        <w:t>Conclusion</w:t>
      </w:r>
      <w:bookmarkEnd w:id="6"/>
      <w:r>
        <w:t xml:space="preserve"> </w:t>
      </w:r>
    </w:p>
    <w:p w:rsidR="00667DD0" w:rsidRDefault="00667DD0" w:rsidP="00667DD0"/>
    <w:p w:rsidR="00667DD0" w:rsidRPr="00977424" w:rsidRDefault="00E35D77" w:rsidP="00BF0515">
      <w:pPr>
        <w:spacing w:line="360" w:lineRule="auto"/>
      </w:pPr>
      <w:r>
        <w:t>The income statement, balance sheet</w:t>
      </w:r>
      <w:r w:rsidR="003F017D">
        <w:t xml:space="preserve">, and </w:t>
      </w:r>
      <w:r>
        <w:t>cash flow statement</w:t>
      </w:r>
      <w:r w:rsidR="003F017D">
        <w:t xml:space="preserve"> </w:t>
      </w:r>
      <w:r>
        <w:t xml:space="preserve">will be </w:t>
      </w:r>
      <w:r w:rsidR="003F017D">
        <w:t>high</w:t>
      </w:r>
      <w:r>
        <w:t xml:space="preserve">er by the new accounting rules that are set to take place. The aspects leading to the </w:t>
      </w:r>
      <w:r>
        <w:t>devolvement are the newest amplifications of the short-term leases and also the low-value assets. Some of the financial statements are expected to have a higher value which</w:t>
      </w:r>
      <w:r w:rsidR="00835002">
        <w:t xml:space="preserve"> is meant to </w:t>
      </w:r>
      <w:r>
        <w:t xml:space="preserve">increase in the newest accounting standards. In </w:t>
      </w:r>
      <w:r w:rsidR="005307B7">
        <w:t>the other hand</w:t>
      </w:r>
      <w:r>
        <w:t>, asset t</w:t>
      </w:r>
      <w:r>
        <w:t>urnover is expected to decrease with these new standards. The transition from the old standard to the new one has been defined from many sources to be actually difficult and very hard to adopt</w:t>
      </w:r>
      <w:r w:rsidR="005307B7">
        <w:t xml:space="preserve"> due to the </w:t>
      </w:r>
      <w:r w:rsidR="00E148E8">
        <w:t>fast-changing</w:t>
      </w:r>
      <w:r w:rsidR="005307B7">
        <w:t xml:space="preserve"> environment</w:t>
      </w:r>
      <w:r>
        <w:t>. Various debates were made</w:t>
      </w:r>
      <w:r>
        <w:t xml:space="preserve"> since the aspects of these transitions are affecting businesses</w:t>
      </w:r>
      <w:r w:rsidR="00416D6F">
        <w:t xml:space="preserve"> and organisations</w:t>
      </w:r>
      <w:r>
        <w:t xml:space="preserve">, because their financial costs are being defectively affected which have resulted to take action, such as reducing the profitability for organisation/company. </w:t>
      </w:r>
    </w:p>
    <w:p w:rsidR="00BE7036" w:rsidRDefault="00BE7036" w:rsidP="00395099"/>
    <w:p w:rsidR="00BE7036" w:rsidRDefault="00BE7036" w:rsidP="00395099"/>
    <w:p w:rsidR="00BE7036" w:rsidRDefault="00BE7036" w:rsidP="00395099"/>
    <w:p w:rsidR="00BE7036" w:rsidRDefault="00BE7036" w:rsidP="00395099"/>
    <w:p w:rsidR="00D21217" w:rsidRDefault="00D21217" w:rsidP="00395099"/>
    <w:p w:rsidR="00F41283" w:rsidRDefault="00F41283" w:rsidP="00395099"/>
    <w:p w:rsidR="000A7726" w:rsidRDefault="000A7726" w:rsidP="00395099"/>
    <w:p w:rsidR="000A7726" w:rsidRDefault="000A7726" w:rsidP="00395099"/>
    <w:p w:rsidR="000A7726" w:rsidRDefault="000A7726" w:rsidP="00395099"/>
    <w:p w:rsidR="000A7726" w:rsidRDefault="000A7726" w:rsidP="00395099"/>
    <w:p w:rsidR="00C83915" w:rsidRDefault="00C83915" w:rsidP="00395099"/>
    <w:p w:rsidR="00C83915" w:rsidRDefault="00C83915" w:rsidP="00395099"/>
    <w:p w:rsidR="00C83915" w:rsidRDefault="00C83915" w:rsidP="00395099"/>
    <w:p w:rsidR="00C83915" w:rsidRDefault="00C83915" w:rsidP="00395099"/>
    <w:p w:rsidR="00C83915" w:rsidRDefault="00C83915" w:rsidP="00395099"/>
    <w:p w:rsidR="00DA36EB" w:rsidRDefault="00DA36EB" w:rsidP="00395099"/>
    <w:p w:rsidR="00DA36EB" w:rsidRDefault="00DA36EB" w:rsidP="00395099"/>
    <w:p w:rsidR="00DA36EB" w:rsidRDefault="00DA36EB" w:rsidP="00395099"/>
    <w:p w:rsidR="00DA36EB" w:rsidRDefault="00DA36EB" w:rsidP="00395099"/>
    <w:p w:rsidR="00DA36EB" w:rsidRDefault="00DA36EB" w:rsidP="00395099"/>
    <w:p w:rsidR="00DA36EB" w:rsidRDefault="00DA36EB" w:rsidP="00395099"/>
    <w:p w:rsidR="00DA36EB" w:rsidRDefault="00DA36EB" w:rsidP="00395099"/>
    <w:p w:rsidR="00DA36EB" w:rsidRDefault="00DA36EB" w:rsidP="00395099"/>
    <w:p w:rsidR="00DA36EB" w:rsidRDefault="00DA36EB" w:rsidP="00395099"/>
    <w:p w:rsidR="00DA36EB" w:rsidRDefault="00DA36EB" w:rsidP="00395099"/>
    <w:p w:rsidR="00C83915" w:rsidRDefault="00C83915" w:rsidP="00395099"/>
    <w:p w:rsidR="00C83915" w:rsidRDefault="00C83915" w:rsidP="00395099"/>
    <w:p w:rsidR="00C83915" w:rsidRDefault="00C83915" w:rsidP="00395099"/>
    <w:p w:rsidR="00977424" w:rsidRDefault="00977424" w:rsidP="00395099"/>
    <w:p w:rsidR="00977424" w:rsidRDefault="00977424" w:rsidP="00395099"/>
    <w:p w:rsidR="00395099" w:rsidRPr="00395099" w:rsidRDefault="00E35D77" w:rsidP="0061410F">
      <w:pPr>
        <w:pStyle w:val="Heading1"/>
      </w:pPr>
      <w:bookmarkStart w:id="7" w:name="_Toc7119523"/>
      <w:r>
        <w:t>References</w:t>
      </w:r>
      <w:bookmarkEnd w:id="7"/>
      <w:r>
        <w:t xml:space="preserve"> </w:t>
      </w:r>
    </w:p>
    <w:p w:rsidR="1EE15132" w:rsidRDefault="1EE15132" w:rsidP="1EE15132"/>
    <w:p w:rsidR="00EF775A" w:rsidRPr="00A04841" w:rsidRDefault="00E35D77" w:rsidP="00A2731D">
      <w:pPr>
        <w:pStyle w:val="ListParagraph"/>
        <w:numPr>
          <w:ilvl w:val="0"/>
          <w:numId w:val="3"/>
        </w:numPr>
      </w:pPr>
      <w:r w:rsidRPr="00557C4F">
        <w:rPr>
          <w:color w:val="222222"/>
          <w:shd w:val="clear" w:color="auto" w:fill="FFFFFF"/>
        </w:rPr>
        <w:t>Bennett, B.K. and Bradbury, M.E., 2003. Capitalizing non‐cancellable operating leases. </w:t>
      </w:r>
      <w:r w:rsidRPr="00557C4F">
        <w:rPr>
          <w:i/>
          <w:iCs/>
          <w:color w:val="222222"/>
          <w:shd w:val="clear" w:color="auto" w:fill="FFFFFF"/>
        </w:rPr>
        <w:t>Journal of International Financial Management &amp; Accounting</w:t>
      </w:r>
      <w:r w:rsidRPr="00557C4F">
        <w:rPr>
          <w:color w:val="222222"/>
          <w:shd w:val="clear" w:color="auto" w:fill="FFFFFF"/>
        </w:rPr>
        <w:t>, </w:t>
      </w:r>
      <w:r w:rsidRPr="00557C4F">
        <w:rPr>
          <w:i/>
          <w:iCs/>
          <w:color w:val="222222"/>
          <w:shd w:val="clear" w:color="auto" w:fill="FFFFFF"/>
        </w:rPr>
        <w:t>14</w:t>
      </w:r>
      <w:r w:rsidRPr="00557C4F">
        <w:rPr>
          <w:color w:val="222222"/>
          <w:shd w:val="clear" w:color="auto" w:fill="FFFFFF"/>
        </w:rPr>
        <w:t>(2), pp.101-114.</w:t>
      </w:r>
    </w:p>
    <w:p w:rsidR="00A04841" w:rsidRPr="00A04841" w:rsidRDefault="00E35D77" w:rsidP="00A04841">
      <w:pPr>
        <w:pStyle w:val="ListParagraph1"/>
        <w:numPr>
          <w:ilvl w:val="0"/>
          <w:numId w:val="3"/>
        </w:numPr>
        <w:spacing w:line="240" w:lineRule="auto"/>
        <w:rPr>
          <w:sz w:val="28"/>
        </w:rPr>
      </w:pPr>
      <w:r w:rsidRPr="00A04841">
        <w:rPr>
          <w:rStyle w:val="DefaultParagraphFont0"/>
          <w:rFonts w:ascii="Times New Roman" w:hAnsi="Times New Roman"/>
          <w:color w:val="000000"/>
          <w:sz w:val="24"/>
          <w:shd w:val="clear" w:color="auto" w:fill="FFFFFF"/>
        </w:rPr>
        <w:t>Bragg, S. and Bragg, S. (2018). </w:t>
      </w:r>
      <w:r w:rsidRPr="00A04841">
        <w:rPr>
          <w:rStyle w:val="DefaultParagraphFont0"/>
          <w:rFonts w:ascii="Times New Roman" w:hAnsi="Times New Roman"/>
          <w:i/>
          <w:iCs/>
          <w:color w:val="000000"/>
          <w:sz w:val="24"/>
          <w:shd w:val="clear" w:color="auto" w:fill="FFFFFF"/>
        </w:rPr>
        <w:t>Substance over form</w:t>
      </w:r>
      <w:r w:rsidRPr="00A04841">
        <w:rPr>
          <w:rStyle w:val="DefaultParagraphFont0"/>
          <w:rFonts w:ascii="Times New Roman" w:hAnsi="Times New Roman"/>
          <w:color w:val="000000"/>
          <w:sz w:val="24"/>
          <w:shd w:val="clear" w:color="auto" w:fill="FFFFFF"/>
        </w:rPr>
        <w:t xml:space="preserve">. [Online] AccountingTools. Available at: https://www.accountingtools.com/articles/what-is-substance-over-form.html [Accessed </w:t>
      </w:r>
      <w:r>
        <w:rPr>
          <w:rStyle w:val="DefaultParagraphFont0"/>
          <w:rFonts w:ascii="Times New Roman" w:hAnsi="Times New Roman"/>
          <w:color w:val="000000"/>
          <w:sz w:val="24"/>
          <w:shd w:val="clear" w:color="auto" w:fill="FFFFFF"/>
        </w:rPr>
        <w:t>20 Mar</w:t>
      </w:r>
      <w:r w:rsidR="00BA6096">
        <w:rPr>
          <w:rStyle w:val="DefaultParagraphFont0"/>
          <w:rFonts w:ascii="Times New Roman" w:hAnsi="Times New Roman"/>
          <w:color w:val="000000"/>
          <w:sz w:val="24"/>
          <w:shd w:val="clear" w:color="auto" w:fill="FFFFFF"/>
        </w:rPr>
        <w:t>. 2019</w:t>
      </w:r>
      <w:r w:rsidRPr="00A04841">
        <w:rPr>
          <w:rStyle w:val="DefaultParagraphFont0"/>
          <w:rFonts w:ascii="Times New Roman" w:hAnsi="Times New Roman"/>
          <w:color w:val="000000"/>
          <w:sz w:val="24"/>
          <w:shd w:val="clear" w:color="auto" w:fill="FFFFFF"/>
        </w:rPr>
        <w:t>].</w:t>
      </w:r>
    </w:p>
    <w:p w:rsidR="1EE15132" w:rsidRPr="00557C4F" w:rsidRDefault="00E35D77" w:rsidP="00A2731D">
      <w:pPr>
        <w:pStyle w:val="ListParagraph"/>
        <w:numPr>
          <w:ilvl w:val="0"/>
          <w:numId w:val="3"/>
        </w:numPr>
      </w:pPr>
      <w:r w:rsidRPr="00557C4F">
        <w:rPr>
          <w:rFonts w:eastAsia="Arial"/>
          <w:color w:val="222222"/>
        </w:rPr>
        <w:t xml:space="preserve">Capkun, V., Collins, D.W. and Jeanjean, T., 2012. Does the adoption of IAS/IFRS deter earnings </w:t>
      </w:r>
      <w:r w:rsidR="00C53936" w:rsidRPr="00557C4F">
        <w:rPr>
          <w:rFonts w:eastAsia="Arial"/>
          <w:color w:val="222222"/>
        </w:rPr>
        <w:t>management</w:t>
      </w:r>
      <w:r w:rsidRPr="00557C4F">
        <w:rPr>
          <w:rFonts w:eastAsia="Arial"/>
          <w:color w:val="222222"/>
        </w:rPr>
        <w:t xml:space="preserve">? </w:t>
      </w:r>
      <w:r w:rsidRPr="00557C4F">
        <w:rPr>
          <w:rFonts w:eastAsia="Arial"/>
          <w:i/>
          <w:iCs/>
          <w:color w:val="222222"/>
        </w:rPr>
        <w:t>Google S</w:t>
      </w:r>
      <w:r w:rsidRPr="00557C4F">
        <w:rPr>
          <w:rFonts w:eastAsia="Arial"/>
          <w:i/>
          <w:iCs/>
          <w:color w:val="222222"/>
        </w:rPr>
        <w:t>cholar, SSRN, uiova. edu, accessed</w:t>
      </w:r>
      <w:r w:rsidRPr="00557C4F">
        <w:rPr>
          <w:rFonts w:eastAsia="Arial"/>
          <w:color w:val="222222"/>
        </w:rPr>
        <w:t xml:space="preserve">, </w:t>
      </w:r>
      <w:r w:rsidRPr="00557C4F">
        <w:rPr>
          <w:rFonts w:eastAsia="Arial"/>
          <w:i/>
          <w:iCs/>
          <w:color w:val="222222"/>
        </w:rPr>
        <w:t>22</w:t>
      </w:r>
      <w:r w:rsidRPr="00557C4F">
        <w:rPr>
          <w:rFonts w:eastAsia="Arial"/>
          <w:color w:val="222222"/>
        </w:rPr>
        <w:t>(8), p.2014.</w:t>
      </w:r>
    </w:p>
    <w:p w:rsidR="00262989" w:rsidRPr="00557C4F" w:rsidRDefault="00262989" w:rsidP="00A2731D">
      <w:pPr>
        <w:pStyle w:val="ListParagraph"/>
      </w:pPr>
    </w:p>
    <w:p w:rsidR="00262989" w:rsidRPr="00557C4F" w:rsidRDefault="00E35D77" w:rsidP="00A2731D">
      <w:pPr>
        <w:pStyle w:val="ListParagraph"/>
        <w:numPr>
          <w:ilvl w:val="0"/>
          <w:numId w:val="3"/>
        </w:numPr>
      </w:pPr>
      <w:r w:rsidRPr="00557C4F">
        <w:t>Council, F.R. and Britain, G., 2015. FRS 102: The Financial Reporting Standard Applicable in the UK and Republic of Ireland. Financial Reporting Council Limited.</w:t>
      </w:r>
    </w:p>
    <w:p w:rsidR="00F13A2F" w:rsidRPr="00557C4F" w:rsidRDefault="00F13A2F" w:rsidP="00A2731D">
      <w:pPr>
        <w:pStyle w:val="ListParagraph"/>
      </w:pPr>
    </w:p>
    <w:p w:rsidR="00F13A2F" w:rsidRPr="00913767" w:rsidRDefault="00E35D77" w:rsidP="00A2731D">
      <w:pPr>
        <w:pStyle w:val="ListParagraph"/>
        <w:numPr>
          <w:ilvl w:val="0"/>
          <w:numId w:val="3"/>
        </w:numPr>
      </w:pPr>
      <w:r w:rsidRPr="00913767">
        <w:rPr>
          <w:color w:val="000000"/>
          <w:shd w:val="clear" w:color="auto" w:fill="FFFFFF"/>
        </w:rPr>
        <w:t>Deloitte (2019). [online] Www2.deloitte.c</w:t>
      </w:r>
      <w:r w:rsidRPr="00913767">
        <w:rPr>
          <w:color w:val="000000"/>
          <w:shd w:val="clear" w:color="auto" w:fill="FFFFFF"/>
        </w:rPr>
        <w:t>om. Available at: https://www2.deloitte.com/content/dam/Deloitte/sg/Documents/audit/sea-audit-IFRS-16-guide.pdf [Accessed 25 Mar. 2019].</w:t>
      </w:r>
    </w:p>
    <w:p w:rsidR="00913767" w:rsidRPr="00913767" w:rsidRDefault="00913767" w:rsidP="00913767">
      <w:pPr>
        <w:pStyle w:val="ListParagraph"/>
      </w:pPr>
    </w:p>
    <w:p w:rsidR="00913767" w:rsidRPr="009D5447" w:rsidRDefault="00E35D77" w:rsidP="00913767">
      <w:pPr>
        <w:pStyle w:val="ListParagraph"/>
        <w:numPr>
          <w:ilvl w:val="0"/>
          <w:numId w:val="3"/>
        </w:numPr>
      </w:pPr>
      <w:r w:rsidRPr="00913767">
        <w:rPr>
          <w:color w:val="000000"/>
          <w:shd w:val="clear" w:color="auto" w:fill="FFFFFF"/>
        </w:rPr>
        <w:t>EUROPEAN COMMISSION (201</w:t>
      </w:r>
      <w:r w:rsidR="004B6810">
        <w:rPr>
          <w:color w:val="000000"/>
          <w:shd w:val="clear" w:color="auto" w:fill="FFFFFF"/>
        </w:rPr>
        <w:t>9</w:t>
      </w:r>
      <w:r w:rsidRPr="00913767">
        <w:rPr>
          <w:color w:val="000000"/>
          <w:shd w:val="clear" w:color="auto" w:fill="FFFFFF"/>
        </w:rPr>
        <w:t>). </w:t>
      </w:r>
      <w:r w:rsidRPr="00913767">
        <w:rPr>
          <w:i/>
          <w:iCs/>
          <w:color w:val="000000"/>
          <w:shd w:val="clear" w:color="auto" w:fill="FFFFFF"/>
        </w:rPr>
        <w:t>Endorsement of International Financial Reporting Standard 16 Leases (IFRS 16)</w:t>
      </w:r>
      <w:r w:rsidRPr="00913767">
        <w:rPr>
          <w:color w:val="000000"/>
          <w:shd w:val="clear" w:color="auto" w:fill="FFFFFF"/>
        </w:rPr>
        <w:t xml:space="preserve">. [online] Ec.europa.eu. Available at: </w:t>
      </w:r>
      <w:r w:rsidRPr="009D5447">
        <w:rPr>
          <w:color w:val="000000"/>
          <w:shd w:val="clear" w:color="auto" w:fill="FFFFFF"/>
        </w:rPr>
        <w:t>https://ec.europa.eu/info/sites/info/files/171031-study-ifrs-16_en.pdf [Accessed 31 Mar. 2019].</w:t>
      </w:r>
    </w:p>
    <w:p w:rsidR="0073785A" w:rsidRPr="009D5447" w:rsidRDefault="0073785A" w:rsidP="00A2731D">
      <w:pPr>
        <w:pStyle w:val="ListParagraph"/>
      </w:pPr>
    </w:p>
    <w:p w:rsidR="0073785A" w:rsidRPr="005C5005" w:rsidRDefault="00E35D77" w:rsidP="00A2731D">
      <w:pPr>
        <w:pStyle w:val="ListParagraph"/>
        <w:numPr>
          <w:ilvl w:val="0"/>
          <w:numId w:val="3"/>
        </w:numPr>
      </w:pPr>
      <w:r w:rsidRPr="009D5447">
        <w:rPr>
          <w:color w:val="000000"/>
          <w:shd w:val="clear" w:color="auto" w:fill="FFFFFF"/>
        </w:rPr>
        <w:t>Financial Reporting Council (2019). </w:t>
      </w:r>
      <w:r w:rsidRPr="009D5447">
        <w:rPr>
          <w:i/>
          <w:iCs/>
          <w:color w:val="000000"/>
          <w:shd w:val="clear" w:color="auto" w:fill="FFFFFF"/>
        </w:rPr>
        <w:t>Financial Reporting Council</w:t>
      </w:r>
      <w:r w:rsidRPr="009D5447">
        <w:rPr>
          <w:color w:val="000000"/>
          <w:shd w:val="clear" w:color="auto" w:fill="FFFFFF"/>
        </w:rPr>
        <w:t xml:space="preserve">. [online] </w:t>
      </w:r>
      <w:r w:rsidRPr="005C5005">
        <w:rPr>
          <w:color w:val="000000"/>
          <w:shd w:val="clear" w:color="auto" w:fill="FFFFFF"/>
        </w:rPr>
        <w:t>Frc.org.uk. Available at: https://www.frc.org.</w:t>
      </w:r>
      <w:r w:rsidRPr="005C5005">
        <w:rPr>
          <w:color w:val="000000"/>
          <w:shd w:val="clear" w:color="auto" w:fill="FFFFFF"/>
        </w:rPr>
        <w:t>uk/ [Accessed 25 Mar. 2019].</w:t>
      </w:r>
    </w:p>
    <w:p w:rsidR="00AA4917" w:rsidRPr="005C5005" w:rsidRDefault="00AA4917" w:rsidP="00AA4917">
      <w:pPr>
        <w:pStyle w:val="ListParagraph"/>
      </w:pPr>
    </w:p>
    <w:p w:rsidR="00AA4917" w:rsidRPr="005C5005" w:rsidRDefault="00E35D77" w:rsidP="00AA4917">
      <w:pPr>
        <w:pStyle w:val="ListParagraph"/>
        <w:numPr>
          <w:ilvl w:val="0"/>
          <w:numId w:val="3"/>
        </w:numPr>
      </w:pPr>
      <w:r w:rsidRPr="005C5005">
        <w:rPr>
          <w:color w:val="222222"/>
          <w:shd w:val="clear" w:color="auto" w:fill="FFFFFF"/>
        </w:rPr>
        <w:t>Graff, R., 2002. Synthetic debt: off-balance-sheet corporate finance for the twenty-first century. </w:t>
      </w:r>
      <w:r w:rsidRPr="005C5005">
        <w:rPr>
          <w:i/>
          <w:iCs/>
          <w:color w:val="222222"/>
          <w:shd w:val="clear" w:color="auto" w:fill="FFFFFF"/>
        </w:rPr>
        <w:t>Journal of Real Estate Portfolio Management</w:t>
      </w:r>
      <w:r w:rsidRPr="005C5005">
        <w:rPr>
          <w:color w:val="222222"/>
          <w:shd w:val="clear" w:color="auto" w:fill="FFFFFF"/>
        </w:rPr>
        <w:t>, </w:t>
      </w:r>
      <w:r w:rsidRPr="005C5005">
        <w:rPr>
          <w:i/>
          <w:iCs/>
          <w:color w:val="222222"/>
          <w:shd w:val="clear" w:color="auto" w:fill="FFFFFF"/>
        </w:rPr>
        <w:t>8</w:t>
      </w:r>
      <w:r w:rsidRPr="005C5005">
        <w:rPr>
          <w:color w:val="222222"/>
          <w:shd w:val="clear" w:color="auto" w:fill="FFFFFF"/>
        </w:rPr>
        <w:t>(1), pp.45-54.</w:t>
      </w:r>
    </w:p>
    <w:p w:rsidR="00AA4917" w:rsidRPr="005C5005" w:rsidRDefault="00AA4917" w:rsidP="005C5005">
      <w:pPr>
        <w:ind w:left="360"/>
      </w:pPr>
    </w:p>
    <w:p w:rsidR="009D5447" w:rsidRPr="005C5005" w:rsidRDefault="009D5447" w:rsidP="009D5447">
      <w:pPr>
        <w:pStyle w:val="ListParagraph"/>
      </w:pPr>
    </w:p>
    <w:p w:rsidR="009D5447" w:rsidRPr="009D5447" w:rsidRDefault="00E35D77" w:rsidP="009D5447">
      <w:pPr>
        <w:pStyle w:val="ListParagraph"/>
        <w:numPr>
          <w:ilvl w:val="0"/>
          <w:numId w:val="3"/>
        </w:numPr>
      </w:pPr>
      <w:r w:rsidRPr="009D5447">
        <w:rPr>
          <w:color w:val="000000"/>
          <w:shd w:val="clear" w:color="auto" w:fill="FFFFFF"/>
        </w:rPr>
        <w:t>ICAEW (2019). </w:t>
      </w:r>
      <w:r w:rsidRPr="009D5447">
        <w:rPr>
          <w:i/>
          <w:iCs/>
          <w:color w:val="000000"/>
          <w:shd w:val="clear" w:color="auto" w:fill="FFFFFF"/>
        </w:rPr>
        <w:t xml:space="preserve">Materiality in the audit of financial </w:t>
      </w:r>
      <w:r w:rsidRPr="009D5447">
        <w:rPr>
          <w:i/>
          <w:iCs/>
          <w:color w:val="000000"/>
          <w:shd w:val="clear" w:color="auto" w:fill="FFFFFF"/>
        </w:rPr>
        <w:t>statements</w:t>
      </w:r>
      <w:r w:rsidRPr="009D5447">
        <w:rPr>
          <w:color w:val="000000"/>
          <w:shd w:val="clear" w:color="auto" w:fill="FFFFFF"/>
        </w:rPr>
        <w:t>. [online] Icaew.com. Available at: https://www.icaew.com/-/media/corporate/files/technical/iaa/materiality-in-the-audit-of-financial-statements.ashx [Accessed 31 Mar. 2019].</w:t>
      </w:r>
    </w:p>
    <w:p w:rsidR="009D5447" w:rsidRPr="009D5447" w:rsidRDefault="009D5447" w:rsidP="009D5447"/>
    <w:p w:rsidR="00A2731D" w:rsidRPr="009D5447" w:rsidRDefault="00A2731D" w:rsidP="00A2731D"/>
    <w:p w:rsidR="00706E3F" w:rsidRPr="009D5447" w:rsidRDefault="00E35D77" w:rsidP="00A2731D">
      <w:pPr>
        <w:pStyle w:val="ListParagraph"/>
        <w:numPr>
          <w:ilvl w:val="0"/>
          <w:numId w:val="3"/>
        </w:numPr>
      </w:pPr>
      <w:r w:rsidRPr="009D5447">
        <w:rPr>
          <w:color w:val="000000"/>
          <w:shd w:val="clear" w:color="auto" w:fill="FFFFFF"/>
        </w:rPr>
        <w:t>ICAEW (2019). </w:t>
      </w:r>
      <w:r w:rsidRPr="009D5447">
        <w:rPr>
          <w:i/>
          <w:iCs/>
          <w:color w:val="000000"/>
          <w:shd w:val="clear" w:color="auto" w:fill="FFFFFF"/>
        </w:rPr>
        <w:t>Leases under new UK GAAP</w:t>
      </w:r>
      <w:r w:rsidRPr="009D5447">
        <w:rPr>
          <w:color w:val="000000"/>
          <w:shd w:val="clear" w:color="auto" w:fill="FFFFFF"/>
        </w:rPr>
        <w:t>. [online] Icaew.com. Available</w:t>
      </w:r>
      <w:r w:rsidRPr="009D5447">
        <w:rPr>
          <w:color w:val="000000"/>
          <w:shd w:val="clear" w:color="auto" w:fill="FFFFFF"/>
        </w:rPr>
        <w:t xml:space="preserve"> at: https://www.icaew.com/library/subject-gateways/accounting-standards/new-uk-gaap/frs-102-topics/frs-102-leases [Accessed 14 Mar. 2019].</w:t>
      </w:r>
    </w:p>
    <w:p w:rsidR="009D5447" w:rsidRPr="009D5447" w:rsidRDefault="009D5447" w:rsidP="009D5447">
      <w:pPr>
        <w:pStyle w:val="ListParagraph"/>
      </w:pPr>
    </w:p>
    <w:p w:rsidR="009D5447" w:rsidRPr="009D5447" w:rsidRDefault="00E35D77" w:rsidP="009D5447">
      <w:pPr>
        <w:pStyle w:val="ListParagraph"/>
        <w:numPr>
          <w:ilvl w:val="0"/>
          <w:numId w:val="3"/>
        </w:numPr>
      </w:pPr>
      <w:r w:rsidRPr="009D5447">
        <w:rPr>
          <w:color w:val="000000"/>
          <w:shd w:val="clear" w:color="auto" w:fill="FFFFFF"/>
        </w:rPr>
        <w:t>ICAEW (2019). </w:t>
      </w:r>
      <w:r w:rsidRPr="009D5447">
        <w:rPr>
          <w:i/>
          <w:iCs/>
          <w:color w:val="000000"/>
          <w:shd w:val="clear" w:color="auto" w:fill="FFFFFF"/>
        </w:rPr>
        <w:t>Why IFRS 16 will radically change the retail sector</w:t>
      </w:r>
      <w:r w:rsidRPr="009D5447">
        <w:rPr>
          <w:color w:val="000000"/>
          <w:shd w:val="clear" w:color="auto" w:fill="FFFFFF"/>
        </w:rPr>
        <w:t xml:space="preserve">. [online] Economia.icaew.com. Available at: </w:t>
      </w:r>
      <w:r w:rsidRPr="009D5447">
        <w:rPr>
          <w:color w:val="000000"/>
          <w:shd w:val="clear" w:color="auto" w:fill="FFFFFF"/>
        </w:rPr>
        <w:t>https://economia.icaew.com/features/july-2017/why-ifrs-16-will-radically-impact-the-retail-sector [Accessed 29 Mar. 2019].</w:t>
      </w:r>
    </w:p>
    <w:p w:rsidR="00A2731D" w:rsidRPr="009D5447" w:rsidRDefault="00A2731D" w:rsidP="00A2731D">
      <w:pPr>
        <w:pStyle w:val="ListParagraph"/>
      </w:pPr>
    </w:p>
    <w:p w:rsidR="00706E3F" w:rsidRPr="00557C4F" w:rsidRDefault="00E35D77" w:rsidP="00A2731D">
      <w:pPr>
        <w:pStyle w:val="ListParagraph"/>
        <w:numPr>
          <w:ilvl w:val="0"/>
          <w:numId w:val="3"/>
        </w:numPr>
      </w:pPr>
      <w:r w:rsidRPr="009D5447">
        <w:rPr>
          <w:color w:val="000000"/>
          <w:shd w:val="clear" w:color="auto" w:fill="FFFFFF"/>
        </w:rPr>
        <w:lastRenderedPageBreak/>
        <w:t>IFRS (2019). </w:t>
      </w:r>
      <w:r w:rsidRPr="009D5447">
        <w:rPr>
          <w:i/>
          <w:iCs/>
          <w:color w:val="000000"/>
          <w:shd w:val="clear" w:color="auto" w:fill="FFFFFF"/>
        </w:rPr>
        <w:t>IFRS</w:t>
      </w:r>
      <w:r w:rsidRPr="009D5447">
        <w:rPr>
          <w:color w:val="000000"/>
          <w:shd w:val="clear" w:color="auto" w:fill="FFFFFF"/>
        </w:rPr>
        <w:t>. [online] Ifrs.org</w:t>
      </w:r>
      <w:r w:rsidRPr="00557C4F">
        <w:rPr>
          <w:color w:val="000000"/>
          <w:shd w:val="clear" w:color="auto" w:fill="FFFFFF"/>
        </w:rPr>
        <w:t>. Available at: https://www.ifrs.org/news-and-events/2019/01/ifrs-16-is-now-effective/ [Accessed</w:t>
      </w:r>
      <w:r w:rsidRPr="00557C4F">
        <w:rPr>
          <w:color w:val="000000"/>
          <w:shd w:val="clear" w:color="auto" w:fill="FFFFFF"/>
        </w:rPr>
        <w:t xml:space="preserve"> 14 Mar. 2019].</w:t>
      </w:r>
    </w:p>
    <w:p w:rsidR="000302D8" w:rsidRPr="00557C4F" w:rsidRDefault="000302D8" w:rsidP="00A2731D">
      <w:pPr>
        <w:pStyle w:val="ListParagraph"/>
      </w:pPr>
    </w:p>
    <w:p w:rsidR="000302D8" w:rsidRPr="00557C4F" w:rsidRDefault="00E35D77" w:rsidP="00A2731D">
      <w:pPr>
        <w:pStyle w:val="ListParagraph"/>
        <w:numPr>
          <w:ilvl w:val="0"/>
          <w:numId w:val="3"/>
        </w:numPr>
      </w:pPr>
      <w:r w:rsidRPr="00557C4F">
        <w:rPr>
          <w:color w:val="000000"/>
          <w:shd w:val="clear" w:color="auto" w:fill="FFFFFF"/>
        </w:rPr>
        <w:t>Kimber Bascom, B. (2019). </w:t>
      </w:r>
      <w:r w:rsidRPr="00557C4F">
        <w:rPr>
          <w:i/>
          <w:iCs/>
          <w:color w:val="000000"/>
          <w:shd w:val="clear" w:color="auto" w:fill="FFFFFF"/>
        </w:rPr>
        <w:t>New leases standard – Introducing IFRS 16</w:t>
      </w:r>
      <w:r w:rsidRPr="00557C4F">
        <w:rPr>
          <w:color w:val="000000"/>
          <w:shd w:val="clear" w:color="auto" w:fill="FFFFFF"/>
        </w:rPr>
        <w:t xml:space="preserve">. [online] KPMG. Available at: https://home.kpmg/xx/en/home/insights/2016/01/leases-new-standard-balance-sheet-transparency-slideshare-first-impressions-ifrs16-130116.html </w:t>
      </w:r>
      <w:r w:rsidRPr="00557C4F">
        <w:rPr>
          <w:color w:val="000000"/>
          <w:shd w:val="clear" w:color="auto" w:fill="FFFFFF"/>
        </w:rPr>
        <w:t>[Accessed 25 Mar. 2019].</w:t>
      </w:r>
    </w:p>
    <w:p w:rsidR="007B41E1" w:rsidRPr="00557C4F" w:rsidRDefault="007B41E1" w:rsidP="007B41E1">
      <w:pPr>
        <w:pStyle w:val="ListParagraph"/>
      </w:pPr>
    </w:p>
    <w:p w:rsidR="007B41E1" w:rsidRPr="00DA36EB" w:rsidRDefault="00E35D77" w:rsidP="00DA36EB">
      <w:pPr>
        <w:pStyle w:val="ListParagraph"/>
        <w:numPr>
          <w:ilvl w:val="0"/>
          <w:numId w:val="3"/>
        </w:numPr>
      </w:pPr>
      <w:r w:rsidRPr="00DA36EB">
        <w:rPr>
          <w:color w:val="000000"/>
          <w:shd w:val="clear" w:color="auto" w:fill="FFFFFF"/>
        </w:rPr>
        <w:t>KPMG (2019). [online] Home.kpmg. Available at: https://home.kpmg/content/dam/kpmg/xx/pdf/2018/11/leases-transition-options-2018.pdf [Accessed 29 Mar. 2019].</w:t>
      </w:r>
    </w:p>
    <w:p w:rsidR="00DA36EB" w:rsidRPr="00DA36EB" w:rsidRDefault="00DA36EB" w:rsidP="00DA36EB">
      <w:pPr>
        <w:pStyle w:val="ListParagraph"/>
      </w:pPr>
    </w:p>
    <w:p w:rsidR="00557C4F" w:rsidRPr="00DA36EB" w:rsidRDefault="00557C4F" w:rsidP="00DA36EB">
      <w:pPr>
        <w:pStyle w:val="ListParagraph"/>
      </w:pPr>
    </w:p>
    <w:p w:rsidR="00557C4F" w:rsidRPr="00A9784C" w:rsidRDefault="00E35D77" w:rsidP="00DA36EB">
      <w:pPr>
        <w:pStyle w:val="ListParagraph"/>
        <w:numPr>
          <w:ilvl w:val="0"/>
          <w:numId w:val="3"/>
        </w:numPr>
      </w:pPr>
      <w:r w:rsidRPr="00DA36EB">
        <w:rPr>
          <w:color w:val="000000"/>
          <w:shd w:val="clear" w:color="auto" w:fill="FFFFFF"/>
        </w:rPr>
        <w:t>PWC (2019). [online] Pwc.com. Available at: https://www.pwc.com/gx/en/s</w:t>
      </w:r>
      <w:r w:rsidRPr="00DA36EB">
        <w:rPr>
          <w:color w:val="000000"/>
          <w:shd w:val="clear" w:color="auto" w:fill="FFFFFF"/>
        </w:rPr>
        <w:t>ervices/audit-assurance/assets</w:t>
      </w:r>
      <w:r w:rsidRPr="00AC6F3C">
        <w:rPr>
          <w:color w:val="000000"/>
          <w:shd w:val="clear" w:color="auto" w:fill="FFFFFF"/>
        </w:rPr>
        <w:t>/ifrs-16-new-leases.pdf [Accessed 31 Mar. 2019].</w:t>
      </w:r>
    </w:p>
    <w:p w:rsidR="00A9784C" w:rsidRDefault="00A9784C" w:rsidP="00A9784C">
      <w:pPr>
        <w:pStyle w:val="ListParagraph"/>
      </w:pPr>
    </w:p>
    <w:p w:rsidR="00A9784C" w:rsidRPr="00AC6F3C" w:rsidRDefault="00E35D77" w:rsidP="00557C4F">
      <w:pPr>
        <w:pStyle w:val="ListParagraph"/>
        <w:numPr>
          <w:ilvl w:val="0"/>
          <w:numId w:val="3"/>
        </w:numPr>
      </w:pPr>
      <w:r w:rsidRPr="00716F6E">
        <w:t>Sacarin, M., 2017. IFRS 16 “Leases”–consequences on the financial statements and financial indicators. Audit Financial, 15(145), pp.114-122.</w:t>
      </w:r>
    </w:p>
    <w:p w:rsidR="00AC6F3C" w:rsidRPr="00AC6F3C" w:rsidRDefault="00AC6F3C" w:rsidP="00AC6F3C">
      <w:pPr>
        <w:pStyle w:val="ListParagraph"/>
      </w:pPr>
    </w:p>
    <w:p w:rsidR="00AC6F3C" w:rsidRPr="00AC6F3C" w:rsidRDefault="00E35D77" w:rsidP="00AC6F3C">
      <w:pPr>
        <w:pStyle w:val="ListParagraph"/>
        <w:numPr>
          <w:ilvl w:val="0"/>
          <w:numId w:val="3"/>
        </w:numPr>
      </w:pPr>
      <w:r w:rsidRPr="00AC6F3C">
        <w:rPr>
          <w:color w:val="222222"/>
          <w:shd w:val="clear" w:color="auto" w:fill="FFFFFF"/>
        </w:rPr>
        <w:t>Smith Jr, C.W. and Watts, R.L., 1992. The investment opportunity set and corporate financing, dividend, and compensation policies. </w:t>
      </w:r>
      <w:r w:rsidRPr="00AC6F3C">
        <w:rPr>
          <w:i/>
          <w:iCs/>
          <w:color w:val="222222"/>
          <w:shd w:val="clear" w:color="auto" w:fill="FFFFFF"/>
        </w:rPr>
        <w:t>Journal of Financial Economics</w:t>
      </w:r>
      <w:r w:rsidRPr="00AC6F3C">
        <w:rPr>
          <w:color w:val="222222"/>
          <w:shd w:val="clear" w:color="auto" w:fill="FFFFFF"/>
        </w:rPr>
        <w:t>, </w:t>
      </w:r>
      <w:r w:rsidRPr="00AC6F3C">
        <w:rPr>
          <w:i/>
          <w:iCs/>
          <w:color w:val="222222"/>
          <w:shd w:val="clear" w:color="auto" w:fill="FFFFFF"/>
        </w:rPr>
        <w:t>32</w:t>
      </w:r>
      <w:r w:rsidRPr="00AC6F3C">
        <w:rPr>
          <w:color w:val="222222"/>
          <w:shd w:val="clear" w:color="auto" w:fill="FFFFFF"/>
        </w:rPr>
        <w:t>(3), pp.263-292.</w:t>
      </w:r>
    </w:p>
    <w:p w:rsidR="00AC6F3C" w:rsidRPr="007B41E1" w:rsidRDefault="00AC6F3C" w:rsidP="00557C4F">
      <w:pPr>
        <w:pStyle w:val="ListParagraph"/>
      </w:pPr>
    </w:p>
    <w:p w:rsidR="007B41E1" w:rsidRPr="00A2731D" w:rsidRDefault="007B41E1" w:rsidP="007B41E1">
      <w:pPr>
        <w:pStyle w:val="ListParagraph"/>
      </w:pPr>
    </w:p>
    <w:p w:rsidR="00706E3F" w:rsidRPr="00A2731D" w:rsidRDefault="00706E3F" w:rsidP="00A2731D">
      <w:pPr>
        <w:pStyle w:val="ListParagraph"/>
      </w:pPr>
    </w:p>
    <w:p w:rsidR="0063337A" w:rsidRPr="00A2731D" w:rsidRDefault="0063337A" w:rsidP="00A2731D">
      <w:pPr>
        <w:pStyle w:val="ListParagraph"/>
      </w:pPr>
    </w:p>
    <w:p w:rsidR="00E70FC2" w:rsidRPr="00A2731D" w:rsidRDefault="00E35D77" w:rsidP="00A2731D">
      <w:r w:rsidRPr="00A2731D">
        <w:t xml:space="preserve"> </w:t>
      </w:r>
    </w:p>
    <w:sectPr w:rsidR="00E70FC2" w:rsidRPr="00A2731D">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5D77" w:rsidRDefault="00E35D77">
      <w:r>
        <w:separator/>
      </w:r>
    </w:p>
  </w:endnote>
  <w:endnote w:type="continuationSeparator" w:id="0">
    <w:p w:rsidR="00E35D77" w:rsidRDefault="00E35D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6835175"/>
      <w:docPartObj>
        <w:docPartGallery w:val="Page Numbers (Bottom of Page)"/>
        <w:docPartUnique/>
      </w:docPartObj>
    </w:sdtPr>
    <w:sdtEndPr>
      <w:rPr>
        <w:noProof/>
      </w:rPr>
    </w:sdtEndPr>
    <w:sdtContent>
      <w:p w:rsidR="00D661BD" w:rsidRDefault="00E35D77">
        <w:pPr>
          <w:pStyle w:val="Footer"/>
          <w:jc w:val="right"/>
        </w:pPr>
        <w:r>
          <w:fldChar w:fldCharType="begin"/>
        </w:r>
        <w:r>
          <w:instrText xml:space="preserve"> PAGE   \* MERGEFORMAT </w:instrText>
        </w:r>
        <w:r>
          <w:fldChar w:fldCharType="separate"/>
        </w:r>
        <w:r w:rsidR="000A7E66">
          <w:rPr>
            <w:noProof/>
          </w:rPr>
          <w:t>5</w:t>
        </w:r>
        <w:r>
          <w:rPr>
            <w:noProof/>
          </w:rPr>
          <w:fldChar w:fldCharType="end"/>
        </w:r>
      </w:p>
    </w:sdtContent>
  </w:sdt>
  <w:p w:rsidR="00D661BD" w:rsidRDefault="00D66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5D77" w:rsidRDefault="00E35D77">
      <w:r>
        <w:separator/>
      </w:r>
    </w:p>
  </w:footnote>
  <w:footnote w:type="continuationSeparator" w:id="0">
    <w:p w:rsidR="00E35D77" w:rsidRDefault="00E35D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61BD" w:rsidRDefault="00E35D77">
    <w:pPr>
      <w:pStyle w:val="Header"/>
      <w:jc w:val="right"/>
      <w:rPr>
        <w:color w:val="7F7F7F" w:themeColor="text1" w:themeTint="80"/>
      </w:rPr>
    </w:pPr>
    <w:r>
      <w:rPr>
        <w:color w:val="7F7F7F" w:themeColor="text1" w:themeTint="80"/>
      </w:rPr>
      <w:t>Leasing| Aniqa Anjum |27 February 2019</w:t>
    </w:r>
  </w:p>
  <w:p w:rsidR="00D661BD" w:rsidRDefault="00D661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964FA"/>
    <w:multiLevelType w:val="hybridMultilevel"/>
    <w:tmpl w:val="4EB01E74"/>
    <w:lvl w:ilvl="0" w:tplc="9DCE56D6">
      <w:start w:val="1"/>
      <w:numFmt w:val="decimal"/>
      <w:lvlText w:val="%1."/>
      <w:lvlJc w:val="left"/>
      <w:pPr>
        <w:ind w:left="720" w:hanging="360"/>
      </w:pPr>
      <w:rPr>
        <w:rFonts w:hint="default"/>
      </w:rPr>
    </w:lvl>
    <w:lvl w:ilvl="1" w:tplc="D1589F0E" w:tentative="1">
      <w:start w:val="1"/>
      <w:numFmt w:val="lowerLetter"/>
      <w:lvlText w:val="%2."/>
      <w:lvlJc w:val="left"/>
      <w:pPr>
        <w:ind w:left="1440" w:hanging="360"/>
      </w:pPr>
    </w:lvl>
    <w:lvl w:ilvl="2" w:tplc="5FA6ED02" w:tentative="1">
      <w:start w:val="1"/>
      <w:numFmt w:val="lowerRoman"/>
      <w:lvlText w:val="%3."/>
      <w:lvlJc w:val="right"/>
      <w:pPr>
        <w:ind w:left="2160" w:hanging="180"/>
      </w:pPr>
    </w:lvl>
    <w:lvl w:ilvl="3" w:tplc="04709038" w:tentative="1">
      <w:start w:val="1"/>
      <w:numFmt w:val="decimal"/>
      <w:lvlText w:val="%4."/>
      <w:lvlJc w:val="left"/>
      <w:pPr>
        <w:ind w:left="2880" w:hanging="360"/>
      </w:pPr>
    </w:lvl>
    <w:lvl w:ilvl="4" w:tplc="5D724A54" w:tentative="1">
      <w:start w:val="1"/>
      <w:numFmt w:val="lowerLetter"/>
      <w:lvlText w:val="%5."/>
      <w:lvlJc w:val="left"/>
      <w:pPr>
        <w:ind w:left="3600" w:hanging="360"/>
      </w:pPr>
    </w:lvl>
    <w:lvl w:ilvl="5" w:tplc="F8BA870A" w:tentative="1">
      <w:start w:val="1"/>
      <w:numFmt w:val="lowerRoman"/>
      <w:lvlText w:val="%6."/>
      <w:lvlJc w:val="right"/>
      <w:pPr>
        <w:ind w:left="4320" w:hanging="180"/>
      </w:pPr>
    </w:lvl>
    <w:lvl w:ilvl="6" w:tplc="FEF0CDB4" w:tentative="1">
      <w:start w:val="1"/>
      <w:numFmt w:val="decimal"/>
      <w:lvlText w:val="%7."/>
      <w:lvlJc w:val="left"/>
      <w:pPr>
        <w:ind w:left="5040" w:hanging="360"/>
      </w:pPr>
    </w:lvl>
    <w:lvl w:ilvl="7" w:tplc="2B3AC7A8" w:tentative="1">
      <w:start w:val="1"/>
      <w:numFmt w:val="lowerLetter"/>
      <w:lvlText w:val="%8."/>
      <w:lvlJc w:val="left"/>
      <w:pPr>
        <w:ind w:left="5760" w:hanging="360"/>
      </w:pPr>
    </w:lvl>
    <w:lvl w:ilvl="8" w:tplc="147AF3BA" w:tentative="1">
      <w:start w:val="1"/>
      <w:numFmt w:val="lowerRoman"/>
      <w:lvlText w:val="%9."/>
      <w:lvlJc w:val="right"/>
      <w:pPr>
        <w:ind w:left="6480" w:hanging="180"/>
      </w:pPr>
    </w:lvl>
  </w:abstractNum>
  <w:abstractNum w:abstractNumId="1" w15:restartNumberingAfterBreak="0">
    <w:nsid w:val="12725888"/>
    <w:multiLevelType w:val="hybridMultilevel"/>
    <w:tmpl w:val="D69EE5AE"/>
    <w:lvl w:ilvl="0" w:tplc="3EC09F7E">
      <w:start w:val="5"/>
      <w:numFmt w:val="decimal"/>
      <w:lvlText w:val="%1."/>
      <w:lvlJc w:val="left"/>
      <w:pPr>
        <w:ind w:left="720" w:hanging="360"/>
      </w:pPr>
      <w:rPr>
        <w:rFonts w:hint="default"/>
      </w:rPr>
    </w:lvl>
    <w:lvl w:ilvl="1" w:tplc="39A86906" w:tentative="1">
      <w:start w:val="1"/>
      <w:numFmt w:val="lowerLetter"/>
      <w:lvlText w:val="%2."/>
      <w:lvlJc w:val="left"/>
      <w:pPr>
        <w:ind w:left="1440" w:hanging="360"/>
      </w:pPr>
    </w:lvl>
    <w:lvl w:ilvl="2" w:tplc="729A179C" w:tentative="1">
      <w:start w:val="1"/>
      <w:numFmt w:val="lowerRoman"/>
      <w:lvlText w:val="%3."/>
      <w:lvlJc w:val="right"/>
      <w:pPr>
        <w:ind w:left="2160" w:hanging="180"/>
      </w:pPr>
    </w:lvl>
    <w:lvl w:ilvl="3" w:tplc="1B2CF140" w:tentative="1">
      <w:start w:val="1"/>
      <w:numFmt w:val="decimal"/>
      <w:lvlText w:val="%4."/>
      <w:lvlJc w:val="left"/>
      <w:pPr>
        <w:ind w:left="2880" w:hanging="360"/>
      </w:pPr>
    </w:lvl>
    <w:lvl w:ilvl="4" w:tplc="E41238B4" w:tentative="1">
      <w:start w:val="1"/>
      <w:numFmt w:val="lowerLetter"/>
      <w:lvlText w:val="%5."/>
      <w:lvlJc w:val="left"/>
      <w:pPr>
        <w:ind w:left="3600" w:hanging="360"/>
      </w:pPr>
    </w:lvl>
    <w:lvl w:ilvl="5" w:tplc="C8D07050" w:tentative="1">
      <w:start w:val="1"/>
      <w:numFmt w:val="lowerRoman"/>
      <w:lvlText w:val="%6."/>
      <w:lvlJc w:val="right"/>
      <w:pPr>
        <w:ind w:left="4320" w:hanging="180"/>
      </w:pPr>
    </w:lvl>
    <w:lvl w:ilvl="6" w:tplc="1D3A9C9A" w:tentative="1">
      <w:start w:val="1"/>
      <w:numFmt w:val="decimal"/>
      <w:lvlText w:val="%7."/>
      <w:lvlJc w:val="left"/>
      <w:pPr>
        <w:ind w:left="5040" w:hanging="360"/>
      </w:pPr>
    </w:lvl>
    <w:lvl w:ilvl="7" w:tplc="572EE156" w:tentative="1">
      <w:start w:val="1"/>
      <w:numFmt w:val="lowerLetter"/>
      <w:lvlText w:val="%8."/>
      <w:lvlJc w:val="left"/>
      <w:pPr>
        <w:ind w:left="5760" w:hanging="360"/>
      </w:pPr>
    </w:lvl>
    <w:lvl w:ilvl="8" w:tplc="3CAE3536" w:tentative="1">
      <w:start w:val="1"/>
      <w:numFmt w:val="lowerRoman"/>
      <w:lvlText w:val="%9."/>
      <w:lvlJc w:val="right"/>
      <w:pPr>
        <w:ind w:left="6480" w:hanging="180"/>
      </w:pPr>
    </w:lvl>
  </w:abstractNum>
  <w:abstractNum w:abstractNumId="2" w15:restartNumberingAfterBreak="0">
    <w:nsid w:val="23163C15"/>
    <w:multiLevelType w:val="hybridMultilevel"/>
    <w:tmpl w:val="7E863B98"/>
    <w:lvl w:ilvl="0" w:tplc="BFDA9D1C">
      <w:start w:val="1"/>
      <w:numFmt w:val="decimal"/>
      <w:lvlText w:val="%1)"/>
      <w:lvlJc w:val="left"/>
      <w:pPr>
        <w:ind w:left="720" w:hanging="360"/>
      </w:pPr>
    </w:lvl>
    <w:lvl w:ilvl="1" w:tplc="CCFA23D8" w:tentative="1">
      <w:start w:val="1"/>
      <w:numFmt w:val="lowerLetter"/>
      <w:lvlText w:val="%2."/>
      <w:lvlJc w:val="left"/>
      <w:pPr>
        <w:ind w:left="1440" w:hanging="360"/>
      </w:pPr>
    </w:lvl>
    <w:lvl w:ilvl="2" w:tplc="5BA40814" w:tentative="1">
      <w:start w:val="1"/>
      <w:numFmt w:val="lowerRoman"/>
      <w:lvlText w:val="%3."/>
      <w:lvlJc w:val="right"/>
      <w:pPr>
        <w:ind w:left="2160" w:hanging="180"/>
      </w:pPr>
    </w:lvl>
    <w:lvl w:ilvl="3" w:tplc="34529C1C" w:tentative="1">
      <w:start w:val="1"/>
      <w:numFmt w:val="decimal"/>
      <w:lvlText w:val="%4."/>
      <w:lvlJc w:val="left"/>
      <w:pPr>
        <w:ind w:left="2880" w:hanging="360"/>
      </w:pPr>
    </w:lvl>
    <w:lvl w:ilvl="4" w:tplc="7414B510" w:tentative="1">
      <w:start w:val="1"/>
      <w:numFmt w:val="lowerLetter"/>
      <w:lvlText w:val="%5."/>
      <w:lvlJc w:val="left"/>
      <w:pPr>
        <w:ind w:left="3600" w:hanging="360"/>
      </w:pPr>
    </w:lvl>
    <w:lvl w:ilvl="5" w:tplc="C038B082" w:tentative="1">
      <w:start w:val="1"/>
      <w:numFmt w:val="lowerRoman"/>
      <w:lvlText w:val="%6."/>
      <w:lvlJc w:val="right"/>
      <w:pPr>
        <w:ind w:left="4320" w:hanging="180"/>
      </w:pPr>
    </w:lvl>
    <w:lvl w:ilvl="6" w:tplc="E850C428" w:tentative="1">
      <w:start w:val="1"/>
      <w:numFmt w:val="decimal"/>
      <w:lvlText w:val="%7."/>
      <w:lvlJc w:val="left"/>
      <w:pPr>
        <w:ind w:left="5040" w:hanging="360"/>
      </w:pPr>
    </w:lvl>
    <w:lvl w:ilvl="7" w:tplc="EB3A8F22" w:tentative="1">
      <w:start w:val="1"/>
      <w:numFmt w:val="lowerLetter"/>
      <w:lvlText w:val="%8."/>
      <w:lvlJc w:val="left"/>
      <w:pPr>
        <w:ind w:left="5760" w:hanging="360"/>
      </w:pPr>
    </w:lvl>
    <w:lvl w:ilvl="8" w:tplc="8CECCD6A" w:tentative="1">
      <w:start w:val="1"/>
      <w:numFmt w:val="lowerRoman"/>
      <w:lvlText w:val="%9."/>
      <w:lvlJc w:val="right"/>
      <w:pPr>
        <w:ind w:left="6480" w:hanging="180"/>
      </w:pPr>
    </w:lvl>
  </w:abstractNum>
  <w:abstractNum w:abstractNumId="3" w15:restartNumberingAfterBreak="0">
    <w:nsid w:val="3B0C0564"/>
    <w:multiLevelType w:val="hybridMultilevel"/>
    <w:tmpl w:val="9B4AD64C"/>
    <w:lvl w:ilvl="0" w:tplc="D25EEB32">
      <w:start w:val="1"/>
      <w:numFmt w:val="decimal"/>
      <w:lvlText w:val="%1."/>
      <w:lvlJc w:val="left"/>
      <w:pPr>
        <w:ind w:left="720" w:hanging="360"/>
      </w:pPr>
      <w:rPr>
        <w:rFonts w:hint="default"/>
      </w:rPr>
    </w:lvl>
    <w:lvl w:ilvl="1" w:tplc="851E4D50" w:tentative="1">
      <w:start w:val="1"/>
      <w:numFmt w:val="lowerLetter"/>
      <w:lvlText w:val="%2."/>
      <w:lvlJc w:val="left"/>
      <w:pPr>
        <w:ind w:left="1440" w:hanging="360"/>
      </w:pPr>
    </w:lvl>
    <w:lvl w:ilvl="2" w:tplc="6BC6EAF6" w:tentative="1">
      <w:start w:val="1"/>
      <w:numFmt w:val="lowerRoman"/>
      <w:lvlText w:val="%3."/>
      <w:lvlJc w:val="right"/>
      <w:pPr>
        <w:ind w:left="2160" w:hanging="180"/>
      </w:pPr>
    </w:lvl>
    <w:lvl w:ilvl="3" w:tplc="87D435F0" w:tentative="1">
      <w:start w:val="1"/>
      <w:numFmt w:val="decimal"/>
      <w:lvlText w:val="%4."/>
      <w:lvlJc w:val="left"/>
      <w:pPr>
        <w:ind w:left="2880" w:hanging="360"/>
      </w:pPr>
    </w:lvl>
    <w:lvl w:ilvl="4" w:tplc="BE50ABE0" w:tentative="1">
      <w:start w:val="1"/>
      <w:numFmt w:val="lowerLetter"/>
      <w:lvlText w:val="%5."/>
      <w:lvlJc w:val="left"/>
      <w:pPr>
        <w:ind w:left="3600" w:hanging="360"/>
      </w:pPr>
    </w:lvl>
    <w:lvl w:ilvl="5" w:tplc="22E05852" w:tentative="1">
      <w:start w:val="1"/>
      <w:numFmt w:val="lowerRoman"/>
      <w:lvlText w:val="%6."/>
      <w:lvlJc w:val="right"/>
      <w:pPr>
        <w:ind w:left="4320" w:hanging="180"/>
      </w:pPr>
    </w:lvl>
    <w:lvl w:ilvl="6" w:tplc="A4B665F0" w:tentative="1">
      <w:start w:val="1"/>
      <w:numFmt w:val="decimal"/>
      <w:lvlText w:val="%7."/>
      <w:lvlJc w:val="left"/>
      <w:pPr>
        <w:ind w:left="5040" w:hanging="360"/>
      </w:pPr>
    </w:lvl>
    <w:lvl w:ilvl="7" w:tplc="400EB8D6" w:tentative="1">
      <w:start w:val="1"/>
      <w:numFmt w:val="lowerLetter"/>
      <w:lvlText w:val="%8."/>
      <w:lvlJc w:val="left"/>
      <w:pPr>
        <w:ind w:left="5760" w:hanging="360"/>
      </w:pPr>
    </w:lvl>
    <w:lvl w:ilvl="8" w:tplc="6860BD0A" w:tentative="1">
      <w:start w:val="1"/>
      <w:numFmt w:val="lowerRoman"/>
      <w:lvlText w:val="%9."/>
      <w:lvlJc w:val="right"/>
      <w:pPr>
        <w:ind w:left="6480" w:hanging="180"/>
      </w:pPr>
    </w:lvl>
  </w:abstractNum>
  <w:abstractNum w:abstractNumId="4" w15:restartNumberingAfterBreak="0">
    <w:nsid w:val="60DC2E7A"/>
    <w:multiLevelType w:val="hybridMultilevel"/>
    <w:tmpl w:val="5492CC40"/>
    <w:lvl w:ilvl="0" w:tplc="E7F42626">
      <w:start w:val="1"/>
      <w:numFmt w:val="decimal"/>
      <w:lvlText w:val="%1."/>
      <w:lvlJc w:val="left"/>
      <w:pPr>
        <w:ind w:left="720" w:hanging="360"/>
      </w:pPr>
    </w:lvl>
    <w:lvl w:ilvl="1" w:tplc="E174A60A">
      <w:start w:val="1"/>
      <w:numFmt w:val="lowerLetter"/>
      <w:lvlText w:val="%2."/>
      <w:lvlJc w:val="left"/>
      <w:pPr>
        <w:ind w:left="1440" w:hanging="360"/>
      </w:pPr>
    </w:lvl>
    <w:lvl w:ilvl="2" w:tplc="6B18F454">
      <w:start w:val="1"/>
      <w:numFmt w:val="lowerRoman"/>
      <w:lvlText w:val="%3."/>
      <w:lvlJc w:val="right"/>
      <w:pPr>
        <w:ind w:left="2160" w:hanging="180"/>
      </w:pPr>
    </w:lvl>
    <w:lvl w:ilvl="3" w:tplc="C5AA9E36">
      <w:start w:val="1"/>
      <w:numFmt w:val="decimal"/>
      <w:lvlText w:val="%4."/>
      <w:lvlJc w:val="left"/>
      <w:pPr>
        <w:ind w:left="2880" w:hanging="360"/>
      </w:pPr>
    </w:lvl>
    <w:lvl w:ilvl="4" w:tplc="066EE684">
      <w:start w:val="1"/>
      <w:numFmt w:val="lowerLetter"/>
      <w:lvlText w:val="%5."/>
      <w:lvlJc w:val="left"/>
      <w:pPr>
        <w:ind w:left="3600" w:hanging="360"/>
      </w:pPr>
    </w:lvl>
    <w:lvl w:ilvl="5" w:tplc="EA6CF2C8">
      <w:start w:val="1"/>
      <w:numFmt w:val="lowerRoman"/>
      <w:lvlText w:val="%6."/>
      <w:lvlJc w:val="right"/>
      <w:pPr>
        <w:ind w:left="4320" w:hanging="180"/>
      </w:pPr>
    </w:lvl>
    <w:lvl w:ilvl="6" w:tplc="AA064262">
      <w:start w:val="1"/>
      <w:numFmt w:val="decimal"/>
      <w:lvlText w:val="%7."/>
      <w:lvlJc w:val="left"/>
      <w:pPr>
        <w:ind w:left="5040" w:hanging="360"/>
      </w:pPr>
    </w:lvl>
    <w:lvl w:ilvl="7" w:tplc="28EA1EBC">
      <w:start w:val="1"/>
      <w:numFmt w:val="lowerLetter"/>
      <w:lvlText w:val="%8."/>
      <w:lvlJc w:val="left"/>
      <w:pPr>
        <w:ind w:left="5760" w:hanging="360"/>
      </w:pPr>
    </w:lvl>
    <w:lvl w:ilvl="8" w:tplc="66AAEAF0">
      <w:start w:val="1"/>
      <w:numFmt w:val="lowerRoman"/>
      <w:lvlText w:val="%9."/>
      <w:lvlJc w:val="right"/>
      <w:pPr>
        <w:ind w:left="6480" w:hanging="180"/>
      </w:pPr>
    </w:lvl>
  </w:abstractNum>
  <w:abstractNum w:abstractNumId="5" w15:restartNumberingAfterBreak="0">
    <w:nsid w:val="6842096B"/>
    <w:multiLevelType w:val="hybridMultilevel"/>
    <w:tmpl w:val="AC0CFC70"/>
    <w:lvl w:ilvl="0" w:tplc="CB90011E">
      <w:start w:val="1"/>
      <w:numFmt w:val="bullet"/>
      <w:lvlText w:val=""/>
      <w:lvlJc w:val="left"/>
      <w:pPr>
        <w:ind w:left="927" w:hanging="360"/>
      </w:pPr>
      <w:rPr>
        <w:rFonts w:ascii="Symbol" w:hAnsi="Symbol" w:hint="default"/>
      </w:rPr>
    </w:lvl>
    <w:lvl w:ilvl="1" w:tplc="567E8594" w:tentative="1">
      <w:start w:val="1"/>
      <w:numFmt w:val="lowerLetter"/>
      <w:lvlText w:val="%2."/>
      <w:lvlJc w:val="left"/>
      <w:pPr>
        <w:ind w:left="1647" w:hanging="360"/>
      </w:pPr>
    </w:lvl>
    <w:lvl w:ilvl="2" w:tplc="E3F2713A" w:tentative="1">
      <w:start w:val="1"/>
      <w:numFmt w:val="lowerRoman"/>
      <w:lvlText w:val="%3."/>
      <w:lvlJc w:val="right"/>
      <w:pPr>
        <w:ind w:left="2367" w:hanging="180"/>
      </w:pPr>
    </w:lvl>
    <w:lvl w:ilvl="3" w:tplc="32F2B876" w:tentative="1">
      <w:start w:val="1"/>
      <w:numFmt w:val="decimal"/>
      <w:lvlText w:val="%4."/>
      <w:lvlJc w:val="left"/>
      <w:pPr>
        <w:ind w:left="3087" w:hanging="360"/>
      </w:pPr>
    </w:lvl>
    <w:lvl w:ilvl="4" w:tplc="1F3471E2" w:tentative="1">
      <w:start w:val="1"/>
      <w:numFmt w:val="lowerLetter"/>
      <w:lvlText w:val="%5."/>
      <w:lvlJc w:val="left"/>
      <w:pPr>
        <w:ind w:left="3807" w:hanging="360"/>
      </w:pPr>
    </w:lvl>
    <w:lvl w:ilvl="5" w:tplc="7A9AE73E" w:tentative="1">
      <w:start w:val="1"/>
      <w:numFmt w:val="lowerRoman"/>
      <w:lvlText w:val="%6."/>
      <w:lvlJc w:val="right"/>
      <w:pPr>
        <w:ind w:left="4527" w:hanging="180"/>
      </w:pPr>
    </w:lvl>
    <w:lvl w:ilvl="6" w:tplc="D3B67E9E" w:tentative="1">
      <w:start w:val="1"/>
      <w:numFmt w:val="decimal"/>
      <w:lvlText w:val="%7."/>
      <w:lvlJc w:val="left"/>
      <w:pPr>
        <w:ind w:left="5247" w:hanging="360"/>
      </w:pPr>
    </w:lvl>
    <w:lvl w:ilvl="7" w:tplc="EC5AB6E2" w:tentative="1">
      <w:start w:val="1"/>
      <w:numFmt w:val="lowerLetter"/>
      <w:lvlText w:val="%8."/>
      <w:lvlJc w:val="left"/>
      <w:pPr>
        <w:ind w:left="5967" w:hanging="360"/>
      </w:pPr>
    </w:lvl>
    <w:lvl w:ilvl="8" w:tplc="A7225758" w:tentative="1">
      <w:start w:val="1"/>
      <w:numFmt w:val="lowerRoman"/>
      <w:lvlText w:val="%9."/>
      <w:lvlJc w:val="right"/>
      <w:pPr>
        <w:ind w:left="6687" w:hanging="180"/>
      </w:pPr>
    </w:lvl>
  </w:abstractNum>
  <w:abstractNum w:abstractNumId="6" w15:restartNumberingAfterBreak="0">
    <w:nsid w:val="704E2B5F"/>
    <w:multiLevelType w:val="multilevel"/>
    <w:tmpl w:val="17D6B800"/>
    <w:styleLink w:val="LS48"/>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E961048"/>
    <w:multiLevelType w:val="hybridMultilevel"/>
    <w:tmpl w:val="8160D598"/>
    <w:lvl w:ilvl="0" w:tplc="66426420">
      <w:start w:val="1"/>
      <w:numFmt w:val="decimal"/>
      <w:lvlText w:val="%1)"/>
      <w:lvlJc w:val="left"/>
      <w:pPr>
        <w:ind w:left="720" w:hanging="360"/>
      </w:pPr>
    </w:lvl>
    <w:lvl w:ilvl="1" w:tplc="810C2D32" w:tentative="1">
      <w:start w:val="1"/>
      <w:numFmt w:val="lowerLetter"/>
      <w:lvlText w:val="%2."/>
      <w:lvlJc w:val="left"/>
      <w:pPr>
        <w:ind w:left="1440" w:hanging="360"/>
      </w:pPr>
    </w:lvl>
    <w:lvl w:ilvl="2" w:tplc="4482A5E6" w:tentative="1">
      <w:start w:val="1"/>
      <w:numFmt w:val="lowerRoman"/>
      <w:lvlText w:val="%3."/>
      <w:lvlJc w:val="right"/>
      <w:pPr>
        <w:ind w:left="2160" w:hanging="180"/>
      </w:pPr>
    </w:lvl>
    <w:lvl w:ilvl="3" w:tplc="E37E08B4" w:tentative="1">
      <w:start w:val="1"/>
      <w:numFmt w:val="decimal"/>
      <w:lvlText w:val="%4."/>
      <w:lvlJc w:val="left"/>
      <w:pPr>
        <w:ind w:left="2880" w:hanging="360"/>
      </w:pPr>
    </w:lvl>
    <w:lvl w:ilvl="4" w:tplc="2146F188" w:tentative="1">
      <w:start w:val="1"/>
      <w:numFmt w:val="lowerLetter"/>
      <w:lvlText w:val="%5."/>
      <w:lvlJc w:val="left"/>
      <w:pPr>
        <w:ind w:left="3600" w:hanging="360"/>
      </w:pPr>
    </w:lvl>
    <w:lvl w:ilvl="5" w:tplc="A7423956" w:tentative="1">
      <w:start w:val="1"/>
      <w:numFmt w:val="lowerRoman"/>
      <w:lvlText w:val="%6."/>
      <w:lvlJc w:val="right"/>
      <w:pPr>
        <w:ind w:left="4320" w:hanging="180"/>
      </w:pPr>
    </w:lvl>
    <w:lvl w:ilvl="6" w:tplc="1A50AE2E" w:tentative="1">
      <w:start w:val="1"/>
      <w:numFmt w:val="decimal"/>
      <w:lvlText w:val="%7."/>
      <w:lvlJc w:val="left"/>
      <w:pPr>
        <w:ind w:left="5040" w:hanging="360"/>
      </w:pPr>
    </w:lvl>
    <w:lvl w:ilvl="7" w:tplc="AD5E83C6" w:tentative="1">
      <w:start w:val="1"/>
      <w:numFmt w:val="lowerLetter"/>
      <w:lvlText w:val="%8."/>
      <w:lvlJc w:val="left"/>
      <w:pPr>
        <w:ind w:left="5760" w:hanging="360"/>
      </w:pPr>
    </w:lvl>
    <w:lvl w:ilvl="8" w:tplc="B22EFF1A" w:tentative="1">
      <w:start w:val="1"/>
      <w:numFmt w:val="lowerRoman"/>
      <w:lvlText w:val="%9."/>
      <w:lvlJc w:val="right"/>
      <w:pPr>
        <w:ind w:left="6480" w:hanging="180"/>
      </w:pPr>
    </w:lvl>
  </w:abstractNum>
  <w:abstractNum w:abstractNumId="8" w15:restartNumberingAfterBreak="0">
    <w:nsid w:val="7F45420C"/>
    <w:multiLevelType w:val="hybridMultilevel"/>
    <w:tmpl w:val="05140DFA"/>
    <w:lvl w:ilvl="0" w:tplc="D3725128">
      <w:start w:val="1"/>
      <w:numFmt w:val="decimal"/>
      <w:lvlText w:val="%1."/>
      <w:lvlJc w:val="left"/>
      <w:pPr>
        <w:ind w:left="720" w:hanging="360"/>
      </w:pPr>
    </w:lvl>
    <w:lvl w:ilvl="1" w:tplc="F0AC9642" w:tentative="1">
      <w:start w:val="1"/>
      <w:numFmt w:val="lowerLetter"/>
      <w:lvlText w:val="%2."/>
      <w:lvlJc w:val="left"/>
      <w:pPr>
        <w:ind w:left="1440" w:hanging="360"/>
      </w:pPr>
    </w:lvl>
    <w:lvl w:ilvl="2" w:tplc="F55C8318" w:tentative="1">
      <w:start w:val="1"/>
      <w:numFmt w:val="lowerRoman"/>
      <w:lvlText w:val="%3."/>
      <w:lvlJc w:val="right"/>
      <w:pPr>
        <w:ind w:left="2160" w:hanging="180"/>
      </w:pPr>
    </w:lvl>
    <w:lvl w:ilvl="3" w:tplc="A28AFC94" w:tentative="1">
      <w:start w:val="1"/>
      <w:numFmt w:val="decimal"/>
      <w:lvlText w:val="%4."/>
      <w:lvlJc w:val="left"/>
      <w:pPr>
        <w:ind w:left="2880" w:hanging="360"/>
      </w:pPr>
    </w:lvl>
    <w:lvl w:ilvl="4" w:tplc="78049FBE" w:tentative="1">
      <w:start w:val="1"/>
      <w:numFmt w:val="lowerLetter"/>
      <w:lvlText w:val="%5."/>
      <w:lvlJc w:val="left"/>
      <w:pPr>
        <w:ind w:left="3600" w:hanging="360"/>
      </w:pPr>
    </w:lvl>
    <w:lvl w:ilvl="5" w:tplc="CC8CBDC2" w:tentative="1">
      <w:start w:val="1"/>
      <w:numFmt w:val="lowerRoman"/>
      <w:lvlText w:val="%6."/>
      <w:lvlJc w:val="right"/>
      <w:pPr>
        <w:ind w:left="4320" w:hanging="180"/>
      </w:pPr>
    </w:lvl>
    <w:lvl w:ilvl="6" w:tplc="53D2FA66" w:tentative="1">
      <w:start w:val="1"/>
      <w:numFmt w:val="decimal"/>
      <w:lvlText w:val="%7."/>
      <w:lvlJc w:val="left"/>
      <w:pPr>
        <w:ind w:left="5040" w:hanging="360"/>
      </w:pPr>
    </w:lvl>
    <w:lvl w:ilvl="7" w:tplc="9EF4A568" w:tentative="1">
      <w:start w:val="1"/>
      <w:numFmt w:val="lowerLetter"/>
      <w:lvlText w:val="%8."/>
      <w:lvlJc w:val="left"/>
      <w:pPr>
        <w:ind w:left="5760" w:hanging="360"/>
      </w:pPr>
    </w:lvl>
    <w:lvl w:ilvl="8" w:tplc="FB2C8090"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1"/>
  </w:num>
  <w:num w:numId="5">
    <w:abstractNumId w:val="8"/>
  </w:num>
  <w:num w:numId="6">
    <w:abstractNumId w:val="7"/>
  </w:num>
  <w:num w:numId="7">
    <w:abstractNumId w:val="2"/>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188926"/>
    <w:rsid w:val="00002D0B"/>
    <w:rsid w:val="000059B3"/>
    <w:rsid w:val="00023E40"/>
    <w:rsid w:val="000302D8"/>
    <w:rsid w:val="00035519"/>
    <w:rsid w:val="000357D5"/>
    <w:rsid w:val="00037B88"/>
    <w:rsid w:val="00037EC7"/>
    <w:rsid w:val="00040489"/>
    <w:rsid w:val="00043C61"/>
    <w:rsid w:val="00044352"/>
    <w:rsid w:val="000631A0"/>
    <w:rsid w:val="00064053"/>
    <w:rsid w:val="000842D3"/>
    <w:rsid w:val="00085604"/>
    <w:rsid w:val="000957B0"/>
    <w:rsid w:val="000A355C"/>
    <w:rsid w:val="000A5536"/>
    <w:rsid w:val="000A7726"/>
    <w:rsid w:val="000A7E66"/>
    <w:rsid w:val="000B08B5"/>
    <w:rsid w:val="000B620F"/>
    <w:rsid w:val="000B7373"/>
    <w:rsid w:val="000C5C9E"/>
    <w:rsid w:val="000D38F0"/>
    <w:rsid w:val="000E481C"/>
    <w:rsid w:val="000F761C"/>
    <w:rsid w:val="000F7AA2"/>
    <w:rsid w:val="00110332"/>
    <w:rsid w:val="00116ABB"/>
    <w:rsid w:val="00126D1A"/>
    <w:rsid w:val="001327DA"/>
    <w:rsid w:val="00132A5B"/>
    <w:rsid w:val="00137F0D"/>
    <w:rsid w:val="001506BF"/>
    <w:rsid w:val="00154316"/>
    <w:rsid w:val="00160A42"/>
    <w:rsid w:val="00163900"/>
    <w:rsid w:val="001758C1"/>
    <w:rsid w:val="001A60E0"/>
    <w:rsid w:val="001A61D8"/>
    <w:rsid w:val="001B7366"/>
    <w:rsid w:val="001C5A25"/>
    <w:rsid w:val="001C60B9"/>
    <w:rsid w:val="001D652A"/>
    <w:rsid w:val="001D6B7A"/>
    <w:rsid w:val="001E5FB3"/>
    <w:rsid w:val="001E687B"/>
    <w:rsid w:val="001F1E23"/>
    <w:rsid w:val="001F4175"/>
    <w:rsid w:val="00215B37"/>
    <w:rsid w:val="0022075D"/>
    <w:rsid w:val="002237A3"/>
    <w:rsid w:val="00223A7D"/>
    <w:rsid w:val="00223AD5"/>
    <w:rsid w:val="00232493"/>
    <w:rsid w:val="00250F13"/>
    <w:rsid w:val="00256146"/>
    <w:rsid w:val="00262989"/>
    <w:rsid w:val="00263665"/>
    <w:rsid w:val="00266AC1"/>
    <w:rsid w:val="00270871"/>
    <w:rsid w:val="00275F8B"/>
    <w:rsid w:val="00277B15"/>
    <w:rsid w:val="002921B4"/>
    <w:rsid w:val="00294BA9"/>
    <w:rsid w:val="002A6B55"/>
    <w:rsid w:val="002A6B7A"/>
    <w:rsid w:val="002B511C"/>
    <w:rsid w:val="002C5294"/>
    <w:rsid w:val="002C5B9D"/>
    <w:rsid w:val="002E1211"/>
    <w:rsid w:val="00332CD8"/>
    <w:rsid w:val="00334A4A"/>
    <w:rsid w:val="00334D7B"/>
    <w:rsid w:val="0033565F"/>
    <w:rsid w:val="00345F6B"/>
    <w:rsid w:val="00362A05"/>
    <w:rsid w:val="00371688"/>
    <w:rsid w:val="00372F5F"/>
    <w:rsid w:val="003905D5"/>
    <w:rsid w:val="00390E9B"/>
    <w:rsid w:val="00391D9B"/>
    <w:rsid w:val="00393DBE"/>
    <w:rsid w:val="00395099"/>
    <w:rsid w:val="003A2076"/>
    <w:rsid w:val="003A3CDC"/>
    <w:rsid w:val="003A6914"/>
    <w:rsid w:val="003B3C8B"/>
    <w:rsid w:val="003C5D1F"/>
    <w:rsid w:val="003C77B2"/>
    <w:rsid w:val="003D3ED5"/>
    <w:rsid w:val="003D7FC9"/>
    <w:rsid w:val="003E08A8"/>
    <w:rsid w:val="003E0F54"/>
    <w:rsid w:val="003F017D"/>
    <w:rsid w:val="003F163F"/>
    <w:rsid w:val="003F55C0"/>
    <w:rsid w:val="00411D56"/>
    <w:rsid w:val="00416D6F"/>
    <w:rsid w:val="00440EA6"/>
    <w:rsid w:val="00441BB7"/>
    <w:rsid w:val="00441DA8"/>
    <w:rsid w:val="004511AF"/>
    <w:rsid w:val="004517B8"/>
    <w:rsid w:val="00460191"/>
    <w:rsid w:val="004A0C46"/>
    <w:rsid w:val="004A575D"/>
    <w:rsid w:val="004A6187"/>
    <w:rsid w:val="004A7711"/>
    <w:rsid w:val="004B6810"/>
    <w:rsid w:val="004C12FE"/>
    <w:rsid w:val="004C1ABB"/>
    <w:rsid w:val="004D28F9"/>
    <w:rsid w:val="004E1EEA"/>
    <w:rsid w:val="004E1F95"/>
    <w:rsid w:val="004E2D4B"/>
    <w:rsid w:val="004E309C"/>
    <w:rsid w:val="004E429D"/>
    <w:rsid w:val="005011F2"/>
    <w:rsid w:val="00503BFA"/>
    <w:rsid w:val="00522391"/>
    <w:rsid w:val="005242B6"/>
    <w:rsid w:val="00524D37"/>
    <w:rsid w:val="005307B7"/>
    <w:rsid w:val="00535D85"/>
    <w:rsid w:val="00543246"/>
    <w:rsid w:val="00545BB1"/>
    <w:rsid w:val="00546C95"/>
    <w:rsid w:val="00547595"/>
    <w:rsid w:val="00554EAB"/>
    <w:rsid w:val="00557C4F"/>
    <w:rsid w:val="0056035A"/>
    <w:rsid w:val="00564402"/>
    <w:rsid w:val="00564451"/>
    <w:rsid w:val="005779BB"/>
    <w:rsid w:val="00581D99"/>
    <w:rsid w:val="005B1BF7"/>
    <w:rsid w:val="005B54A1"/>
    <w:rsid w:val="005C5005"/>
    <w:rsid w:val="005C5D15"/>
    <w:rsid w:val="005D033E"/>
    <w:rsid w:val="005D64C0"/>
    <w:rsid w:val="005D661E"/>
    <w:rsid w:val="005E48A4"/>
    <w:rsid w:val="005F41BE"/>
    <w:rsid w:val="005F5932"/>
    <w:rsid w:val="00610DAB"/>
    <w:rsid w:val="0061410F"/>
    <w:rsid w:val="00620BE5"/>
    <w:rsid w:val="0063225A"/>
    <w:rsid w:val="0063337A"/>
    <w:rsid w:val="006404A9"/>
    <w:rsid w:val="0064139B"/>
    <w:rsid w:val="0064188B"/>
    <w:rsid w:val="00642772"/>
    <w:rsid w:val="006476CF"/>
    <w:rsid w:val="00653AF1"/>
    <w:rsid w:val="0065481E"/>
    <w:rsid w:val="00655F7C"/>
    <w:rsid w:val="00664D5D"/>
    <w:rsid w:val="00667DD0"/>
    <w:rsid w:val="00673C4A"/>
    <w:rsid w:val="006757EF"/>
    <w:rsid w:val="006857DA"/>
    <w:rsid w:val="00695028"/>
    <w:rsid w:val="0069574E"/>
    <w:rsid w:val="006A0D96"/>
    <w:rsid w:val="006A2F67"/>
    <w:rsid w:val="006A6FF8"/>
    <w:rsid w:val="006B4DDB"/>
    <w:rsid w:val="006B4F58"/>
    <w:rsid w:val="006C473A"/>
    <w:rsid w:val="006D491B"/>
    <w:rsid w:val="006E78D7"/>
    <w:rsid w:val="006E79C4"/>
    <w:rsid w:val="006F58B5"/>
    <w:rsid w:val="006F6681"/>
    <w:rsid w:val="006F7B18"/>
    <w:rsid w:val="00705244"/>
    <w:rsid w:val="00706E3F"/>
    <w:rsid w:val="0071651C"/>
    <w:rsid w:val="00716F6E"/>
    <w:rsid w:val="007213D1"/>
    <w:rsid w:val="00723209"/>
    <w:rsid w:val="00723439"/>
    <w:rsid w:val="00731619"/>
    <w:rsid w:val="0073785A"/>
    <w:rsid w:val="007441D9"/>
    <w:rsid w:val="00744504"/>
    <w:rsid w:val="0074477A"/>
    <w:rsid w:val="007576FC"/>
    <w:rsid w:val="00760C62"/>
    <w:rsid w:val="00770F6E"/>
    <w:rsid w:val="00772ACE"/>
    <w:rsid w:val="00775304"/>
    <w:rsid w:val="00777848"/>
    <w:rsid w:val="0078149B"/>
    <w:rsid w:val="00785B83"/>
    <w:rsid w:val="00790F08"/>
    <w:rsid w:val="00795DAE"/>
    <w:rsid w:val="00797D31"/>
    <w:rsid w:val="007A1EBE"/>
    <w:rsid w:val="007A369E"/>
    <w:rsid w:val="007A7C3B"/>
    <w:rsid w:val="007B41E1"/>
    <w:rsid w:val="007B6FD1"/>
    <w:rsid w:val="007C4989"/>
    <w:rsid w:val="00811434"/>
    <w:rsid w:val="0081460D"/>
    <w:rsid w:val="008342B9"/>
    <w:rsid w:val="00835002"/>
    <w:rsid w:val="00837459"/>
    <w:rsid w:val="00841F29"/>
    <w:rsid w:val="00854FF6"/>
    <w:rsid w:val="00863E0D"/>
    <w:rsid w:val="0086538B"/>
    <w:rsid w:val="00870846"/>
    <w:rsid w:val="00880FC3"/>
    <w:rsid w:val="008838F6"/>
    <w:rsid w:val="0088701D"/>
    <w:rsid w:val="0088710D"/>
    <w:rsid w:val="0089165C"/>
    <w:rsid w:val="008A303F"/>
    <w:rsid w:val="008A3F37"/>
    <w:rsid w:val="008B6C8D"/>
    <w:rsid w:val="008D21B0"/>
    <w:rsid w:val="008D31B6"/>
    <w:rsid w:val="008D5345"/>
    <w:rsid w:val="008D6398"/>
    <w:rsid w:val="008D6AB8"/>
    <w:rsid w:val="008D6B4A"/>
    <w:rsid w:val="008E258E"/>
    <w:rsid w:val="008E3401"/>
    <w:rsid w:val="008F7015"/>
    <w:rsid w:val="00907F6C"/>
    <w:rsid w:val="009105B3"/>
    <w:rsid w:val="00910EBE"/>
    <w:rsid w:val="00912FFF"/>
    <w:rsid w:val="00913767"/>
    <w:rsid w:val="009327C9"/>
    <w:rsid w:val="00934027"/>
    <w:rsid w:val="00937694"/>
    <w:rsid w:val="009412B7"/>
    <w:rsid w:val="00942B06"/>
    <w:rsid w:val="009538E8"/>
    <w:rsid w:val="00960ABB"/>
    <w:rsid w:val="00962697"/>
    <w:rsid w:val="009728FF"/>
    <w:rsid w:val="00977424"/>
    <w:rsid w:val="009819FB"/>
    <w:rsid w:val="00983E5B"/>
    <w:rsid w:val="00985537"/>
    <w:rsid w:val="009A63BD"/>
    <w:rsid w:val="009A7297"/>
    <w:rsid w:val="009B203B"/>
    <w:rsid w:val="009C15C6"/>
    <w:rsid w:val="009C5624"/>
    <w:rsid w:val="009D22BA"/>
    <w:rsid w:val="009D4CD9"/>
    <w:rsid w:val="009D4E50"/>
    <w:rsid w:val="009D5447"/>
    <w:rsid w:val="009D7834"/>
    <w:rsid w:val="009E3BE5"/>
    <w:rsid w:val="009E3E47"/>
    <w:rsid w:val="009E77A6"/>
    <w:rsid w:val="009F0A09"/>
    <w:rsid w:val="009F128F"/>
    <w:rsid w:val="00A02FA2"/>
    <w:rsid w:val="00A04841"/>
    <w:rsid w:val="00A101B8"/>
    <w:rsid w:val="00A120B2"/>
    <w:rsid w:val="00A14F91"/>
    <w:rsid w:val="00A17C8D"/>
    <w:rsid w:val="00A24D24"/>
    <w:rsid w:val="00A2731D"/>
    <w:rsid w:val="00A27C32"/>
    <w:rsid w:val="00A346E8"/>
    <w:rsid w:val="00A34EB4"/>
    <w:rsid w:val="00A4492A"/>
    <w:rsid w:val="00A47596"/>
    <w:rsid w:val="00A53B88"/>
    <w:rsid w:val="00A64EA2"/>
    <w:rsid w:val="00A7061E"/>
    <w:rsid w:val="00A71028"/>
    <w:rsid w:val="00A77133"/>
    <w:rsid w:val="00A858FF"/>
    <w:rsid w:val="00A94CC7"/>
    <w:rsid w:val="00A94D30"/>
    <w:rsid w:val="00A9784C"/>
    <w:rsid w:val="00AA33CB"/>
    <w:rsid w:val="00AA4917"/>
    <w:rsid w:val="00AA6BDC"/>
    <w:rsid w:val="00AB1D87"/>
    <w:rsid w:val="00AB2C6A"/>
    <w:rsid w:val="00AC37B5"/>
    <w:rsid w:val="00AC587B"/>
    <w:rsid w:val="00AC6F3C"/>
    <w:rsid w:val="00AE3C58"/>
    <w:rsid w:val="00AE67C2"/>
    <w:rsid w:val="00AF385A"/>
    <w:rsid w:val="00AF5F3D"/>
    <w:rsid w:val="00B03174"/>
    <w:rsid w:val="00B1152A"/>
    <w:rsid w:val="00B175A6"/>
    <w:rsid w:val="00B313CC"/>
    <w:rsid w:val="00B36352"/>
    <w:rsid w:val="00B446BB"/>
    <w:rsid w:val="00B47B92"/>
    <w:rsid w:val="00B5548E"/>
    <w:rsid w:val="00B575C1"/>
    <w:rsid w:val="00B61815"/>
    <w:rsid w:val="00B629CC"/>
    <w:rsid w:val="00B725ED"/>
    <w:rsid w:val="00B8389E"/>
    <w:rsid w:val="00B87EE8"/>
    <w:rsid w:val="00B91E2B"/>
    <w:rsid w:val="00BA51C7"/>
    <w:rsid w:val="00BA6096"/>
    <w:rsid w:val="00BC5B75"/>
    <w:rsid w:val="00BC7B8B"/>
    <w:rsid w:val="00BD50D0"/>
    <w:rsid w:val="00BE1861"/>
    <w:rsid w:val="00BE365C"/>
    <w:rsid w:val="00BE7036"/>
    <w:rsid w:val="00BF0515"/>
    <w:rsid w:val="00BF2994"/>
    <w:rsid w:val="00BF7144"/>
    <w:rsid w:val="00C07D27"/>
    <w:rsid w:val="00C107AF"/>
    <w:rsid w:val="00C2116A"/>
    <w:rsid w:val="00C232DE"/>
    <w:rsid w:val="00C40715"/>
    <w:rsid w:val="00C422A8"/>
    <w:rsid w:val="00C438AC"/>
    <w:rsid w:val="00C46E24"/>
    <w:rsid w:val="00C4734E"/>
    <w:rsid w:val="00C53936"/>
    <w:rsid w:val="00C56269"/>
    <w:rsid w:val="00C67276"/>
    <w:rsid w:val="00C75699"/>
    <w:rsid w:val="00C83915"/>
    <w:rsid w:val="00C93668"/>
    <w:rsid w:val="00C95538"/>
    <w:rsid w:val="00CA5873"/>
    <w:rsid w:val="00CC6DF3"/>
    <w:rsid w:val="00CD1097"/>
    <w:rsid w:val="00CD3D13"/>
    <w:rsid w:val="00CE13C8"/>
    <w:rsid w:val="00CE164F"/>
    <w:rsid w:val="00CE7A68"/>
    <w:rsid w:val="00CF55C8"/>
    <w:rsid w:val="00D004B8"/>
    <w:rsid w:val="00D03BE1"/>
    <w:rsid w:val="00D21217"/>
    <w:rsid w:val="00D21BEF"/>
    <w:rsid w:val="00D324BE"/>
    <w:rsid w:val="00D36283"/>
    <w:rsid w:val="00D62756"/>
    <w:rsid w:val="00D661BD"/>
    <w:rsid w:val="00D711D6"/>
    <w:rsid w:val="00D724FE"/>
    <w:rsid w:val="00D7483E"/>
    <w:rsid w:val="00D750C0"/>
    <w:rsid w:val="00D750F4"/>
    <w:rsid w:val="00D756DD"/>
    <w:rsid w:val="00D80A92"/>
    <w:rsid w:val="00D841DD"/>
    <w:rsid w:val="00D94F75"/>
    <w:rsid w:val="00DA2385"/>
    <w:rsid w:val="00DA36EB"/>
    <w:rsid w:val="00DA7EDC"/>
    <w:rsid w:val="00DB1331"/>
    <w:rsid w:val="00DB144C"/>
    <w:rsid w:val="00DB59D1"/>
    <w:rsid w:val="00DC28D8"/>
    <w:rsid w:val="00DE3696"/>
    <w:rsid w:val="00DF0A70"/>
    <w:rsid w:val="00DF0C5D"/>
    <w:rsid w:val="00DF676B"/>
    <w:rsid w:val="00DF7280"/>
    <w:rsid w:val="00E011AC"/>
    <w:rsid w:val="00E06946"/>
    <w:rsid w:val="00E13D2D"/>
    <w:rsid w:val="00E148E8"/>
    <w:rsid w:val="00E159AB"/>
    <w:rsid w:val="00E209E0"/>
    <w:rsid w:val="00E26B55"/>
    <w:rsid w:val="00E26C8A"/>
    <w:rsid w:val="00E35D77"/>
    <w:rsid w:val="00E53C6F"/>
    <w:rsid w:val="00E57364"/>
    <w:rsid w:val="00E604AD"/>
    <w:rsid w:val="00E624C1"/>
    <w:rsid w:val="00E64570"/>
    <w:rsid w:val="00E70FC2"/>
    <w:rsid w:val="00E874BF"/>
    <w:rsid w:val="00E93D01"/>
    <w:rsid w:val="00E948B1"/>
    <w:rsid w:val="00E9595C"/>
    <w:rsid w:val="00EA5BB2"/>
    <w:rsid w:val="00EB074E"/>
    <w:rsid w:val="00EB51B8"/>
    <w:rsid w:val="00EC1FAA"/>
    <w:rsid w:val="00EC3453"/>
    <w:rsid w:val="00ED4CD4"/>
    <w:rsid w:val="00EF0514"/>
    <w:rsid w:val="00EF38BA"/>
    <w:rsid w:val="00EF775A"/>
    <w:rsid w:val="00F06CD2"/>
    <w:rsid w:val="00F10350"/>
    <w:rsid w:val="00F1206C"/>
    <w:rsid w:val="00F1382F"/>
    <w:rsid w:val="00F13A2F"/>
    <w:rsid w:val="00F168B2"/>
    <w:rsid w:val="00F176B6"/>
    <w:rsid w:val="00F23827"/>
    <w:rsid w:val="00F256DC"/>
    <w:rsid w:val="00F25BD4"/>
    <w:rsid w:val="00F32C78"/>
    <w:rsid w:val="00F40BF7"/>
    <w:rsid w:val="00F41283"/>
    <w:rsid w:val="00F55522"/>
    <w:rsid w:val="00F55D51"/>
    <w:rsid w:val="00F604F4"/>
    <w:rsid w:val="00F62CF6"/>
    <w:rsid w:val="00F8002D"/>
    <w:rsid w:val="00F83BCD"/>
    <w:rsid w:val="00F85CC9"/>
    <w:rsid w:val="00F87515"/>
    <w:rsid w:val="00F95545"/>
    <w:rsid w:val="00F9647B"/>
    <w:rsid w:val="00FA59C0"/>
    <w:rsid w:val="00FC5892"/>
    <w:rsid w:val="00FD0722"/>
    <w:rsid w:val="00FD38F0"/>
    <w:rsid w:val="00FD480D"/>
    <w:rsid w:val="00FE1A2B"/>
    <w:rsid w:val="00FE6023"/>
    <w:rsid w:val="1EE15132"/>
    <w:rsid w:val="24E44F7A"/>
    <w:rsid w:val="65188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A4CE1B"/>
  <w15:chartTrackingRefBased/>
  <w15:docId w15:val="{192D0BD3-3503-4F63-9CCA-00D98A7EA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4917"/>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70FC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22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efaultParagraphFont00">
    <w:name w:val="DefaultParagraphFont00"/>
    <w:rsid w:val="00E70FC2"/>
  </w:style>
  <w:style w:type="character" w:customStyle="1" w:styleId="Heading1Char">
    <w:name w:val="Heading 1 Char"/>
    <w:basedOn w:val="DefaultParagraphFont"/>
    <w:link w:val="Heading1"/>
    <w:uiPriority w:val="9"/>
    <w:rsid w:val="00E70F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22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95099"/>
    <w:pPr>
      <w:outlineLvl w:val="9"/>
    </w:pPr>
    <w:rPr>
      <w:lang w:val="en-US"/>
    </w:rPr>
  </w:style>
  <w:style w:type="paragraph" w:styleId="TOC1">
    <w:name w:val="toc 1"/>
    <w:basedOn w:val="Normal"/>
    <w:next w:val="Normal"/>
    <w:autoRedefine/>
    <w:uiPriority w:val="39"/>
    <w:unhideWhenUsed/>
    <w:rsid w:val="00395099"/>
    <w:pPr>
      <w:spacing w:after="100"/>
    </w:pPr>
  </w:style>
  <w:style w:type="paragraph" w:styleId="TOC2">
    <w:name w:val="toc 2"/>
    <w:basedOn w:val="Normal"/>
    <w:next w:val="Normal"/>
    <w:autoRedefine/>
    <w:uiPriority w:val="39"/>
    <w:unhideWhenUsed/>
    <w:rsid w:val="00395099"/>
    <w:pPr>
      <w:spacing w:after="100"/>
      <w:ind w:left="220"/>
    </w:pPr>
  </w:style>
  <w:style w:type="character" w:styleId="Hyperlink">
    <w:name w:val="Hyperlink"/>
    <w:basedOn w:val="DefaultParagraphFont"/>
    <w:uiPriority w:val="99"/>
    <w:unhideWhenUsed/>
    <w:rsid w:val="00395099"/>
    <w:rPr>
      <w:color w:val="0563C1" w:themeColor="hyperlink"/>
      <w:u w:val="single"/>
    </w:rPr>
  </w:style>
  <w:style w:type="paragraph" w:styleId="ListParagraph">
    <w:name w:val="List Paragraph"/>
    <w:basedOn w:val="Normal"/>
    <w:uiPriority w:val="34"/>
    <w:qFormat/>
    <w:rsid w:val="00395099"/>
    <w:pPr>
      <w:ind w:left="720"/>
      <w:contextualSpacing/>
    </w:pPr>
  </w:style>
  <w:style w:type="paragraph" w:styleId="Header">
    <w:name w:val="header"/>
    <w:basedOn w:val="Normal"/>
    <w:link w:val="HeaderChar"/>
    <w:uiPriority w:val="99"/>
    <w:unhideWhenUsed/>
    <w:rsid w:val="00D661BD"/>
    <w:pPr>
      <w:tabs>
        <w:tab w:val="center" w:pos="4513"/>
        <w:tab w:val="right" w:pos="9026"/>
      </w:tabs>
    </w:pPr>
  </w:style>
  <w:style w:type="character" w:customStyle="1" w:styleId="HeaderChar">
    <w:name w:val="Header Char"/>
    <w:basedOn w:val="DefaultParagraphFont"/>
    <w:link w:val="Header"/>
    <w:uiPriority w:val="99"/>
    <w:rsid w:val="00D661BD"/>
  </w:style>
  <w:style w:type="paragraph" w:styleId="Footer">
    <w:name w:val="footer"/>
    <w:basedOn w:val="Normal"/>
    <w:link w:val="FooterChar"/>
    <w:uiPriority w:val="99"/>
    <w:unhideWhenUsed/>
    <w:rsid w:val="00D661BD"/>
    <w:pPr>
      <w:tabs>
        <w:tab w:val="center" w:pos="4513"/>
        <w:tab w:val="right" w:pos="9026"/>
      </w:tabs>
    </w:pPr>
  </w:style>
  <w:style w:type="character" w:customStyle="1" w:styleId="FooterChar">
    <w:name w:val="Footer Char"/>
    <w:basedOn w:val="DefaultParagraphFont"/>
    <w:link w:val="Footer"/>
    <w:uiPriority w:val="99"/>
    <w:rsid w:val="00D661BD"/>
  </w:style>
  <w:style w:type="paragraph" w:styleId="BalloonText">
    <w:name w:val="Balloon Text"/>
    <w:basedOn w:val="Normal"/>
    <w:link w:val="BalloonTextChar"/>
    <w:uiPriority w:val="99"/>
    <w:semiHidden/>
    <w:unhideWhenUsed/>
    <w:rsid w:val="00642772"/>
    <w:rPr>
      <w:sz w:val="18"/>
      <w:szCs w:val="18"/>
    </w:rPr>
  </w:style>
  <w:style w:type="character" w:customStyle="1" w:styleId="BalloonTextChar">
    <w:name w:val="Balloon Text Char"/>
    <w:basedOn w:val="DefaultParagraphFont"/>
    <w:link w:val="BalloonText"/>
    <w:uiPriority w:val="99"/>
    <w:semiHidden/>
    <w:rsid w:val="00642772"/>
    <w:rPr>
      <w:rFonts w:ascii="Times New Roman" w:hAnsi="Times New Roman" w:cs="Times New Roman"/>
      <w:sz w:val="18"/>
      <w:szCs w:val="18"/>
    </w:rPr>
  </w:style>
  <w:style w:type="character" w:customStyle="1" w:styleId="UnresolvedMention1">
    <w:name w:val="Unresolved Mention1"/>
    <w:basedOn w:val="DefaultParagraphFont"/>
    <w:uiPriority w:val="99"/>
    <w:semiHidden/>
    <w:unhideWhenUsed/>
    <w:rsid w:val="00F41283"/>
    <w:rPr>
      <w:color w:val="605E5C"/>
      <w:shd w:val="clear" w:color="auto" w:fill="E1DFDD"/>
    </w:rPr>
  </w:style>
  <w:style w:type="character" w:customStyle="1" w:styleId="DefaultParagraphFont0">
    <w:name w:val="DefaultParagraphFont0"/>
    <w:rsid w:val="00DA36EB"/>
  </w:style>
  <w:style w:type="paragraph" w:customStyle="1" w:styleId="ListParagraph1">
    <w:name w:val="ListParagraph1"/>
    <w:basedOn w:val="Normal"/>
    <w:rsid w:val="00DA36EB"/>
    <w:pPr>
      <w:overflowPunct w:val="0"/>
      <w:autoSpaceDN w:val="0"/>
      <w:spacing w:before="100" w:after="200" w:line="276" w:lineRule="auto"/>
      <w:ind w:left="720"/>
      <w:textAlignment w:val="baseline"/>
    </w:pPr>
    <w:rPr>
      <w:rFonts w:ascii="Calibri" w:hAnsi="Calibri"/>
      <w:kern w:val="3"/>
      <w:sz w:val="20"/>
      <w:szCs w:val="20"/>
    </w:rPr>
  </w:style>
  <w:style w:type="numbering" w:customStyle="1" w:styleId="LS48">
    <w:name w:val="LS48"/>
    <w:basedOn w:val="NoList"/>
    <w:rsid w:val="00DA36EB"/>
    <w:pPr>
      <w:numPr>
        <w:numId w:val="9"/>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FD9A49-3BD3-A84C-82A8-F5212EB7E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9</Pages>
  <Words>2085</Words>
  <Characters>11887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Leasing| Aniqa Anjum |27 February 2019</vt:lpstr>
    </vt:vector>
  </TitlesOfParts>
  <Company/>
  <LinksUpToDate>false</LinksUpToDate>
  <CharactersWithSpaces>13945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Leasing| Aniqa Anjum |27 February 2019</dc:title>
  <dc:creator>Anika Niswat</dc:creator>
  <cp:lastModifiedBy>Anjum Aniqa (1702530)</cp:lastModifiedBy>
  <cp:revision>25</cp:revision>
  <dcterms:created xsi:type="dcterms:W3CDTF">2019-04-02T21:50:00Z</dcterms:created>
  <dcterms:modified xsi:type="dcterms:W3CDTF">2019-04-25T20:20:00Z</dcterms:modified>
</cp:coreProperties>
</file>