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CB8185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A5415">
              <w:rPr>
                <w:rFonts w:ascii="Times New Roman" w:hAnsi="Times New Roman" w:cs="Times New Roman"/>
                <w:b/>
                <w:color w:val="auto"/>
                <w:sz w:val="48"/>
              </w:rPr>
              <w:t>Beverley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9E7B1E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A5415">
              <w:t xml:space="preserve"> </w:t>
            </w:r>
            <w:r w:rsidR="00AA5415" w:rsidRPr="00AA5415">
              <w:rPr>
                <w:rFonts w:ascii="Times New Roman" w:hAnsi="Times New Roman" w:cs="Times New Roman"/>
                <w:b/>
                <w:color w:val="auto"/>
                <w:sz w:val="48"/>
              </w:rPr>
              <w:t>beverleywilliams@carmarthenshire.gov.uk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3007385" w14:textId="135C729C" w:rsidR="00AA5415" w:rsidRPr="005D3F07" w:rsidRDefault="00AA5415" w:rsidP="005D3F07">
            <w:pPr>
              <w:overflowPunct/>
              <w:autoSpaceDE/>
              <w:autoSpaceDN/>
              <w:adjustRightInd/>
              <w:ind w:right="-957"/>
              <w:textAlignment w:val="auto"/>
              <w:rPr>
                <w:rFonts w:ascii="Times New Roman" w:hAnsi="Times New Roman" w:cs="Times New Roman"/>
                <w:b/>
                <w:color w:val="auto"/>
                <w:sz w:val="48"/>
              </w:rPr>
            </w:pPr>
            <w:r w:rsidRPr="00AA5415">
              <w:rPr>
                <w:rFonts w:ascii="Times New Roman" w:hAnsi="Times New Roman" w:cs="Times New Roman"/>
                <w:b/>
                <w:color w:val="auto"/>
                <w:sz w:val="48"/>
              </w:rPr>
              <w:t>2431552</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5E98489" w14:textId="77777777" w:rsidR="00E375F9" w:rsidRPr="00765F15" w:rsidRDefault="00E375F9" w:rsidP="00765F15">
            <w:pPr>
              <w:spacing w:line="360" w:lineRule="auto"/>
              <w:jc w:val="both"/>
              <w:rPr>
                <w:iCs/>
                <w:sz w:val="24"/>
                <w:szCs w:val="24"/>
              </w:rPr>
            </w:pPr>
          </w:p>
          <w:p w14:paraId="308B4434" w14:textId="465BD6BC" w:rsidR="007B0E60" w:rsidRDefault="007B0E60" w:rsidP="007B0E60">
            <w:pPr>
              <w:spacing w:line="360" w:lineRule="auto"/>
              <w:jc w:val="both"/>
              <w:rPr>
                <w:sz w:val="22"/>
                <w:szCs w:val="22"/>
              </w:rPr>
            </w:pPr>
            <w:r w:rsidRPr="006E32CB">
              <w:rPr>
                <w:sz w:val="22"/>
                <w:szCs w:val="22"/>
              </w:rPr>
              <w:t xml:space="preserve">This essay critically analyses assessment, collaboration, and professional judgement within the Welsh safeguarding context, drawing on legislation, theory, and reflective practice. </w:t>
            </w:r>
            <w:r>
              <w:rPr>
                <w:sz w:val="22"/>
                <w:szCs w:val="22"/>
              </w:rPr>
              <w:t xml:space="preserve">As a children’s social worker practicing in a post-industrial rural area, </w:t>
            </w:r>
            <w:r w:rsidRPr="006E32CB">
              <w:rPr>
                <w:sz w:val="22"/>
                <w:szCs w:val="22"/>
              </w:rPr>
              <w:t>I will critically examine the case study of Child 1, a five-year-old girl living with her mother, Parent 2, with 2 having a diagnosis of Autistic Spectrum Disorder (ASD) and a learning disability. Safeguarding concerns were identified following the submission of a Multi</w:t>
            </w:r>
            <w:r w:rsidRPr="006E32CB">
              <w:rPr>
                <w:rFonts w:ascii="Cambria Math" w:hAnsi="Cambria Math" w:cs="Cambria Math"/>
                <w:sz w:val="22"/>
                <w:szCs w:val="22"/>
              </w:rPr>
              <w:t>‑</w:t>
            </w:r>
            <w:r w:rsidRPr="006E32CB">
              <w:rPr>
                <w:sz w:val="22"/>
                <w:szCs w:val="22"/>
              </w:rPr>
              <w:t>Agency Referral Form (MARF) from the child’s school, raising issues related to poor hygiene, low school attendance, and hunger and tiredness at school. 1 had made disclosures of dog faeces on the floor, and the house not being ‘safe’. These indicators aligned with the Wales Safeguarding Procedures</w:t>
            </w:r>
            <w:r>
              <w:rPr>
                <w:sz w:val="22"/>
                <w:szCs w:val="22"/>
              </w:rPr>
              <w:t>’</w:t>
            </w:r>
            <w:r w:rsidRPr="006E32CB">
              <w:rPr>
                <w:sz w:val="22"/>
                <w:szCs w:val="22"/>
              </w:rPr>
              <w:t xml:space="preserve"> (2019) definitions of neglect, prompting immediate statutory involvement including a home visit, whereby concerns were substantiated and met the threshold for statutory intervention under Part 7 of the Social Services and Well</w:t>
            </w:r>
            <w:r w:rsidRPr="006E32CB">
              <w:rPr>
                <w:rFonts w:ascii="Cambria Math" w:hAnsi="Cambria Math" w:cs="Cambria Math"/>
                <w:sz w:val="22"/>
                <w:szCs w:val="22"/>
              </w:rPr>
              <w:t>‑</w:t>
            </w:r>
            <w:r w:rsidRPr="006E32CB">
              <w:rPr>
                <w:sz w:val="22"/>
                <w:szCs w:val="22"/>
              </w:rPr>
              <w:t>being (Wales) Act 2014 (SSWBA)</w:t>
            </w:r>
            <w:r>
              <w:rPr>
                <w:sz w:val="22"/>
                <w:szCs w:val="22"/>
              </w:rPr>
              <w:t>.</w:t>
            </w:r>
            <w:r w:rsidRPr="006E32CB">
              <w:rPr>
                <w:sz w:val="22"/>
                <w:szCs w:val="22"/>
              </w:rPr>
              <w:t xml:space="preserve"> </w:t>
            </w:r>
            <w:r>
              <w:rPr>
                <w:sz w:val="22"/>
                <w:szCs w:val="22"/>
              </w:rPr>
              <w:t>This</w:t>
            </w:r>
            <w:r w:rsidRPr="006E32CB">
              <w:rPr>
                <w:sz w:val="22"/>
                <w:szCs w:val="22"/>
              </w:rPr>
              <w:t xml:space="preserve"> requires local authorities to make enquiries where there is reasonable cause to suspect a child is at risk of abuse, neglect, or harm.  During assessment concerns widened to include inadequate supervision and environmental neglect, alongside failure to meet a child’s basic physical and emotional needs (Children Act 1989). Neglect is widely recognised as one of the most damaging forms of </w:t>
            </w:r>
            <w:r w:rsidRPr="006E32CB">
              <w:rPr>
                <w:sz w:val="22"/>
                <w:szCs w:val="22"/>
              </w:rPr>
              <w:lastRenderedPageBreak/>
              <w:t>maltreatment, with long</w:t>
            </w:r>
            <w:r w:rsidRPr="006E32CB">
              <w:rPr>
                <w:rFonts w:ascii="Cambria Math" w:hAnsi="Cambria Math" w:cs="Cambria Math"/>
                <w:sz w:val="22"/>
                <w:szCs w:val="22"/>
              </w:rPr>
              <w:t>‑</w:t>
            </w:r>
            <w:r w:rsidRPr="006E32CB">
              <w:rPr>
                <w:sz w:val="22"/>
                <w:szCs w:val="22"/>
              </w:rPr>
              <w:t>term impacts on cognitive, emotional, and social development (Daniel et al., 2011)</w:t>
            </w:r>
            <w:r>
              <w:rPr>
                <w:sz w:val="22"/>
                <w:szCs w:val="22"/>
              </w:rPr>
              <w:t>.</w:t>
            </w:r>
          </w:p>
          <w:p w14:paraId="47186BD1" w14:textId="77777777" w:rsidR="007B0E60" w:rsidRPr="006E32CB" w:rsidRDefault="007B0E60" w:rsidP="007B0E60">
            <w:pPr>
              <w:spacing w:line="360" w:lineRule="auto"/>
              <w:jc w:val="both"/>
              <w:rPr>
                <w:sz w:val="22"/>
                <w:szCs w:val="22"/>
              </w:rPr>
            </w:pPr>
          </w:p>
          <w:p w14:paraId="69C4514F" w14:textId="77777777" w:rsidR="007B0E60" w:rsidRDefault="007B0E60" w:rsidP="007B0E60">
            <w:pPr>
              <w:spacing w:line="360" w:lineRule="auto"/>
              <w:jc w:val="both"/>
              <w:rPr>
                <w:rFonts w:cstheme="minorHAnsi"/>
                <w:sz w:val="22"/>
                <w:szCs w:val="22"/>
              </w:rPr>
            </w:pPr>
            <w:r w:rsidRPr="006E32CB">
              <w:rPr>
                <w:rFonts w:cstheme="minorHAnsi"/>
                <w:sz w:val="22"/>
                <w:szCs w:val="22"/>
              </w:rPr>
              <w:t>The case was complex due to chronic neglect, fluctuating engagement, and the mother’s autism and learning disability, which affected her routines, organisation, and executive functioning (Booth &amp; Booth, 2000). I had previously worked with the family twice, and had provided support to improve home conditions to a “good enough” level before deterioration recurred. This pattern of temporary improvement followed by decline indicated cumulative harm, consistent with research that evidences repeated low</w:t>
            </w:r>
            <w:r w:rsidRPr="006E32CB">
              <w:rPr>
                <w:rFonts w:ascii="Cambria Math" w:hAnsi="Cambria Math" w:cs="Cambria Math"/>
                <w:sz w:val="22"/>
                <w:szCs w:val="22"/>
              </w:rPr>
              <w:t>‑</w:t>
            </w:r>
            <w:r w:rsidRPr="006E32CB">
              <w:rPr>
                <w:rFonts w:cstheme="minorHAnsi"/>
                <w:sz w:val="22"/>
                <w:szCs w:val="22"/>
              </w:rPr>
              <w:t>level neglect can have significant long</w:t>
            </w:r>
            <w:r w:rsidRPr="006E32CB">
              <w:rPr>
                <w:rFonts w:ascii="Cambria Math" w:hAnsi="Cambria Math" w:cs="Cambria Math"/>
                <w:sz w:val="22"/>
                <w:szCs w:val="22"/>
              </w:rPr>
              <w:t>‑</w:t>
            </w:r>
            <w:r w:rsidRPr="006E32CB">
              <w:rPr>
                <w:rFonts w:cstheme="minorHAnsi"/>
                <w:sz w:val="22"/>
                <w:szCs w:val="22"/>
              </w:rPr>
              <w:t>term developmental impact (Gibbs et al., 2024). As 1 matured her emotional, developmental and educational needs increased, making the effects of neglect more pronounced.</w:t>
            </w:r>
          </w:p>
          <w:p w14:paraId="3455EECF" w14:textId="77777777" w:rsidR="007B0E60" w:rsidRPr="006E32CB" w:rsidRDefault="007B0E60" w:rsidP="007B0E60">
            <w:pPr>
              <w:spacing w:line="360" w:lineRule="auto"/>
              <w:jc w:val="both"/>
              <w:rPr>
                <w:rFonts w:cstheme="minorHAnsi"/>
                <w:sz w:val="22"/>
                <w:szCs w:val="22"/>
              </w:rPr>
            </w:pPr>
          </w:p>
          <w:p w14:paraId="2B703C69" w14:textId="77777777" w:rsidR="007B0E60" w:rsidRDefault="007B0E60" w:rsidP="007B0E60">
            <w:pPr>
              <w:spacing w:line="360" w:lineRule="auto"/>
              <w:jc w:val="both"/>
              <w:rPr>
                <w:rFonts w:cstheme="minorHAnsi"/>
                <w:sz w:val="22"/>
                <w:szCs w:val="22"/>
              </w:rPr>
            </w:pPr>
            <w:r w:rsidRPr="006E32CB">
              <w:rPr>
                <w:rFonts w:cstheme="minorHAnsi"/>
                <w:sz w:val="22"/>
                <w:szCs w:val="22"/>
              </w:rPr>
              <w:t xml:space="preserve">Despite breaking tasks down, providing visual prompts, offering parenting support, suggesting a cleaner, and signposting to specialist services, 2 declined all external help. Additionally, 2 frequently slept during the day leaving 1 unsupervised, which raised concerns about 2’s ability to consistently meet 1’s basic needs. Engagement remained inconsistent, with 2 agreeing to unannounced visits, cleaning tasks and repairs, but often avoided contact by claiming illness or not answering the door. </w:t>
            </w:r>
            <w:r>
              <w:rPr>
                <w:rFonts w:cstheme="minorHAnsi"/>
                <w:sz w:val="22"/>
                <w:szCs w:val="22"/>
              </w:rPr>
              <w:t>I questioned if this</w:t>
            </w:r>
            <w:r w:rsidRPr="006E32CB">
              <w:rPr>
                <w:rFonts w:cstheme="minorHAnsi"/>
                <w:sz w:val="22"/>
                <w:szCs w:val="22"/>
              </w:rPr>
              <w:t xml:space="preserve"> reflected disguised compliance, </w:t>
            </w:r>
            <w:r>
              <w:rPr>
                <w:rFonts w:cstheme="minorHAnsi"/>
                <w:sz w:val="22"/>
                <w:szCs w:val="22"/>
              </w:rPr>
              <w:t xml:space="preserve">or signified 2’s feelings of impotence regarding the power imbalance </w:t>
            </w:r>
            <w:r w:rsidRPr="006E32CB">
              <w:rPr>
                <w:rFonts w:cstheme="minorHAnsi"/>
                <w:sz w:val="22"/>
                <w:szCs w:val="22"/>
              </w:rPr>
              <w:t xml:space="preserve">(Togher, 2022). These barriers, combined with increasing child need, contributed to the case’s complexity. </w:t>
            </w:r>
          </w:p>
          <w:p w14:paraId="185FE5A2" w14:textId="77777777" w:rsidR="007B0E60" w:rsidRPr="006E32CB" w:rsidRDefault="007B0E60" w:rsidP="007B0E60">
            <w:pPr>
              <w:spacing w:line="360" w:lineRule="auto"/>
              <w:jc w:val="both"/>
              <w:rPr>
                <w:rFonts w:cstheme="minorHAnsi"/>
                <w:sz w:val="22"/>
                <w:szCs w:val="22"/>
              </w:rPr>
            </w:pPr>
          </w:p>
          <w:p w14:paraId="0BCA5387" w14:textId="77777777" w:rsidR="007B0E60" w:rsidRDefault="007B0E60" w:rsidP="007B0E60">
            <w:pPr>
              <w:spacing w:line="360" w:lineRule="auto"/>
              <w:jc w:val="both"/>
              <w:rPr>
                <w:sz w:val="22"/>
                <w:szCs w:val="22"/>
              </w:rPr>
            </w:pPr>
            <w:r w:rsidRPr="006E32CB">
              <w:rPr>
                <w:sz w:val="22"/>
                <w:szCs w:val="22"/>
              </w:rPr>
              <w:t>My statutory duties under the SSWBA (2014) required me to assess need, promote well</w:t>
            </w:r>
            <w:r w:rsidRPr="006E32CB">
              <w:rPr>
                <w:rFonts w:ascii="Cambria Math" w:hAnsi="Cambria Math" w:cs="Cambria Math"/>
                <w:sz w:val="22"/>
                <w:szCs w:val="22"/>
              </w:rPr>
              <w:t>‑</w:t>
            </w:r>
            <w:r w:rsidRPr="006E32CB">
              <w:rPr>
                <w:sz w:val="22"/>
                <w:szCs w:val="22"/>
              </w:rPr>
              <w:t>being, and take protective action where significant harm was suspected. I completed an Assessment for Care and Support and eventually, due to escalating concerns, a strategy meeting was convened under the Wales Safeguarding Procedures (2019). The meeting was attended by the police and Children’s Services</w:t>
            </w:r>
            <w:r>
              <w:rPr>
                <w:sz w:val="22"/>
                <w:szCs w:val="22"/>
              </w:rPr>
              <w:t>,</w:t>
            </w:r>
            <w:r w:rsidRPr="006E32CB">
              <w:rPr>
                <w:sz w:val="22"/>
                <w:szCs w:val="22"/>
              </w:rPr>
              <w:t xml:space="preserve"> and confirmed chronic neglect and inconsistent supervision, thus establishing that 1 was suffering or likely to suffer significant harm</w:t>
            </w:r>
            <w:r>
              <w:rPr>
                <w:sz w:val="22"/>
                <w:szCs w:val="22"/>
              </w:rPr>
              <w:t>,</w:t>
            </w:r>
            <w:r w:rsidRPr="006E32CB">
              <w:rPr>
                <w:sz w:val="22"/>
                <w:szCs w:val="22"/>
              </w:rPr>
              <w:t xml:space="preserve"> and meeting the threshold for a Section 47 enquiry (Children Act 1989). The Section 47 enquiry resulted in an Initial Child Protection Case Conference (ICPCC), attended by education, police, health and Children’s Services, which concluded with 1’s name being placed on the Child Protection register (CPR). With 2’s consent, 1 was placed with </w:t>
            </w:r>
            <w:r>
              <w:rPr>
                <w:sz w:val="22"/>
                <w:szCs w:val="22"/>
              </w:rPr>
              <w:t>the</w:t>
            </w:r>
            <w:r w:rsidRPr="006E32CB">
              <w:rPr>
                <w:sz w:val="22"/>
                <w:szCs w:val="22"/>
              </w:rPr>
              <w:t xml:space="preserve"> maternal grand</w:t>
            </w:r>
            <w:r>
              <w:rPr>
                <w:sz w:val="22"/>
                <w:szCs w:val="22"/>
              </w:rPr>
              <w:t xml:space="preserve">parents </w:t>
            </w:r>
            <w:r w:rsidRPr="006E32CB">
              <w:rPr>
                <w:sz w:val="22"/>
                <w:szCs w:val="22"/>
              </w:rPr>
              <w:t xml:space="preserve">while I assessed whether 2 could sustain improvements. However, ongoing risk remained </w:t>
            </w:r>
            <w:r>
              <w:rPr>
                <w:sz w:val="22"/>
                <w:szCs w:val="22"/>
              </w:rPr>
              <w:t>as</w:t>
            </w:r>
            <w:r w:rsidRPr="006E32CB">
              <w:rPr>
                <w:sz w:val="22"/>
                <w:szCs w:val="22"/>
              </w:rPr>
              <w:t xml:space="preserve"> 2 retained parental responsibility and repeatedly stated she intended to remove her. This will now require continuous monitoring and visits in line with statutory requirements. Should </w:t>
            </w:r>
            <w:r w:rsidRPr="006E32CB">
              <w:rPr>
                <w:sz w:val="22"/>
                <w:szCs w:val="22"/>
              </w:rPr>
              <w:lastRenderedPageBreak/>
              <w:t>concerns persist, progression to Public Law Outline (PLO) may be initiated, which is the UK legal framework guiding local authorities before initiating court action (Courts and Tribunals Judiciary, n.d.).</w:t>
            </w:r>
          </w:p>
          <w:p w14:paraId="41A668AB" w14:textId="77777777" w:rsidR="007B0E60" w:rsidRPr="006E32CB" w:rsidRDefault="007B0E60" w:rsidP="007B0E60">
            <w:pPr>
              <w:spacing w:line="360" w:lineRule="auto"/>
              <w:jc w:val="both"/>
              <w:rPr>
                <w:sz w:val="22"/>
                <w:szCs w:val="22"/>
              </w:rPr>
            </w:pPr>
          </w:p>
          <w:p w14:paraId="6BF30B2D" w14:textId="77777777" w:rsidR="007B0E60" w:rsidRDefault="007B0E60" w:rsidP="007B0E60">
            <w:pPr>
              <w:spacing w:line="360" w:lineRule="auto"/>
              <w:jc w:val="both"/>
              <w:rPr>
                <w:rFonts w:cstheme="minorHAnsi"/>
                <w:sz w:val="22"/>
                <w:szCs w:val="22"/>
              </w:rPr>
            </w:pPr>
            <w:r w:rsidRPr="006E32CB">
              <w:rPr>
                <w:rFonts w:cstheme="minorHAnsi"/>
                <w:sz w:val="22"/>
                <w:szCs w:val="22"/>
              </w:rPr>
              <w:t>Whilst I have outlined the immediate statutory duties that triggered intervention, my focus now shifts to critically examining how the wider legal, rights</w:t>
            </w:r>
            <w:r w:rsidRPr="006E32CB">
              <w:rPr>
                <w:rFonts w:ascii="Cambria Math" w:hAnsi="Cambria Math" w:cs="Cambria Math"/>
                <w:sz w:val="22"/>
                <w:szCs w:val="22"/>
              </w:rPr>
              <w:t>‑</w:t>
            </w:r>
            <w:r w:rsidRPr="006E32CB">
              <w:rPr>
                <w:rFonts w:cstheme="minorHAnsi"/>
                <w:sz w:val="22"/>
                <w:szCs w:val="22"/>
              </w:rPr>
              <w:t>based and procedural context shaped my analysis, my professional judgement, and any ethical tensions presented.</w:t>
            </w:r>
          </w:p>
          <w:p w14:paraId="2A7AA418" w14:textId="77777777" w:rsidR="007B0E60" w:rsidRPr="006E32CB" w:rsidRDefault="007B0E60" w:rsidP="007B0E60">
            <w:pPr>
              <w:spacing w:line="360" w:lineRule="auto"/>
              <w:jc w:val="both"/>
              <w:rPr>
                <w:rFonts w:cstheme="minorHAnsi"/>
                <w:sz w:val="22"/>
                <w:szCs w:val="22"/>
              </w:rPr>
            </w:pPr>
          </w:p>
          <w:p w14:paraId="6600B2D5" w14:textId="77777777" w:rsidR="007B0E60" w:rsidRDefault="007B0E60" w:rsidP="007B0E60">
            <w:pPr>
              <w:spacing w:line="360" w:lineRule="auto"/>
              <w:jc w:val="both"/>
              <w:rPr>
                <w:rFonts w:cstheme="minorHAnsi"/>
                <w:sz w:val="22"/>
                <w:szCs w:val="22"/>
              </w:rPr>
            </w:pPr>
            <w:r w:rsidRPr="006E32CB">
              <w:rPr>
                <w:rFonts w:cstheme="minorHAnsi"/>
                <w:sz w:val="22"/>
                <w:szCs w:val="22"/>
              </w:rPr>
              <w:t>The SSWBA (2014) provided the core foundation for my involvement, with Part 7 placing a duty on local authorities to make enquiries where there is reasonable cause to suspect a child is at risk of abuse, neglect or harm. Whilst risks were clear and present at the point of referral, the SSWBA (2014) also required that I adopt a strengths</w:t>
            </w:r>
            <w:r w:rsidRPr="006E32CB">
              <w:rPr>
                <w:rFonts w:ascii="Cambria Math" w:hAnsi="Cambria Math" w:cs="Cambria Math"/>
                <w:sz w:val="22"/>
                <w:szCs w:val="22"/>
              </w:rPr>
              <w:t>‑</w:t>
            </w:r>
            <w:r w:rsidRPr="006E32CB">
              <w:rPr>
                <w:rFonts w:cstheme="minorHAnsi"/>
                <w:sz w:val="22"/>
                <w:szCs w:val="22"/>
              </w:rPr>
              <w:t>based, rights</w:t>
            </w:r>
            <w:r w:rsidRPr="006E32CB">
              <w:rPr>
                <w:rFonts w:ascii="Cambria Math" w:hAnsi="Cambria Math" w:cs="Cambria Math"/>
                <w:sz w:val="22"/>
                <w:szCs w:val="22"/>
              </w:rPr>
              <w:t>‑</w:t>
            </w:r>
            <w:r w:rsidRPr="006E32CB">
              <w:rPr>
                <w:rFonts w:cstheme="minorHAnsi"/>
                <w:sz w:val="22"/>
                <w:szCs w:val="22"/>
              </w:rPr>
              <w:t>focused approach that considered 1’s voice, well</w:t>
            </w:r>
            <w:r w:rsidRPr="006E32CB">
              <w:rPr>
                <w:rFonts w:ascii="Cambria Math" w:hAnsi="Cambria Math" w:cs="Cambria Math"/>
                <w:sz w:val="22"/>
                <w:szCs w:val="22"/>
              </w:rPr>
              <w:t>‑</w:t>
            </w:r>
            <w:r w:rsidRPr="006E32CB">
              <w:rPr>
                <w:rFonts w:cstheme="minorHAnsi"/>
                <w:sz w:val="22"/>
                <w:szCs w:val="22"/>
              </w:rPr>
              <w:t>being outcomes and lived experience. 1’s disclosures about dog faeces on the floor and her presentation at school offered insight into her daily reality. The Act’s emphasis on participation meant I needed to ensure that her perspective informed my analysis, which led to several one-to-one direct work sessions with 1.</w:t>
            </w:r>
          </w:p>
          <w:p w14:paraId="22386FB1" w14:textId="77777777" w:rsidR="007B0E60" w:rsidRPr="006E32CB" w:rsidRDefault="007B0E60" w:rsidP="007B0E60">
            <w:pPr>
              <w:spacing w:line="360" w:lineRule="auto"/>
              <w:jc w:val="both"/>
              <w:rPr>
                <w:rFonts w:cstheme="minorHAnsi"/>
                <w:sz w:val="22"/>
                <w:szCs w:val="22"/>
              </w:rPr>
            </w:pPr>
          </w:p>
          <w:p w14:paraId="43D98E63" w14:textId="77777777" w:rsidR="007B0E60" w:rsidRDefault="007B0E60" w:rsidP="007B0E60">
            <w:pPr>
              <w:spacing w:line="360" w:lineRule="auto"/>
              <w:jc w:val="both"/>
              <w:rPr>
                <w:rFonts w:cstheme="minorHAnsi"/>
                <w:sz w:val="22"/>
                <w:szCs w:val="22"/>
              </w:rPr>
            </w:pPr>
            <w:r w:rsidRPr="006E32CB">
              <w:rPr>
                <w:rFonts w:cstheme="minorHAnsi"/>
                <w:sz w:val="22"/>
                <w:szCs w:val="22"/>
              </w:rPr>
              <w:t>The Wales Safeguarding Procedures (2019) helped inform my approach to assessment, as they outline clear indicators of neglect, those relevant to the case being failure to meet basic physical needs, inadequate supervision and unsafe home conditions. They also emphasise the importance of establishing facts, which was particularly relevant given previous involvement with services. While previous concerns might have influenced my interpretation of risk, the Procedures steered me to focus my evaluation on current, verifiable information. This helped me remain alert to confirmation bias, which research shows can distort professional judgement in child protection work (Munro, 2011). The Procedures informed my contributions to strategy discussions and Section 47 of the Children Act 1989 enquiries, ensuring that my actions were lawful, proportionate, and aligned with Regional Safeguarding Board expectations (Welsh Government, n.d.).  Additionally, the Procedures reinforced the need for professional curiosity. 2’s explanations often minimised the level of risk, and her autism and learning disability meant that I needed to consider whether this reflected avoidance, executive functioning difficulties, or a genuine lack of insight. This complexity required me to balance empathy with a</w:t>
            </w:r>
            <w:r>
              <w:rPr>
                <w:rFonts w:cstheme="minorHAnsi"/>
                <w:sz w:val="22"/>
                <w:szCs w:val="22"/>
              </w:rPr>
              <w:t xml:space="preserve">n astute </w:t>
            </w:r>
            <w:r w:rsidRPr="006E32CB">
              <w:rPr>
                <w:rFonts w:cstheme="minorHAnsi"/>
                <w:sz w:val="22"/>
                <w:szCs w:val="22"/>
              </w:rPr>
              <w:t>assessment of risk, ensuring that 1’s safety remained paramount.</w:t>
            </w:r>
          </w:p>
          <w:p w14:paraId="28331127" w14:textId="77777777" w:rsidR="007B0E60" w:rsidRPr="006E32CB" w:rsidRDefault="007B0E60" w:rsidP="007B0E60">
            <w:pPr>
              <w:spacing w:line="360" w:lineRule="auto"/>
              <w:jc w:val="both"/>
              <w:rPr>
                <w:rFonts w:cstheme="minorHAnsi"/>
                <w:sz w:val="22"/>
                <w:szCs w:val="22"/>
              </w:rPr>
            </w:pPr>
          </w:p>
          <w:p w14:paraId="0C385338" w14:textId="77777777" w:rsidR="007B0E60" w:rsidRDefault="007B0E60" w:rsidP="007B0E60">
            <w:pPr>
              <w:spacing w:line="360" w:lineRule="auto"/>
              <w:jc w:val="both"/>
              <w:rPr>
                <w:rFonts w:cstheme="minorHAnsi"/>
                <w:sz w:val="22"/>
                <w:szCs w:val="22"/>
              </w:rPr>
            </w:pPr>
            <w:r w:rsidRPr="006E32CB">
              <w:rPr>
                <w:rFonts w:cstheme="minorHAnsi"/>
                <w:sz w:val="22"/>
                <w:szCs w:val="22"/>
              </w:rPr>
              <w:t>Whilst Wales has its own safeguarding legislation, UK</w:t>
            </w:r>
            <w:r w:rsidRPr="006E32CB">
              <w:rPr>
                <w:rFonts w:ascii="Cambria Math" w:hAnsi="Cambria Math" w:cs="Cambria Math"/>
                <w:sz w:val="22"/>
                <w:szCs w:val="22"/>
              </w:rPr>
              <w:t>‑</w:t>
            </w:r>
            <w:r w:rsidRPr="006E32CB">
              <w:rPr>
                <w:rFonts w:cstheme="minorHAnsi"/>
                <w:sz w:val="22"/>
                <w:szCs w:val="22"/>
              </w:rPr>
              <w:t xml:space="preserve">wide frameworks continued to shape my practice. The Children Act (1989) remains relevant, particularly Section 47, which mandates enquiries where a child is suspected to be suffering or likely to suffer significant harm. The evidential neglect in </w:t>
            </w:r>
            <w:r w:rsidRPr="006E32CB">
              <w:rPr>
                <w:rFonts w:cstheme="minorHAnsi"/>
                <w:sz w:val="22"/>
                <w:szCs w:val="22"/>
              </w:rPr>
              <w:lastRenderedPageBreak/>
              <w:t>this case, combined with 2’s refusal of support and the deterioration of home conditions, meant that the threshold for significant harm was met. The Children Act (2004) also reinforces the duty to cooperate across agencies, which in this case meant liaising with education, housing, health and extended family. These duties supported my decision to convene a strategy meeting, subsequently leading to an Initial Child Protection Case Conference.</w:t>
            </w:r>
          </w:p>
          <w:p w14:paraId="24BEDCE4" w14:textId="77777777" w:rsidR="007B0E60" w:rsidRPr="006E32CB" w:rsidRDefault="007B0E60" w:rsidP="007B0E60">
            <w:pPr>
              <w:spacing w:line="360" w:lineRule="auto"/>
              <w:jc w:val="both"/>
              <w:rPr>
                <w:rFonts w:cstheme="minorHAnsi"/>
                <w:sz w:val="22"/>
                <w:szCs w:val="22"/>
              </w:rPr>
            </w:pPr>
          </w:p>
          <w:p w14:paraId="67DD4A5B" w14:textId="77777777" w:rsidR="007B0E60" w:rsidRDefault="007B0E60" w:rsidP="007B0E60">
            <w:pPr>
              <w:spacing w:line="360" w:lineRule="auto"/>
              <w:jc w:val="both"/>
              <w:rPr>
                <w:rFonts w:cstheme="minorHAnsi"/>
                <w:sz w:val="22"/>
                <w:szCs w:val="22"/>
              </w:rPr>
            </w:pPr>
            <w:r w:rsidRPr="006E32CB">
              <w:rPr>
                <w:rFonts w:cstheme="minorHAnsi"/>
                <w:sz w:val="22"/>
                <w:szCs w:val="22"/>
              </w:rPr>
              <w:t>The Human Rights Act (1998) incorporates the European Convention on Human Rights (ECHR, 1950) into domestic law, with Article 8, the right to respect for private and family life being particularly relevant. Any intervention that restricted 2’s ability to care for 1, including 1 staying with her grandparents or the potential for PLO proceedings, represented a threat to this right (Courts and Tribunals Judiciary, n.d.). However, Article 8 is a qualified right, meaning it can be lawfully restricted where necessary and proportionate to protect a child from harm. Therefore, the circumstances justified my actions, especially when balanced with Child A’s rights under the Rights of Children and Young Persons (Wales) Measure 2011, which places a duty on Welsh Ministers to have due regard to the UNCRC (1989). Articles 3 on best interests, 12 on participation, 19 on protection from harm, and 27 on an adequate standard of living were especially relevant, reinforcing the need to prioritise 1’s safety and development, even when this conflicted with 2’s wishes, and ensuring that 1’s well</w:t>
            </w:r>
            <w:r w:rsidRPr="006E32CB">
              <w:rPr>
                <w:rFonts w:ascii="Cambria Math" w:hAnsi="Cambria Math" w:cs="Cambria Math"/>
                <w:sz w:val="22"/>
                <w:szCs w:val="22"/>
              </w:rPr>
              <w:t>‑</w:t>
            </w:r>
            <w:r w:rsidRPr="006E32CB">
              <w:rPr>
                <w:rFonts w:cstheme="minorHAnsi"/>
                <w:sz w:val="22"/>
                <w:szCs w:val="22"/>
              </w:rPr>
              <w:t>being was not overshadowed by parental need. Nevertheless, I felt ethically conflicted as 2 clearly loved her daughter, yet her learning disability and limited insight meant she struggled to recognise risk.</w:t>
            </w:r>
            <w:r w:rsidRPr="006E32CB">
              <w:rPr>
                <w:sz w:val="22"/>
                <w:szCs w:val="22"/>
              </w:rPr>
              <w:t xml:space="preserve"> </w:t>
            </w:r>
            <w:r w:rsidRPr="006E32CB">
              <w:rPr>
                <w:rFonts w:cstheme="minorHAnsi"/>
                <w:sz w:val="22"/>
                <w:szCs w:val="22"/>
              </w:rPr>
              <w:t>I was conscious of the power imbalance between myself as a professional and 2 as a neurodivergent parent, reflecting wider structural inequalities, and the need for anti</w:t>
            </w:r>
            <w:r w:rsidRPr="006E32CB">
              <w:rPr>
                <w:rFonts w:ascii="Cambria Math" w:hAnsi="Cambria Math" w:cs="Cambria Math"/>
                <w:sz w:val="22"/>
                <w:szCs w:val="22"/>
              </w:rPr>
              <w:t>‑</w:t>
            </w:r>
            <w:r w:rsidRPr="006E32CB">
              <w:rPr>
                <w:rFonts w:cstheme="minorHAnsi"/>
                <w:sz w:val="22"/>
                <w:szCs w:val="22"/>
              </w:rPr>
              <w:t xml:space="preserve">oppressive practice in line with the Code of Professional Practice for Social Care issued by Social Care Wales (COPP) (2017). Research shows that child protection work often involves navigating blurred boundaries between rights, risk and professional authority, generating ethical stress for practitioners and I certainly found this to be the case </w:t>
            </w:r>
            <w:r>
              <w:rPr>
                <w:rFonts w:cstheme="minorHAnsi"/>
                <w:sz w:val="22"/>
                <w:szCs w:val="22"/>
              </w:rPr>
              <w:t>(</w:t>
            </w:r>
            <w:r w:rsidRPr="006E32CB">
              <w:rPr>
                <w:rFonts w:cstheme="minorHAnsi"/>
                <w:sz w:val="22"/>
                <w:szCs w:val="22"/>
              </w:rPr>
              <w:t>Whittaker</w:t>
            </w:r>
            <w:r>
              <w:rPr>
                <w:rFonts w:cstheme="minorHAnsi"/>
                <w:sz w:val="22"/>
                <w:szCs w:val="22"/>
              </w:rPr>
              <w:t xml:space="preserve">, </w:t>
            </w:r>
            <w:r w:rsidRPr="006E32CB">
              <w:rPr>
                <w:rFonts w:cstheme="minorHAnsi"/>
                <w:sz w:val="22"/>
                <w:szCs w:val="22"/>
              </w:rPr>
              <w:t>2018).</w:t>
            </w:r>
          </w:p>
          <w:p w14:paraId="58AA095E" w14:textId="77777777" w:rsidR="007B0E60" w:rsidRPr="006E32CB" w:rsidRDefault="007B0E60" w:rsidP="007B0E60">
            <w:pPr>
              <w:spacing w:line="360" w:lineRule="auto"/>
              <w:jc w:val="both"/>
              <w:rPr>
                <w:rFonts w:cstheme="minorHAnsi"/>
                <w:sz w:val="22"/>
                <w:szCs w:val="22"/>
              </w:rPr>
            </w:pPr>
          </w:p>
          <w:p w14:paraId="2F7A7C0C" w14:textId="77777777" w:rsidR="007B0E60" w:rsidRDefault="007B0E60" w:rsidP="007B0E60">
            <w:pPr>
              <w:spacing w:line="360" w:lineRule="auto"/>
              <w:jc w:val="both"/>
              <w:rPr>
                <w:rFonts w:cstheme="minorHAnsi"/>
                <w:sz w:val="22"/>
                <w:szCs w:val="22"/>
              </w:rPr>
            </w:pPr>
            <w:r w:rsidRPr="006E32CB">
              <w:rPr>
                <w:rFonts w:cstheme="minorHAnsi"/>
                <w:sz w:val="22"/>
                <w:szCs w:val="22"/>
              </w:rPr>
              <w:t>Regarding disabilities, the United Nations Convention on the Rights of Persons with Disabilities (UNCRPD, 2006) was relevant to my work with 2. Her autism and learning disability required reasonable adjustments, accessible communication and non</w:t>
            </w:r>
            <w:r w:rsidRPr="006E32CB">
              <w:rPr>
                <w:rFonts w:ascii="Cambria Math" w:hAnsi="Cambria Math" w:cs="Cambria Math"/>
                <w:sz w:val="22"/>
                <w:szCs w:val="22"/>
              </w:rPr>
              <w:t>‑</w:t>
            </w:r>
            <w:r w:rsidRPr="006E32CB">
              <w:rPr>
                <w:rFonts w:cstheme="minorHAnsi"/>
                <w:sz w:val="22"/>
                <w:szCs w:val="22"/>
              </w:rPr>
              <w:t>discriminatory practice. This meant breaking tasks down, using visual prompts and ensuring that expectations were clear and achievable. Research shows that parents with learning disabilities often face structural barriers and may be judged unfairly due to assumptions about their capacity (Booth &amp; Booth, 2000). I was mindful of this risk and sought to ensure that my assessment distinguished between disability</w:t>
            </w:r>
            <w:r w:rsidRPr="006E32CB">
              <w:rPr>
                <w:rFonts w:ascii="Cambria Math" w:hAnsi="Cambria Math" w:cs="Cambria Math"/>
                <w:sz w:val="22"/>
                <w:szCs w:val="22"/>
              </w:rPr>
              <w:t>‑</w:t>
            </w:r>
            <w:r w:rsidRPr="006E32CB">
              <w:rPr>
                <w:rFonts w:cstheme="minorHAnsi"/>
                <w:sz w:val="22"/>
                <w:szCs w:val="22"/>
              </w:rPr>
              <w:t xml:space="preserve">related needs and neglectful parenting. However, despite reasonable adjustments 2 was unable to sustain improvements, and the </w:t>
            </w:r>
            <w:r w:rsidRPr="006E32CB">
              <w:rPr>
                <w:rFonts w:cstheme="minorHAnsi"/>
                <w:sz w:val="22"/>
                <w:szCs w:val="22"/>
              </w:rPr>
              <w:lastRenderedPageBreak/>
              <w:t>risk to 1 remained high. This created an ethical tension between supporting 2’s rights as a disabled parent and fulfilling my statutory duty to protect 1.</w:t>
            </w:r>
          </w:p>
          <w:p w14:paraId="4FCCA8E5" w14:textId="77777777" w:rsidR="007B0E60" w:rsidRPr="006E32CB" w:rsidRDefault="007B0E60" w:rsidP="007B0E60">
            <w:pPr>
              <w:spacing w:line="360" w:lineRule="auto"/>
              <w:jc w:val="both"/>
              <w:rPr>
                <w:rFonts w:cstheme="minorHAnsi"/>
                <w:sz w:val="22"/>
                <w:szCs w:val="22"/>
              </w:rPr>
            </w:pPr>
          </w:p>
          <w:p w14:paraId="08F59CEC" w14:textId="77777777" w:rsidR="007B0E60" w:rsidRDefault="007B0E60" w:rsidP="007B0E60">
            <w:pPr>
              <w:spacing w:line="360" w:lineRule="auto"/>
              <w:jc w:val="both"/>
              <w:rPr>
                <w:rFonts w:cstheme="minorHAnsi"/>
                <w:sz w:val="22"/>
                <w:szCs w:val="22"/>
              </w:rPr>
            </w:pPr>
            <w:r w:rsidRPr="006E32CB">
              <w:rPr>
                <w:rFonts w:cstheme="minorHAnsi"/>
                <w:sz w:val="22"/>
                <w:szCs w:val="22"/>
              </w:rPr>
              <w:t>Information sharing was governed by the Data Protection Act (2018) and UK GDPR (2016), which allow information to be shared without consent where necessary to safeguard a child. Although 2 consented to 1 staying with her parents, I still needed to ensure that information sharing with relevant professionals was proportionate and justified. The Wales Safeguarding Procedures (2019) emphasise that safeguarding overrides confidentiality where there is risk of significant harm, and this legal basis supported my multi</w:t>
            </w:r>
            <w:r w:rsidRPr="006E32CB">
              <w:rPr>
                <w:rFonts w:ascii="Cambria Math" w:hAnsi="Cambria Math" w:cs="Cambria Math"/>
                <w:sz w:val="22"/>
                <w:szCs w:val="22"/>
              </w:rPr>
              <w:t>‑</w:t>
            </w:r>
            <w:r w:rsidRPr="006E32CB">
              <w:rPr>
                <w:rFonts w:cstheme="minorHAnsi"/>
                <w:sz w:val="22"/>
                <w:szCs w:val="22"/>
              </w:rPr>
              <w:t>agency approach.</w:t>
            </w:r>
          </w:p>
          <w:p w14:paraId="11B25DF2" w14:textId="77777777" w:rsidR="007B0E60" w:rsidRPr="006E32CB" w:rsidRDefault="007B0E60" w:rsidP="007B0E60">
            <w:pPr>
              <w:spacing w:line="360" w:lineRule="auto"/>
              <w:jc w:val="both"/>
              <w:rPr>
                <w:rFonts w:cstheme="minorHAnsi"/>
                <w:sz w:val="22"/>
                <w:szCs w:val="22"/>
              </w:rPr>
            </w:pPr>
          </w:p>
          <w:p w14:paraId="5191C4ED" w14:textId="1F519463" w:rsidR="007B0E60" w:rsidRDefault="007B0E60" w:rsidP="007B0E60">
            <w:pPr>
              <w:spacing w:line="360" w:lineRule="auto"/>
              <w:jc w:val="both"/>
              <w:rPr>
                <w:rFonts w:cstheme="minorHAnsi"/>
                <w:sz w:val="22"/>
                <w:szCs w:val="22"/>
              </w:rPr>
            </w:pPr>
            <w:r w:rsidRPr="006E32CB">
              <w:rPr>
                <w:rFonts w:cstheme="minorHAnsi"/>
                <w:sz w:val="22"/>
                <w:szCs w:val="22"/>
              </w:rPr>
              <w:t xml:space="preserve">The Welsh Language (Wales) Measure 2011 and the Active Offer (More Than Just Words, Welsh Government, 2018) required that I explore language preferences. Although </w:t>
            </w:r>
            <w:r w:rsidR="007F13F9">
              <w:rPr>
                <w:rFonts w:cstheme="minorHAnsi"/>
                <w:sz w:val="22"/>
                <w:szCs w:val="22"/>
              </w:rPr>
              <w:t xml:space="preserve">1 and </w:t>
            </w:r>
            <w:r w:rsidRPr="006E32CB">
              <w:rPr>
                <w:rFonts w:cstheme="minorHAnsi"/>
                <w:sz w:val="22"/>
                <w:szCs w:val="22"/>
              </w:rPr>
              <w:t xml:space="preserve">2 did not identify Welsh as </w:t>
            </w:r>
            <w:r w:rsidR="007F13F9">
              <w:rPr>
                <w:rFonts w:cstheme="minorHAnsi"/>
                <w:sz w:val="22"/>
                <w:szCs w:val="22"/>
              </w:rPr>
              <w:t>their</w:t>
            </w:r>
            <w:r w:rsidRPr="006E32CB">
              <w:rPr>
                <w:rFonts w:cstheme="minorHAnsi"/>
                <w:sz w:val="22"/>
                <w:szCs w:val="22"/>
              </w:rPr>
              <w:t xml:space="preserve"> preferred language, using </w:t>
            </w:r>
            <w:r w:rsidR="007F13F9">
              <w:rPr>
                <w:rFonts w:cstheme="minorHAnsi"/>
                <w:sz w:val="22"/>
                <w:szCs w:val="22"/>
              </w:rPr>
              <w:t>their</w:t>
            </w:r>
            <w:r w:rsidRPr="006E32CB">
              <w:rPr>
                <w:rFonts w:cstheme="minorHAnsi"/>
                <w:sz w:val="22"/>
                <w:szCs w:val="22"/>
              </w:rPr>
              <w:t xml:space="preserve"> chosen language</w:t>
            </w:r>
            <w:r w:rsidR="007F13F9">
              <w:rPr>
                <w:rFonts w:cstheme="minorHAnsi"/>
                <w:sz w:val="22"/>
                <w:szCs w:val="22"/>
              </w:rPr>
              <w:t xml:space="preserve"> of English</w:t>
            </w:r>
            <w:r w:rsidRPr="006E32CB">
              <w:rPr>
                <w:rFonts w:cstheme="minorHAnsi"/>
                <w:sz w:val="22"/>
                <w:szCs w:val="22"/>
              </w:rPr>
              <w:t xml:space="preserve"> and ensuring accessible communication was particularly important given </w:t>
            </w:r>
            <w:r w:rsidR="007F13F9">
              <w:rPr>
                <w:rFonts w:cstheme="minorHAnsi"/>
                <w:sz w:val="22"/>
                <w:szCs w:val="22"/>
              </w:rPr>
              <w:t>2’s</w:t>
            </w:r>
            <w:r w:rsidRPr="006E32CB">
              <w:rPr>
                <w:rFonts w:cstheme="minorHAnsi"/>
                <w:sz w:val="22"/>
                <w:szCs w:val="22"/>
              </w:rPr>
              <w:t xml:space="preserve"> disability. The framework further emphasises the importance of culturally and linguistically sensitive practice, which aligned with my efforts to adapt communication tools to 2’s needs (Welsh Government, 2018).</w:t>
            </w:r>
          </w:p>
          <w:p w14:paraId="38A7FDF7" w14:textId="77777777" w:rsidR="007B0E60" w:rsidRPr="006E32CB" w:rsidRDefault="007B0E60" w:rsidP="007B0E60">
            <w:pPr>
              <w:spacing w:line="360" w:lineRule="auto"/>
              <w:jc w:val="both"/>
              <w:rPr>
                <w:rFonts w:cstheme="minorHAnsi"/>
                <w:sz w:val="22"/>
                <w:szCs w:val="22"/>
              </w:rPr>
            </w:pPr>
          </w:p>
          <w:p w14:paraId="603CA4F8" w14:textId="77777777" w:rsidR="007B0E60" w:rsidRDefault="007B0E60" w:rsidP="007B0E60">
            <w:pPr>
              <w:spacing w:line="360" w:lineRule="auto"/>
              <w:jc w:val="both"/>
              <w:rPr>
                <w:rFonts w:cstheme="minorHAnsi"/>
                <w:sz w:val="22"/>
                <w:szCs w:val="22"/>
              </w:rPr>
            </w:pPr>
            <w:r w:rsidRPr="006E32CB">
              <w:rPr>
                <w:rFonts w:cstheme="minorHAnsi"/>
                <w:sz w:val="22"/>
                <w:szCs w:val="22"/>
              </w:rPr>
              <w:t>My practice was also shaped by the COPP (2017), which required ongoing critical reflection, ethical reasoning, and evidence-informed decision-making, which was supported during supervision and weekly peer support sessions. The semi-rural context influenced available support, with limited resources and restricted specialist provision for parents with learning disabilities necessitating creative, partnership-based planning with the family.</w:t>
            </w:r>
          </w:p>
          <w:p w14:paraId="25D40DB4" w14:textId="77777777" w:rsidR="007B0E60" w:rsidRPr="006E32CB" w:rsidRDefault="007B0E60" w:rsidP="007B0E60">
            <w:pPr>
              <w:spacing w:line="360" w:lineRule="auto"/>
              <w:jc w:val="both"/>
              <w:rPr>
                <w:rFonts w:cstheme="minorHAnsi"/>
                <w:sz w:val="22"/>
                <w:szCs w:val="22"/>
              </w:rPr>
            </w:pPr>
          </w:p>
          <w:p w14:paraId="11919504" w14:textId="77777777" w:rsidR="007B0E60" w:rsidRDefault="007B0E60" w:rsidP="007B0E60">
            <w:pPr>
              <w:spacing w:line="360" w:lineRule="auto"/>
              <w:jc w:val="both"/>
              <w:rPr>
                <w:rFonts w:cstheme="minorHAnsi"/>
                <w:sz w:val="22"/>
                <w:szCs w:val="22"/>
              </w:rPr>
            </w:pPr>
            <w:r w:rsidRPr="006E32CB">
              <w:rPr>
                <w:rFonts w:cstheme="minorHAnsi"/>
                <w:sz w:val="22"/>
                <w:szCs w:val="22"/>
              </w:rPr>
              <w:t>Finally, the Well</w:t>
            </w:r>
            <w:r w:rsidRPr="006E32CB">
              <w:rPr>
                <w:rFonts w:ascii="Cambria Math" w:hAnsi="Cambria Math" w:cs="Cambria Math"/>
                <w:sz w:val="22"/>
                <w:szCs w:val="22"/>
              </w:rPr>
              <w:t>‑</w:t>
            </w:r>
            <w:r w:rsidRPr="006E32CB">
              <w:rPr>
                <w:rFonts w:cstheme="minorHAnsi"/>
                <w:sz w:val="22"/>
                <w:szCs w:val="22"/>
              </w:rPr>
              <w:t>being of Future Generations (Wales) Act (2015) encouraged me to consider long</w:t>
            </w:r>
            <w:r w:rsidRPr="006E32CB">
              <w:rPr>
                <w:rFonts w:ascii="Cambria Math" w:hAnsi="Cambria Math" w:cs="Cambria Math"/>
                <w:sz w:val="22"/>
                <w:szCs w:val="22"/>
              </w:rPr>
              <w:t>‑</w:t>
            </w:r>
            <w:r w:rsidRPr="006E32CB">
              <w:rPr>
                <w:rFonts w:cstheme="minorHAnsi"/>
                <w:sz w:val="22"/>
                <w:szCs w:val="22"/>
              </w:rPr>
              <w:t xml:space="preserve">term outcomes. Chronic neglect has cumulative and continuing impact </w:t>
            </w:r>
            <w:r w:rsidRPr="006E32CB">
              <w:rPr>
                <w:sz w:val="22"/>
                <w:szCs w:val="22"/>
              </w:rPr>
              <w:t>(Baillie et al., 2025)</w:t>
            </w:r>
            <w:r w:rsidRPr="006E32CB">
              <w:rPr>
                <w:rFonts w:cstheme="minorHAnsi"/>
                <w:sz w:val="22"/>
                <w:szCs w:val="22"/>
              </w:rPr>
              <w:t>, and the Act’s emphasis on prevention and long</w:t>
            </w:r>
            <w:r w:rsidRPr="006E32CB">
              <w:rPr>
                <w:rFonts w:ascii="Cambria Math" w:hAnsi="Cambria Math" w:cs="Cambria Math"/>
                <w:sz w:val="22"/>
                <w:szCs w:val="22"/>
              </w:rPr>
              <w:t>‑</w:t>
            </w:r>
            <w:r w:rsidRPr="006E32CB">
              <w:rPr>
                <w:rFonts w:cstheme="minorHAnsi"/>
                <w:sz w:val="22"/>
                <w:szCs w:val="22"/>
              </w:rPr>
              <w:t>term thinking reinforced the need to intervene decisively rather than rely on short</w:t>
            </w:r>
            <w:r w:rsidRPr="006E32CB">
              <w:rPr>
                <w:rFonts w:ascii="Cambria Math" w:hAnsi="Cambria Math" w:cs="Cambria Math"/>
                <w:sz w:val="22"/>
                <w:szCs w:val="22"/>
              </w:rPr>
              <w:t>‑</w:t>
            </w:r>
            <w:r w:rsidRPr="006E32CB">
              <w:rPr>
                <w:rFonts w:cstheme="minorHAnsi"/>
                <w:sz w:val="22"/>
                <w:szCs w:val="22"/>
              </w:rPr>
              <w:t>term improvements that had not been sustained in the past.</w:t>
            </w:r>
            <w:r w:rsidRPr="006E32CB">
              <w:rPr>
                <w:sz w:val="22"/>
                <w:szCs w:val="22"/>
              </w:rPr>
              <w:t xml:space="preserve"> </w:t>
            </w:r>
            <w:r w:rsidRPr="006E32CB">
              <w:rPr>
                <w:rFonts w:cstheme="minorHAnsi"/>
                <w:sz w:val="22"/>
                <w:szCs w:val="22"/>
              </w:rPr>
              <w:t>Plans remain in place and my hope is that progress will be made, however, it is likely that PLO proceedings will be initiated.</w:t>
            </w:r>
          </w:p>
          <w:p w14:paraId="504AE66A" w14:textId="77777777" w:rsidR="007B0E60" w:rsidRPr="006E32CB" w:rsidRDefault="007B0E60" w:rsidP="007B0E60">
            <w:pPr>
              <w:spacing w:line="360" w:lineRule="auto"/>
              <w:jc w:val="both"/>
              <w:rPr>
                <w:rFonts w:cstheme="minorHAnsi"/>
                <w:sz w:val="22"/>
                <w:szCs w:val="22"/>
              </w:rPr>
            </w:pPr>
          </w:p>
          <w:p w14:paraId="190E628B" w14:textId="77777777" w:rsidR="007B0E60" w:rsidRDefault="007B0E60" w:rsidP="007B0E60">
            <w:pPr>
              <w:spacing w:line="360" w:lineRule="auto"/>
              <w:jc w:val="both"/>
              <w:rPr>
                <w:sz w:val="22"/>
                <w:szCs w:val="22"/>
              </w:rPr>
            </w:pPr>
            <w:r w:rsidRPr="006E32CB">
              <w:rPr>
                <w:sz w:val="22"/>
                <w:szCs w:val="22"/>
              </w:rPr>
              <w:t xml:space="preserve">In evaluating risk of harm to 1, the Assessment for Care and Support necessitated a comprehensive appraisal of 1, 2 and the wider ecological context, consistent with the SSWBA (2014). My analysis began with gathering information from relevant sources, guided by the Wales Safeguarding Procedures (2019), which emphasise distinguishing between fact, hearsay and professional opinion. School’s observations of 1 arriving dirty, hungry and tired were significant because they provided </w:t>
            </w:r>
            <w:r w:rsidRPr="006E32CB">
              <w:rPr>
                <w:sz w:val="22"/>
                <w:szCs w:val="22"/>
              </w:rPr>
              <w:lastRenderedPageBreak/>
              <w:t>consistent, independent evidence of unmet basic needs. These concerns were corroborated through home visits, where I observed the environmental hazards previously outlined. These observations reflected research on neglect, which shows how ongoing, low-level concerns can build over time to cause significant harm (Brandon et al., 2012). Accurate and analytical documentation was essential in ensuring that evidence was clearly recorded and linked to risk, rather than simply described.</w:t>
            </w:r>
          </w:p>
          <w:p w14:paraId="2A6ADA5B" w14:textId="77777777" w:rsidR="007B0E60" w:rsidRPr="006E32CB" w:rsidRDefault="007B0E60" w:rsidP="007B0E60">
            <w:pPr>
              <w:spacing w:line="360" w:lineRule="auto"/>
              <w:jc w:val="both"/>
              <w:rPr>
                <w:sz w:val="22"/>
                <w:szCs w:val="22"/>
              </w:rPr>
            </w:pPr>
          </w:p>
          <w:p w14:paraId="57E728CA" w14:textId="77777777" w:rsidR="007B0E60" w:rsidRDefault="007B0E60" w:rsidP="007B0E60">
            <w:pPr>
              <w:spacing w:line="360" w:lineRule="auto"/>
              <w:jc w:val="both"/>
              <w:rPr>
                <w:sz w:val="22"/>
                <w:szCs w:val="22"/>
              </w:rPr>
            </w:pPr>
            <w:r w:rsidRPr="006E32CB">
              <w:rPr>
                <w:sz w:val="22"/>
                <w:szCs w:val="22"/>
              </w:rPr>
              <w:t>Risk analysis required moving beyond listing individual concerns to understanding how they interacted together. Environmental dangers in the home, lack of supervision and ongoing neglect formed a pattern of chronic risk. The home environment posed immediate physical hazards, while 2’s daytime sleeping left 1 unsupervised for long periods. The recurrence of neglect following previous closures evidenced a cycle of brief improvement followed by decline, consistent with research showing how neglect can repeat and accumulate over time (Gibbs et al., 2024). Tools such as genograms and eco</w:t>
            </w:r>
            <w:r w:rsidRPr="006E32CB">
              <w:rPr>
                <w:sz w:val="22"/>
                <w:szCs w:val="22"/>
              </w:rPr>
              <w:noBreakHyphen/>
              <w:t>maps helped me visualise the family’s relationships and environmental context, highlighting the grandparents as a key protective influence. Considering both the severity and likelihood of harm strengthened the rationale for progressing to Section 47 enquiries under the Children Act (1989).</w:t>
            </w:r>
          </w:p>
          <w:p w14:paraId="38FF1FE0" w14:textId="77777777" w:rsidR="007B0E60" w:rsidRPr="006E32CB" w:rsidRDefault="007B0E60" w:rsidP="007B0E60">
            <w:pPr>
              <w:spacing w:line="360" w:lineRule="auto"/>
              <w:jc w:val="both"/>
              <w:rPr>
                <w:sz w:val="22"/>
                <w:szCs w:val="22"/>
              </w:rPr>
            </w:pPr>
          </w:p>
          <w:p w14:paraId="5A14B35C" w14:textId="77777777" w:rsidR="007B0E60" w:rsidRDefault="007B0E60" w:rsidP="007B0E60">
            <w:pPr>
              <w:spacing w:line="360" w:lineRule="auto"/>
              <w:jc w:val="both"/>
              <w:rPr>
                <w:sz w:val="22"/>
                <w:szCs w:val="22"/>
              </w:rPr>
            </w:pPr>
            <w:r w:rsidRPr="006E32CB">
              <w:rPr>
                <w:sz w:val="22"/>
                <w:szCs w:val="22"/>
              </w:rPr>
              <w:t>Ensuring 1’s voice was central was essential under both the SSWBA (2014) and the UNCRC (1989). As 1 was five, I used play</w:t>
            </w:r>
            <w:r w:rsidRPr="006E32CB">
              <w:rPr>
                <w:rFonts w:ascii="Cambria Math" w:hAnsi="Cambria Math" w:cs="Cambria Math"/>
                <w:sz w:val="22"/>
                <w:szCs w:val="22"/>
              </w:rPr>
              <w:t>‑</w:t>
            </w:r>
            <w:r w:rsidRPr="006E32CB">
              <w:rPr>
                <w:sz w:val="22"/>
                <w:szCs w:val="22"/>
              </w:rPr>
              <w:t xml:space="preserve">based communication and school observations to understand her lived experience. Her comments about dog faeces and the house being </w:t>
            </w:r>
            <w:r w:rsidRPr="006E32CB">
              <w:rPr>
                <w:rFonts w:ascii="Calibri" w:hAnsi="Calibri" w:cs="Calibri"/>
                <w:sz w:val="22"/>
                <w:szCs w:val="22"/>
              </w:rPr>
              <w:t>“</w:t>
            </w:r>
            <w:r w:rsidRPr="006E32CB">
              <w:rPr>
                <w:sz w:val="22"/>
                <w:szCs w:val="22"/>
              </w:rPr>
              <w:t>not safe</w:t>
            </w:r>
            <w:r w:rsidRPr="006E32CB">
              <w:rPr>
                <w:rFonts w:ascii="Calibri" w:hAnsi="Calibri" w:cs="Calibri"/>
                <w:sz w:val="22"/>
                <w:szCs w:val="22"/>
              </w:rPr>
              <w:t>”</w:t>
            </w:r>
            <w:r w:rsidRPr="006E32CB">
              <w:rPr>
                <w:sz w:val="22"/>
                <w:szCs w:val="22"/>
              </w:rPr>
              <w:t xml:space="preserve"> provided insight into her everyday life and informed my analysis of her well</w:t>
            </w:r>
            <w:r w:rsidRPr="006E32CB">
              <w:rPr>
                <w:rFonts w:ascii="Cambria Math" w:hAnsi="Cambria Math" w:cs="Cambria Math"/>
                <w:sz w:val="22"/>
                <w:szCs w:val="22"/>
              </w:rPr>
              <w:t>‑</w:t>
            </w:r>
            <w:r w:rsidRPr="006E32CB">
              <w:rPr>
                <w:sz w:val="22"/>
                <w:szCs w:val="22"/>
              </w:rPr>
              <w:t>being outcomes, including her need for safety, hygiene, routine and supervision. Person</w:t>
            </w:r>
            <w:r w:rsidRPr="006E32CB">
              <w:rPr>
                <w:rFonts w:ascii="Cambria Math" w:hAnsi="Cambria Math" w:cs="Cambria Math"/>
                <w:sz w:val="22"/>
                <w:szCs w:val="22"/>
              </w:rPr>
              <w:t>‑</w:t>
            </w:r>
            <w:r w:rsidRPr="006E32CB">
              <w:rPr>
                <w:sz w:val="22"/>
                <w:szCs w:val="22"/>
              </w:rPr>
              <w:t>centred practice also required supporting 2 to express her desired outcomes SSWBA (2014).  2 consistently stated she wanted 1 home and did not accept the risks. However, her autism and learning disability undoubtedly affected her insight, executive functioning and ability to sustain routines (Demetriou et al., 2018). I made reasonable adjustments in line with the Active Offer and the Equality Act (2010), including visual rotas, simplified instructions and step</w:t>
            </w:r>
            <w:r w:rsidRPr="006E32CB">
              <w:rPr>
                <w:rFonts w:ascii="Cambria Math" w:hAnsi="Cambria Math" w:cs="Cambria Math"/>
                <w:sz w:val="22"/>
                <w:szCs w:val="22"/>
              </w:rPr>
              <w:t>‑</w:t>
            </w:r>
            <w:r w:rsidRPr="006E32CB">
              <w:rPr>
                <w:sz w:val="22"/>
                <w:szCs w:val="22"/>
              </w:rPr>
              <w:t>by</w:t>
            </w:r>
            <w:r w:rsidRPr="006E32CB">
              <w:rPr>
                <w:rFonts w:ascii="Cambria Math" w:hAnsi="Cambria Math" w:cs="Cambria Math"/>
                <w:sz w:val="22"/>
                <w:szCs w:val="22"/>
              </w:rPr>
              <w:t>‑</w:t>
            </w:r>
            <w:r w:rsidRPr="006E32CB">
              <w:rPr>
                <w:sz w:val="22"/>
                <w:szCs w:val="22"/>
              </w:rPr>
              <w:t xml:space="preserve">step demonstrations </w:t>
            </w:r>
            <w:r w:rsidRPr="006E32CB">
              <w:rPr>
                <w:rFonts w:cstheme="minorHAnsi"/>
                <w:sz w:val="22"/>
                <w:szCs w:val="22"/>
              </w:rPr>
              <w:t>(More Than Just Words, Welsh Government, 2018).</w:t>
            </w:r>
            <w:r w:rsidRPr="006E32CB">
              <w:rPr>
                <w:sz w:val="22"/>
                <w:szCs w:val="22"/>
              </w:rPr>
              <w:t xml:space="preserve"> Despite these adjustments, 2 struggled to maintain improvements</w:t>
            </w:r>
            <w:r>
              <w:rPr>
                <w:sz w:val="22"/>
                <w:szCs w:val="22"/>
              </w:rPr>
              <w:t xml:space="preserve"> and continued to display avoidant behaviour</w:t>
            </w:r>
            <w:r w:rsidRPr="006E32CB">
              <w:rPr>
                <w:sz w:val="22"/>
                <w:szCs w:val="22"/>
              </w:rPr>
              <w:t>, requir</w:t>
            </w:r>
            <w:r>
              <w:rPr>
                <w:sz w:val="22"/>
                <w:szCs w:val="22"/>
              </w:rPr>
              <w:t>ing</w:t>
            </w:r>
            <w:r w:rsidRPr="006E32CB">
              <w:rPr>
                <w:sz w:val="22"/>
                <w:szCs w:val="22"/>
              </w:rPr>
              <w:t xml:space="preserve"> professional curiosity and reliance on direct evidence rather than verbal reassurance.</w:t>
            </w:r>
          </w:p>
          <w:p w14:paraId="174BC515" w14:textId="77777777" w:rsidR="007B0E60" w:rsidRPr="006E32CB" w:rsidRDefault="007B0E60" w:rsidP="007B0E60">
            <w:pPr>
              <w:spacing w:line="360" w:lineRule="auto"/>
              <w:jc w:val="both"/>
              <w:rPr>
                <w:sz w:val="22"/>
                <w:szCs w:val="22"/>
              </w:rPr>
            </w:pPr>
          </w:p>
          <w:p w14:paraId="6731B26D" w14:textId="77777777" w:rsidR="007B0E60" w:rsidRDefault="007B0E60" w:rsidP="007B0E60">
            <w:pPr>
              <w:spacing w:line="360" w:lineRule="auto"/>
              <w:jc w:val="both"/>
              <w:rPr>
                <w:sz w:val="22"/>
                <w:szCs w:val="22"/>
              </w:rPr>
            </w:pPr>
            <w:r w:rsidRPr="006E32CB">
              <w:rPr>
                <w:sz w:val="22"/>
                <w:szCs w:val="22"/>
              </w:rPr>
              <w:t>Several theoretical perspectives shaped my analysis and supported interpretation of complex, sometimes conflicting information. Attachment theory highlighted how inconsistent care could have lasting effects on 1’s emotional development, with the lack of routine, hygiene and supervision threatening her attachment security, and risking long term impact (Kolko, 2024). A strengths</w:t>
            </w:r>
            <w:r w:rsidRPr="006E32CB">
              <w:rPr>
                <w:sz w:val="22"/>
                <w:szCs w:val="22"/>
              </w:rPr>
              <w:noBreakHyphen/>
              <w:t xml:space="preserve">based </w:t>
            </w:r>
            <w:r w:rsidRPr="006E32CB">
              <w:rPr>
                <w:sz w:val="22"/>
                <w:szCs w:val="22"/>
              </w:rPr>
              <w:lastRenderedPageBreak/>
              <w:t>approach encouraged identification of protective factors, but the high level of risk and 2’s diagnoses and reluctance to engage made this challenging, despite evidence that strengths</w:t>
            </w:r>
            <w:r w:rsidRPr="006E32CB">
              <w:rPr>
                <w:sz w:val="22"/>
                <w:szCs w:val="22"/>
              </w:rPr>
              <w:noBreakHyphen/>
              <w:t>based practice focuses on identifying and building on existing personal, family and community resources to support wellbeing and engagement (Price et al., 2020). Therefore, whilst the grandparents could provide safe care, 2’s own strengths were limited and insufficient to mitigate harm. Applying risk and resilience theory helped me consider how stressors and protective factors interacted, recognising resilience as a process where children or families adapt positively to challenges, and where support from individuals, family, or the community can reduce negative effects and help achieve better outcomes despite significant stress (Risk and resilience models in child development, 2024). However, the overwhelming number of risk factors meant resilience alone could not offset harm (Brandon et al., 2020). This highlighted the limitations of resilience</w:t>
            </w:r>
            <w:r w:rsidRPr="006E32CB">
              <w:rPr>
                <w:sz w:val="22"/>
                <w:szCs w:val="22"/>
              </w:rPr>
              <w:noBreakHyphen/>
              <w:t>focused approaches in situations of chronic neglect.</w:t>
            </w:r>
          </w:p>
          <w:p w14:paraId="007E7968" w14:textId="77777777" w:rsidR="007B0E60" w:rsidRPr="006E32CB" w:rsidRDefault="007B0E60" w:rsidP="007B0E60">
            <w:pPr>
              <w:spacing w:line="360" w:lineRule="auto"/>
              <w:jc w:val="both"/>
              <w:rPr>
                <w:sz w:val="22"/>
                <w:szCs w:val="22"/>
              </w:rPr>
            </w:pPr>
          </w:p>
          <w:p w14:paraId="7896EFE9" w14:textId="17B66186" w:rsidR="007B0E60" w:rsidRDefault="007B0E60" w:rsidP="007B0E60">
            <w:pPr>
              <w:spacing w:line="360" w:lineRule="auto"/>
              <w:jc w:val="both"/>
              <w:rPr>
                <w:sz w:val="22"/>
                <w:szCs w:val="22"/>
              </w:rPr>
            </w:pPr>
            <w:r w:rsidRPr="006E32CB">
              <w:rPr>
                <w:sz w:val="22"/>
                <w:szCs w:val="22"/>
              </w:rPr>
              <w:t>Utilising a Signs of Safety approach supported a balanced analysis of what was working well, what we were worried about and what needed to happen, reflecting the framework’s emphasis on collaborative recognition of strengths, concerns and necessary safety goals (Turnell &amp; Murphy, 2014). This helped structure conversations with 2, though her limited insight meant progress was minimal. Person</w:t>
            </w:r>
            <w:r w:rsidRPr="006E32CB">
              <w:rPr>
                <w:rFonts w:ascii="Cambria Math" w:hAnsi="Cambria Math" w:cs="Cambria Math"/>
                <w:sz w:val="22"/>
                <w:szCs w:val="22"/>
              </w:rPr>
              <w:t>‑</w:t>
            </w:r>
            <w:r w:rsidRPr="006E32CB">
              <w:rPr>
                <w:sz w:val="22"/>
                <w:szCs w:val="22"/>
              </w:rPr>
              <w:t>centred practice aligned with the SSWBA</w:t>
            </w:r>
            <w:r w:rsidRPr="006E32CB">
              <w:rPr>
                <w:rFonts w:ascii="Calibri" w:hAnsi="Calibri" w:cs="Calibri"/>
                <w:sz w:val="22"/>
                <w:szCs w:val="22"/>
              </w:rPr>
              <w:t>’</w:t>
            </w:r>
            <w:r w:rsidRPr="006E32CB">
              <w:rPr>
                <w:sz w:val="22"/>
                <w:szCs w:val="22"/>
              </w:rPr>
              <w:t>s (2014) emphasis on outcomes, but the gap between 2</w:t>
            </w:r>
            <w:r w:rsidRPr="006E32CB">
              <w:rPr>
                <w:rFonts w:ascii="Calibri" w:hAnsi="Calibri" w:cs="Calibri"/>
                <w:sz w:val="22"/>
                <w:szCs w:val="22"/>
              </w:rPr>
              <w:t>’</w:t>
            </w:r>
            <w:r w:rsidRPr="006E32CB">
              <w:rPr>
                <w:sz w:val="22"/>
                <w:szCs w:val="22"/>
              </w:rPr>
              <w:t>s stated intentions and her capacity to meet 1</w:t>
            </w:r>
            <w:r w:rsidRPr="006E32CB">
              <w:rPr>
                <w:rFonts w:ascii="Calibri" w:hAnsi="Calibri" w:cs="Calibri"/>
                <w:sz w:val="22"/>
                <w:szCs w:val="22"/>
              </w:rPr>
              <w:t>’</w:t>
            </w:r>
            <w:r w:rsidRPr="006E32CB">
              <w:rPr>
                <w:sz w:val="22"/>
                <w:szCs w:val="22"/>
              </w:rPr>
              <w:t>s needs limited its effectiveness. Tedam’s Four-Dimensional, Two-Principle (4D2P) model, which encompasses: Dimensions of identity, power, privilege and oppression (the 4Ds) and Principles of participation and protection (the 2Ps), supported anti</w:t>
            </w:r>
            <w:r w:rsidRPr="006E32CB">
              <w:rPr>
                <w:sz w:val="22"/>
                <w:szCs w:val="22"/>
              </w:rPr>
              <w:noBreakHyphen/>
              <w:t>oppressive practice by encouraging me to reflect on power dynamics, privilege</w:t>
            </w:r>
            <w:r>
              <w:rPr>
                <w:sz w:val="22"/>
                <w:szCs w:val="22"/>
              </w:rPr>
              <w:t>,</w:t>
            </w:r>
            <w:r w:rsidRPr="006E32CB">
              <w:rPr>
                <w:sz w:val="22"/>
                <w:szCs w:val="22"/>
              </w:rPr>
              <w:t xml:space="preserve"> and the risk of pathologising 2’s disability (Tedam, 2024).This helped me consider whether her non</w:t>
            </w:r>
            <w:r w:rsidRPr="006E32CB">
              <w:rPr>
                <w:rFonts w:ascii="Cambria Math" w:hAnsi="Cambria Math" w:cs="Cambria Math"/>
                <w:sz w:val="22"/>
                <w:szCs w:val="22"/>
              </w:rPr>
              <w:t>‑</w:t>
            </w:r>
            <w:r w:rsidRPr="006E32CB">
              <w:rPr>
                <w:sz w:val="22"/>
                <w:szCs w:val="22"/>
              </w:rPr>
              <w:t>engagement was due to fear, shame or cognitive barriers rather than wilful avoidance. Power and control frameworks helped me reflect on how statutory authority can unintentionally reinforce disempowerment, particularly for neurodivergent parents (Featherstone et al., 2023).  This awareness helped shaped my communication, ensuring clarity, transparency and respect.</w:t>
            </w:r>
          </w:p>
          <w:p w14:paraId="307C1FA9" w14:textId="77777777" w:rsidR="007B0E60" w:rsidRPr="006E32CB" w:rsidRDefault="007B0E60" w:rsidP="007B0E60">
            <w:pPr>
              <w:spacing w:line="360" w:lineRule="auto"/>
              <w:jc w:val="both"/>
              <w:rPr>
                <w:sz w:val="22"/>
                <w:szCs w:val="22"/>
              </w:rPr>
            </w:pPr>
          </w:p>
          <w:p w14:paraId="517EC890" w14:textId="77777777" w:rsidR="007B0E60" w:rsidRDefault="007B0E60" w:rsidP="007B0E60">
            <w:pPr>
              <w:spacing w:line="360" w:lineRule="auto"/>
              <w:jc w:val="both"/>
              <w:rPr>
                <w:sz w:val="22"/>
                <w:szCs w:val="22"/>
              </w:rPr>
            </w:pPr>
            <w:r w:rsidRPr="006E32CB">
              <w:rPr>
                <w:sz w:val="22"/>
                <w:szCs w:val="22"/>
              </w:rPr>
              <w:t>Whilst theories supported and informed assessment, critical evaluation was essential, as blunt application can be misleading and damaging. Attachment theory helped forecast the potential outcome of the risks for 1, but risked pathologising 2 if applied uncritically (Foster et al., 2025). Strengths</w:t>
            </w:r>
            <w:r w:rsidRPr="006E32CB">
              <w:rPr>
                <w:rFonts w:ascii="Cambria Math" w:hAnsi="Cambria Math" w:cs="Cambria Math"/>
                <w:sz w:val="22"/>
                <w:szCs w:val="22"/>
              </w:rPr>
              <w:t>‑</w:t>
            </w:r>
            <w:r w:rsidRPr="006E32CB">
              <w:rPr>
                <w:sz w:val="22"/>
                <w:szCs w:val="22"/>
              </w:rPr>
              <w:t xml:space="preserve">based practice promoted a balanced view but was difficult to apply meaningfully given the limited strengths available (Price et al., 2020).  Risk and resilience theory supported holistic analysis but could not compensate for the overwhelming evidence of harm (Risk and resilience models in child development, </w:t>
            </w:r>
            <w:r w:rsidRPr="006E32CB">
              <w:rPr>
                <w:sz w:val="22"/>
                <w:szCs w:val="22"/>
              </w:rPr>
              <w:lastRenderedPageBreak/>
              <w:t>2024). Signs of Safety provided structure but was limited by 2</w:t>
            </w:r>
            <w:r w:rsidRPr="006E32CB">
              <w:rPr>
                <w:rFonts w:ascii="Calibri" w:hAnsi="Calibri" w:cs="Calibri"/>
                <w:sz w:val="22"/>
                <w:szCs w:val="22"/>
              </w:rPr>
              <w:t>’</w:t>
            </w:r>
            <w:r w:rsidRPr="006E32CB">
              <w:rPr>
                <w:sz w:val="22"/>
                <w:szCs w:val="22"/>
              </w:rPr>
              <w:t>s fluctuating engagement (Turnell &amp; Murphy, 2014). Anti</w:t>
            </w:r>
            <w:r w:rsidRPr="006E32CB">
              <w:rPr>
                <w:rFonts w:ascii="Cambria Math" w:hAnsi="Cambria Math" w:cs="Cambria Math"/>
                <w:sz w:val="22"/>
                <w:szCs w:val="22"/>
              </w:rPr>
              <w:t>‑</w:t>
            </w:r>
            <w:r w:rsidRPr="006E32CB">
              <w:rPr>
                <w:sz w:val="22"/>
                <w:szCs w:val="22"/>
              </w:rPr>
              <w:t>oppressive frameworks were essential for avoiding discriminatory assumptions, yet they had to be balanced with the need for authoritative practice to protect 1 (Tedam, 2024).</w:t>
            </w:r>
          </w:p>
          <w:p w14:paraId="75C788C0" w14:textId="77777777" w:rsidR="007B0E60" w:rsidRPr="006E32CB" w:rsidRDefault="007B0E60" w:rsidP="007B0E60">
            <w:pPr>
              <w:spacing w:line="360" w:lineRule="auto"/>
              <w:jc w:val="both"/>
              <w:rPr>
                <w:sz w:val="22"/>
                <w:szCs w:val="22"/>
              </w:rPr>
            </w:pPr>
          </w:p>
          <w:p w14:paraId="07E10D2A" w14:textId="77777777" w:rsidR="007B0E60" w:rsidRDefault="007B0E60" w:rsidP="007B0E60">
            <w:pPr>
              <w:spacing w:line="360" w:lineRule="auto"/>
              <w:jc w:val="both"/>
              <w:rPr>
                <w:sz w:val="22"/>
                <w:szCs w:val="22"/>
              </w:rPr>
            </w:pPr>
            <w:r w:rsidRPr="006E32CB">
              <w:rPr>
                <w:sz w:val="22"/>
                <w:szCs w:val="22"/>
              </w:rPr>
              <w:t>Interpreting conflicting information required careful judgement. While 2 stated she was trying her best, the persistent state of the home and 1’s presentation at school provided stronger evidence of harm. Research on confirmation bias reminded me to avoid relying on historical concerns, so I focused on current, verifiable evidence</w:t>
            </w:r>
            <w:r>
              <w:rPr>
                <w:sz w:val="22"/>
                <w:szCs w:val="22"/>
              </w:rPr>
              <w:t xml:space="preserve"> </w:t>
            </w:r>
            <w:r w:rsidRPr="00D95C17">
              <w:rPr>
                <w:sz w:val="22"/>
                <w:szCs w:val="22"/>
              </w:rPr>
              <w:t>(Platt &amp; Turney, 2014)</w:t>
            </w:r>
            <w:r w:rsidRPr="006E32CB">
              <w:rPr>
                <w:sz w:val="22"/>
                <w:szCs w:val="22"/>
              </w:rPr>
              <w:t>.  As previously referenced, balancing rights, needs and risks required weighing 2</w:t>
            </w:r>
            <w:r w:rsidRPr="006E32CB">
              <w:rPr>
                <w:rFonts w:ascii="Calibri" w:hAnsi="Calibri" w:cs="Calibri"/>
                <w:sz w:val="22"/>
                <w:szCs w:val="22"/>
              </w:rPr>
              <w:t>’</w:t>
            </w:r>
            <w:r w:rsidRPr="006E32CB">
              <w:rPr>
                <w:sz w:val="22"/>
                <w:szCs w:val="22"/>
              </w:rPr>
              <w:t>s Article 8 rights under the Human Rights Act 1998, against 1</w:t>
            </w:r>
            <w:r w:rsidRPr="006E32CB">
              <w:rPr>
                <w:rFonts w:ascii="Calibri" w:hAnsi="Calibri" w:cs="Calibri"/>
                <w:sz w:val="22"/>
                <w:szCs w:val="22"/>
              </w:rPr>
              <w:t>’</w:t>
            </w:r>
            <w:r w:rsidRPr="006E32CB">
              <w:rPr>
                <w:sz w:val="22"/>
                <w:szCs w:val="22"/>
              </w:rPr>
              <w:t>s rights to safety, protection and an adequate standard of living. Supporting 1 to stay with grandparents was the least restrictive option, but 2’s repeated statements that she intended to take her home increased risk and informed the decision to progress to Section 47 enquiries. As new evidence emerged, my professional judgement shifted from supportive intervention to protective action, reflecting the dynamic nature of assessment.</w:t>
            </w:r>
          </w:p>
          <w:p w14:paraId="6ABE0D2B" w14:textId="77777777" w:rsidR="007B0E60" w:rsidRPr="006E32CB" w:rsidRDefault="007B0E60" w:rsidP="007B0E60">
            <w:pPr>
              <w:spacing w:line="360" w:lineRule="auto"/>
              <w:jc w:val="both"/>
              <w:rPr>
                <w:sz w:val="22"/>
                <w:szCs w:val="22"/>
              </w:rPr>
            </w:pPr>
          </w:p>
          <w:p w14:paraId="5FC2B75B" w14:textId="77777777" w:rsidR="007B0E60" w:rsidRDefault="007B0E60" w:rsidP="007B0E60">
            <w:pPr>
              <w:spacing w:line="360" w:lineRule="auto"/>
              <w:jc w:val="both"/>
              <w:rPr>
                <w:sz w:val="22"/>
                <w:szCs w:val="22"/>
              </w:rPr>
            </w:pPr>
            <w:r w:rsidRPr="006E32CB">
              <w:rPr>
                <w:sz w:val="22"/>
                <w:szCs w:val="22"/>
              </w:rPr>
              <w:t>Recording was central to analysis and decision</w:t>
            </w:r>
            <w:r w:rsidRPr="006E32CB">
              <w:rPr>
                <w:rFonts w:ascii="Cambria Math" w:hAnsi="Cambria Math" w:cs="Cambria Math"/>
                <w:sz w:val="22"/>
                <w:szCs w:val="22"/>
              </w:rPr>
              <w:t>‑</w:t>
            </w:r>
            <w:r w:rsidRPr="006E32CB">
              <w:rPr>
                <w:sz w:val="22"/>
                <w:szCs w:val="22"/>
              </w:rPr>
              <w:t>making. High</w:t>
            </w:r>
            <w:r w:rsidRPr="006E32CB">
              <w:rPr>
                <w:rFonts w:ascii="Cambria Math" w:hAnsi="Cambria Math" w:cs="Cambria Math"/>
                <w:sz w:val="22"/>
                <w:szCs w:val="22"/>
              </w:rPr>
              <w:t>‑</w:t>
            </w:r>
            <w:r w:rsidRPr="006E32CB">
              <w:rPr>
                <w:sz w:val="22"/>
                <w:szCs w:val="22"/>
              </w:rPr>
              <w:t>quality recording distinguishes fact from opinion, evidences risk and provides a clear rationale for decisions (Social Work Scotland / BASW, 2024). Given the likelihood of PLO, accuracy and coherence were essential. Poor recording could have led to unsafe decisions, minimisation of risk</w:t>
            </w:r>
            <w:r>
              <w:rPr>
                <w:sz w:val="22"/>
                <w:szCs w:val="22"/>
              </w:rPr>
              <w:t>,</w:t>
            </w:r>
            <w:r w:rsidRPr="006E32CB">
              <w:rPr>
                <w:sz w:val="22"/>
                <w:szCs w:val="22"/>
              </w:rPr>
              <w:t xml:space="preserve"> or legal challenge.</w:t>
            </w:r>
          </w:p>
          <w:p w14:paraId="210E204B" w14:textId="77777777" w:rsidR="007B0E60" w:rsidRPr="006E32CB" w:rsidRDefault="007B0E60" w:rsidP="007B0E60">
            <w:pPr>
              <w:spacing w:line="360" w:lineRule="auto"/>
              <w:jc w:val="both"/>
              <w:rPr>
                <w:sz w:val="22"/>
                <w:szCs w:val="22"/>
              </w:rPr>
            </w:pPr>
          </w:p>
          <w:p w14:paraId="4C01199D" w14:textId="77777777" w:rsidR="007B0E60" w:rsidRDefault="007B0E60" w:rsidP="007B0E60">
            <w:pPr>
              <w:spacing w:line="360" w:lineRule="auto"/>
              <w:jc w:val="both"/>
              <w:rPr>
                <w:sz w:val="22"/>
                <w:szCs w:val="22"/>
              </w:rPr>
            </w:pPr>
            <w:r w:rsidRPr="006E32CB">
              <w:rPr>
                <w:sz w:val="22"/>
                <w:szCs w:val="22"/>
              </w:rPr>
              <w:t>Reflecting on my practice, I experienced difficulty balancing empathy for 2’s vulnerabilities with the professional requirement for decisive intervention to safeguard 1. I recognised my feelings of frustration at the lack of progress made by 2 and questioned my own skills as a social worker in being unable to engage 2 in understanding the negative impact on 1. On occasions when 2 was untruthful or deflected responsibility, I considered that her non</w:t>
            </w:r>
            <w:r w:rsidRPr="006E32CB">
              <w:rPr>
                <w:sz w:val="22"/>
                <w:szCs w:val="22"/>
              </w:rPr>
              <w:noBreakHyphen/>
              <w:t>engagement may have been deliberate rather than linked to disability. However, I recognised that this could not be known with certainty and as the welfare and protection of the child must be central to practice, and is paramount under the Children Act (1989), I ensured this remained the focus of my assessment. Nevertheless, I sought specialised support for 2 and, while aware of systemic gaps limiting services for parents with learning disabilities, this was largely ineffectual, as 2 declined all possible avenues of support, insisting she did not require help and would not engage with other professionals.</w:t>
            </w:r>
          </w:p>
          <w:p w14:paraId="4487BFFB" w14:textId="77777777" w:rsidR="007B0E60" w:rsidRPr="006E32CB" w:rsidRDefault="007B0E60" w:rsidP="007B0E60">
            <w:pPr>
              <w:spacing w:line="360" w:lineRule="auto"/>
              <w:jc w:val="both"/>
              <w:rPr>
                <w:sz w:val="22"/>
                <w:szCs w:val="22"/>
              </w:rPr>
            </w:pPr>
          </w:p>
          <w:p w14:paraId="61408A07" w14:textId="77777777" w:rsidR="007B0E60" w:rsidRDefault="007B0E60" w:rsidP="007B0E60">
            <w:pPr>
              <w:spacing w:line="360" w:lineRule="auto"/>
              <w:jc w:val="both"/>
              <w:rPr>
                <w:sz w:val="22"/>
                <w:szCs w:val="22"/>
              </w:rPr>
            </w:pPr>
            <w:r w:rsidRPr="006E32CB">
              <w:rPr>
                <w:sz w:val="22"/>
                <w:szCs w:val="22"/>
              </w:rPr>
              <w:lastRenderedPageBreak/>
              <w:t>Collaborative working was central to this case because the concerns involved chronic neglect, disability related needs and inconsistent engagement. The SSWBA (2014. and the Wales Safeguarding Procedures (2019) emphasise shared responsibility, timely information sharing and coordinated intervention, which shaped how I worked with the family and partner agencies.</w:t>
            </w:r>
          </w:p>
          <w:p w14:paraId="7F99C163" w14:textId="77777777" w:rsidR="007B0E60" w:rsidRPr="006E32CB" w:rsidRDefault="007B0E60" w:rsidP="007B0E60">
            <w:pPr>
              <w:spacing w:line="360" w:lineRule="auto"/>
              <w:jc w:val="both"/>
              <w:rPr>
                <w:sz w:val="22"/>
                <w:szCs w:val="22"/>
              </w:rPr>
            </w:pPr>
          </w:p>
          <w:p w14:paraId="03FC2143" w14:textId="1857C017" w:rsidR="007B0E60" w:rsidRDefault="007B0E60" w:rsidP="007B0E60">
            <w:pPr>
              <w:spacing w:line="360" w:lineRule="auto"/>
              <w:jc w:val="both"/>
              <w:rPr>
                <w:sz w:val="22"/>
                <w:szCs w:val="22"/>
              </w:rPr>
            </w:pPr>
            <w:r w:rsidRPr="006E32CB">
              <w:rPr>
                <w:sz w:val="22"/>
                <w:szCs w:val="22"/>
              </w:rPr>
              <w:t xml:space="preserve">Working with 2 </w:t>
            </w:r>
            <w:r w:rsidR="007F13F9">
              <w:rPr>
                <w:sz w:val="22"/>
                <w:szCs w:val="22"/>
              </w:rPr>
              <w:t>necessitated</w:t>
            </w:r>
            <w:r w:rsidRPr="006E32CB">
              <w:rPr>
                <w:sz w:val="22"/>
                <w:szCs w:val="22"/>
              </w:rPr>
              <w:t xml:space="preserve"> accessible and trauma informed communication. Her autism and learning disability meant she struggled with understanding. On the advice of disability social workers</w:t>
            </w:r>
            <w:r>
              <w:rPr>
                <w:sz w:val="22"/>
                <w:szCs w:val="22"/>
              </w:rPr>
              <w:t xml:space="preserve"> and</w:t>
            </w:r>
            <w:r w:rsidRPr="006E32CB">
              <w:rPr>
                <w:sz w:val="22"/>
                <w:szCs w:val="22"/>
              </w:rPr>
              <w:t xml:space="preserve"> to facilitate 2’s participation I used simplified language, visual lists, structured routines and step by step demonstrations and regularly checked her understanding. However, 2’s engagement fluctuated and she often avoided visits or declined support. At present, 2 has disengaged almost completely despite my attempts to work creatively with her to meet her needs. On reflection and through supervision, I do not consider that different actions would have altered this outcome, although I will continue to make efforts to engage.</w:t>
            </w:r>
          </w:p>
          <w:p w14:paraId="458328E4" w14:textId="77777777" w:rsidR="007B0E60" w:rsidRPr="006E32CB" w:rsidRDefault="007B0E60" w:rsidP="007B0E60">
            <w:pPr>
              <w:spacing w:line="360" w:lineRule="auto"/>
              <w:jc w:val="both"/>
              <w:rPr>
                <w:sz w:val="22"/>
                <w:szCs w:val="22"/>
              </w:rPr>
            </w:pPr>
          </w:p>
          <w:p w14:paraId="7A94BE55" w14:textId="77777777" w:rsidR="007B0E60" w:rsidRDefault="007B0E60" w:rsidP="007B0E60">
            <w:pPr>
              <w:spacing w:line="360" w:lineRule="auto"/>
              <w:jc w:val="both"/>
              <w:rPr>
                <w:sz w:val="22"/>
                <w:szCs w:val="22"/>
              </w:rPr>
            </w:pPr>
            <w:r w:rsidRPr="006E32CB">
              <w:rPr>
                <w:sz w:val="22"/>
                <w:szCs w:val="22"/>
              </w:rPr>
              <w:t xml:space="preserve">Working with the grandparents required a different approach. They provided safety and care for 1 and were cooperative, but expressed frustration with 2’s parenting. I needed to maintain their involvement as a protective factor while ensuring they did not feel blamed or responsible for 2’s actions, and </w:t>
            </w:r>
            <w:r>
              <w:rPr>
                <w:sz w:val="22"/>
                <w:szCs w:val="22"/>
              </w:rPr>
              <w:t xml:space="preserve">to </w:t>
            </w:r>
            <w:r w:rsidRPr="006E32CB">
              <w:rPr>
                <w:sz w:val="22"/>
                <w:szCs w:val="22"/>
              </w:rPr>
              <w:t>recognise and address that kinship carers can experience emotional strain and role conflict (Hunt, 2019). Their support strengthened the safety network but also created tension because 2 felt judged and feared losing her parental role. This required sensitivity to family relationships and clear explanation of statutory responsibilities and processes so they were fully informed.</w:t>
            </w:r>
          </w:p>
          <w:p w14:paraId="33950D7B" w14:textId="77777777" w:rsidR="007B0E60" w:rsidRPr="006E32CB" w:rsidRDefault="007B0E60" w:rsidP="007B0E60">
            <w:pPr>
              <w:spacing w:line="360" w:lineRule="auto"/>
              <w:jc w:val="both"/>
              <w:rPr>
                <w:sz w:val="22"/>
                <w:szCs w:val="22"/>
              </w:rPr>
            </w:pPr>
          </w:p>
          <w:p w14:paraId="3756CF85" w14:textId="6EFD7491" w:rsidR="007B0E60" w:rsidRDefault="007B0E60" w:rsidP="007B0E60">
            <w:pPr>
              <w:spacing w:line="360" w:lineRule="auto"/>
              <w:jc w:val="both"/>
              <w:rPr>
                <w:sz w:val="22"/>
                <w:szCs w:val="22"/>
              </w:rPr>
            </w:pPr>
            <w:r w:rsidRPr="006E32CB">
              <w:rPr>
                <w:sz w:val="22"/>
                <w:szCs w:val="22"/>
              </w:rPr>
              <w:t xml:space="preserve">Multi-agency collaboration was essential to understanding the </w:t>
            </w:r>
            <w:r w:rsidR="007F13F9">
              <w:rPr>
                <w:sz w:val="22"/>
                <w:szCs w:val="22"/>
              </w:rPr>
              <w:t xml:space="preserve">breadth of risk </w:t>
            </w:r>
            <w:r w:rsidRPr="006E32CB">
              <w:rPr>
                <w:sz w:val="22"/>
                <w:szCs w:val="22"/>
              </w:rPr>
              <w:t>(Dixon et al., 2022). Education colleagues provided detailed accounts of the child’s presentation, disclosures, and attendance, while housing colleagues contributed information about repeated refusal of access and the history of poor home conditions. Police involvement during the strategy meeting supported threshold analysis for child protection enquiries. Each agency held partial information, and my role was to bring these contributions together into a coherent assessment. I was also able to liaise with relevant specialists regarding 2’s needs and the support that could be offered.</w:t>
            </w:r>
          </w:p>
          <w:p w14:paraId="53D1D143" w14:textId="77777777" w:rsidR="007B0E60" w:rsidRPr="006E32CB" w:rsidRDefault="007B0E60" w:rsidP="007B0E60">
            <w:pPr>
              <w:spacing w:line="360" w:lineRule="auto"/>
              <w:jc w:val="both"/>
              <w:rPr>
                <w:sz w:val="22"/>
                <w:szCs w:val="22"/>
              </w:rPr>
            </w:pPr>
          </w:p>
          <w:p w14:paraId="1863F8E9" w14:textId="77777777" w:rsidR="007B0E60" w:rsidRDefault="007B0E60" w:rsidP="007B0E60">
            <w:pPr>
              <w:spacing w:line="360" w:lineRule="auto"/>
              <w:jc w:val="both"/>
              <w:rPr>
                <w:sz w:val="22"/>
                <w:szCs w:val="22"/>
              </w:rPr>
            </w:pPr>
            <w:r w:rsidRPr="006E32CB">
              <w:rPr>
                <w:sz w:val="22"/>
                <w:szCs w:val="22"/>
              </w:rPr>
              <w:t xml:space="preserve">In practice the strategy meeting was straightforward, with all professionals in agreement. However, research shows that differences in professional thresholds are common and can lead to drift if not addressed via respectful challenge (Brandon et al., 2008). Despite opinion being unanimous, I needed to articulate my analysis clearly, drawing on evidence and historical patterns. This required confidence </w:t>
            </w:r>
            <w:r w:rsidRPr="006E32CB">
              <w:rPr>
                <w:sz w:val="22"/>
                <w:szCs w:val="22"/>
              </w:rPr>
              <w:lastRenderedPageBreak/>
              <w:t xml:space="preserve">and clarity, especially so had the need arisen for advocating for 1’s safety in the face of differing opinions. </w:t>
            </w:r>
          </w:p>
          <w:p w14:paraId="7EFE9B1A" w14:textId="77777777" w:rsidR="007B0E60" w:rsidRPr="006E32CB" w:rsidRDefault="007B0E60" w:rsidP="007B0E60">
            <w:pPr>
              <w:spacing w:line="360" w:lineRule="auto"/>
              <w:jc w:val="both"/>
              <w:rPr>
                <w:sz w:val="22"/>
                <w:szCs w:val="22"/>
              </w:rPr>
            </w:pPr>
          </w:p>
          <w:p w14:paraId="4E50C315" w14:textId="77777777" w:rsidR="007B0E60" w:rsidRDefault="007B0E60" w:rsidP="007B0E60">
            <w:pPr>
              <w:spacing w:line="360" w:lineRule="auto"/>
              <w:jc w:val="both"/>
              <w:rPr>
                <w:sz w:val="22"/>
                <w:szCs w:val="22"/>
              </w:rPr>
            </w:pPr>
            <w:r w:rsidRPr="006E32CB">
              <w:rPr>
                <w:sz w:val="22"/>
                <w:szCs w:val="22"/>
              </w:rPr>
              <w:t xml:space="preserve">Several tensions emerged during collaborative working. Collaboration with 1 was particularly </w:t>
            </w:r>
            <w:r>
              <w:rPr>
                <w:sz w:val="22"/>
                <w:szCs w:val="22"/>
              </w:rPr>
              <w:t>challenging</w:t>
            </w:r>
            <w:r w:rsidRPr="006E32CB">
              <w:rPr>
                <w:sz w:val="22"/>
                <w:szCs w:val="22"/>
              </w:rPr>
              <w:t xml:space="preserve"> due to her autism, learning difficulties, limited understanding, and inability to recognise risks. Collaboration with other professionals generally worked well in this instance, which helped streamline decision-making and made the process more manageable. The grandparents were supportive but sometimes struggled to understand processes, requiring careful explanation. Power imbalances were unavoidable, as my statutory authority could overshadow the mother’s voice. Reflecting on these dynamics helped me consider how power and oppression shaped interactions and decision-making.</w:t>
            </w:r>
          </w:p>
          <w:p w14:paraId="46444E8D" w14:textId="77777777" w:rsidR="007B0E60" w:rsidRPr="006E32CB" w:rsidRDefault="007B0E60" w:rsidP="007B0E60">
            <w:pPr>
              <w:spacing w:line="360" w:lineRule="auto"/>
              <w:jc w:val="both"/>
              <w:rPr>
                <w:sz w:val="22"/>
                <w:szCs w:val="22"/>
              </w:rPr>
            </w:pPr>
          </w:p>
          <w:p w14:paraId="0B58DE90" w14:textId="77777777" w:rsidR="007B0E60" w:rsidRDefault="007B0E60" w:rsidP="007B0E60">
            <w:pPr>
              <w:spacing w:line="360" w:lineRule="auto"/>
              <w:jc w:val="both"/>
              <w:rPr>
                <w:sz w:val="22"/>
                <w:szCs w:val="22"/>
              </w:rPr>
            </w:pPr>
            <w:r>
              <w:rPr>
                <w:sz w:val="22"/>
                <w:szCs w:val="22"/>
              </w:rPr>
              <w:t>R</w:t>
            </w:r>
            <w:r w:rsidRPr="006E32CB">
              <w:rPr>
                <w:sz w:val="22"/>
                <w:szCs w:val="22"/>
              </w:rPr>
              <w:t>eflection on my collaborative practice highlighted the strength of my relationship-building with professionals. Positive engagement with school and housing colleagues facilitated timely information sharing and coordinated action, while liais</w:t>
            </w:r>
            <w:r>
              <w:rPr>
                <w:sz w:val="22"/>
                <w:szCs w:val="22"/>
              </w:rPr>
              <w:t>ing</w:t>
            </w:r>
            <w:r w:rsidRPr="006E32CB">
              <w:rPr>
                <w:sz w:val="22"/>
                <w:szCs w:val="22"/>
              </w:rPr>
              <w:t xml:space="preserve"> with learning disability services informed my approach. Although I was unable to secure 1’s full engagement, I recognise that under the circumstances, this was unlikely to be achievable. The experience has enhanced my professional development by improving my ability to adapt communication for individuals with additional needs and reinforcing the understanding that, despite best efforts, desired outcomes are not always attainable through practitioner action alone.</w:t>
            </w:r>
          </w:p>
          <w:p w14:paraId="4C87887E" w14:textId="77777777" w:rsidR="007B0E60" w:rsidRPr="006E32CB" w:rsidRDefault="007B0E60" w:rsidP="007B0E60">
            <w:pPr>
              <w:spacing w:line="360" w:lineRule="auto"/>
              <w:jc w:val="both"/>
              <w:rPr>
                <w:sz w:val="22"/>
                <w:szCs w:val="22"/>
              </w:rPr>
            </w:pPr>
          </w:p>
          <w:p w14:paraId="6B5EFD4C" w14:textId="77777777" w:rsidR="007B0E60" w:rsidRDefault="007B0E60" w:rsidP="007B0E60">
            <w:pPr>
              <w:spacing w:line="360" w:lineRule="auto"/>
              <w:jc w:val="both"/>
              <w:rPr>
                <w:sz w:val="22"/>
                <w:szCs w:val="22"/>
              </w:rPr>
            </w:pPr>
            <w:r w:rsidRPr="006E32CB">
              <w:rPr>
                <w:sz w:val="22"/>
                <w:szCs w:val="22"/>
              </w:rPr>
              <w:t>Safeguarding work requires social workers to make decisions in situations marked by uncertainty, fluctuating engagement and competing rights (Munro, 2018) This case reflected what Adams, et al (2009) describe as “manufactured uncertainty,” where practitioners must act despite incomplete information. My judgement developed as new evidence emerged, risks escalated and 2’s engagement changed, requiring continual reassessment of both risk and proportionality. Each visit, family or professional conversation, and meeting required my professional judgement, much of which has already been described previously.</w:t>
            </w:r>
          </w:p>
          <w:p w14:paraId="303C3941" w14:textId="77777777" w:rsidR="007B0E60" w:rsidRPr="006E32CB" w:rsidRDefault="007B0E60" w:rsidP="007B0E60">
            <w:pPr>
              <w:spacing w:line="360" w:lineRule="auto"/>
              <w:jc w:val="both"/>
              <w:rPr>
                <w:sz w:val="22"/>
                <w:szCs w:val="22"/>
              </w:rPr>
            </w:pPr>
          </w:p>
          <w:p w14:paraId="36283549" w14:textId="77777777" w:rsidR="007B0E60" w:rsidRDefault="007B0E60" w:rsidP="007B0E60">
            <w:pPr>
              <w:spacing w:line="360" w:lineRule="auto"/>
              <w:jc w:val="both"/>
              <w:rPr>
                <w:sz w:val="22"/>
                <w:szCs w:val="22"/>
              </w:rPr>
            </w:pPr>
            <w:r w:rsidRPr="006E32CB">
              <w:rPr>
                <w:sz w:val="22"/>
                <w:szCs w:val="22"/>
              </w:rPr>
              <w:t xml:space="preserve">The risks and complexities have also been outlined in preceding paragraphs, but in summary included home conditions, poor supervision and emotional and physical neglect. This was further complicated by 2’s diagnoses and how this affected her understanding and engagement. Previous involvement evidenced a failure to sustain the changes necessary and 1’s fluctuating engagement, including avoidance of visits and refusal of support, created increased concerns. My professional judgement </w:t>
            </w:r>
            <w:r w:rsidRPr="006E32CB">
              <w:rPr>
                <w:sz w:val="22"/>
                <w:szCs w:val="22"/>
              </w:rPr>
              <w:lastRenderedPageBreak/>
              <w:t xml:space="preserve">was based on information gathered during from direct observations, agency reports, updates from grandparents and 2’s own accounts. The Wales Safeguarding Procedures (2019) emphasise distinguishing fact from opinion, so I focused on verifiable evidence such as 1’s presentation at school and the condition of the home. Initially, 1 remained in her home, under the care of 2, however, my judgement changed as new evidence emerged and the risks increased.  Initially, I hoped that visual prompts, structured routines and accessible communication would support 2 to improve home conditions. However, as </w:t>
            </w:r>
            <w:r>
              <w:rPr>
                <w:sz w:val="22"/>
                <w:szCs w:val="22"/>
              </w:rPr>
              <w:t>issues</w:t>
            </w:r>
            <w:r w:rsidRPr="006E32CB">
              <w:rPr>
                <w:sz w:val="22"/>
                <w:szCs w:val="22"/>
              </w:rPr>
              <w:t xml:space="preserve"> became more apparent and the home remained unsafe, I recognised that supportive intervention alone was insufficient. The SSWBA (2014) requires practitioners to modify decisions when new information arises, and this case demonstrated the importance of flexibility and reflective thinking. My analysis focused on how concerns interacted rather than viewing them in isolation, recognising that environmental neglect, poor supervision and refusal of support formed a pattern of chronic risk. Thus, my risk assessment was dynamic and despite the previously outlined ethical requirement to balance the rights of 1 and 2, I judged that it was unsafe for 1 to remain in the home (Kleppe et al., 2024). 2 agreed to 1 being cared for by her grandparents in the short term, however, when home conditions remained dangerous, I judged that further action was necessary to safeguard 1 and the matter was escalated, culminating in 1’s name being placed on the Child Protection Register. However, 2’s parental responsibility rights and the potential for her to remove 1, mean that risk remains high, thus supporting my planning for potential Public Law Outline proceedings. Professional accountability required accurate, analytical recording, clear rationale for decisions and adherence to the COPP (2017).</w:t>
            </w:r>
          </w:p>
          <w:p w14:paraId="27EFDD44" w14:textId="77777777" w:rsidR="007B0E60" w:rsidRPr="006E32CB" w:rsidRDefault="007B0E60" w:rsidP="007B0E60">
            <w:pPr>
              <w:spacing w:line="360" w:lineRule="auto"/>
              <w:jc w:val="both"/>
              <w:rPr>
                <w:sz w:val="22"/>
                <w:szCs w:val="22"/>
              </w:rPr>
            </w:pPr>
          </w:p>
          <w:p w14:paraId="3F9101EB" w14:textId="77777777" w:rsidR="007B0E60" w:rsidRDefault="007B0E60" w:rsidP="007B0E60">
            <w:pPr>
              <w:spacing w:line="360" w:lineRule="auto"/>
              <w:jc w:val="both"/>
              <w:rPr>
                <w:sz w:val="22"/>
                <w:szCs w:val="22"/>
              </w:rPr>
            </w:pPr>
            <w:r w:rsidRPr="006E32CB">
              <w:rPr>
                <w:sz w:val="22"/>
                <w:szCs w:val="22"/>
              </w:rPr>
              <w:t>Supervision played a key role in shaping my judgement; providing space to explore emotional responses, challenge assumptions and consider alternative explanations. Research highlights that good supervision supports reflective practice and reduces bias (Carpenter et al., 2013). These discussions helped me differentiate between disability</w:t>
            </w:r>
            <w:r w:rsidRPr="006E32CB">
              <w:rPr>
                <w:rFonts w:ascii="Cambria Math" w:hAnsi="Cambria Math" w:cs="Cambria Math"/>
                <w:sz w:val="22"/>
                <w:szCs w:val="22"/>
              </w:rPr>
              <w:t>‑</w:t>
            </w:r>
            <w:r w:rsidRPr="006E32CB">
              <w:rPr>
                <w:sz w:val="22"/>
                <w:szCs w:val="22"/>
              </w:rPr>
              <w:t>related needs and behaviours that posed risk, ensuring that professional decision making remained proportionate and justifiable, in line with the COPP (2017).</w:t>
            </w:r>
          </w:p>
          <w:p w14:paraId="2DA5C4C8" w14:textId="77777777" w:rsidR="007B0E60" w:rsidRPr="006E32CB" w:rsidRDefault="007B0E60" w:rsidP="007B0E60">
            <w:pPr>
              <w:spacing w:line="360" w:lineRule="auto"/>
              <w:jc w:val="both"/>
              <w:rPr>
                <w:sz w:val="22"/>
                <w:szCs w:val="22"/>
              </w:rPr>
            </w:pPr>
          </w:p>
          <w:p w14:paraId="39036A64" w14:textId="77777777" w:rsidR="007B0E60" w:rsidRDefault="007B0E60" w:rsidP="007B0E60">
            <w:pPr>
              <w:spacing w:line="360" w:lineRule="auto"/>
              <w:jc w:val="both"/>
              <w:rPr>
                <w:sz w:val="22"/>
                <w:szCs w:val="22"/>
              </w:rPr>
            </w:pPr>
            <w:r w:rsidRPr="006E32CB">
              <w:rPr>
                <w:sz w:val="22"/>
                <w:szCs w:val="22"/>
              </w:rPr>
              <w:t>The hardest judgement involved balancing empathy for the mother’s disability</w:t>
            </w:r>
            <w:r w:rsidRPr="006E32CB">
              <w:rPr>
                <w:rFonts w:ascii="Cambria Math" w:hAnsi="Cambria Math" w:cs="Cambria Math"/>
                <w:sz w:val="22"/>
                <w:szCs w:val="22"/>
              </w:rPr>
              <w:t>‑</w:t>
            </w:r>
            <w:r w:rsidRPr="006E32CB">
              <w:rPr>
                <w:sz w:val="22"/>
                <w:szCs w:val="22"/>
              </w:rPr>
              <w:t xml:space="preserve">related needs with the requirement to act protectively. Managing my emotional responses required reflective supervision and adherence to professional boundaries as I struggled with 2’s upset when 1 went to stay with her grandparents. I found this ethically challenging despite the clear risks, especially given 2’s limited understanding. However, </w:t>
            </w:r>
            <w:r>
              <w:rPr>
                <w:sz w:val="22"/>
                <w:szCs w:val="22"/>
              </w:rPr>
              <w:t>the experience</w:t>
            </w:r>
            <w:r w:rsidRPr="006E32CB">
              <w:rPr>
                <w:sz w:val="22"/>
                <w:szCs w:val="22"/>
              </w:rPr>
              <w:t xml:space="preserve"> strengthened my resilience by reinforcing the need for evidence</w:t>
            </w:r>
            <w:r w:rsidRPr="006E32CB">
              <w:rPr>
                <w:rFonts w:ascii="Cambria Math" w:hAnsi="Cambria Math" w:cs="Cambria Math"/>
                <w:sz w:val="22"/>
                <w:szCs w:val="22"/>
              </w:rPr>
              <w:t>‑</w:t>
            </w:r>
            <w:r w:rsidRPr="006E32CB">
              <w:rPr>
                <w:sz w:val="22"/>
                <w:szCs w:val="22"/>
              </w:rPr>
              <w:t>informed, child</w:t>
            </w:r>
            <w:r w:rsidRPr="006E32CB">
              <w:rPr>
                <w:rFonts w:ascii="Cambria Math" w:hAnsi="Cambria Math" w:cs="Cambria Math"/>
                <w:sz w:val="22"/>
                <w:szCs w:val="22"/>
              </w:rPr>
              <w:t>‑</w:t>
            </w:r>
            <w:r w:rsidRPr="006E32CB">
              <w:rPr>
                <w:sz w:val="22"/>
                <w:szCs w:val="22"/>
              </w:rPr>
              <w:t>centred decision</w:t>
            </w:r>
            <w:r w:rsidRPr="006E32CB">
              <w:rPr>
                <w:rFonts w:ascii="Cambria Math" w:hAnsi="Cambria Math" w:cs="Cambria Math"/>
                <w:sz w:val="22"/>
                <w:szCs w:val="22"/>
              </w:rPr>
              <w:t>‑</w:t>
            </w:r>
            <w:r w:rsidRPr="006E32CB">
              <w:rPr>
                <w:sz w:val="22"/>
                <w:szCs w:val="22"/>
              </w:rPr>
              <w:t xml:space="preserve">making, even when outcomes are emotionally challenging, </w:t>
            </w:r>
            <w:r w:rsidRPr="006E32CB">
              <w:rPr>
                <w:sz w:val="22"/>
                <w:szCs w:val="22"/>
              </w:rPr>
              <w:lastRenderedPageBreak/>
              <w:t>and deepened my understanding of professional identity as grounded in compassion, critical thinking and the courage to make difficult decisions.</w:t>
            </w:r>
          </w:p>
          <w:p w14:paraId="44FDBE20" w14:textId="77777777" w:rsidR="007B0E60" w:rsidRPr="006E32CB" w:rsidRDefault="007B0E60" w:rsidP="007B0E60">
            <w:pPr>
              <w:spacing w:line="360" w:lineRule="auto"/>
              <w:jc w:val="both"/>
              <w:rPr>
                <w:sz w:val="22"/>
                <w:szCs w:val="22"/>
              </w:rPr>
            </w:pPr>
          </w:p>
          <w:p w14:paraId="531545E2" w14:textId="77777777" w:rsidR="007B0E60" w:rsidRPr="00374A69" w:rsidRDefault="007B0E60" w:rsidP="007B0E60">
            <w:pPr>
              <w:spacing w:line="360" w:lineRule="auto"/>
              <w:jc w:val="both"/>
              <w:rPr>
                <w:rFonts w:cstheme="minorHAnsi"/>
                <w:sz w:val="22"/>
                <w:szCs w:val="22"/>
              </w:rPr>
            </w:pPr>
            <w:r w:rsidRPr="00374A69">
              <w:rPr>
                <w:rFonts w:cstheme="minorHAnsi"/>
                <w:sz w:val="22"/>
                <w:szCs w:val="22"/>
              </w:rPr>
              <w:t xml:space="preserve">This case strengthened my understanding of safeguarding in Wales by demonstrating how assessment, collaboration and professional judgement must be continually integrated in response to emerging risk. I developed greater confidence in analysing complex information, </w:t>
            </w:r>
            <w:r>
              <w:rPr>
                <w:rFonts w:cstheme="minorHAnsi"/>
                <w:sz w:val="22"/>
                <w:szCs w:val="22"/>
              </w:rPr>
              <w:t>making professional judgements</w:t>
            </w:r>
            <w:r w:rsidRPr="00374A69">
              <w:rPr>
                <w:rFonts w:cstheme="minorHAnsi"/>
                <w:sz w:val="22"/>
                <w:szCs w:val="22"/>
              </w:rPr>
              <w:t xml:space="preserve"> and adapting communication for neurodivergent parents. </w:t>
            </w:r>
            <w:r>
              <w:rPr>
                <w:rFonts w:cstheme="minorHAnsi"/>
                <w:sz w:val="22"/>
                <w:szCs w:val="22"/>
              </w:rPr>
              <w:t>However, i</w:t>
            </w:r>
            <w:r w:rsidRPr="001C3EDE">
              <w:rPr>
                <w:rFonts w:cstheme="minorHAnsi"/>
                <w:sz w:val="22"/>
                <w:szCs w:val="22"/>
              </w:rPr>
              <w:t>n future</w:t>
            </w:r>
            <w:r>
              <w:rPr>
                <w:rFonts w:cstheme="minorHAnsi"/>
                <w:sz w:val="22"/>
                <w:szCs w:val="22"/>
              </w:rPr>
              <w:t xml:space="preserve"> cases</w:t>
            </w:r>
            <w:r w:rsidRPr="001C3EDE">
              <w:rPr>
                <w:rFonts w:cstheme="minorHAnsi"/>
                <w:sz w:val="22"/>
                <w:szCs w:val="22"/>
              </w:rPr>
              <w:t xml:space="preserve">, I would seek earlier specialist involvement and introduce clearer contingency planning sooner to ensure </w:t>
            </w:r>
            <w:r>
              <w:rPr>
                <w:rFonts w:cstheme="minorHAnsi"/>
                <w:sz w:val="22"/>
                <w:szCs w:val="22"/>
              </w:rPr>
              <w:t xml:space="preserve">that </w:t>
            </w:r>
            <w:r w:rsidRPr="001C3EDE">
              <w:rPr>
                <w:rFonts w:cstheme="minorHAnsi"/>
                <w:sz w:val="22"/>
                <w:szCs w:val="22"/>
              </w:rPr>
              <w:t>risks are addressed at the earliest opportunity.</w:t>
            </w:r>
            <w:r>
              <w:rPr>
                <w:rFonts w:cstheme="minorHAnsi"/>
                <w:sz w:val="22"/>
                <w:szCs w:val="22"/>
              </w:rPr>
              <w:t xml:space="preserve"> </w:t>
            </w:r>
            <w:r w:rsidRPr="00374A69">
              <w:rPr>
                <w:rFonts w:cstheme="minorHAnsi"/>
                <w:sz w:val="22"/>
                <w:szCs w:val="22"/>
              </w:rPr>
              <w:t>The experience reinforced the importance of reflective supervision and the need to seek specialist support earlier</w:t>
            </w:r>
            <w:r>
              <w:rPr>
                <w:rFonts w:cstheme="minorHAnsi"/>
                <w:sz w:val="22"/>
                <w:szCs w:val="22"/>
              </w:rPr>
              <w:t>, but m</w:t>
            </w:r>
            <w:r w:rsidRPr="00374A69">
              <w:rPr>
                <w:rFonts w:cstheme="minorHAnsi"/>
                <w:sz w:val="22"/>
                <w:szCs w:val="22"/>
              </w:rPr>
              <w:t>ost importantly, it reaffirmed my statutory and ethical duty to prioritise the child’s safety and well</w:t>
            </w:r>
            <w:r w:rsidRPr="00374A69">
              <w:rPr>
                <w:rFonts w:ascii="Cambria Math" w:hAnsi="Cambria Math" w:cs="Cambria Math"/>
                <w:sz w:val="22"/>
                <w:szCs w:val="22"/>
              </w:rPr>
              <w:t>‑</w:t>
            </w:r>
            <w:r w:rsidRPr="00374A69">
              <w:rPr>
                <w:rFonts w:cstheme="minorHAnsi"/>
                <w:sz w:val="22"/>
                <w:szCs w:val="22"/>
              </w:rPr>
              <w:t>being, ensuring that decisions remain proportionate, evidence</w:t>
            </w:r>
            <w:r w:rsidRPr="00374A69">
              <w:rPr>
                <w:rFonts w:ascii="Cambria Math" w:hAnsi="Cambria Math" w:cs="Cambria Math"/>
                <w:sz w:val="22"/>
                <w:szCs w:val="22"/>
              </w:rPr>
              <w:t>‑</w:t>
            </w:r>
            <w:r w:rsidRPr="00374A69">
              <w:rPr>
                <w:rFonts w:cstheme="minorHAnsi"/>
                <w:sz w:val="22"/>
                <w:szCs w:val="22"/>
              </w:rPr>
              <w:t>informed and grounded in Welsh safeguarding legislation and practice.</w:t>
            </w:r>
          </w:p>
          <w:p w14:paraId="0F6272E1" w14:textId="77777777" w:rsidR="0063767D" w:rsidRPr="0063767D" w:rsidRDefault="0063767D" w:rsidP="0063767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0E7BBCC9" w14:textId="5514C83D" w:rsidR="00D3203C" w:rsidRPr="00262907" w:rsidRDefault="0063767D" w:rsidP="00262907">
            <w:pPr>
              <w:overflowPunct/>
              <w:autoSpaceDE/>
              <w:autoSpaceDN/>
              <w:adjustRightInd/>
              <w:spacing w:after="160" w:line="360" w:lineRule="auto"/>
              <w:textAlignment w:val="auto"/>
              <w:rPr>
                <w:rFonts w:eastAsia="Calibri"/>
                <w:color w:val="auto"/>
                <w:kern w:val="2"/>
                <w:sz w:val="24"/>
                <w:szCs w:val="24"/>
                <w:lang w:eastAsia="en-US"/>
                <w14:ligatures w14:val="standardContextual"/>
              </w:rPr>
            </w:pPr>
            <w:r w:rsidRPr="0063767D">
              <w:rPr>
                <w:rFonts w:eastAsia="Calibri"/>
                <w:b/>
                <w:bCs/>
                <w:color w:val="auto"/>
                <w:kern w:val="2"/>
                <w:sz w:val="24"/>
                <w:szCs w:val="24"/>
                <w:lang w:eastAsia="en-US"/>
                <w14:ligatures w14:val="standardContextual"/>
              </w:rPr>
              <w:t>Word count:</w:t>
            </w:r>
            <w:r w:rsidRPr="0063767D">
              <w:rPr>
                <w:rFonts w:eastAsia="Calibri"/>
                <w:color w:val="auto"/>
                <w:kern w:val="2"/>
                <w:sz w:val="24"/>
                <w:szCs w:val="24"/>
                <w:lang w:eastAsia="en-US"/>
                <w14:ligatures w14:val="standardContextual"/>
              </w:rPr>
              <w:t xml:space="preserve"> 4</w:t>
            </w:r>
            <w:r w:rsidR="007F13F9">
              <w:rPr>
                <w:rFonts w:eastAsia="Calibri"/>
                <w:color w:val="auto"/>
                <w:kern w:val="2"/>
                <w:sz w:val="24"/>
                <w:szCs w:val="24"/>
                <w:lang w:eastAsia="en-US"/>
                <w14:ligatures w14:val="standardContextual"/>
              </w:rPr>
              <w:t>400</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7D03C" w14:textId="77777777" w:rsidR="000C3EA8" w:rsidRDefault="000C3EA8">
      <w:r>
        <w:separator/>
      </w:r>
    </w:p>
  </w:endnote>
  <w:endnote w:type="continuationSeparator" w:id="0">
    <w:p w14:paraId="061A230D" w14:textId="77777777" w:rsidR="000C3EA8" w:rsidRDefault="000C3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DE0D8" w14:textId="77777777" w:rsidR="000C3EA8" w:rsidRDefault="000C3EA8">
      <w:r>
        <w:separator/>
      </w:r>
    </w:p>
  </w:footnote>
  <w:footnote w:type="continuationSeparator" w:id="0">
    <w:p w14:paraId="0A700EEF" w14:textId="77777777" w:rsidR="000C3EA8" w:rsidRDefault="000C3E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25A"/>
    <w:rsid w:val="000A469A"/>
    <w:rsid w:val="000A584A"/>
    <w:rsid w:val="000A6458"/>
    <w:rsid w:val="000C378F"/>
    <w:rsid w:val="000C3EA8"/>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6F0D"/>
    <w:rsid w:val="00112391"/>
    <w:rsid w:val="00114F52"/>
    <w:rsid w:val="00130119"/>
    <w:rsid w:val="00132812"/>
    <w:rsid w:val="0013417F"/>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E43F7"/>
    <w:rsid w:val="001F137A"/>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F57"/>
    <w:rsid w:val="0024100E"/>
    <w:rsid w:val="00241C1B"/>
    <w:rsid w:val="0024288B"/>
    <w:rsid w:val="00243DB0"/>
    <w:rsid w:val="00247265"/>
    <w:rsid w:val="00260663"/>
    <w:rsid w:val="00262907"/>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806"/>
    <w:rsid w:val="002E7F2C"/>
    <w:rsid w:val="002F1FC7"/>
    <w:rsid w:val="002F2185"/>
    <w:rsid w:val="002F4F6E"/>
    <w:rsid w:val="003015C3"/>
    <w:rsid w:val="003106DB"/>
    <w:rsid w:val="0031350A"/>
    <w:rsid w:val="00316815"/>
    <w:rsid w:val="003168CA"/>
    <w:rsid w:val="00321255"/>
    <w:rsid w:val="0032230D"/>
    <w:rsid w:val="00322A0B"/>
    <w:rsid w:val="00324701"/>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3BFC"/>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091"/>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756"/>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01F9"/>
    <w:rsid w:val="00581E0A"/>
    <w:rsid w:val="00586D89"/>
    <w:rsid w:val="005877C8"/>
    <w:rsid w:val="00587923"/>
    <w:rsid w:val="00594F9F"/>
    <w:rsid w:val="00597797"/>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62D0"/>
    <w:rsid w:val="006326D1"/>
    <w:rsid w:val="00632E0A"/>
    <w:rsid w:val="00633165"/>
    <w:rsid w:val="0063767D"/>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3A4"/>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2A5"/>
    <w:rsid w:val="00756548"/>
    <w:rsid w:val="0075673A"/>
    <w:rsid w:val="0075704F"/>
    <w:rsid w:val="00763B2D"/>
    <w:rsid w:val="00764C84"/>
    <w:rsid w:val="00765F15"/>
    <w:rsid w:val="007710AD"/>
    <w:rsid w:val="00772924"/>
    <w:rsid w:val="0078112D"/>
    <w:rsid w:val="007872F2"/>
    <w:rsid w:val="007873F9"/>
    <w:rsid w:val="007908E0"/>
    <w:rsid w:val="00793EB3"/>
    <w:rsid w:val="00794205"/>
    <w:rsid w:val="0079422A"/>
    <w:rsid w:val="007A1F6A"/>
    <w:rsid w:val="007A628F"/>
    <w:rsid w:val="007B0DE3"/>
    <w:rsid w:val="007B0E60"/>
    <w:rsid w:val="007B1BFD"/>
    <w:rsid w:val="007B6037"/>
    <w:rsid w:val="007B7191"/>
    <w:rsid w:val="007C1D94"/>
    <w:rsid w:val="007C556F"/>
    <w:rsid w:val="007C5ABE"/>
    <w:rsid w:val="007C6A87"/>
    <w:rsid w:val="007D0A07"/>
    <w:rsid w:val="007D0F11"/>
    <w:rsid w:val="007D133D"/>
    <w:rsid w:val="007D3EB4"/>
    <w:rsid w:val="007D3F16"/>
    <w:rsid w:val="007F10BD"/>
    <w:rsid w:val="007F13F9"/>
    <w:rsid w:val="007F312E"/>
    <w:rsid w:val="007F3F7E"/>
    <w:rsid w:val="007F4BA4"/>
    <w:rsid w:val="00813CEC"/>
    <w:rsid w:val="0081534C"/>
    <w:rsid w:val="00816CE7"/>
    <w:rsid w:val="008171E4"/>
    <w:rsid w:val="008208EA"/>
    <w:rsid w:val="00820FD8"/>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083"/>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5EE"/>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29B"/>
    <w:rsid w:val="009C337F"/>
    <w:rsid w:val="009C53E7"/>
    <w:rsid w:val="009C6092"/>
    <w:rsid w:val="009C7342"/>
    <w:rsid w:val="009D4365"/>
    <w:rsid w:val="009D477B"/>
    <w:rsid w:val="009D4E3B"/>
    <w:rsid w:val="009D59C2"/>
    <w:rsid w:val="009D7BC9"/>
    <w:rsid w:val="009E122F"/>
    <w:rsid w:val="009E1982"/>
    <w:rsid w:val="009E4D2C"/>
    <w:rsid w:val="009F003C"/>
    <w:rsid w:val="009F0978"/>
    <w:rsid w:val="009F3AEC"/>
    <w:rsid w:val="009F6801"/>
    <w:rsid w:val="00A00081"/>
    <w:rsid w:val="00A04AAC"/>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5415"/>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77A92"/>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6A22"/>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60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7494"/>
    <w:rsid w:val="00DF2469"/>
    <w:rsid w:val="00DF7899"/>
    <w:rsid w:val="00E0524C"/>
    <w:rsid w:val="00E15751"/>
    <w:rsid w:val="00E17160"/>
    <w:rsid w:val="00E17D41"/>
    <w:rsid w:val="00E231D1"/>
    <w:rsid w:val="00E3288D"/>
    <w:rsid w:val="00E35112"/>
    <w:rsid w:val="00E35BEC"/>
    <w:rsid w:val="00E375F9"/>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BE8"/>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63D"/>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13</Pages>
  <Words>4828</Words>
  <Characters>27521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Beverley Williams</cp:lastModifiedBy>
  <cp:revision>30</cp:revision>
  <cp:lastPrinted>2020-02-11T19:20:00Z</cp:lastPrinted>
  <dcterms:created xsi:type="dcterms:W3CDTF">2022-09-29T11:34:00Z</dcterms:created>
  <dcterms:modified xsi:type="dcterms:W3CDTF">2026-02-03T22:07:00Z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