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1. Introduction</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As the final work of martial arts master Jin Yong, "The Deer and the Cauldron" began to be published in Hong Kong's "Ming Newspaper" on October 24, 1969, and was serialized for a total of 2 years and 11 months, in which the protagonist in this novel is different from the protagonists of Jin Yong's previous works. Wei Xiaobao, the protagonist, is a greedy, lustful, unscrupulous, and lazy anti-hero who does not have superb martial arts but is full of tricks. John Minford, as the English translator to this novel, has translated many Chinese masterpieces such as "A Dream of Red Mansions" (the last forty chapters) and "The Art of War" into English. However, compared with the little attention received by most English translations of these translation arts, "The Deer and the Cauldron" has received a good response from both Chinese and Western readers as soon as the translation version was released. Jin Yong, the author of this novel, also displayed satisfaction with this translation.</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In this article, I will select "The Deer and the Cauldron" to comment on its translation. I will firstly discuss the reasons of selecting this translation from three perspectives, namely form and content, cultural capital and poetics. Then I will analyze the strategies applied by translator, John Minford, and how he affects the final text. Also, I will illustrate some problems as well as the strengthens in the translation. In the final section, I will briefly point out my own interests to this translation work.</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2. Form and Content of The Translation.</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Wuxia, also being referred as Chinese martial arts, is a traditional genre in Chinese novel. One of the common feature in Chinese martial art is the protagonist who adheres to a certain standard of his own values, which we always call them ‘Xia’ (</w:t>
      </w:r>
      <w:r>
        <w:rPr>
          <w:rFonts w:ascii="宋体" w:hAnsi="宋体" w:cs="Times New Roman Regular"/>
          <w:sz w:val="24"/>
          <w:szCs w:val="24"/>
        </w:rPr>
        <w:t>侠</w:t>
      </w:r>
      <w:r>
        <w:rPr>
          <w:rFonts w:ascii="Times New Roman Regular" w:hAnsi="Times New Roman Regular" w:cs="Times New Roman Regular"/>
          <w:sz w:val="24"/>
          <w:szCs w:val="24"/>
        </w:rPr>
        <w:t xml:space="preserve">), which is also depicted as hero in Chinese cultural contexts. In the world of martial arts, people in the martial arts world have common values based on traditional Chinese culture and ethics. For example, we must eliminate violence in society and promote good and positive behavior, and we must be loyal. Many readers, according to Yu-guang(2010), after reading the Chinese martial novels, have experienced a deja` vu-like reminder, to some western heroic literature, and the content of heroic Chinese martial arts is similar to the genre of Western chivalric stories and heroic fantasies (Xu, 2006), which as Honegger, (2010) said, is two sub-categories of heroic literature originating from medieval background in western nations. Firstly, when it comes to the plot development, the character, usually as hero in Chinese martial arts and chivalry in Western literature, has driven the plots further, and both feature complicated and dynamic figures who have developed and changed over the course of the storyline. For example, In the wuxia novel "The Deer and the Cauldron”, the protagonist Wei Xiaobao undergoes many important personal growth as he learns to deal with many forces and encountering strange dangers many times with the political and social forces around him. In Western literature, a similar instance could be illustrated by the novel "To Kill a Mockingbird" by Harper Lee, where the protagonist Scout learns valuable lessons about empathy, justice, and understanding as story goes by. Secondly, both Chinese martial novels and Western literature often present social and political issues at that time, including class inequality, power abuse, and identity struggling. In “The Deer and the Cauldron”, Wei Xiaobao struggles with questions of identity and loyalty in a world with complicated political intrigue and violence. Likewise, the Western story "The Catcher in the Rye" by J.D. Salinger (1991) presents the themes of alienation, identity, and adolescence in a complex and changing society. Also, the application of description language in “The Deer and the Cauldron” and other English chivalry stories are always featured with detailed and rich descriptions in a bid to evoke readers’ feeling to deep relate with the characters. Narration could also be summarized with one similar feature------ various narrative structures such as flashbacks, multiple points of views, non-linear narration in a bid to build a complex, multi-layered, and captivating stories (Yu-guang, 2010). Specifically, the selected Chinese martial art "The Deer and the Cauldron" has applying massive non-linear arrangement, which we could also discover in "Dracula" by Bram Stoker.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However, there are also many differences. For example, "The Deer and the Cauldron" apply the first-person narrative style, with the main character Wei Xiaobao telling his own story, which is a common narrative style in Chinese martial arts, but this is less common in western chivalry stories (Ma, 2016). Besides, in "The Deer and the Cauldron" has largely emphasized on the complicated relationships with each other, from complicated family relationships and dynamics, complex alliances, whereas western literature mainly pay attention to the personal character’s development and focus less on the family impact and other social relationships. Supernatural and spiritual content is another important difference. "The Deer and the Cauldron" involves many supernatural contents including qigong, exorcisms, and divination, just like other Chinese martial arts novel(Ma, 2016). Though other English novels have similar elements include magic, Chinese wuxia novels have less standing around and just casting spells and moves around often. For example, in this novel, we have seen the appearance of ‘pills’ instead of ‘potions’.</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3. Cultural Capital of The Novel</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 Deer and the Cauldron" conveys important cultural meaning since it depicts the essence of Chinese culture during the Ming dynasty and reflects the current values and beliefs of Ming dynasty. In this section, I will illustrate the cultural significance of this novel for Chinese martial arts. Firstly, "The Deer and the Cauldron" is set based on Ming dynasty, which is an important period of time in Chinese history for its rapid development of cultural and artistic achievement (Yu, 1998), including the building of the Forbidden City in Beijing. This novel starts with one of the most influential Emperor Kangxi, from which we can see Jin Yong’s attitude towards the integration of Manchu and Han cultures. The author himself said that in the early novels he wrote, the orthodoxy of the Han Dynasty was very strong whereas in the later period, the concept of treating all ethnic groups equally in the Chinese nation became more popular (Kan, 2021). This is because his view of history has made some progress and is especially obvious in "The Deer and the Cauldron". Besides, this novel reflects the values and beliefs of Chinese society during the Ming dynasty, including the significance of loyalty, honor, and justice, which has been emphasized throughout the whole storyline. These values are recognized as an essential to maintaining social harmony and stability during Ming dynasty, as Shen (2020) pointed out.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There is other cultural significance in this novel, just as other Chinese martial art works. Like other novels, "The Deer and the Cauldron" explores martial arts philosophy, the long history in Chinese culture. Martial arts, including are considered a form of physical and mental discipline that fosters self-discipline, focus, and inner strength (Li, 2015). The most obvious in this novel is the idea of harmonious</w:t>
      </w:r>
      <w:r>
        <w:rPr>
          <w:rFonts w:hint="eastAsia" w:ascii="Times New Roman Regular" w:hAnsi="Times New Roman Regular" w:cs="Times New Roman Regular"/>
          <w:sz w:val="24"/>
          <w:szCs w:val="24"/>
        </w:rPr>
        <w:t xml:space="preserve"> </w:t>
      </w:r>
      <w:r>
        <w:rPr>
          <w:rFonts w:ascii="Times New Roman Regular" w:hAnsi="Times New Roman Regular" w:cs="Times New Roman Regular"/>
          <w:sz w:val="24"/>
          <w:szCs w:val="24"/>
        </w:rPr>
        <w:t xml:space="preserve">coexistence of all ethnic groups and the unity of the country and the nation, which is the concept in closely relationship with the teachings of Confucianism and Taoism.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Language is another important cultural reflection in "The Deer and the Cauldron". Language, according to Zhen and Qing (2020), is the product with reflection of cultural authenticity. As a result, we can see, Chinese martial arts, as the specific product of Chinese culture, has applied many cultural loaded expressions, classical Chinese language, and one of them is idioms in "The Deer and the Cauldron", which can be difficult for non-native people to translate, and may also difficult for non-native speakers to understand. The application of idioms, literary references, and cultural practices which are unique to Chinese culture, especially in martial arts (Olivia, 2001) which is one of the defining features in Chinese literature. According to Zeng (2001), idioms has been defined as set phrases or sentences, whose structure is often established and cannot be easily changed, including set phrase</w:t>
      </w:r>
      <w:r>
        <w:rPr>
          <w:rFonts w:ascii="宋体" w:hAnsi="宋体" w:cs="Times New Roman Regular"/>
          <w:sz w:val="24"/>
          <w:szCs w:val="24"/>
        </w:rPr>
        <w:t>，</w:t>
      </w:r>
      <w:r>
        <w:rPr>
          <w:rFonts w:ascii="Times New Roman Regular" w:hAnsi="Times New Roman Regular" w:cs="Times New Roman Regular"/>
          <w:sz w:val="24"/>
          <w:szCs w:val="24"/>
        </w:rPr>
        <w:t>proverb</w:t>
      </w:r>
      <w:r>
        <w:rPr>
          <w:rFonts w:ascii="宋体" w:hAnsi="宋体" w:cs="Times New Roman Regular"/>
          <w:sz w:val="24"/>
          <w:szCs w:val="24"/>
        </w:rPr>
        <w:t>，</w:t>
      </w:r>
      <w:r>
        <w:rPr>
          <w:rFonts w:ascii="Times New Roman Regular" w:hAnsi="Times New Roman Regular" w:cs="Times New Roman Regular"/>
          <w:sz w:val="24"/>
          <w:szCs w:val="24"/>
        </w:rPr>
        <w:t>maxim</w:t>
      </w:r>
      <w:r>
        <w:rPr>
          <w:rFonts w:ascii="宋体" w:hAnsi="宋体" w:cs="Times New Roman Regular"/>
          <w:sz w:val="24"/>
          <w:szCs w:val="24"/>
        </w:rPr>
        <w:t>，</w:t>
      </w:r>
      <w:r>
        <w:rPr>
          <w:rFonts w:ascii="Times New Roman Regular" w:hAnsi="Times New Roman Regular" w:cs="Times New Roman Regular"/>
          <w:sz w:val="24"/>
          <w:szCs w:val="24"/>
        </w:rPr>
        <w:t>Chinese common saying</w:t>
      </w:r>
      <w:r>
        <w:rPr>
          <w:rFonts w:ascii="宋体" w:hAnsi="宋体" w:cs="Times New Roman Regular"/>
          <w:sz w:val="24"/>
          <w:szCs w:val="24"/>
        </w:rPr>
        <w:t>，</w:t>
      </w:r>
      <w:r>
        <w:rPr>
          <w:rFonts w:ascii="Times New Roman Regular" w:hAnsi="Times New Roman Regular" w:cs="Times New Roman Regular"/>
          <w:sz w:val="24"/>
          <w:szCs w:val="24"/>
        </w:rPr>
        <w:t xml:space="preserve">and a two-part allegorical saying, as a language form carrying rich cultural meanings, further sublimate language and are the essence of language. In the process of translating Chinese martial arts into English, idioms serve as an important role, containing extremely rich and profound cultural meanings (Earnshaw, 2004).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4. Poetic Perspective of The Novel.</w:t>
      </w:r>
    </w:p>
    <w:p>
      <w:pPr>
        <w:kinsoku w:val="0"/>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Jin Yong's previous novels all depicted the world of martial arts such as ''The Legend of the Condor Heroes'', ''The Heaven Sword and Dragon Saber'', which all depict a fictious and fake world. Jin Yong, according to himself, said he finally recognized problem and would like to create something different, writing a ''real'' world (Hamm,2005). Wei Xiaobao, the protagonist in "The Deer and the Cauldron" is more 'real' than Qiao Feng, Guo Jing, Yang Guo and others character in his martial novels (Hamm,2005). From my own perspective, many of the people we meet in reality have the shadow of Wei Xiaobao, who is not a ambitious, integrity, diligent in martial arts, totally different than other </w:t>
      </w:r>
      <w:r>
        <w:rPr>
          <w:rFonts w:hint="eastAsia" w:ascii="Times New Roman Regular" w:hAnsi="Times New Roman Regular" w:cs="Times New Roman Regular"/>
          <w:sz w:val="24"/>
          <w:szCs w:val="24"/>
          <w:lang w:eastAsia="zh-CN"/>
        </w:rPr>
        <w:t>heroes</w:t>
      </w:r>
      <w:r>
        <w:rPr>
          <w:rFonts w:ascii="Times New Roman Regular" w:hAnsi="Times New Roman Regular" w:cs="Times New Roman Regular"/>
          <w:sz w:val="24"/>
          <w:szCs w:val="24"/>
        </w:rPr>
        <w:t xml:space="preserve"> in traditional martial arts. As a matter of fact, "The Deer and the Cauldron is a creation of the martial arts in more real world, just as Shen (2010), Kan(2021) have commented on this novel.  Though "The Deer and the Cauldron" still has the shadow of martial arts, it could only be recognized as the work with half of martial literature, and half in the real world. In summary, it's a creative martial art, compared to those previous traditional martial arts.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Besides, in Jin Yong's previous novels, he displayed a narrow nationalist tendency (Tang,2019), to some extent, but in the end, Jin Yong's thoughts also changed. He pointed out that he would create Wei Xiaobao, this character to abandon narrow nationalism (Hong,2019), no matter what nationality the ruler belongs to. In this novel, Kangxi wanted to bombard Chen Jinnan, and later wanted Wei Xiaobao to eliminate the Tiandihui, and the Tiandihui wanted Wei Xiaobao to assassinate Kangxi, Huang Zongxi and others to persuade Wei Xiaobao to become emperor, etc., These contradictions are all vividly imply the changes in Jin Yong's thoughts.</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In summary, Jin Yong combined his idea regarding creative martial arts and nationalism and thus produced this relatively less-martial arts novel "The Deer and the Cauldron". This novel, as inspected by many Chinese scholars, including (Kan, 2021), is the work reflecting his hope to break out of the world of martial arts.</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5. Translation Strategy Applied by Minford.</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According to Arrowsmith, (1975), Jerome model proposes that translation should be equal, not matter for the meaning but also for the quality of style, proposing “sense for sense” rather than “word for word”, which is known as dynamic equivalence. Nida (1993), also pointed out that rather than focusing on format comparison between the source language and target language, has mainly focused on the equivalence between target audiences’ receptions towards translation and original audience’s receptions towards the original texts. We should understand that there is no total equivalence, but only equivalence to some degree. What translators seek is the maximum equivalence for the target reader.</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This translation strategy is applied by Minford in "The Deer and the Cauldron", which is the work full of culture-loaded expression, including idioms, allusions, idioms, etc. For Western readers who are not familiar with Chinese history, it is almost impossible to fully understand these culturally loaded words with rich connotations (Liu, 1997). Minford hopes to reproduce the original appearance of Jin </w:t>
      </w:r>
      <w:r>
        <w:rPr>
          <w:rFonts w:hint="eastAsia" w:ascii="Times New Roman Regular" w:hAnsi="Times New Roman Regular" w:cs="Times New Roman Regular"/>
          <w:sz w:val="24"/>
          <w:szCs w:val="24"/>
        </w:rPr>
        <w:t>Yong</w:t>
      </w:r>
      <w:r>
        <w:rPr>
          <w:rFonts w:ascii="Times New Roman Regular" w:hAnsi="Times New Roman Regular" w:cs="Times New Roman Regular"/>
          <w:sz w:val="24"/>
          <w:szCs w:val="24"/>
        </w:rPr>
        <w:t xml:space="preserve">'s novel, and be faithful to the original text as well as conveys the Chinese cultural. This purpose, in turn, dominated Professor Minford's choice of translation strategies. He has applied several translation methods in this strategy to realize the dynamic equivalence. In the following section, I will illustrate on the methods regarding the application of functional equivalence theory applied by Minford in English translation of “The Deer and the Cauldron".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5.1 Literal Translation</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Literal translation, as one of the important translation methods, requires the translation to be faithful to the source text as well as keep the same form as the source text (Li, 2021). Minford applied several kinds of literal translation including direct translation.</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 Source Text</w:t>
      </w:r>
      <w:r>
        <w:rPr>
          <w:rFonts w:ascii="宋体" w:hAnsi="宋体" w:cs="Times New Roman Regular"/>
          <w:sz w:val="24"/>
          <w:szCs w:val="24"/>
        </w:rPr>
        <w:t>：那好极了，武当派的武功一遇上咱们少林派，那便是落花流水，夹着尾巴就逃</w:t>
      </w:r>
      <w:r>
        <w:rPr>
          <w:rFonts w:ascii="Times New Roman Regular" w:hAnsi="Times New Roman Regular" w:cs="Times New Roman Regular"/>
          <w:sz w:val="24"/>
          <w:szCs w:val="24"/>
        </w:rPr>
        <w:t>(Jin, p. 443)</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Shaolin Versus Wudang: it’s got to be a walk-over! They will run away from us with their tails between their legs (Minford, p. 592)!</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 expression of "running away with one's tail between legs" is rhetorical and also very literary, which is difficult to find a matching expression in English-speaking countries. But even so, Minford still adopted the translation strategy of literal translation. Because tail between legs is generally used to describe a dog's natural reaction when encountering danger, here he uses it literal translation to describe the Wu-Tang’s fleeing appearance. Audience from English-speaking countries can also easily understand this. In this way, it not only keeps the original form of this idiom, but also vividly convey the original images and figurative meaning. In the meantime, it is acceptable to the English readers, who will not lead to any misunderstanding.</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 xml:space="preserve">5.2 Free Translation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Due to the cultural differences between China and the English-speaking countries, there is often no matching metaphorical intention in English-speaking countries. At this time, the metaphorical intention needs to be replaced in order to conform to the reading and understanding habits of the target language readers as much as possible. And under this circumstance, free translation is applied. Free translation is effective in the following situations: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i)When the restrictions regarding the structures of source language occurs;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ii)When it is impossible to translate idioms by pertaining the original images due to the potential misunderstanding or incomprehension among the readers (Chun, 2014).</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 Source Text</w:t>
      </w:r>
      <w:r>
        <w:rPr>
          <w:rFonts w:ascii="宋体" w:hAnsi="宋体" w:cs="Times New Roman Regular"/>
          <w:sz w:val="24"/>
          <w:szCs w:val="24"/>
        </w:rPr>
        <w:t>：昨日和金超，已逮去了三十几人，都是我们浙江有名的读书人，个个都是无辜珠连</w:t>
      </w:r>
      <w:r>
        <w:rPr>
          <w:rFonts w:ascii="Times New Roman Regular" w:hAnsi="Times New Roman Regular" w:cs="Times New Roman Regular"/>
          <w:sz w:val="24"/>
          <w:szCs w:val="24"/>
        </w:rPr>
        <w:t>(Ji</w:t>
      </w:r>
      <w:r>
        <w:rPr>
          <w:rFonts w:hint="eastAsia" w:ascii="Times New Roman Regular" w:hAnsi="Times New Roman Regular" w:cs="Times New Roman Regular"/>
          <w:sz w:val="24"/>
          <w:szCs w:val="24"/>
          <w:lang w:val="en-US" w:eastAsia="zh-CN"/>
        </w:rPr>
        <w:t>n</w:t>
      </w:r>
      <w:r>
        <w:rPr>
          <w:rFonts w:ascii="宋体" w:hAnsi="宋体" w:cs="Times New Roman Regular"/>
          <w:sz w:val="24"/>
          <w:szCs w:val="24"/>
        </w:rPr>
        <w:t>，</w:t>
      </w:r>
      <w:r>
        <w:rPr>
          <w:rFonts w:ascii="Times New Roman Regular" w:hAnsi="Times New Roman Regular" w:cs="Times New Roman Regular"/>
          <w:sz w:val="24"/>
          <w:szCs w:val="24"/>
        </w:rPr>
        <w:t>P</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2)</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During these last two days they must have made more than thirty arrests. All out best scholars. And all of them innocents, caught up in the net (Minford, p. 31).</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In Chinese, people use the word "</w:t>
      </w:r>
      <w:r>
        <w:rPr>
          <w:rFonts w:ascii="宋体" w:hAnsi="宋体" w:cs="Times New Roman Regular"/>
          <w:sz w:val="24"/>
          <w:szCs w:val="24"/>
        </w:rPr>
        <w:t>株连</w:t>
      </w:r>
      <w:r>
        <w:rPr>
          <w:rFonts w:ascii="Times New Roman Regular" w:hAnsi="Times New Roman Regular" w:cs="Times New Roman Regular"/>
          <w:sz w:val="24"/>
          <w:szCs w:val="24"/>
        </w:rPr>
        <w:t>" to express ‘being involved‘’ and the behind image used here is that the roots of plants are connected. But English readers don’t translat</w:t>
      </w:r>
      <w:r>
        <w:rPr>
          <w:rFonts w:hint="eastAsia" w:ascii="Times New Roman Regular" w:hAnsi="Times New Roman Regular" w:cs="Times New Roman Regular"/>
          <w:sz w:val="24"/>
          <w:szCs w:val="24"/>
        </w:rPr>
        <w:t>e</w:t>
      </w:r>
      <w:r>
        <w:rPr>
          <w:rFonts w:ascii="Times New Roman Regular" w:hAnsi="Times New Roman Regular" w:cs="Times New Roman Regular"/>
          <w:sz w:val="24"/>
          <w:szCs w:val="24"/>
        </w:rPr>
        <w:t xml:space="preserve"> idioms in this way, the picture, flavor and sound-effect of the original might be different, but the sense can be successfully communicated.</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b/>
          <w:bCs/>
          <w:sz w:val="24"/>
          <w:szCs w:val="24"/>
        </w:rPr>
        <w:t>5.3 Other Feasible Translation Methods to Increase Readers’ Accessibility.</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Sometimes, if the images of the Chinese idioms cannot be retained or transferred in the translation, we usually leave out the images. In this case, the best method for a translator is to choose omission.</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Original</w:t>
      </w:r>
      <w:r>
        <w:rPr>
          <w:rFonts w:ascii="Times New Roman Regular" w:hAnsi="Times New Roman Regular" w:cs="Times New Roman Regular"/>
          <w:sz w:val="24"/>
          <w:szCs w:val="24"/>
        </w:rPr>
        <w:t xml:space="preserve"> Source Text</w:t>
      </w:r>
      <w:r>
        <w:rPr>
          <w:rFonts w:ascii="宋体" w:hAnsi="宋体" w:cs="Times New Roman Regular"/>
          <w:sz w:val="24"/>
          <w:szCs w:val="24"/>
        </w:rPr>
        <w:t>：韦小宝吓得魂不附体，险些掉下马来，双手牢牢抓住马尾，两只脚挟住了马鞍，身子伏在马背之上，但觉耳旁生风，身子不住倒退</w:t>
      </w:r>
      <w:r>
        <w:rPr>
          <w:rFonts w:ascii="Times New Roman Regular" w:hAnsi="Times New Roman Regular" w:cs="Times New Roman Regular"/>
          <w:sz w:val="24"/>
          <w:szCs w:val="24"/>
        </w:rPr>
        <w:t>(Jin</w:t>
      </w:r>
      <w:r>
        <w:rPr>
          <w:rFonts w:ascii="宋体" w:hAnsi="宋体" w:cs="Times New Roman Regular"/>
          <w:sz w:val="24"/>
          <w:szCs w:val="24"/>
        </w:rPr>
        <w:t>，</w:t>
      </w:r>
      <w:r>
        <w:rPr>
          <w:rFonts w:ascii="Times New Roman Regular" w:hAnsi="Times New Roman Regular" w:cs="Times New Roman Regular"/>
          <w:sz w:val="24"/>
          <w:szCs w:val="24"/>
        </w:rPr>
        <w:t>p. 71)</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Off it cantered, with the terrifies Trinket clinging desperately to its tail, clamping his legs frantically on to the saddle and lying as low as possible along the horses back (Minford, p</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91).</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The metaphor of soul possession has strong Chinese characteristics and is related to the soul's out-of-body experience as well as the feudal superstition of the Chinese people. But in English-speaking countries, words that represent fear are usually associated with hell. Therefore, Minford does not apply direct translation. Instead, the word "terrified" is used to explain the meaning, which more suits to the culture of English readers.</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summary, when Minford translated this novel, he centered the dynamic function. As we can see, in many cases, he did not faithfully translate the original intention of the metaphor. These metaphors only exist for Chinese culture. With the aim to reduce the readers' burden, he adopts different translation strategies to minimize the sense of confusion of English-speaking audience.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5.4 Cultural Context of Source Text</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When it comes to the translation in relation to cultural context, Minford applied some techniques including rewriting (sometimes even the meaning of the text is obviously rewritten), and reversing the narrative perspective, etc. For example, Ku</w:t>
      </w:r>
      <w:r>
        <w:rPr>
          <w:rFonts w:hint="eastAsia" w:ascii="Times New Roman Regular" w:hAnsi="Times New Roman Regular" w:cs="Times New Roman Regular"/>
          <w:sz w:val="24"/>
          <w:szCs w:val="24"/>
        </w:rPr>
        <w:t xml:space="preserve">ng </w:t>
      </w:r>
      <w:r>
        <w:rPr>
          <w:rFonts w:ascii="Times New Roman Regular" w:hAnsi="Times New Roman Regular" w:cs="Times New Roman Regular"/>
          <w:sz w:val="24"/>
          <w:szCs w:val="24"/>
        </w:rPr>
        <w:t xml:space="preserve">fu, in Chinese, is popular in Ming </w:t>
      </w:r>
      <w:r>
        <w:rPr>
          <w:rFonts w:hint="eastAsia" w:ascii="Times New Roman Regular" w:hAnsi="Times New Roman Regular" w:cs="Times New Roman Regular"/>
          <w:sz w:val="24"/>
          <w:szCs w:val="24"/>
        </w:rPr>
        <w:t>Dynasty</w:t>
      </w:r>
      <w:r>
        <w:rPr>
          <w:rFonts w:ascii="Times New Roman Regular" w:hAnsi="Times New Roman Regular" w:cs="Times New Roman Regular"/>
          <w:sz w:val="24"/>
          <w:szCs w:val="24"/>
        </w:rPr>
        <w:t xml:space="preserve">, especially under the emperor of Kangxi, has been largely promoted in that period.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Original Source Text</w:t>
      </w:r>
      <w:r>
        <w:rPr>
          <w:rFonts w:ascii="宋体" w:hAnsi="宋体" w:cs="Times New Roman Regular"/>
          <w:sz w:val="24"/>
          <w:szCs w:val="24"/>
        </w:rPr>
        <w:t>： 虽然西洋火器厉害，但以他武功，也自不懼，只是正當圖謀大事之際，要倚仗罗刹国大力支撑，不能因一時之愤而得罪了总督，当下慢慢退到门边，並不反抗。（</w:t>
      </w:r>
      <w:r>
        <w:rPr>
          <w:rFonts w:ascii="Times New Roman Regular" w:hAnsi="Times New Roman Regular" w:cs="Times New Roman Regular"/>
          <w:sz w:val="24"/>
          <w:szCs w:val="24"/>
        </w:rPr>
        <w:t xml:space="preserve">Jin, p. 1492 </w:t>
      </w:r>
      <w:r>
        <w:rPr>
          <w:rFonts w:ascii="宋体" w:hAnsi="宋体"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The Leader knew that, against a firearm, all his great strength and skill were of no avail and retreated to the door. (Minford, p. 171)</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Besides, in almost every martial arts novel, when Chinese people are attacked by foreigners, they can use kung fu to repel their enemy. This is also the case in other martial arts films. In the Chinese cultural background, people are probably very proud of Chinese kung fu, which is an important national quintessence of China. However, in the translation, this national quintessence is defeated by foreign firearms, which we can see that the source text has been obviously rewritten.</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Additionally, under the cultural context in this novel, the society in the source text displays the negative attitudes towards foreign countries, and convey the bad images of, such as Russian and Hollanders to promote Chinese image, displaying strong image of nationality. For example,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hint="eastAsia" w:ascii="Times New Roman Regular" w:hAnsi="Times New Roman Regular" w:cs="Times New Roman Regular"/>
          <w:sz w:val="24"/>
          <w:szCs w:val="24"/>
        </w:rPr>
        <w:t>Original</w:t>
      </w:r>
      <w:r>
        <w:rPr>
          <w:rFonts w:ascii="Times New Roman Regular" w:hAnsi="Times New Roman Regular" w:cs="Times New Roman Regular"/>
          <w:sz w:val="24"/>
          <w:szCs w:val="24"/>
        </w:rPr>
        <w:t xml:space="preserve"> Source Text</w:t>
      </w:r>
      <w:r>
        <w:rPr>
          <w:rFonts w:ascii="宋体" w:hAnsi="宋体" w:cs="Times New Roman Regular"/>
          <w:sz w:val="24"/>
          <w:szCs w:val="24"/>
        </w:rPr>
        <w:t>：罗刹国气候最寒冷，人人好酒。小宝虽然不喜欢，军中所备却是极品高粱，一端出來便满帐皆香。剩下四名兵一闻到酒香，早已垂涎欲滴，待见那兵喝得眉花眼笑，更是心痒难搔，都纷纷说道：「投降，投降！要喝酒。」（</w:t>
      </w:r>
      <w:r>
        <w:rPr>
          <w:rFonts w:ascii="Times New Roman Regular" w:hAnsi="Times New Roman Regular" w:cs="Times New Roman Regular"/>
          <w:sz w:val="24"/>
          <w:szCs w:val="24"/>
        </w:rPr>
        <w:t>Jin, p. 1962</w:t>
      </w:r>
      <w:r>
        <w:rPr>
          <w:rFonts w:ascii="宋体" w:hAnsi="宋体"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However, in the translation, the meaning is different from the original text. In the original text, only one Russian soldier surrendered at first and then was rewarded with wine and meat. Seeing him drinking wine, his fellow soldiers could not resist the temptation, so they surrendered one after another. But in the translation, the officers surrendered one after another, and then were rewarded with meat and wine. The image of the Russian army addicting to drunk and easily being tempted was reversed.</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Translation</w:t>
      </w:r>
      <w:r>
        <w:rPr>
          <w:rFonts w:ascii="宋体" w:hAnsi="宋体" w:cs="Times New Roman Regular"/>
          <w:sz w:val="24"/>
          <w:szCs w:val="24"/>
        </w:rPr>
        <w:t>：</w:t>
      </w:r>
      <w:r>
        <w:rPr>
          <w:rFonts w:ascii="Times New Roman Regular" w:hAnsi="Times New Roman Regular" w:cs="Times New Roman Regular"/>
          <w:sz w:val="24"/>
          <w:szCs w:val="24"/>
        </w:rPr>
        <w:t>The guards had to lift the man and carry him out. Soon there were seven heads on the table facing the five ashen-faced survivors, who were all visibly shaking with fear. ‘What about you lot?” said Trinket. ‘Mercy!’ said one of them ‘I’ll do whatever you want.’ ‘And so will I.” ‘And so will I,’ said the others. ‘Good!’ said Trinket. ‘Now, give these men something to eat,’ he said to the guards. ‘And drink. And treat them well. Look after them. We’re going to need them.’</w:t>
      </w:r>
      <w:r>
        <w:rPr>
          <w:rFonts w:ascii="宋体" w:hAnsi="宋体" w:cs="Times New Roman Regular"/>
          <w:sz w:val="24"/>
          <w:szCs w:val="24"/>
        </w:rPr>
        <w:t>（</w:t>
      </w:r>
      <w:r>
        <w:rPr>
          <w:rFonts w:ascii="Times New Roman Regular" w:hAnsi="Times New Roman Regular" w:cs="Times New Roman Regular"/>
          <w:sz w:val="24"/>
          <w:szCs w:val="24"/>
        </w:rPr>
        <w:t xml:space="preserve">Minford, p. 462 </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6. Strengthen</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Professor Minford made great efforts to preserve the original writing style of the work, and as a result, English-spoken audience can greatly feel the elegant and popular writing style of the novel, which is exactly what Jin Yong's original martial art reveals. For example, when it comes to translation of name in "The Deer and the Cauldron", Minford avoids using Chinese pinyin to translation a person’s name, which has implied many cultural connotations hidden in one’s name. In order to better preserve the connection between the one’s name and Chinese culture as well as the unfamiliarity of English-speaking audience to Chinese pinyin, Minford </w:t>
      </w:r>
      <w:r>
        <w:rPr>
          <w:rFonts w:hint="eastAsia" w:ascii="Times New Roman Regular" w:hAnsi="Times New Roman Regular" w:cs="Times New Roman Regular"/>
          <w:sz w:val="24"/>
          <w:szCs w:val="24"/>
        </w:rPr>
        <w:t>does</w:t>
      </w:r>
      <w:r>
        <w:rPr>
          <w:rFonts w:ascii="Times New Roman Regular" w:hAnsi="Times New Roman Regular" w:cs="Times New Roman Regular"/>
          <w:sz w:val="24"/>
          <w:szCs w:val="24"/>
        </w:rPr>
        <w:t xml:space="preserve"> not choose to direct translate one’s name. For example, Wei Xiaobao, the protagonist, whose name in Chinese means "small ornaments, cheap jewelry" , is translated into "Trinket". In this way, the cultural meaning of the name "Xiaobao" in the original work was well preserved. A corresponding title has also been found in the English language system. For another example, after entering the palace, Wei Xiaobao changed his name to Xiao Guizi, meaning the laurel tree in </w:t>
      </w:r>
      <w:r>
        <w:rPr>
          <w:rFonts w:hint="eastAsia" w:ascii="Times New Roman Regular" w:hAnsi="Times New Roman Regular" w:cs="Times New Roman Regular"/>
          <w:sz w:val="24"/>
          <w:szCs w:val="24"/>
        </w:rPr>
        <w:t>Chinese</w:t>
      </w:r>
      <w:r>
        <w:rPr>
          <w:rFonts w:ascii="Times New Roman Regular" w:hAnsi="Times New Roman Regular" w:cs="Times New Roman Regular"/>
          <w:sz w:val="24"/>
          <w:szCs w:val="24"/>
        </w:rPr>
        <w:t>, which Professor Minford translated as "laurel" to help audience better remember the name.</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b/>
          <w:bCs/>
          <w:sz w:val="24"/>
          <w:szCs w:val="24"/>
        </w:rPr>
      </w:pPr>
      <w:r>
        <w:rPr>
          <w:rFonts w:ascii="Times New Roman Regular" w:hAnsi="Times New Roman Regular" w:cs="Times New Roman Regular"/>
          <w:b/>
          <w:bCs/>
          <w:sz w:val="24"/>
          <w:szCs w:val="24"/>
        </w:rPr>
        <w:t>7. The Problems in Translation</w:t>
      </w:r>
    </w:p>
    <w:p>
      <w:pPr>
        <w:autoSpaceDE w:val="0"/>
        <w:spacing w:line="480" w:lineRule="auto"/>
        <w:ind w:firstLine="480" w:firstLineChars="200"/>
        <w:jc w:val="left"/>
        <w:rPr>
          <w:rFonts w:hint="eastAsia" w:ascii="Times New Roman Regular" w:hAnsi="Times New Roman Regular" w:cs="Times New Roman Regular"/>
          <w:sz w:val="24"/>
          <w:szCs w:val="24"/>
        </w:rPr>
      </w:pPr>
      <w:r>
        <w:rPr>
          <w:rFonts w:ascii="Times New Roman Regular" w:hAnsi="Times New Roman Regular" w:cs="Times New Roman Regular"/>
          <w:sz w:val="24"/>
          <w:szCs w:val="24"/>
        </w:rPr>
        <w:t>However, the translation of Wei Xiaobao's personality in Professor Minford's translation does not fully reach the level of the original work. Wei Xiaobao, as a matter of fact, is not the traditional image of hero, like those in martial arts novels. Although Wei Xiaobao has many Chinese characteristics,</w:t>
      </w:r>
      <w:r>
        <w:rPr>
          <w:rFonts w:hint="eastAsia" w:ascii="Times New Roman Regular" w:hAnsi="Times New Roman Regular" w:cs="Times New Roman Regular"/>
          <w:sz w:val="24"/>
          <w:szCs w:val="24"/>
        </w:rPr>
        <w:t xml:space="preserve"> </w:t>
      </w:r>
      <w:r>
        <w:rPr>
          <w:rFonts w:ascii="Times New Roman Regular" w:hAnsi="Times New Roman Regular" w:cs="Times New Roman Regular"/>
          <w:sz w:val="24"/>
          <w:szCs w:val="24"/>
        </w:rPr>
        <w:t xml:space="preserve">he is not a typical hero in Chinese culture. However, one of the important of Xiaobao being loved by so many Chinese readers is the dramatic conflicts within this character (Tang, 2019), which has been developed due to his legendary experience in this life. Grown up in Goulan </w:t>
      </w:r>
      <w:r>
        <w:rPr>
          <w:rFonts w:hint="eastAsia" w:ascii="Times New Roman Regular" w:hAnsi="Times New Roman Regular" w:cs="Times New Roman Regular"/>
          <w:sz w:val="24"/>
          <w:szCs w:val="24"/>
        </w:rPr>
        <w:t>Courtyard</w:t>
      </w:r>
      <w:r>
        <w:rPr>
          <w:rFonts w:ascii="Times New Roman Regular" w:hAnsi="Times New Roman Regular" w:cs="Times New Roman Regular"/>
          <w:sz w:val="24"/>
          <w:szCs w:val="24"/>
        </w:rPr>
        <w:t>, he did not have any prominent background or unparalleled martial arts. However, he always used his cleverness to avoid dangers and escaped disasters from the dilemma. In the novel, Xiaobao is often in a weak position and falls into a very helpless situation, which arouses readers' pity for Xiaobao. However, he always gets money or women. In addition, the very generous and optimistic side of Xiaobao's character also enriches this image. When Jin Yong wrote this novel, he knew how to hold the readers' psychological expectations and lure them into his martial arts world to accept this little man.</w:t>
      </w:r>
    </w:p>
    <w:p>
      <w:pPr>
        <w:autoSpaceDE w:val="0"/>
        <w:spacing w:line="480" w:lineRule="auto"/>
        <w:ind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However, Minford fails to fully develop Xiaobao’s personality conflict. He did not comprehensively translate the narrative technique in the original work. Therefore, English readers may not be able to feel Xiaobao's dramatic character like Chinese readers. Comparing the original text and the translated text, we can find that in the original text the author used emotional words to describe Xiaobao's daily life and reveal his humble figures, such as "get in and get out (</w:t>
      </w:r>
      <w:r>
        <w:rPr>
          <w:rFonts w:ascii="宋体" w:hAnsi="宋体" w:cs="Times New Roman Regular"/>
          <w:sz w:val="24"/>
          <w:szCs w:val="24"/>
        </w:rPr>
        <w:t>鬼鬼祟祟</w:t>
      </w:r>
      <w:r>
        <w:rPr>
          <w:rFonts w:ascii="Times New Roman Regular" w:hAnsi="Times New Roman Regular" w:cs="Times New Roman Regular"/>
          <w:sz w:val="24"/>
          <w:szCs w:val="24"/>
        </w:rPr>
        <w:t>)", "wipe some oil and water(</w:t>
      </w:r>
      <w:r>
        <w:rPr>
          <w:rFonts w:ascii="宋体" w:hAnsi="宋体" w:cs="Times New Roman Regular"/>
          <w:sz w:val="24"/>
          <w:szCs w:val="24"/>
        </w:rPr>
        <w:t>揩点油水</w:t>
      </w:r>
      <w:r>
        <w:rPr>
          <w:rFonts w:ascii="Times New Roman Regular" w:hAnsi="Times New Roman Regular" w:cs="Times New Roman Regular"/>
          <w:sz w:val="24"/>
          <w:szCs w:val="24"/>
        </w:rPr>
        <w:t>) and " Ask for some reward money (</w:t>
      </w:r>
      <w:r>
        <w:rPr>
          <w:rFonts w:ascii="宋体" w:hAnsi="宋体" w:cs="Times New Roman Regular"/>
          <w:sz w:val="24"/>
          <w:szCs w:val="24"/>
        </w:rPr>
        <w:t>讨几个赏钱</w:t>
      </w:r>
      <w:r>
        <w:rPr>
          <w:rFonts w:ascii="Times New Roman Regular" w:hAnsi="Times New Roman Regular" w:cs="Times New Roman Regular"/>
          <w:sz w:val="24"/>
          <w:szCs w:val="24"/>
        </w:rPr>
        <w:t>)." However, in the translation, Professor Minford's narrative tone is very plain and objective, and Xiaobao is even directly described as a little boy who worships heroes, which may make English readers feel very abrupt.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hint="eastAsia" w:ascii="Times New Roman Regular" w:hAnsi="Times New Roman Regular" w:cs="Times New Roman Regular"/>
          <w:sz w:val="24"/>
          <w:szCs w:val="24"/>
        </w:rPr>
      </w:pPr>
      <w:r>
        <w:rPr>
          <w:rFonts w:ascii="Times New Roman Regular" w:hAnsi="Times New Roman Regular" w:cs="Times New Roman Regular"/>
          <w:sz w:val="24"/>
          <w:szCs w:val="24"/>
        </w:rPr>
        <w:t>Professor Minford has been translating and proofreading "The Deer and the Cauldron" for ten years, but there are still many mistranslations in it. Let’s take a look at a few examples from the micro level of language. Looking at Professor Minford’s mistranslation, the first is the mistranslation caused by polyphonic characters in Chinese.</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w:t>
      </w:r>
      <w:r>
        <w:rPr>
          <w:rFonts w:ascii="宋体" w:hAnsi="宋体" w:cs="Times New Roman Regular"/>
          <w:sz w:val="24"/>
          <w:szCs w:val="24"/>
        </w:rPr>
        <w:t>苏克萨哈的田地财产，是没入了内库的。不过</w:t>
      </w:r>
      <w:r>
        <w:rPr>
          <w:rFonts w:ascii="Times New Roman Regular" w:hAnsi="Times New Roman Regular" w:cs="Times New Roman Regular"/>
          <w:sz w:val="24"/>
          <w:szCs w:val="24"/>
        </w:rPr>
        <w:t>……</w:t>
      </w:r>
      <w:r>
        <w:rPr>
          <w:rFonts w:ascii="宋体" w:hAnsi="宋体" w:cs="Times New Roman Regular"/>
          <w:sz w:val="24"/>
          <w:szCs w:val="24"/>
        </w:rPr>
        <w:t>金银珠宝等物，都饱入了鳌拜私囊。</w:t>
      </w:r>
      <w:r>
        <w:rPr>
          <w:rFonts w:ascii="Times New Roman Regular" w:hAnsi="Times New Roman Regular" w:cs="Times New Roman Regular"/>
          <w:sz w:val="24"/>
          <w:szCs w:val="24"/>
        </w:rPr>
        <w:t>”</w:t>
      </w:r>
      <w:r>
        <w:rPr>
          <w:rFonts w:ascii="宋体" w:hAnsi="宋体" w:cs="Times New Roman Regular"/>
          <w:sz w:val="24"/>
          <w:szCs w:val="24"/>
        </w:rPr>
        <w:t>（</w:t>
      </w:r>
      <w:r>
        <w:rPr>
          <w:rFonts w:ascii="Times New Roman Regular" w:hAnsi="Times New Roman Regular" w:cs="Times New Roman Regular"/>
          <w:sz w:val="24"/>
          <w:szCs w:val="24"/>
        </w:rPr>
        <w:t>Jin, p.197</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“Neither Suksaha’s land nor his property was impounded.”</w:t>
      </w:r>
      <w:r>
        <w:rPr>
          <w:rFonts w:hint="eastAsia" w:ascii="宋体" w:hAnsi="宋体" w:cs="Times New Roman Regular"/>
          <w:sz w:val="24"/>
          <w:szCs w:val="24"/>
        </w:rPr>
        <w:t xml:space="preserve"> （</w:t>
      </w:r>
      <w:r>
        <w:rPr>
          <w:rFonts w:ascii="Times New Roman Regular" w:hAnsi="Times New Roman Regular" w:cs="Times New Roman Regular"/>
          <w:sz w:val="24"/>
          <w:szCs w:val="24"/>
        </w:rPr>
        <w:t>Minford</w:t>
      </w:r>
      <w:r>
        <w:rPr>
          <w:rFonts w:ascii="宋体" w:hAnsi="宋体" w:cs="Times New Roman Regular"/>
          <w:sz w:val="24"/>
          <w:szCs w:val="24"/>
        </w:rPr>
        <w:t>，</w:t>
      </w:r>
      <w:r>
        <w:rPr>
          <w:rFonts w:ascii="Times New Roman Regular" w:hAnsi="Times New Roman Regular" w:cs="Times New Roman Regular"/>
          <w:sz w:val="24"/>
          <w:szCs w:val="24"/>
        </w:rPr>
        <w:t>p. 213</w:t>
      </w:r>
      <w:r>
        <w:rPr>
          <w:rFonts w:ascii="宋体" w:hAnsi="宋体" w:cs="Times New Roman Regular"/>
          <w:sz w:val="24"/>
          <w:szCs w:val="24"/>
        </w:rPr>
        <w:t>）</w:t>
      </w:r>
    </w:p>
    <w:p>
      <w:pPr>
        <w:autoSpaceDE w:val="0"/>
        <w:spacing w:line="480" w:lineRule="auto"/>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autoSpaceDE w:val="0"/>
        <w:spacing w:line="480" w:lineRule="auto"/>
        <w:ind w:firstLine="480" w:firstLineChars="200"/>
        <w:jc w:val="left"/>
        <w:rPr>
          <w:rFonts w:ascii="Times New Roman Regular" w:hAnsi="Times New Roman Regular" w:cs="Times New Roman Regular"/>
          <w:b/>
          <w:bCs/>
          <w:sz w:val="24"/>
          <w:szCs w:val="24"/>
        </w:rPr>
      </w:pPr>
      <w:r>
        <w:rPr>
          <w:rFonts w:ascii="Times New Roman Regular" w:hAnsi="Times New Roman Regular" w:cs="Times New Roman Regular"/>
          <w:sz w:val="24"/>
          <w:szCs w:val="24"/>
        </w:rPr>
        <w:t>Professor Minford translated it as "neither the land property nor the gold, silver and jewelry were put into the treasury." There are two reasons for this mistranslation. The most critical one is probably that Professor Minford pronounced the word "</w:t>
      </w:r>
      <w:r>
        <w:rPr>
          <w:rFonts w:ascii="宋体" w:hAnsi="宋体" w:cs="Times New Roman Regular"/>
          <w:sz w:val="24"/>
          <w:szCs w:val="24"/>
        </w:rPr>
        <w:t>没</w:t>
      </w:r>
      <w:r>
        <w:rPr>
          <w:rFonts w:ascii="Times New Roman Regular" w:hAnsi="Times New Roman Regular" w:cs="Times New Roman Regular"/>
          <w:sz w:val="24"/>
          <w:szCs w:val="24"/>
        </w:rPr>
        <w:t>" as "mei", which implies the meaning of ‘nothing’ and forgot its other pronunciation, and in this case, it should be pronounced as "mo" which conveys the meaning of penetrating or entering quickly.</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p>
    <w:p>
      <w:pPr>
        <w:jc w:val="left"/>
        <w:rPr>
          <w:b/>
          <w:bCs/>
        </w:rPr>
      </w:pPr>
    </w:p>
    <w:p>
      <w:pPr>
        <w:jc w:val="left"/>
        <w:rPr>
          <w:rFonts w:hint="eastAsia"/>
          <w:b/>
          <w:bCs/>
        </w:rPr>
      </w:pPr>
    </w:p>
    <w:p>
      <w:pPr>
        <w:pStyle w:val="5"/>
        <w:autoSpaceDE w:val="0"/>
        <w:spacing w:line="480" w:lineRule="auto"/>
        <w:ind w:left="-315" w:leftChars="-150" w:firstLine="482"/>
        <w:jc w:val="center"/>
        <w:rPr>
          <w:rFonts w:hint="eastAsia"/>
          <w:b/>
          <w:bCs/>
          <w:sz w:val="24"/>
          <w:szCs w:val="24"/>
        </w:rPr>
      </w:pPr>
    </w:p>
    <w:p>
      <w:pPr>
        <w:pStyle w:val="5"/>
        <w:autoSpaceDE w:val="0"/>
        <w:spacing w:line="480" w:lineRule="auto"/>
        <w:ind w:left="-315" w:leftChars="-150" w:firstLine="482"/>
        <w:jc w:val="center"/>
        <w:rPr>
          <w:rFonts w:hint="eastAsia"/>
          <w:b/>
          <w:bCs/>
          <w:sz w:val="24"/>
          <w:szCs w:val="24"/>
        </w:rPr>
      </w:pPr>
    </w:p>
    <w:p>
      <w:pPr>
        <w:pStyle w:val="5"/>
        <w:autoSpaceDE w:val="0"/>
        <w:spacing w:line="480" w:lineRule="auto"/>
        <w:ind w:left="-315" w:leftChars="-150" w:firstLine="482"/>
        <w:jc w:val="center"/>
        <w:rPr>
          <w:rFonts w:hint="eastAsia"/>
          <w:b/>
          <w:bCs/>
          <w:sz w:val="24"/>
          <w:szCs w:val="24"/>
        </w:rPr>
      </w:pPr>
    </w:p>
    <w:p>
      <w:pPr>
        <w:pStyle w:val="5"/>
        <w:autoSpaceDE w:val="0"/>
        <w:spacing w:line="480" w:lineRule="auto"/>
        <w:ind w:left="-315" w:leftChars="-150" w:firstLine="482"/>
        <w:jc w:val="center"/>
        <w:rPr>
          <w:b/>
          <w:bCs/>
          <w:sz w:val="24"/>
          <w:szCs w:val="24"/>
        </w:rPr>
      </w:pPr>
      <w:bookmarkStart w:id="0" w:name="_GoBack"/>
      <w:bookmarkEnd w:id="0"/>
      <w:r>
        <w:rPr>
          <w:rFonts w:hint="eastAsia"/>
          <w:b/>
          <w:bCs/>
          <w:sz w:val="24"/>
          <w:szCs w:val="24"/>
        </w:rPr>
        <w:t>References</w:t>
      </w:r>
    </w:p>
    <w:p>
      <w:pPr>
        <w:pStyle w:val="5"/>
        <w:numPr>
          <w:ilvl w:val="0"/>
          <w:numId w:val="1"/>
        </w:numPr>
        <w:autoSpaceDE w:val="0"/>
        <w:spacing w:line="480" w:lineRule="auto"/>
        <w:ind w:left="360" w:hanging="360" w:hangingChars="150"/>
        <w:rPr>
          <w:sz w:val="24"/>
          <w:szCs w:val="24"/>
        </w:rPr>
      </w:pPr>
      <w:r>
        <w:rPr>
          <w:sz w:val="24"/>
          <w:szCs w:val="24"/>
        </w:rPr>
        <w:t xml:space="preserve">Minford, J. (1997) </w:t>
      </w:r>
      <w:r>
        <w:rPr>
          <w:i/>
          <w:iCs/>
          <w:sz w:val="24"/>
          <w:szCs w:val="24"/>
        </w:rPr>
        <w:t>The Deer and the Cauldron.</w:t>
      </w:r>
      <w:r>
        <w:rPr>
          <w:sz w:val="24"/>
          <w:szCs w:val="24"/>
        </w:rPr>
        <w:t xml:space="preserve"> Oxford: Oxford University Press.</w:t>
      </w:r>
    </w:p>
    <w:p>
      <w:pPr>
        <w:pStyle w:val="5"/>
        <w:autoSpaceDE w:val="0"/>
        <w:spacing w:line="480" w:lineRule="auto"/>
        <w:ind w:left="-315" w:leftChars="-150" w:firstLine="480"/>
        <w:rPr>
          <w:sz w:val="24"/>
          <w:szCs w:val="24"/>
        </w:rPr>
      </w:pPr>
      <w:r>
        <w:rPr>
          <w:sz w:val="24"/>
          <w:szCs w:val="24"/>
        </w:rPr>
        <w:t xml:space="preserve"> </w:t>
      </w:r>
    </w:p>
    <w:p>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2. Jin, Y. (2013).</w:t>
      </w:r>
      <w:r>
        <w:rPr>
          <w:rFonts w:hint="eastAsia" w:ascii="宋体" w:hAnsi="宋体"/>
          <w:sz w:val="24"/>
          <w:szCs w:val="24"/>
          <w:shd w:val="clear" w:color="auto" w:fill="FFFFFF"/>
        </w:rPr>
        <w:t xml:space="preserve"> 《鹿鼎记》</w:t>
      </w:r>
      <w:r>
        <w:rPr>
          <w:rFonts w:ascii="Helvetica Neue" w:hAnsi="Helvetica Neue"/>
          <w:sz w:val="24"/>
          <w:szCs w:val="24"/>
          <w:shd w:val="clear" w:color="auto" w:fill="FFFFFF"/>
        </w:rPr>
        <w:t>. Guangzhou: Guangzhou Press.</w:t>
      </w:r>
    </w:p>
    <w:p>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pPr>
        <w:pStyle w:val="5"/>
        <w:autoSpaceDE w:val="0"/>
        <w:spacing w:line="480" w:lineRule="auto"/>
        <w:ind w:left="360" w:hanging="360" w:hangingChars="150"/>
        <w:rPr>
          <w:rFonts w:ascii="Helvetica Neue" w:hAnsi="Helvetica Neue"/>
          <w:sz w:val="24"/>
          <w:szCs w:val="24"/>
          <w:shd w:val="clear" w:color="auto" w:fill="FFFFFF"/>
        </w:rPr>
      </w:pPr>
      <w:r>
        <w:rPr>
          <w:sz w:val="24"/>
          <w:szCs w:val="24"/>
        </w:rPr>
        <w:t xml:space="preserve">3. Xu J. (2006) ‘Chinese Chivalry and Western Knight Spirit’, </w:t>
      </w:r>
      <w:r>
        <w:rPr>
          <w:i/>
          <w:iCs/>
          <w:sz w:val="24"/>
          <w:szCs w:val="24"/>
        </w:rPr>
        <w:t xml:space="preserve">Journal of Huangshan University, </w:t>
      </w:r>
      <w:r>
        <w:rPr>
          <w:sz w:val="24"/>
          <w:szCs w:val="24"/>
        </w:rPr>
        <w:t>8(2), pp. 65-68.</w:t>
      </w:r>
    </w:p>
    <w:p>
      <w:pPr>
        <w:autoSpaceDE w:val="0"/>
        <w:spacing w:line="480" w:lineRule="auto"/>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pPr>
        <w:pStyle w:val="5"/>
        <w:autoSpaceDE w:val="0"/>
        <w:spacing w:line="480" w:lineRule="auto"/>
        <w:ind w:left="360" w:hanging="360" w:hangingChars="150"/>
        <w:rPr>
          <w:rFonts w:ascii="Helvetica Neue" w:hAnsi="Helvetica Neue"/>
          <w:sz w:val="24"/>
          <w:szCs w:val="24"/>
          <w:shd w:val="clear" w:color="auto" w:fill="FFFFFF"/>
        </w:rPr>
      </w:pPr>
      <w:r>
        <w:rPr>
          <w:sz w:val="24"/>
          <w:szCs w:val="24"/>
        </w:rPr>
        <w:t xml:space="preserve">4. Yu-guang, W. (2010). ‘On the English Version of The Deer and the Cauldron from the Perspective of Semantic Translation and Communicative Translation’. </w:t>
      </w:r>
      <w:r>
        <w:rPr>
          <w:i/>
          <w:iCs/>
          <w:sz w:val="24"/>
          <w:szCs w:val="24"/>
        </w:rPr>
        <w:t>Journal of Huaihua University</w:t>
      </w:r>
      <w:r>
        <w:rPr>
          <w:sz w:val="24"/>
          <w:szCs w:val="24"/>
        </w:rPr>
        <w:t>. 6(3), pp. 77-96.</w:t>
      </w:r>
    </w:p>
    <w:p>
      <w:pPr>
        <w:pStyle w:val="5"/>
        <w:autoSpaceDE w:val="0"/>
        <w:spacing w:line="480" w:lineRule="auto"/>
        <w:ind w:firstLine="480"/>
        <w:rPr>
          <w:rFonts w:ascii="Helvetica Neue" w:hAnsi="Helvetica Neue"/>
          <w:sz w:val="24"/>
          <w:szCs w:val="24"/>
          <w:shd w:val="clear" w:color="auto" w:fill="FFFFFF"/>
        </w:rPr>
      </w:pPr>
      <w:r>
        <w:rPr>
          <w:rFonts w:ascii="Helvetica Neue" w:hAnsi="Helvetica Neue"/>
          <w:sz w:val="24"/>
          <w:szCs w:val="24"/>
          <w:shd w:val="clear" w:color="auto" w:fill="FFFFFF"/>
        </w:rPr>
        <w:t xml:space="preserve"> </w:t>
      </w:r>
    </w:p>
    <w:p>
      <w:pPr>
        <w:pStyle w:val="5"/>
        <w:autoSpaceDE w:val="0"/>
        <w:spacing w:line="480" w:lineRule="auto"/>
        <w:ind w:left="240" w:hanging="240" w:hangingChars="100"/>
        <w:rPr>
          <w:sz w:val="24"/>
          <w:szCs w:val="24"/>
        </w:rPr>
      </w:pPr>
      <w:r>
        <w:rPr>
          <w:sz w:val="24"/>
          <w:szCs w:val="24"/>
        </w:rPr>
        <w:t xml:space="preserve">5. Salinger, J. (1991). </w:t>
      </w:r>
      <w:r>
        <w:rPr>
          <w:i/>
          <w:iCs/>
          <w:sz w:val="24"/>
          <w:szCs w:val="24"/>
        </w:rPr>
        <w:t>The Catcher in the Rye. New York</w:t>
      </w:r>
      <w:r>
        <w:rPr>
          <w:sz w:val="24"/>
          <w:szCs w:val="24"/>
        </w:rPr>
        <w:t>, NY: Little, Brown and Company.</w:t>
      </w:r>
    </w:p>
    <w:p>
      <w:pPr>
        <w:pStyle w:val="5"/>
        <w:autoSpaceDE w:val="0"/>
        <w:spacing w:line="480" w:lineRule="auto"/>
        <w:ind w:firstLine="480"/>
        <w:rPr>
          <w:rFonts w:ascii="Helvetica Neue" w:hAnsi="Helvetica Neue"/>
          <w:sz w:val="24"/>
          <w:szCs w:val="24"/>
          <w:shd w:val="clear" w:color="auto" w:fill="FFFFFF"/>
        </w:rPr>
      </w:pPr>
      <w:r>
        <w:rPr>
          <w:rFonts w:hint="eastAsia" w:ascii="Helvetica Neue" w:hAnsi="Helvetica Neue"/>
          <w:sz w:val="24"/>
          <w:szCs w:val="24"/>
          <w:shd w:val="clear" w:color="auto" w:fill="FFFFFF"/>
        </w:rPr>
        <w:t xml:space="preserve"> </w:t>
      </w:r>
    </w:p>
    <w:p>
      <w:pPr>
        <w:pStyle w:val="5"/>
        <w:numPr>
          <w:ilvl w:val="0"/>
          <w:numId w:val="2"/>
        </w:numPr>
        <w:autoSpaceDE w:val="0"/>
        <w:spacing w:line="480" w:lineRule="auto"/>
        <w:ind w:left="360" w:hanging="360" w:hangingChars="150"/>
        <w:rPr>
          <w:rFonts w:ascii="Helvetica Neue" w:hAnsi="Helvetica Neue"/>
          <w:sz w:val="24"/>
          <w:szCs w:val="24"/>
          <w:shd w:val="clear" w:color="auto" w:fill="FFFFFF"/>
        </w:rPr>
      </w:pPr>
      <w:r>
        <w:rPr>
          <w:sz w:val="24"/>
          <w:szCs w:val="24"/>
        </w:rPr>
        <w:t>Ma, H</w:t>
      </w:r>
      <w:r>
        <w:rPr>
          <w:rFonts w:hint="eastAsia"/>
          <w:sz w:val="24"/>
          <w:szCs w:val="24"/>
        </w:rPr>
        <w:t>.</w:t>
      </w:r>
      <w:r>
        <w:rPr>
          <w:sz w:val="24"/>
          <w:szCs w:val="24"/>
        </w:rPr>
        <w:t xml:space="preserve"> (2016) ‘Survival through Laughter: A Fun Kungfu: The Story of the Deer and the Cauldron. In: Ruru, L, (ed.) Staging China: New Theatres in the Twenty-First Century’, </w:t>
      </w:r>
      <w:r>
        <w:rPr>
          <w:i/>
          <w:iCs/>
          <w:sz w:val="24"/>
          <w:szCs w:val="24"/>
        </w:rPr>
        <w:t>Chinese Literature and Culture in the World:</w:t>
      </w:r>
      <w:r>
        <w:rPr>
          <w:sz w:val="24"/>
          <w:szCs w:val="24"/>
        </w:rPr>
        <w:t xml:space="preserve"> Hampshire, UK, pp. 141-158. </w:t>
      </w:r>
    </w:p>
    <w:p>
      <w:pPr>
        <w:autoSpaceDE w:val="0"/>
        <w:spacing w:line="480" w:lineRule="auto"/>
        <w:rPr>
          <w:sz w:val="24"/>
          <w:szCs w:val="24"/>
        </w:rPr>
      </w:pPr>
      <w:r>
        <w:rPr>
          <w:sz w:val="24"/>
          <w:szCs w:val="24"/>
        </w:rPr>
        <w:t xml:space="preserve"> </w:t>
      </w:r>
    </w:p>
    <w:p>
      <w:pPr>
        <w:pStyle w:val="5"/>
        <w:autoSpaceDE w:val="0"/>
        <w:spacing w:line="480" w:lineRule="auto"/>
        <w:ind w:left="240" w:hanging="240" w:hangingChars="100"/>
        <w:rPr>
          <w:sz w:val="24"/>
          <w:szCs w:val="24"/>
        </w:rPr>
      </w:pPr>
      <w:r>
        <w:rPr>
          <w:sz w:val="24"/>
          <w:szCs w:val="24"/>
        </w:rPr>
        <w:t xml:space="preserve">7. Yu Y. (2018) </w:t>
      </w:r>
      <w:r>
        <w:rPr>
          <w:i/>
          <w:iCs/>
          <w:sz w:val="24"/>
          <w:szCs w:val="24"/>
        </w:rPr>
        <w:t xml:space="preserve">‘Xia and Chinese Culture, Liu Shaoming, Chen Yongming eds’. </w:t>
      </w:r>
      <w:r>
        <w:rPr>
          <w:sz w:val="24"/>
          <w:szCs w:val="24"/>
        </w:rPr>
        <w:t>Papers on Martial Arts Fictions. [A]. Hong Kong: Mingheshe.</w:t>
      </w:r>
    </w:p>
    <w:p>
      <w:pPr>
        <w:autoSpaceDE w:val="0"/>
        <w:spacing w:line="480" w:lineRule="auto"/>
        <w:rPr>
          <w:sz w:val="24"/>
          <w:szCs w:val="24"/>
        </w:rPr>
      </w:pPr>
      <w:r>
        <w:rPr>
          <w:rFonts w:hint="eastAsia"/>
          <w:sz w:val="24"/>
          <w:szCs w:val="24"/>
        </w:rPr>
        <w:t xml:space="preserve"> </w:t>
      </w:r>
    </w:p>
    <w:p>
      <w:pPr>
        <w:pStyle w:val="5"/>
        <w:autoSpaceDE w:val="0"/>
        <w:spacing w:line="480" w:lineRule="auto"/>
        <w:ind w:left="240" w:hanging="240" w:hangingChars="100"/>
        <w:rPr>
          <w:sz w:val="24"/>
          <w:szCs w:val="24"/>
        </w:rPr>
      </w:pPr>
      <w:r>
        <w:rPr>
          <w:sz w:val="24"/>
          <w:szCs w:val="24"/>
        </w:rPr>
        <w:t>8. Cong-ming, W. (2011) ‘Translation limitation of foul language in The Deer and the Cauldron’.</w:t>
      </w:r>
    </w:p>
    <w:p>
      <w:pPr>
        <w:autoSpaceDE w:val="0"/>
        <w:spacing w:line="480" w:lineRule="auto"/>
        <w:rPr>
          <w:rFonts w:ascii="Courier New" w:hAnsi="Courier New" w:cs="Courier New"/>
          <w:sz w:val="24"/>
          <w:szCs w:val="24"/>
          <w:shd w:val="clear" w:color="auto" w:fill="EFF2F4"/>
        </w:rPr>
      </w:pPr>
      <w:r>
        <w:rPr>
          <w:rFonts w:ascii="Courier New" w:hAnsi="Courier New" w:cs="Courier New"/>
          <w:sz w:val="24"/>
          <w:szCs w:val="24"/>
          <w:shd w:val="clear" w:color="auto" w:fill="EFF2F4"/>
        </w:rPr>
        <w:t xml:space="preserve"> </w:t>
      </w:r>
    </w:p>
    <w:p>
      <w:pPr>
        <w:pStyle w:val="5"/>
        <w:autoSpaceDE w:val="0"/>
        <w:spacing w:line="480" w:lineRule="auto"/>
        <w:ind w:left="360" w:hanging="360" w:hangingChars="150"/>
        <w:rPr>
          <w:sz w:val="24"/>
          <w:szCs w:val="24"/>
        </w:rPr>
      </w:pPr>
      <w:r>
        <w:rPr>
          <w:sz w:val="24"/>
          <w:szCs w:val="24"/>
        </w:rPr>
        <w:t>9. Kan, W. (2021) ‘Reception of Jin Yong’s Wuxia Novels in English and French: A Sentiment Analysis with Reflection’.</w:t>
      </w:r>
      <w:r>
        <w:rPr>
          <w:i/>
          <w:iCs/>
          <w:sz w:val="24"/>
          <w:szCs w:val="24"/>
        </w:rPr>
        <w:t xml:space="preserve"> International Journal of Linguistics, Literature and Translation, </w:t>
      </w:r>
      <w:r>
        <w:rPr>
          <w:sz w:val="24"/>
          <w:szCs w:val="24"/>
        </w:rPr>
        <w:t>4(2). pp. 117~123. doi 10.32996/ijllt</w:t>
      </w:r>
    </w:p>
    <w:p>
      <w:pPr>
        <w:autoSpaceDE w:val="0"/>
        <w:spacing w:line="480" w:lineRule="auto"/>
        <w:rPr>
          <w:sz w:val="24"/>
          <w:szCs w:val="24"/>
        </w:rPr>
      </w:pPr>
      <w:r>
        <w:rPr>
          <w:sz w:val="24"/>
          <w:szCs w:val="24"/>
        </w:rPr>
        <w:t xml:space="preserve"> </w:t>
      </w:r>
    </w:p>
    <w:p>
      <w:pPr>
        <w:pStyle w:val="5"/>
        <w:autoSpaceDE w:val="0"/>
        <w:spacing w:line="480" w:lineRule="auto"/>
        <w:ind w:left="480" w:hanging="480" w:hangingChars="200"/>
        <w:rPr>
          <w:rFonts w:ascii="Times New Roman" w:hAnsi="Times New Roman"/>
          <w:sz w:val="24"/>
          <w:szCs w:val="24"/>
        </w:rPr>
      </w:pPr>
      <w:r>
        <w:rPr>
          <w:rFonts w:ascii="Times New Roman" w:hAnsi="Times New Roman"/>
          <w:sz w:val="24"/>
          <w:szCs w:val="24"/>
        </w:rPr>
        <w:t xml:space="preserve">10. Zeng Qi. (2001). On Chinese-English Translation of Chinese Idioms from the View of Culture Translation Theory. </w:t>
      </w:r>
      <w:r>
        <w:rPr>
          <w:rFonts w:ascii="Times New Roman" w:hAnsi="Times New Roman"/>
          <w:i/>
          <w:iCs/>
          <w:sz w:val="24"/>
          <w:szCs w:val="24"/>
        </w:rPr>
        <w:t>Journal of Hubei Institute for Nationalities</w:t>
      </w:r>
      <w:r>
        <w:rPr>
          <w:rFonts w:ascii="Times New Roman" w:hAnsi="Times New Roman"/>
          <w:sz w:val="24"/>
          <w:szCs w:val="24"/>
        </w:rPr>
        <w:t xml:space="preserve"> 3, 70-73</w:t>
      </w:r>
    </w:p>
    <w:p>
      <w:pPr>
        <w:autoSpaceDE w:val="0"/>
        <w:spacing w:line="480" w:lineRule="auto"/>
        <w:rPr>
          <w:sz w:val="24"/>
          <w:szCs w:val="24"/>
        </w:rPr>
      </w:pPr>
      <w:r>
        <w:rPr>
          <w:rFonts w:hint="eastAsia"/>
          <w:sz w:val="24"/>
          <w:szCs w:val="24"/>
        </w:rPr>
        <w:t xml:space="preserve"> </w:t>
      </w:r>
    </w:p>
    <w:p>
      <w:pPr>
        <w:pStyle w:val="5"/>
        <w:autoSpaceDE w:val="0"/>
        <w:spacing w:line="480" w:lineRule="auto"/>
        <w:ind w:left="360" w:hanging="360" w:hangingChars="150"/>
        <w:rPr>
          <w:i/>
          <w:iCs/>
          <w:sz w:val="24"/>
          <w:szCs w:val="24"/>
        </w:rPr>
      </w:pPr>
      <w:r>
        <w:rPr>
          <w:sz w:val="24"/>
          <w:szCs w:val="24"/>
        </w:rPr>
        <w:t xml:space="preserve">11. Shen (2020). On the Translation of Xia Culture in Chinese Martial Arts Novels under the Background of Cultural Confidence based on Legends of the Condor Heroes. </w:t>
      </w:r>
      <w:r>
        <w:rPr>
          <w:i/>
          <w:iCs/>
          <w:sz w:val="24"/>
          <w:szCs w:val="24"/>
        </w:rPr>
        <w:t>International Journal of English Literature and Social Sciences Vol6</w:t>
      </w:r>
      <w:r>
        <w:rPr>
          <w:sz w:val="24"/>
          <w:szCs w:val="24"/>
        </w:rPr>
        <w:t xml:space="preserve"> (1) PP. 33~40. 10.22161/ijels</w:t>
      </w:r>
    </w:p>
    <w:p>
      <w:pPr>
        <w:pStyle w:val="5"/>
        <w:autoSpaceDE w:val="0"/>
        <w:spacing w:line="480" w:lineRule="auto"/>
        <w:ind w:firstLine="480"/>
        <w:rPr>
          <w:i/>
          <w:iCs/>
          <w:sz w:val="24"/>
          <w:szCs w:val="24"/>
        </w:rPr>
      </w:pPr>
      <w:r>
        <w:rPr>
          <w:rFonts w:hint="eastAsia"/>
          <w:i/>
          <w:iCs/>
          <w:sz w:val="24"/>
          <w:szCs w:val="24"/>
        </w:rPr>
        <w:t xml:space="preserve"> </w:t>
      </w:r>
    </w:p>
    <w:p>
      <w:pPr>
        <w:pStyle w:val="5"/>
        <w:autoSpaceDE w:val="0"/>
        <w:spacing w:line="480" w:lineRule="auto"/>
        <w:ind w:left="480" w:hanging="480" w:hangingChars="200"/>
        <w:rPr>
          <w:rFonts w:ascii="Courier New" w:hAnsi="Courier New" w:cs="Courier New"/>
          <w:sz w:val="24"/>
          <w:szCs w:val="24"/>
          <w:shd w:val="clear" w:color="auto" w:fill="EFF2F4"/>
        </w:rPr>
      </w:pPr>
      <w:r>
        <w:rPr>
          <w:sz w:val="24"/>
          <w:szCs w:val="24"/>
        </w:rPr>
        <w:t xml:space="preserve">12. Hamm, J. (2010). </w:t>
      </w:r>
      <w:r>
        <w:rPr>
          <w:i/>
          <w:iCs/>
          <w:sz w:val="24"/>
          <w:szCs w:val="24"/>
        </w:rPr>
        <w:t xml:space="preserve">Paper Swordsmen: Jin Yong and the Modern Chinese Martial Arts Novel. </w:t>
      </w:r>
      <w:r>
        <w:rPr>
          <w:sz w:val="24"/>
          <w:szCs w:val="24"/>
        </w:rPr>
        <w:t xml:space="preserve">University of Hawai’i Press. </w:t>
      </w:r>
    </w:p>
    <w:p>
      <w:pPr>
        <w:pStyle w:val="5"/>
        <w:autoSpaceDE w:val="0"/>
        <w:spacing w:line="480" w:lineRule="auto"/>
        <w:ind w:firstLine="480"/>
        <w:rPr>
          <w:rFonts w:ascii="Courier New" w:hAnsi="Courier New" w:cs="Courier New"/>
          <w:sz w:val="24"/>
          <w:szCs w:val="24"/>
          <w:shd w:val="clear" w:color="auto" w:fill="EFF2F4"/>
        </w:rPr>
      </w:pPr>
      <w:r>
        <w:rPr>
          <w:rFonts w:hint="eastAsia" w:ascii="Courier New" w:hAnsi="Courier New" w:cs="Courier New"/>
          <w:sz w:val="24"/>
          <w:szCs w:val="24"/>
          <w:shd w:val="clear" w:color="auto" w:fill="EFF2F4"/>
        </w:rPr>
        <w:t xml:space="preserve"> </w:t>
      </w:r>
    </w:p>
    <w:p>
      <w:pPr>
        <w:pStyle w:val="5"/>
        <w:autoSpaceDE w:val="0"/>
        <w:spacing w:line="480" w:lineRule="auto"/>
        <w:ind w:firstLine="480"/>
        <w:rPr>
          <w:rFonts w:ascii="Courier New" w:hAnsi="Courier New" w:cs="Courier New"/>
          <w:sz w:val="24"/>
          <w:szCs w:val="24"/>
          <w:shd w:val="clear" w:color="auto" w:fill="EFF2F4"/>
        </w:rPr>
      </w:pPr>
      <w:r>
        <w:rPr>
          <w:rStyle w:val="11"/>
          <w:rFonts w:ascii="Arial" w:hAnsi="Arial" w:cs="Arial"/>
          <w:sz w:val="24"/>
          <w:szCs w:val="24"/>
          <w:shd w:val="clear" w:color="auto" w:fill="FFFFFF"/>
        </w:rPr>
        <w:t>13. Hongtao,</w:t>
      </w:r>
      <w:r>
        <w:rPr>
          <w:rStyle w:val="9"/>
          <w:rFonts w:ascii="Arial" w:hAnsi="Arial" w:cs="Arial"/>
          <w:sz w:val="24"/>
          <w:szCs w:val="24"/>
          <w:shd w:val="clear" w:color="auto" w:fill="FFFFFF"/>
        </w:rPr>
        <w:t xml:space="preserve"> </w:t>
      </w:r>
      <w:r>
        <w:rPr>
          <w:rStyle w:val="11"/>
          <w:rFonts w:ascii="Arial" w:hAnsi="Arial" w:cs="Arial"/>
          <w:sz w:val="24"/>
          <w:szCs w:val="24"/>
          <w:shd w:val="clear" w:color="auto" w:fill="FFFFFF"/>
        </w:rPr>
        <w:t>L.</w:t>
      </w:r>
      <w:r>
        <w:rPr>
          <w:rFonts w:ascii="Arial" w:hAnsi="Arial" w:cs="Arial"/>
          <w:sz w:val="24"/>
          <w:szCs w:val="24"/>
          <w:shd w:val="clear" w:color="auto" w:fill="FFFFFF"/>
        </w:rPr>
        <w:t xml:space="preserve"> </w:t>
      </w:r>
      <w:r>
        <w:rPr>
          <w:rStyle w:val="10"/>
          <w:rFonts w:ascii="Arial" w:hAnsi="Arial" w:cs="Arial"/>
          <w:sz w:val="24"/>
          <w:szCs w:val="24"/>
          <w:shd w:val="clear" w:color="auto" w:fill="FFFFFF"/>
        </w:rPr>
        <w:t>(2019)</w:t>
      </w:r>
      <w:r>
        <w:rPr>
          <w:rFonts w:ascii="Arial" w:hAnsi="Arial" w:cs="Arial"/>
          <w:sz w:val="24"/>
          <w:szCs w:val="24"/>
          <w:shd w:val="clear" w:color="auto" w:fill="FFFFFF"/>
        </w:rPr>
        <w:t xml:space="preserve"> ‘</w:t>
      </w:r>
      <w:r>
        <w:rPr>
          <w:rStyle w:val="8"/>
          <w:rFonts w:ascii="Arial" w:hAnsi="Arial" w:cs="Arial"/>
          <w:sz w:val="24"/>
          <w:szCs w:val="24"/>
          <w:shd w:val="clear" w:color="auto" w:fill="FFFFFF"/>
        </w:rPr>
        <w:t>Jin Yong’,</w:t>
      </w:r>
      <w:r>
        <w:rPr>
          <w:rFonts w:ascii="Arial" w:hAnsi="Arial" w:cs="Arial"/>
          <w:i/>
          <w:iCs/>
          <w:sz w:val="24"/>
          <w:szCs w:val="24"/>
          <w:shd w:val="clear" w:color="auto" w:fill="FFFFFF"/>
        </w:rPr>
        <w:t xml:space="preserve"> </w:t>
      </w:r>
      <w:r>
        <w:rPr>
          <w:rStyle w:val="7"/>
          <w:rFonts w:ascii="Arial" w:hAnsi="Arial" w:cs="Arial"/>
          <w:i/>
          <w:iCs/>
          <w:sz w:val="24"/>
          <w:szCs w:val="24"/>
          <w:shd w:val="clear" w:color="auto" w:fill="FFFFFF"/>
        </w:rPr>
        <w:t>Chinese Literature Today</w:t>
      </w:r>
      <w:r>
        <w:rPr>
          <w:rStyle w:val="7"/>
          <w:rFonts w:ascii="Arial" w:hAnsi="Arial" w:cs="Arial"/>
          <w:sz w:val="24"/>
          <w:szCs w:val="24"/>
          <w:shd w:val="clear" w:color="auto" w:fill="FFFFFF"/>
        </w:rPr>
        <w:t>,</w:t>
      </w:r>
      <w:r>
        <w:rPr>
          <w:rFonts w:ascii="Arial" w:hAnsi="Arial" w:cs="Arial"/>
          <w:sz w:val="24"/>
          <w:szCs w:val="24"/>
          <w:shd w:val="clear" w:color="auto" w:fill="FFFFFF"/>
        </w:rPr>
        <w:t xml:space="preserve"> </w:t>
      </w:r>
      <w:r>
        <w:rPr>
          <w:rStyle w:val="6"/>
          <w:rFonts w:ascii="Arial" w:hAnsi="Arial" w:cs="Arial"/>
          <w:sz w:val="24"/>
          <w:szCs w:val="24"/>
          <w:shd w:val="clear" w:color="auto" w:fill="FFFFFF"/>
        </w:rPr>
        <w:t>8(2) pp.</w:t>
      </w:r>
      <w:r>
        <w:rPr>
          <w:rFonts w:ascii="Arial" w:hAnsi="Arial" w:cs="Arial"/>
          <w:sz w:val="24"/>
          <w:szCs w:val="24"/>
          <w:shd w:val="clear" w:color="auto" w:fill="FFFFFF"/>
        </w:rPr>
        <w:t xml:space="preserve"> </w:t>
      </w:r>
      <w:r>
        <w:rPr>
          <w:rStyle w:val="12"/>
          <w:rFonts w:ascii="Arial" w:hAnsi="Arial" w:cs="Arial"/>
          <w:sz w:val="24"/>
          <w:szCs w:val="24"/>
          <w:shd w:val="clear" w:color="auto" w:fill="FFFFFF"/>
        </w:rPr>
        <w:t>66-67,</w:t>
      </w:r>
      <w:r>
        <w:rPr>
          <w:rFonts w:ascii="Arial" w:hAnsi="Arial" w:cs="Arial"/>
          <w:sz w:val="24"/>
          <w:szCs w:val="24"/>
          <w:shd w:val="clear" w:color="auto" w:fill="FFFFFF"/>
        </w:rPr>
        <w:t xml:space="preserve"> </w:t>
      </w:r>
      <w:r>
        <w:rPr>
          <w:rFonts w:hint="eastAsia" w:ascii="Courier New" w:hAnsi="Courier New" w:cs="Courier New"/>
          <w:sz w:val="24"/>
          <w:szCs w:val="24"/>
          <w:shd w:val="clear" w:color="auto" w:fill="EFF2F4"/>
        </w:rPr>
        <w:t xml:space="preserve"> </w:t>
      </w:r>
    </w:p>
    <w:p>
      <w:pPr>
        <w:pStyle w:val="5"/>
        <w:autoSpaceDE w:val="0"/>
        <w:spacing w:line="480" w:lineRule="auto"/>
        <w:ind w:firstLine="480"/>
        <w:rPr>
          <w:rFonts w:ascii="Courier New" w:hAnsi="Courier New" w:cs="Courier New"/>
          <w:sz w:val="24"/>
          <w:szCs w:val="24"/>
          <w:shd w:val="clear" w:color="auto" w:fill="EFF2F4"/>
        </w:rPr>
      </w:pPr>
      <w:r>
        <w:rPr>
          <w:rFonts w:hint="eastAsia" w:ascii="Courier New" w:hAnsi="Courier New" w:cs="Courier New"/>
          <w:sz w:val="24"/>
          <w:szCs w:val="24"/>
          <w:shd w:val="clear" w:color="auto" w:fill="EFF2F4"/>
        </w:rPr>
        <w:t xml:space="preserve"> </w:t>
      </w:r>
    </w:p>
    <w:p>
      <w:pPr>
        <w:pStyle w:val="5"/>
        <w:widowControl/>
        <w:autoSpaceDE w:val="0"/>
        <w:spacing w:line="480" w:lineRule="auto"/>
        <w:ind w:left="360" w:hanging="360" w:hangingChars="150"/>
        <w:jc w:val="left"/>
        <w:rPr>
          <w:sz w:val="24"/>
          <w:szCs w:val="24"/>
        </w:rPr>
      </w:pPr>
      <w:r>
        <w:rPr>
          <w:sz w:val="24"/>
          <w:szCs w:val="24"/>
        </w:rPr>
        <w:t xml:space="preserve">14. Arrowsmith, W. (1975) ‘Jerome on Translation: A Breviary’ </w:t>
      </w:r>
      <w:r>
        <w:rPr>
          <w:i/>
          <w:iCs/>
          <w:sz w:val="24"/>
          <w:szCs w:val="24"/>
        </w:rPr>
        <w:t>Arion A Journal of Humanities and the Classics</w:t>
      </w:r>
      <w:r>
        <w:rPr>
          <w:sz w:val="24"/>
          <w:szCs w:val="24"/>
        </w:rPr>
        <w:t xml:space="preserve">. 2(3) pp. 358–367. </w:t>
      </w:r>
    </w:p>
    <w:p>
      <w:pPr>
        <w:pStyle w:val="5"/>
        <w:autoSpaceDE w:val="0"/>
        <w:spacing w:line="480" w:lineRule="auto"/>
        <w:ind w:firstLine="480"/>
        <w:rPr>
          <w:sz w:val="24"/>
          <w:szCs w:val="24"/>
        </w:rPr>
      </w:pPr>
      <w:r>
        <w:rPr>
          <w:rFonts w:hint="eastAsia"/>
          <w:sz w:val="24"/>
          <w:szCs w:val="24"/>
        </w:rPr>
        <w:t xml:space="preserve"> </w:t>
      </w:r>
    </w:p>
    <w:p>
      <w:pPr>
        <w:pStyle w:val="2"/>
        <w:widowControl w:val="0"/>
        <w:autoSpaceDE w:val="0"/>
        <w:spacing w:before="0" w:beforeAutospacing="0" w:after="0" w:afterAutospacing="0" w:line="480" w:lineRule="auto"/>
        <w:ind w:left="360" w:hanging="360" w:hangingChars="150"/>
        <w:rPr>
          <w:rFonts w:ascii="Times New Roman" w:hAnsi="Times New Roman" w:cs="Times New Roman"/>
        </w:rPr>
      </w:pPr>
      <w:r>
        <w:rPr>
          <w:rFonts w:ascii="Times New Roman" w:hAnsi="Times New Roman" w:cs="Times New Roman"/>
          <w:shd w:val="clear" w:color="auto" w:fill="FFFFFF"/>
        </w:rPr>
        <w:t xml:space="preserve">15. Li, Y. (2021) Nida’s Translation Theory of “Functional Equivalence” and Its Application in Chinese Herbal Medicine Translation. </w:t>
      </w:r>
      <w:r>
        <w:rPr>
          <w:rFonts w:ascii="Times New Roman" w:hAnsi="Times New Roman" w:cs="Times New Roman"/>
          <w:i/>
          <w:iCs/>
          <w:shd w:val="clear" w:color="auto" w:fill="FFFFFF"/>
        </w:rPr>
        <w:t>Advances in Literary Study</w:t>
      </w:r>
      <w:r>
        <w:rPr>
          <w:rFonts w:ascii="Times New Roman" w:hAnsi="Times New Roman" w:cs="Times New Roman"/>
          <w:shd w:val="clear" w:color="auto" w:fill="FFFFFF"/>
        </w:rPr>
        <w:t xml:space="preserve">, </w:t>
      </w:r>
      <w:r>
        <w:rPr>
          <w:rFonts w:ascii="Times New Roman" w:hAnsi="Times New Roman" w:cs="Times New Roman"/>
          <w:b/>
          <w:bCs/>
          <w:shd w:val="clear" w:color="auto" w:fill="FFFFFF"/>
        </w:rPr>
        <w:t>9</w:t>
      </w:r>
      <w:r>
        <w:rPr>
          <w:rFonts w:ascii="Times New Roman" w:hAnsi="Times New Roman" w:cs="Times New Roman"/>
          <w:shd w:val="clear" w:color="auto" w:fill="FFFFFF"/>
        </w:rPr>
        <w:t xml:space="preserve">, pp. 11-15. </w:t>
      </w:r>
    </w:p>
    <w:p>
      <w:pPr>
        <w:autoSpaceDE w:val="0"/>
        <w:spacing w:line="480" w:lineRule="auto"/>
        <w:rPr>
          <w:rFonts w:ascii="Courier New" w:hAnsi="Courier New" w:cs="Courier New"/>
          <w:sz w:val="24"/>
          <w:szCs w:val="24"/>
          <w:shd w:val="clear" w:color="auto" w:fill="EFF2F4"/>
        </w:rPr>
      </w:pPr>
      <w:r>
        <w:rPr>
          <w:rFonts w:hint="eastAsia" w:ascii="Courier New" w:hAnsi="Courier New" w:cs="Courier New"/>
          <w:sz w:val="24"/>
          <w:szCs w:val="24"/>
          <w:shd w:val="clear" w:color="auto" w:fill="EFF2F4"/>
        </w:rPr>
        <w:t xml:space="preserve"> </w:t>
      </w:r>
    </w:p>
    <w:p>
      <w:pPr>
        <w:pStyle w:val="5"/>
        <w:autoSpaceDE w:val="0"/>
        <w:spacing w:line="480" w:lineRule="auto"/>
        <w:ind w:left="360" w:hanging="360" w:hangingChars="150"/>
        <w:rPr>
          <w:sz w:val="24"/>
          <w:szCs w:val="24"/>
        </w:rPr>
      </w:pPr>
      <w:r>
        <w:rPr>
          <w:sz w:val="24"/>
          <w:szCs w:val="24"/>
        </w:rPr>
        <w:t xml:space="preserve">16. Chun, W. (2014) </w:t>
      </w:r>
      <w:r>
        <w:rPr>
          <w:i/>
          <w:iCs/>
          <w:sz w:val="24"/>
          <w:szCs w:val="24"/>
        </w:rPr>
        <w:t>A Study of Minford’s English Translation of strange Tales from a Chinese Studios</w:t>
      </w:r>
      <w:r>
        <w:rPr>
          <w:sz w:val="24"/>
          <w:szCs w:val="24"/>
        </w:rPr>
        <w:t xml:space="preserve">. Beijing: Foreign Studies University Press </w:t>
      </w:r>
    </w:p>
    <w:p>
      <w:pPr>
        <w:autoSpaceDE w:val="0"/>
        <w:spacing w:line="480" w:lineRule="auto"/>
        <w:rPr>
          <w:sz w:val="24"/>
          <w:szCs w:val="24"/>
        </w:rPr>
      </w:pPr>
      <w:r>
        <w:rPr>
          <w:sz w:val="24"/>
          <w:szCs w:val="24"/>
        </w:rPr>
        <w:t xml:space="preserve"> </w:t>
      </w:r>
    </w:p>
    <w:p>
      <w:pPr>
        <w:pStyle w:val="5"/>
        <w:autoSpaceDE w:val="0"/>
        <w:spacing w:line="480" w:lineRule="auto"/>
        <w:ind w:left="480" w:hanging="480" w:hangingChars="200"/>
        <w:rPr>
          <w:rFonts w:ascii="Courier New" w:hAnsi="Courier New" w:cs="Courier New"/>
          <w:sz w:val="24"/>
          <w:szCs w:val="24"/>
          <w:shd w:val="clear" w:color="auto" w:fill="EFF2F4"/>
        </w:rPr>
      </w:pPr>
      <w:r>
        <w:rPr>
          <w:sz w:val="24"/>
          <w:szCs w:val="24"/>
        </w:rPr>
        <w:t xml:space="preserve">17. Zhen, Z. &amp; Qing, L(2020). ‘The influence of cultural transmission on translation from the English translation of Strange Tales from a Chinese Studios—Based on the translation by Minford and Giles’, </w:t>
      </w:r>
      <w:r>
        <w:rPr>
          <w:i/>
          <w:iCs/>
          <w:sz w:val="24"/>
          <w:szCs w:val="24"/>
        </w:rPr>
        <w:t>Industry and Technology Forum</w:t>
      </w:r>
      <w:r>
        <w:rPr>
          <w:sz w:val="24"/>
          <w:szCs w:val="24"/>
        </w:rPr>
        <w:t>, 21 (20),pp.66-67.</w:t>
      </w:r>
    </w:p>
    <w:p>
      <w:pPr>
        <w:autoSpaceDE w:val="0"/>
        <w:spacing w:line="480" w:lineRule="auto"/>
        <w:rPr>
          <w:rFonts w:ascii="Courier New" w:hAnsi="Courier New" w:cs="Courier New"/>
          <w:sz w:val="24"/>
          <w:szCs w:val="24"/>
          <w:shd w:val="clear" w:color="auto" w:fill="EFF2F4"/>
        </w:rPr>
      </w:pPr>
      <w:r>
        <w:rPr>
          <w:rFonts w:ascii="Courier New" w:hAnsi="Courier New" w:cs="Courier New"/>
          <w:sz w:val="24"/>
          <w:szCs w:val="24"/>
          <w:shd w:val="clear" w:color="auto" w:fill="EFF2F4"/>
        </w:rPr>
        <w:t xml:space="preserve"> </w:t>
      </w:r>
    </w:p>
    <w:p>
      <w:pPr>
        <w:pStyle w:val="5"/>
        <w:autoSpaceDE w:val="0"/>
        <w:spacing w:line="480" w:lineRule="auto"/>
        <w:ind w:left="480" w:hanging="480" w:hangingChars="200"/>
        <w:rPr>
          <w:sz w:val="24"/>
          <w:szCs w:val="24"/>
        </w:rPr>
      </w:pPr>
      <w:r>
        <w:rPr>
          <w:sz w:val="24"/>
          <w:szCs w:val="24"/>
        </w:rPr>
        <w:t>18. Liu, C. (1997). The Question of Reception: Martial Arts Fiction in English Translation. Hong Kong: Elite Business Services Limited.</w:t>
      </w:r>
    </w:p>
    <w:p>
      <w:pPr>
        <w:autoSpaceDE w:val="0"/>
        <w:spacing w:line="480" w:lineRule="auto"/>
        <w:rPr>
          <w:rFonts w:ascii="Courier New" w:hAnsi="Courier New" w:cs="Courier New"/>
          <w:sz w:val="24"/>
          <w:szCs w:val="24"/>
          <w:shd w:val="clear" w:color="auto" w:fill="EFF2F4"/>
        </w:rPr>
      </w:pPr>
      <w:r>
        <w:rPr>
          <w:rFonts w:hint="eastAsia" w:ascii="Courier New" w:hAnsi="Courier New" w:cs="Courier New"/>
          <w:sz w:val="24"/>
          <w:szCs w:val="24"/>
          <w:shd w:val="clear" w:color="auto" w:fill="EFF2F4"/>
        </w:rPr>
        <w:t xml:space="preserve"> </w:t>
      </w:r>
    </w:p>
    <w:p>
      <w:pPr>
        <w:pStyle w:val="5"/>
        <w:autoSpaceDE w:val="0"/>
        <w:spacing w:line="480" w:lineRule="auto"/>
        <w:ind w:left="480" w:hanging="480" w:hangingChars="200"/>
        <w:rPr>
          <w:rFonts w:ascii="Courier New" w:hAnsi="Courier New" w:cs="Courier New"/>
          <w:sz w:val="24"/>
          <w:szCs w:val="24"/>
          <w:shd w:val="clear" w:color="auto" w:fill="EFF2F4"/>
        </w:rPr>
      </w:pPr>
      <w:r>
        <w:rPr>
          <w:sz w:val="24"/>
          <w:szCs w:val="24"/>
        </w:rPr>
        <w:t>19. Cha, L. (2007)</w:t>
      </w:r>
      <w:r>
        <w:rPr>
          <w:i/>
          <w:iCs/>
          <w:sz w:val="24"/>
          <w:szCs w:val="24"/>
        </w:rPr>
        <w:t>. The Deer and The Cauldron. translated by Minford John.</w:t>
      </w:r>
      <w:r>
        <w:rPr>
          <w:sz w:val="24"/>
          <w:szCs w:val="24"/>
        </w:rPr>
        <w:t xml:space="preserve"> US: Oxford University Press.</w:t>
      </w:r>
    </w:p>
    <w:p>
      <w:pPr>
        <w:autoSpaceDE w:val="0"/>
        <w:spacing w:line="480" w:lineRule="auto"/>
        <w:rPr>
          <w:sz w:val="24"/>
          <w:szCs w:val="24"/>
        </w:rPr>
      </w:pPr>
      <w:r>
        <w:rPr>
          <w:sz w:val="24"/>
          <w:szCs w:val="24"/>
        </w:rPr>
        <w:t xml:space="preserve"> </w:t>
      </w:r>
    </w:p>
    <w:p>
      <w:pPr>
        <w:pStyle w:val="5"/>
        <w:autoSpaceDE w:val="0"/>
        <w:spacing w:line="480" w:lineRule="auto"/>
        <w:ind w:left="480" w:hanging="480" w:hangingChars="200"/>
        <w:rPr>
          <w:sz w:val="24"/>
          <w:szCs w:val="24"/>
        </w:rPr>
      </w:pPr>
      <w:r>
        <w:rPr>
          <w:sz w:val="24"/>
          <w:szCs w:val="24"/>
        </w:rPr>
        <w:t xml:space="preserve">20. Olivia, M. (2001)’ Strategies of Translating Martial Arts Fiction’. </w:t>
      </w:r>
      <w:r>
        <w:rPr>
          <w:i/>
          <w:iCs/>
          <w:sz w:val="24"/>
          <w:szCs w:val="24"/>
        </w:rPr>
        <w:t>Babel</w:t>
      </w:r>
      <w:r>
        <w:rPr>
          <w:sz w:val="24"/>
          <w:szCs w:val="24"/>
        </w:rPr>
        <w:t>. 47(1). pp. 1-9.</w:t>
      </w:r>
    </w:p>
    <w:p>
      <w:pPr>
        <w:autoSpaceDE w:val="0"/>
        <w:spacing w:line="480" w:lineRule="auto"/>
        <w:rPr>
          <w:sz w:val="24"/>
          <w:szCs w:val="24"/>
        </w:rPr>
      </w:pPr>
      <w:r>
        <w:rPr>
          <w:rFonts w:hint="eastAsia"/>
          <w:sz w:val="24"/>
          <w:szCs w:val="24"/>
        </w:rPr>
        <w:t xml:space="preserve"> </w:t>
      </w:r>
    </w:p>
    <w:p>
      <w:pPr>
        <w:pStyle w:val="5"/>
        <w:autoSpaceDE w:val="0"/>
        <w:spacing w:line="480" w:lineRule="auto"/>
        <w:ind w:left="480" w:hanging="480" w:hangingChars="200"/>
        <w:rPr>
          <w:sz w:val="24"/>
          <w:szCs w:val="24"/>
        </w:rPr>
      </w:pPr>
      <w:r>
        <w:rPr>
          <w:sz w:val="24"/>
          <w:szCs w:val="24"/>
        </w:rPr>
        <w:t xml:space="preserve">21. Earnshaw, G. &amp; Cha, L. (2004). </w:t>
      </w:r>
      <w:r>
        <w:rPr>
          <w:i/>
          <w:iCs/>
          <w:sz w:val="24"/>
          <w:szCs w:val="24"/>
        </w:rPr>
        <w:t>The Book and the S</w:t>
      </w:r>
      <w:r>
        <w:rPr>
          <w:sz w:val="24"/>
          <w:szCs w:val="24"/>
        </w:rPr>
        <w:t>word: A Martial Arts Novel. Oxford: Oxford University Press</w:t>
      </w:r>
    </w:p>
    <w:p>
      <w:pPr>
        <w:autoSpaceDE w:val="0"/>
        <w:spacing w:line="480" w:lineRule="auto"/>
        <w:rPr>
          <w:sz w:val="24"/>
          <w:szCs w:val="24"/>
        </w:rPr>
      </w:pPr>
      <w:r>
        <w:rPr>
          <w:sz w:val="24"/>
          <w:szCs w:val="24"/>
        </w:rPr>
        <w:t xml:space="preserve"> </w:t>
      </w:r>
    </w:p>
    <w:p>
      <w:pPr>
        <w:pStyle w:val="5"/>
        <w:autoSpaceDE w:val="0"/>
        <w:spacing w:line="480" w:lineRule="auto"/>
        <w:ind w:left="360" w:hanging="360" w:hangingChars="150"/>
        <w:rPr>
          <w:sz w:val="24"/>
          <w:szCs w:val="24"/>
        </w:rPr>
      </w:pPr>
      <w:r>
        <w:rPr>
          <w:sz w:val="24"/>
          <w:szCs w:val="24"/>
        </w:rPr>
        <w:t xml:space="preserve">22. Li, Q. (2015) ‘Translation and Research of Jin Yong's Martial Arts Novels in the English World’. </w:t>
      </w:r>
      <w:r>
        <w:rPr>
          <w:i/>
          <w:iCs/>
          <w:sz w:val="24"/>
          <w:szCs w:val="24"/>
        </w:rPr>
        <w:t xml:space="preserve">Guizhou Social Sciences, </w:t>
      </w:r>
      <w:r>
        <w:rPr>
          <w:sz w:val="24"/>
          <w:szCs w:val="24"/>
        </w:rPr>
        <w:t>6 (4), 96-101.</w:t>
      </w:r>
    </w:p>
    <w:p>
      <w:pPr>
        <w:autoSpaceDE w:val="0"/>
        <w:spacing w:line="480" w:lineRule="auto"/>
        <w:rPr>
          <w:sz w:val="24"/>
          <w:szCs w:val="24"/>
        </w:rPr>
      </w:pPr>
      <w:r>
        <w:rPr>
          <w:sz w:val="24"/>
          <w:szCs w:val="24"/>
        </w:rPr>
        <w:t xml:space="preserve"> </w:t>
      </w:r>
    </w:p>
    <w:p>
      <w:pPr>
        <w:pStyle w:val="5"/>
        <w:autoSpaceDE w:val="0"/>
        <w:spacing w:line="480" w:lineRule="auto"/>
        <w:ind w:left="480" w:hanging="480" w:hangingChars="200"/>
        <w:rPr>
          <w:sz w:val="24"/>
          <w:szCs w:val="24"/>
        </w:rPr>
      </w:pPr>
      <w:r>
        <w:rPr>
          <w:sz w:val="24"/>
          <w:szCs w:val="24"/>
        </w:rPr>
        <w:t>23. Tang, Z. (2019) ‘The Cultural Interpretation of Jin Yong’s Novels and the Construction of Cultural Personality’.</w:t>
      </w:r>
      <w:r>
        <w:rPr>
          <w:i/>
          <w:iCs/>
          <w:sz w:val="24"/>
          <w:szCs w:val="24"/>
        </w:rPr>
        <w:t xml:space="preserve"> Shanghai Culture, </w:t>
      </w:r>
      <w:r>
        <w:rPr>
          <w:sz w:val="24"/>
          <w:szCs w:val="24"/>
        </w:rPr>
        <w:t>8: 31-39</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pPr>
        <w:jc w:val="left"/>
        <w:rPr>
          <w:b/>
          <w:bCs/>
        </w:rPr>
      </w:pPr>
      <w:r>
        <w:rPr>
          <w:b/>
          <w:bCs/>
        </w:rPr>
        <w:t xml:space="preserve"> </w:t>
      </w:r>
    </w:p>
    <w:p/>
    <w:sectPr>
      <w:pgSz w:w="11900" w:h="16840"/>
      <w:pgMar w:top="1440" w:right="1800" w:bottom="1440" w:left="1800"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 New Roman Regular">
    <w:altName w:val="Times New Roman"/>
    <w:panose1 w:val="00000000000000000000"/>
    <w:charset w:val="00"/>
    <w:family w:val="roman"/>
    <w:pitch w:val="default"/>
    <w:sig w:usb0="00000000" w:usb1="00000000" w:usb2="00000009" w:usb3="00000000" w:csb0="000001FF" w:csb1="00000000"/>
  </w:font>
  <w:font w:name="Helvetica Neue">
    <w:altName w:val="Sylfaen"/>
    <w:panose1 w:val="00000000000000000000"/>
    <w:charset w:val="00"/>
    <w:family w:val="auto"/>
    <w:pitch w:val="default"/>
    <w:sig w:usb0="00000000" w:usb1="00000000" w:usb2="00000010" w:usb3="00000000" w:csb0="00000001"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Sylfaen">
    <w:panose1 w:val="010A0502050306030303"/>
    <w:charset w:val="00"/>
    <w:family w:val="auto"/>
    <w:pitch w:val="default"/>
    <w:sig w:usb0="04000687" w:usb1="00000000"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5D19E5"/>
    <w:multiLevelType w:val="multilevel"/>
    <w:tmpl w:val="3F5D19E5"/>
    <w:lvl w:ilvl="0" w:tentative="0">
      <w:start w:val="6"/>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68A5ECC"/>
    <w:multiLevelType w:val="multilevel"/>
    <w:tmpl w:val="768A5ECC"/>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c3OGQzZDJmOWY1MWRhNWQzMjE1MjM5OTA0MTRmZGMifQ=="/>
  </w:docVars>
  <w:rsids>
    <w:rsidRoot w:val="00097B97"/>
    <w:rsid w:val="00097B97"/>
    <w:rsid w:val="002B3CFF"/>
    <w:rsid w:val="00595C7F"/>
    <w:rsid w:val="009C664B"/>
    <w:rsid w:val="00DA018B"/>
    <w:rsid w:val="39B043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paragraph" w:customStyle="1" w:styleId="5">
    <w:name w:val="列表段落1"/>
    <w:basedOn w:val="1"/>
    <w:uiPriority w:val="0"/>
    <w:pPr>
      <w:ind w:firstLine="420" w:firstLineChars="200"/>
    </w:pPr>
  </w:style>
  <w:style w:type="character" w:customStyle="1" w:styleId="6">
    <w:name w:val="15"/>
    <w:basedOn w:val="4"/>
    <w:uiPriority w:val="0"/>
    <w:rPr>
      <w:rFonts w:hint="default" w:ascii="Times New Roman" w:hAnsi="Times New Roman" w:cs="Times New Roman"/>
    </w:rPr>
  </w:style>
  <w:style w:type="character" w:customStyle="1" w:styleId="7">
    <w:name w:val="16"/>
    <w:basedOn w:val="4"/>
    <w:uiPriority w:val="0"/>
    <w:rPr>
      <w:rFonts w:hint="default" w:ascii="Times New Roman" w:hAnsi="Times New Roman" w:cs="Times New Roman"/>
    </w:rPr>
  </w:style>
  <w:style w:type="character" w:customStyle="1" w:styleId="8">
    <w:name w:val="17"/>
    <w:basedOn w:val="4"/>
    <w:uiPriority w:val="0"/>
    <w:rPr>
      <w:rFonts w:hint="default" w:ascii="Times New Roman" w:hAnsi="Times New Roman" w:cs="Times New Roman"/>
    </w:rPr>
  </w:style>
  <w:style w:type="character" w:customStyle="1" w:styleId="9">
    <w:name w:val="18"/>
    <w:basedOn w:val="4"/>
    <w:uiPriority w:val="0"/>
    <w:rPr>
      <w:rFonts w:hint="default" w:ascii="Times New Roman" w:hAnsi="Times New Roman" w:cs="Times New Roman"/>
    </w:rPr>
  </w:style>
  <w:style w:type="character" w:customStyle="1" w:styleId="10">
    <w:name w:val="19"/>
    <w:basedOn w:val="4"/>
    <w:uiPriority w:val="0"/>
    <w:rPr>
      <w:rFonts w:hint="default" w:ascii="Times New Roman" w:hAnsi="Times New Roman" w:cs="Times New Roman"/>
    </w:rPr>
  </w:style>
  <w:style w:type="character" w:customStyle="1" w:styleId="11">
    <w:name w:val="20"/>
    <w:basedOn w:val="4"/>
    <w:uiPriority w:val="0"/>
    <w:rPr>
      <w:rFonts w:hint="default" w:ascii="Times New Roman" w:hAnsi="Times New Roman" w:cs="Times New Roman"/>
    </w:rPr>
  </w:style>
  <w:style w:type="character" w:customStyle="1" w:styleId="12">
    <w:name w:val="21"/>
    <w:basedOn w:val="4"/>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4006</Words>
  <Characters>22835</Characters>
  <Lines>190</Lines>
  <Paragraphs>53</Paragraphs>
  <TotalTime>12</TotalTime>
  <ScaleCrop>false</ScaleCrop>
  <LinksUpToDate>false</LinksUpToDate>
  <CharactersWithSpaces>26788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2023-12-17T05:08:00Z</dcterms:created>
  <dc:creator>13686475100@163.com</dc:creator>
  <cp:lastModifiedBy>奥黛拉</cp:lastModifiedBy>
  <dcterms:modified xsi:type="dcterms:W3CDTF">2023-12-23T12:56:45Z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428260E1581C4AEA8D816522E2E1A20D_12</vt:lpwstr>
  </property>
</Properties>
</file>