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7903B" w14:textId="77777777" w:rsidR="00B73A4B" w:rsidRDefault="00B73A4B" w:rsidP="00B73A4B">
      <w:pPr>
        <w:pStyle w:val="Heading1"/>
        <w:rPr>
          <w:u w:val="single"/>
        </w:rPr>
      </w:pPr>
    </w:p>
    <w:p w14:paraId="2632EC4E" w14:textId="77777777" w:rsidR="00B73A4B" w:rsidRDefault="00B73A4B" w:rsidP="00B73A4B">
      <w:pPr>
        <w:pStyle w:val="Heading1"/>
        <w:rPr>
          <w:u w:val="single"/>
        </w:rPr>
      </w:pPr>
    </w:p>
    <w:p w14:paraId="47D6C811" w14:textId="77777777" w:rsidR="00B73A4B" w:rsidRDefault="00B73A4B" w:rsidP="00B73A4B">
      <w:pPr>
        <w:pStyle w:val="Heading1"/>
        <w:jc w:val="center"/>
        <w:rPr>
          <w:sz w:val="96"/>
          <w:szCs w:val="96"/>
          <w:u w:val="single"/>
        </w:rPr>
      </w:pPr>
    </w:p>
    <w:p w14:paraId="6CE8E088" w14:textId="77777777" w:rsidR="00B73A4B" w:rsidRDefault="00B73A4B" w:rsidP="00B73A4B">
      <w:pPr>
        <w:pStyle w:val="Heading1"/>
        <w:jc w:val="center"/>
        <w:rPr>
          <w:sz w:val="96"/>
          <w:szCs w:val="96"/>
          <w:u w:val="single"/>
        </w:rPr>
      </w:pPr>
    </w:p>
    <w:p w14:paraId="6C4C912F" w14:textId="15C620E6" w:rsidR="00B73A4B" w:rsidRPr="00B73A4B" w:rsidRDefault="00B73A4B" w:rsidP="00B73A4B">
      <w:pPr>
        <w:pStyle w:val="Heading1"/>
        <w:jc w:val="center"/>
        <w:rPr>
          <w:sz w:val="96"/>
          <w:szCs w:val="96"/>
          <w:u w:val="single"/>
        </w:rPr>
      </w:pPr>
      <w:r w:rsidRPr="00B73A4B">
        <w:rPr>
          <w:sz w:val="96"/>
          <w:szCs w:val="96"/>
          <w:u w:val="single"/>
        </w:rPr>
        <w:t>Trustees, Beneficiaries and Disclosure</w:t>
      </w:r>
    </w:p>
    <w:p w14:paraId="532EB643" w14:textId="10AE8C38" w:rsidR="00B73A4B" w:rsidRPr="00B73A4B" w:rsidRDefault="00B73A4B" w:rsidP="00B73A4B">
      <w:pPr>
        <w:pStyle w:val="Heading2"/>
        <w:jc w:val="center"/>
        <w:rPr>
          <w:u w:val="single"/>
        </w:rPr>
      </w:pPr>
      <w:r>
        <w:t>An evaluation of the current law of England and Wales and suggested proposals for reform</w:t>
      </w:r>
    </w:p>
    <w:p w14:paraId="77FA771A" w14:textId="77777777" w:rsidR="00B73A4B" w:rsidRDefault="00B73A4B" w:rsidP="00B73A4B">
      <w:pPr>
        <w:pStyle w:val="Heading1"/>
        <w:rPr>
          <w:u w:val="single"/>
        </w:rPr>
      </w:pPr>
    </w:p>
    <w:p w14:paraId="58EEB04B" w14:textId="77777777" w:rsidR="00B73A4B" w:rsidRDefault="00B73A4B" w:rsidP="00B73A4B">
      <w:pPr>
        <w:pStyle w:val="Heading1"/>
        <w:rPr>
          <w:u w:val="single"/>
        </w:rPr>
      </w:pPr>
    </w:p>
    <w:p w14:paraId="67011F8A" w14:textId="77777777" w:rsidR="00B73A4B" w:rsidRDefault="00B73A4B" w:rsidP="00B73A4B">
      <w:pPr>
        <w:pStyle w:val="Heading3"/>
      </w:pPr>
    </w:p>
    <w:p w14:paraId="498CB1D2" w14:textId="77777777" w:rsidR="00B73A4B" w:rsidRDefault="00B73A4B" w:rsidP="00B73A4B">
      <w:pPr>
        <w:pStyle w:val="Heading3"/>
      </w:pPr>
    </w:p>
    <w:p w14:paraId="3CA39957" w14:textId="77777777" w:rsidR="00B73A4B" w:rsidRDefault="00B73A4B" w:rsidP="00B73A4B">
      <w:pPr>
        <w:pStyle w:val="Heading3"/>
      </w:pPr>
    </w:p>
    <w:p w14:paraId="562F6421" w14:textId="77777777" w:rsidR="00B73A4B" w:rsidRDefault="00B73A4B" w:rsidP="00B73A4B">
      <w:pPr>
        <w:pStyle w:val="Heading3"/>
      </w:pPr>
    </w:p>
    <w:p w14:paraId="59D74DCA" w14:textId="77777777" w:rsidR="00B73A4B" w:rsidRDefault="00B73A4B" w:rsidP="00B73A4B">
      <w:pPr>
        <w:pStyle w:val="Heading3"/>
      </w:pPr>
    </w:p>
    <w:p w14:paraId="64F9A17A" w14:textId="33D01C6B" w:rsidR="00B73A4B" w:rsidRDefault="00B73A4B" w:rsidP="00B73A4B">
      <w:pPr>
        <w:pStyle w:val="Heading3"/>
        <w:jc w:val="center"/>
      </w:pPr>
      <w:r>
        <w:t>Gabrial Harris 2305593</w:t>
      </w:r>
    </w:p>
    <w:p w14:paraId="49D17C78" w14:textId="043B1E88" w:rsidR="00B73A4B" w:rsidRDefault="00B73A4B" w:rsidP="00B73A4B">
      <w:pPr>
        <w:pStyle w:val="Heading1"/>
        <w:rPr>
          <w:u w:val="single"/>
        </w:rPr>
      </w:pPr>
      <w:r w:rsidRPr="00B73A4B">
        <w:rPr>
          <w:u w:val="single"/>
        </w:rPr>
        <w:lastRenderedPageBreak/>
        <w:t>Pages</w:t>
      </w:r>
    </w:p>
    <w:p w14:paraId="38038A0D" w14:textId="39901637" w:rsidR="00B73A4B" w:rsidRDefault="00B73A4B" w:rsidP="00B73A4B">
      <w:r>
        <w:t>Introduction – p.3</w:t>
      </w:r>
    </w:p>
    <w:p w14:paraId="11007B0F" w14:textId="0C5ED1D4" w:rsidR="00B73A4B" w:rsidRDefault="00B73A4B" w:rsidP="00B73A4B">
      <w:r>
        <w:t>Current Position – p.3</w:t>
      </w:r>
    </w:p>
    <w:p w14:paraId="4A202B7D" w14:textId="7912C8B2" w:rsidR="00B73A4B" w:rsidRDefault="00B73A4B" w:rsidP="00B73A4B">
      <w:r>
        <w:t>Current Challenges – p.3-5</w:t>
      </w:r>
    </w:p>
    <w:p w14:paraId="7528D069" w14:textId="328FACA0" w:rsidR="00B73A4B" w:rsidRDefault="00B73A4B" w:rsidP="00B73A4B">
      <w:r>
        <w:t>Proposals for Reform – p. 5</w:t>
      </w:r>
    </w:p>
    <w:p w14:paraId="2BB1D632" w14:textId="733B449A" w:rsidR="00B73A4B" w:rsidRDefault="00B73A4B" w:rsidP="00B73A4B">
      <w:r>
        <w:t>Evaluation of Reform Proposals - p.5 - 6</w:t>
      </w:r>
    </w:p>
    <w:p w14:paraId="53A89AEC" w14:textId="1A62C47D" w:rsidR="00B73A4B" w:rsidRDefault="00B73A4B" w:rsidP="00B73A4B">
      <w:r>
        <w:t>Conclusion – p.7</w:t>
      </w:r>
    </w:p>
    <w:p w14:paraId="4076D9EC" w14:textId="0221829E" w:rsidR="00B73A4B" w:rsidRDefault="00B73A4B" w:rsidP="00B73A4B">
      <w:r>
        <w:t>References – p.8</w:t>
      </w:r>
    </w:p>
    <w:p w14:paraId="71E17533" w14:textId="77777777" w:rsidR="00B73A4B" w:rsidRDefault="00B73A4B" w:rsidP="00B73A4B"/>
    <w:p w14:paraId="26A913D3" w14:textId="77777777" w:rsidR="00B73A4B" w:rsidRDefault="00B73A4B" w:rsidP="00B73A4B"/>
    <w:p w14:paraId="69D67062" w14:textId="77777777" w:rsidR="00B73A4B" w:rsidRDefault="00B73A4B" w:rsidP="00B73A4B"/>
    <w:p w14:paraId="05292E3A" w14:textId="77777777" w:rsidR="00B73A4B" w:rsidRDefault="00B73A4B" w:rsidP="00B73A4B"/>
    <w:p w14:paraId="63A5CE91" w14:textId="77777777" w:rsidR="00B73A4B" w:rsidRDefault="00B73A4B" w:rsidP="00B73A4B"/>
    <w:p w14:paraId="72B34730" w14:textId="77777777" w:rsidR="00B73A4B" w:rsidRDefault="00B73A4B" w:rsidP="00B73A4B"/>
    <w:p w14:paraId="5405F04A" w14:textId="77777777" w:rsidR="00B73A4B" w:rsidRDefault="00B73A4B" w:rsidP="00B73A4B"/>
    <w:p w14:paraId="6D1D3650" w14:textId="77777777" w:rsidR="00B73A4B" w:rsidRDefault="00B73A4B" w:rsidP="00B73A4B"/>
    <w:p w14:paraId="2EFF4E88" w14:textId="77777777" w:rsidR="00B73A4B" w:rsidRDefault="00B73A4B" w:rsidP="00B73A4B"/>
    <w:p w14:paraId="79DB10B8" w14:textId="77777777" w:rsidR="00B73A4B" w:rsidRDefault="00B73A4B" w:rsidP="00B73A4B"/>
    <w:p w14:paraId="562B7801" w14:textId="77777777" w:rsidR="00B73A4B" w:rsidRDefault="00B73A4B" w:rsidP="00B73A4B"/>
    <w:p w14:paraId="272A562C" w14:textId="77777777" w:rsidR="00B73A4B" w:rsidRDefault="00B73A4B" w:rsidP="00B73A4B"/>
    <w:p w14:paraId="7E457443" w14:textId="77777777" w:rsidR="00B73A4B" w:rsidRDefault="00B73A4B" w:rsidP="00B73A4B"/>
    <w:p w14:paraId="5581784F" w14:textId="77777777" w:rsidR="00B73A4B" w:rsidRDefault="00B73A4B" w:rsidP="00B73A4B"/>
    <w:p w14:paraId="5D984661" w14:textId="77777777" w:rsidR="00B73A4B" w:rsidRDefault="00B73A4B" w:rsidP="00B73A4B"/>
    <w:p w14:paraId="2B94E887" w14:textId="77777777" w:rsidR="00B73A4B" w:rsidRDefault="00B73A4B" w:rsidP="00B73A4B"/>
    <w:p w14:paraId="1C3254BC" w14:textId="77777777" w:rsidR="00B73A4B" w:rsidRDefault="00B73A4B" w:rsidP="00B73A4B"/>
    <w:p w14:paraId="05CA24E2" w14:textId="77777777" w:rsidR="00B73A4B" w:rsidRDefault="00B73A4B" w:rsidP="00B73A4B"/>
    <w:p w14:paraId="0AE0794B" w14:textId="77777777" w:rsidR="00B73A4B" w:rsidRDefault="00B73A4B" w:rsidP="00B73A4B"/>
    <w:p w14:paraId="09AD2BCA" w14:textId="77777777" w:rsidR="00B73A4B" w:rsidRDefault="00B73A4B" w:rsidP="00B73A4B"/>
    <w:p w14:paraId="230C650A" w14:textId="77777777" w:rsidR="00B73A4B" w:rsidRPr="00B73A4B" w:rsidRDefault="00B73A4B" w:rsidP="00B73A4B">
      <w:pPr>
        <w:pStyle w:val="Heading1"/>
        <w:rPr>
          <w:u w:val="single"/>
        </w:rPr>
      </w:pPr>
      <w:r w:rsidRPr="00B73A4B">
        <w:rPr>
          <w:u w:val="single"/>
        </w:rPr>
        <w:lastRenderedPageBreak/>
        <w:t>Introduction</w:t>
      </w:r>
    </w:p>
    <w:p w14:paraId="667E91B6" w14:textId="746CF28E" w:rsidR="00B4159C" w:rsidRPr="00B73A4B" w:rsidRDefault="00B73A4B">
      <w:pPr>
        <w:rPr>
          <w:u w:val="single"/>
        </w:rPr>
      </w:pPr>
      <w:r>
        <w:t>Under the law of trusts, trustees are those entrusted with the protection and maintenance of assets held for the benefit of others, called the beneficiaries. These trustees have duties to their</w:t>
      </w:r>
      <w:r>
        <w:rPr>
          <w:u w:val="single"/>
        </w:rPr>
        <w:t xml:space="preserve"> </w:t>
      </w:r>
      <w:r>
        <w:t>beneficiaries (Clough v Bond [1838]) in regard to the safeguarding of the trust assets, act in</w:t>
      </w:r>
      <w:r>
        <w:t xml:space="preserve"> </w:t>
      </w:r>
      <w:r w:rsidR="00993F63">
        <w:t>accordance with the</w:t>
      </w:r>
      <w:r w:rsidR="00B576EE">
        <w:t xml:space="preserve"> founding</w:t>
      </w:r>
      <w:r w:rsidR="00993F63">
        <w:t xml:space="preserve"> trust </w:t>
      </w:r>
      <w:r w:rsidR="00B576EE">
        <w:t>instrument and not ultra vires of it, to act in accordance of what is expected of the average businessman</w:t>
      </w:r>
      <w:r w:rsidR="000B327C">
        <w:t xml:space="preserve"> or of a specialist where they act in a specialist capacity</w:t>
      </w:r>
      <w:r w:rsidR="00B576EE">
        <w:t xml:space="preserve"> (</w:t>
      </w:r>
      <w:r w:rsidR="005C3C2C">
        <w:t>Charitable Corporation v Sutton [1742]</w:t>
      </w:r>
      <w:r w:rsidR="000B327C">
        <w:t>, Trustee Act 2000 s.1</w:t>
      </w:r>
      <w:r w:rsidR="005C3C2C">
        <w:t>),</w:t>
      </w:r>
      <w:r w:rsidR="000B327C">
        <w:t xml:space="preserve"> and to act in the best interests of the trust and the beneficiaries of said trust (Re Merchant Navy Ratings Pension Fund [2015])</w:t>
      </w:r>
      <w:r w:rsidR="00A83A5D">
        <w:t xml:space="preserve">. </w:t>
      </w:r>
    </w:p>
    <w:p w14:paraId="042A2845" w14:textId="063EA0B6" w:rsidR="00B84F26" w:rsidRDefault="00A83A5D">
      <w:r>
        <w:t xml:space="preserve">Where trustees do not act appropriately in regard to their duties, a beneficiary make bring a claim against them, however this is significantly restricted due to one key omission within the law as to the duties of a trustee; trustees are under no </w:t>
      </w:r>
      <w:r w:rsidR="00B4159C">
        <w:t xml:space="preserve">statutory </w:t>
      </w:r>
      <w:r>
        <w:t xml:space="preserve">obligation to </w:t>
      </w:r>
      <w:r w:rsidR="00B4159C">
        <w:t xml:space="preserve">provide information as to the operation of the trust or their maintenance of the trust assets, meaning beneficiaries may be unaware of breaches of duty by trustees unless sharing of information is specifically required under the provisions of the trust instrument, and thus be unable to bring a claim against them. </w:t>
      </w:r>
    </w:p>
    <w:p w14:paraId="6D299406" w14:textId="36165F99" w:rsidR="00B4159C" w:rsidRDefault="00B4159C">
      <w:r>
        <w:t xml:space="preserve">This report will evaluate reform proposals </w:t>
      </w:r>
      <w:proofErr w:type="gramStart"/>
      <w:r>
        <w:t>on the subject of information</w:t>
      </w:r>
      <w:proofErr w:type="gramEnd"/>
      <w:r>
        <w:t xml:space="preserve"> sharing and disclosure between trustees and beneficiaries under the law of England and Wales. </w:t>
      </w:r>
    </w:p>
    <w:p w14:paraId="081789C1" w14:textId="6A092C44" w:rsidR="00967FB2" w:rsidRPr="00B73A4B" w:rsidRDefault="00967FB2" w:rsidP="00B73A4B">
      <w:pPr>
        <w:pStyle w:val="Heading1"/>
        <w:rPr>
          <w:u w:val="single"/>
        </w:rPr>
      </w:pPr>
      <w:r w:rsidRPr="00B73A4B">
        <w:rPr>
          <w:u w:val="single"/>
        </w:rPr>
        <w:t xml:space="preserve">Current Position </w:t>
      </w:r>
    </w:p>
    <w:p w14:paraId="3B077903" w14:textId="608F8912" w:rsidR="00967FB2" w:rsidRDefault="008F22AE">
      <w:r>
        <w:t>Currently, under the law of England and Wales, there is no specific</w:t>
      </w:r>
      <w:r w:rsidR="00E652D5">
        <w:t xml:space="preserve"> statutory</w:t>
      </w:r>
      <w:r>
        <w:t xml:space="preserve"> duty upon </w:t>
      </w:r>
      <w:r w:rsidR="00E652D5">
        <w:t>trustees to disclose information as to their administration of the trust</w:t>
      </w:r>
      <w:r w:rsidR="000569CA">
        <w:t>. While Trustees are under duty to act reasonably as compared to the ordinary businessman, or a specialist where they take on specialist tasks or use specialist knowledge,</w:t>
      </w:r>
      <w:r w:rsidR="00A52082">
        <w:t xml:space="preserve"> and to act in the best interests of the trust and beneficiaries,</w:t>
      </w:r>
      <w:r w:rsidR="000569CA">
        <w:t xml:space="preserve"> however </w:t>
      </w:r>
      <w:r w:rsidR="00A52082">
        <w:t xml:space="preserve">these common law duties pose issues for beneficiaries that wish to enforce the trust instrument, as no breach of duty can be proven without information on how the trustees have acted in relation to their duties. </w:t>
      </w:r>
      <w:r w:rsidR="00D8307E">
        <w:t xml:space="preserve">This creates a de facto inability to enforce, breaching the equitable maxim </w:t>
      </w:r>
      <w:r w:rsidR="00386EBC">
        <w:t xml:space="preserve">“Equity looks at substance, not form” (Parkin v Thorold [1852]) </w:t>
      </w:r>
      <w:r w:rsidR="009054DB">
        <w:t>by making substance inaccessible, and thus making any attempt at equitable resolutions via the court completely moot. Laws exist</w:t>
      </w:r>
      <w:r w:rsidR="004C1034">
        <w:t xml:space="preserve"> in other comparable nations, with legal systems originating with the Common Law system of England and Wales,</w:t>
      </w:r>
      <w:r w:rsidR="009054DB">
        <w:t xml:space="preserve"> to prevent this self-defeating scenario by creating a </w:t>
      </w:r>
      <w:r w:rsidR="004C1034">
        <w:t xml:space="preserve">statutory </w:t>
      </w:r>
      <w:r w:rsidR="009054DB">
        <w:t>duty to disclose information t</w:t>
      </w:r>
      <w:r w:rsidR="004C1034">
        <w:t>o the beneficiaries</w:t>
      </w:r>
      <w:r w:rsidR="00D213EF">
        <w:t>, such as the Trusts and Succession Scotland Act 2024</w:t>
      </w:r>
      <w:r w:rsidR="004C1034">
        <w:t xml:space="preserve">. </w:t>
      </w:r>
    </w:p>
    <w:p w14:paraId="402133BC" w14:textId="0FB5FE3D" w:rsidR="00D213EF" w:rsidRPr="00B73A4B" w:rsidRDefault="00D213EF" w:rsidP="00B73A4B">
      <w:pPr>
        <w:pStyle w:val="Heading1"/>
        <w:rPr>
          <w:u w:val="single"/>
        </w:rPr>
      </w:pPr>
      <w:r w:rsidRPr="00B73A4B">
        <w:rPr>
          <w:u w:val="single"/>
        </w:rPr>
        <w:t xml:space="preserve">Current Challenges </w:t>
      </w:r>
    </w:p>
    <w:p w14:paraId="5A14B338" w14:textId="5405AE20" w:rsidR="00A638C4" w:rsidRDefault="00A638C4">
      <w:r>
        <w:t xml:space="preserve">One of the main challenges currently </w:t>
      </w:r>
      <w:r w:rsidR="00CB2FA8">
        <w:t xml:space="preserve">present in the law of England and Wales is the issue of non-disclosure and statutory limitations. Non-disclosure and the lack of a statutory duty to </w:t>
      </w:r>
      <w:r w:rsidR="00CB3C2E">
        <w:t>disclose</w:t>
      </w:r>
      <w:r w:rsidR="00CB2FA8">
        <w:t xml:space="preserve"> protects the actions of trustees from scrutiny by beneficiaries or third parties. This creates a circular logic, in which a beneficiary must have knowledge of a breach in order </w:t>
      </w:r>
      <w:r w:rsidR="00202E0B">
        <w:t xml:space="preserve">to be remediated for it, however, it is unlikely they will be aware of the breach, as any documents that would show the existence of a breach once scrutinized may not be available to beneficiary, completely invalidating any opportunity to be remediated. </w:t>
      </w:r>
      <w:r w:rsidR="00CB3C2E">
        <w:t xml:space="preserve">This </w:t>
      </w:r>
      <w:r w:rsidR="002F0D89">
        <w:t xml:space="preserve">will likely not affect visible and </w:t>
      </w:r>
      <w:r w:rsidR="002F0D89">
        <w:lastRenderedPageBreak/>
        <w:t>severe breaches, such as neglect of trust property, however</w:t>
      </w:r>
      <w:r w:rsidR="00F838BF">
        <w:t>,</w:t>
      </w:r>
      <w:r w:rsidR="002F0D89">
        <w:t xml:space="preserve"> it will </w:t>
      </w:r>
      <w:r w:rsidR="00EE7954">
        <w:t xml:space="preserve">affect cases that are less obvious in nature, such as fraud. </w:t>
      </w:r>
    </w:p>
    <w:p w14:paraId="32A9B498" w14:textId="16437E06" w:rsidR="00684820" w:rsidRDefault="00684820">
      <w:r>
        <w:t>Legislation does exist in England and Wales that indirectly address issues caused by non-disclosure, such as the Trustee Act 2000. This act places duties upon trusties in section 1, being a blanket duty to exercise reasonable care and skill and sections 4 and 5, being the duty to apply the statutory standard investment criteria as well as seek advice on any prospective investment respectively. The Trus</w:t>
      </w:r>
      <w:r w:rsidR="00B73A4B">
        <w:t>t</w:t>
      </w:r>
      <w:r>
        <w:t>s of Land and Appointment of Trustee</w:t>
      </w:r>
      <w:r w:rsidR="00B73A4B">
        <w:t>s</w:t>
      </w:r>
      <w:r>
        <w:t xml:space="preserve"> act 1996, section 11 places the duty to consult with beneficiaries wherever practicable relating to their powers to control land that is held as trust property. These duties provide </w:t>
      </w:r>
      <w:r w:rsidR="006D3FB4">
        <w:t xml:space="preserve">a pre-emptive solution to any actions that would usually be hidden through non-disclosure by barring trustees from taking such actions, </w:t>
      </w:r>
      <w:r w:rsidR="00C733D9">
        <w:t>however,</w:t>
      </w:r>
      <w:r w:rsidR="006D3FB4">
        <w:t xml:space="preserve"> provide no awareness to the beneficiary once the actions have already been undertaken. </w:t>
      </w:r>
    </w:p>
    <w:p w14:paraId="06F4F5CF" w14:textId="0380258D" w:rsidR="00976C19" w:rsidRDefault="008012E9">
      <w:r>
        <w:t xml:space="preserve">As per </w:t>
      </w:r>
      <w:r w:rsidR="00662FC0">
        <w:t xml:space="preserve">Schmidt v Rosewood Trust </w:t>
      </w:r>
      <w:r w:rsidR="00B73A4B">
        <w:t>Ltd</w:t>
      </w:r>
      <w:r w:rsidR="00662FC0">
        <w:t xml:space="preserve"> (2003)</w:t>
      </w:r>
      <w:r w:rsidR="00976C19">
        <w:t xml:space="preserve"> and Re Londonderry’s Settlement (1965)</w:t>
      </w:r>
      <w:r>
        <w:t>, no</w:t>
      </w:r>
      <w:r w:rsidR="00662FC0">
        <w:t xml:space="preserve"> absolute</w:t>
      </w:r>
      <w:r w:rsidR="00976C19">
        <w:t xml:space="preserve"> or prima facie</w:t>
      </w:r>
      <w:r>
        <w:t xml:space="preserve"> right to disclosure currently exists for beneficiaries</w:t>
      </w:r>
      <w:r w:rsidR="00662FC0">
        <w:t xml:space="preserve"> in equity</w:t>
      </w:r>
      <w:r w:rsidR="00684820">
        <w:t>, precedent</w:t>
      </w:r>
      <w:r w:rsidR="00662FC0">
        <w:t xml:space="preserve"> or statute.</w:t>
      </w:r>
      <w:r w:rsidR="0081534B">
        <w:t xml:space="preserve"> In Re Londonderry’s Settlement (1965), it was decided that no right exists for beneficiaries to demand disclosure, however, this was later overturned in Schmidt v Rosewood </w:t>
      </w:r>
      <w:r w:rsidR="00B73A4B">
        <w:t>Ltd</w:t>
      </w:r>
      <w:r w:rsidR="0081534B">
        <w:t xml:space="preserve"> (2003) in favour of a discretionary system decided by the courts</w:t>
      </w:r>
      <w:r w:rsidR="00F838BF">
        <w:t>.</w:t>
      </w:r>
      <w:r w:rsidR="0081534B">
        <w:t xml:space="preserve"> </w:t>
      </w:r>
      <w:r w:rsidR="00662FC0">
        <w:t xml:space="preserve"> The ability for a beneficiary to have trust documents disclosed to them is entirely at the discretion of the judge, as competing rights between trustee and beneficiary may have to be balanced</w:t>
      </w:r>
      <w:r w:rsidR="004F3630">
        <w:t>, which is especially relevant after the royal assent of the Data Protection Act 2018, which largely entrenched the regulations found in the EU General Data Protection Regulations (2016) into the law of England and Wales, requiring professionals, including trustees to undertake duties to protect the personal information of individuals</w:t>
      </w:r>
      <w:r w:rsidR="00662FC0">
        <w:t xml:space="preserve">. </w:t>
      </w:r>
      <w:r w:rsidR="00A638C4">
        <w:t xml:space="preserve">This </w:t>
      </w:r>
      <w:r w:rsidR="00202E0B">
        <w:t xml:space="preserve">compounds on the prior issue, and feeds into the circular logic preventing </w:t>
      </w:r>
      <w:r w:rsidR="00CB3C2E">
        <w:t>remediation of beneficiaries</w:t>
      </w:r>
      <w:r w:rsidR="00D90BC5">
        <w:t>, as is well demonstrated in t</w:t>
      </w:r>
      <w:r w:rsidR="00481CA7">
        <w:t>he case of Adair’s Factor v Connel’s Trustees (1894)</w:t>
      </w:r>
      <w:r w:rsidR="00D90BC5">
        <w:t xml:space="preserve">. </w:t>
      </w:r>
      <w:r w:rsidR="00C733D9">
        <w:t xml:space="preserve">Furthermore, trustees, </w:t>
      </w:r>
      <w:proofErr w:type="gramStart"/>
      <w:r w:rsidR="00C733D9">
        <w:t>in the event that</w:t>
      </w:r>
      <w:proofErr w:type="gramEnd"/>
      <w:r w:rsidR="00C733D9">
        <w:t xml:space="preserve"> their discretion is misused, may choose not to disclose documents necessary for litigation, making the beneficiary’s oversight of the trustee’s actions impossible without judicial intervention, as was seen in Dawson-Damer &amp; Others v Taylor Wessing LLP (2020). </w:t>
      </w:r>
    </w:p>
    <w:p w14:paraId="6E07FE9D" w14:textId="4F2296C9" w:rsidR="00D90BC5" w:rsidRDefault="00D90BC5">
      <w:r>
        <w:t>The rights of beneficiaries in this regard may lead to uncertainty, possibly undermining the principles underlying trust law. As is shown in Re Merchant Navy Ratings Pension Fund (2015), trust law is reliant at its core upon a sense of loyalty and faith between trustees and beneficiaries</w:t>
      </w:r>
      <w:r w:rsidR="00810D7F">
        <w:t xml:space="preserve">, which is directly undermined by refusals to disclose or provide confidence to beneficiaries, regardless of a trustee’s entitlement to do so. </w:t>
      </w:r>
    </w:p>
    <w:p w14:paraId="6EDEAED5" w14:textId="02D3CE5D" w:rsidR="00810D7F" w:rsidRDefault="00810D7F">
      <w:r>
        <w:t>The current system under which disclosure is handled in England and Wales requires intervention by the courts in the event of non-disclosure due to its discretionary nature (Schmidt v Rosewood Trust Co [2003]). This places undue</w:t>
      </w:r>
      <w:r w:rsidR="00C733D9">
        <w:t xml:space="preserve"> and unfair</w:t>
      </w:r>
      <w:r>
        <w:t xml:space="preserve"> financial strain upon the beneficiary attempting to gain disclosure through litigation c</w:t>
      </w:r>
      <w:r w:rsidR="00C733D9">
        <w:t xml:space="preserve">osts, as well as the trustee, especially in situations where the trustee’s discretion to not disclose was misused accidentally. </w:t>
      </w:r>
    </w:p>
    <w:p w14:paraId="31E5AAAE" w14:textId="0605DD55" w:rsidR="00C733D9" w:rsidRDefault="00C733D9">
      <w:r>
        <w:t xml:space="preserve">Additionally, no guidance currently exists as to where the rights of beneficiaries and trustee’s rights are in conflict, especially when deciding which documents are confidential or privileged in nature, barring them from disclosure. This creates a confusing system in which the discretion of a trustee whether to disclose documents is based entirely in their own judgement. </w:t>
      </w:r>
    </w:p>
    <w:p w14:paraId="593180C8" w14:textId="6A656861" w:rsidR="006F12AF" w:rsidRDefault="006F12AF">
      <w:r>
        <w:t xml:space="preserve">While law and equity seem lacking on the topic of disclosure in England and Wales, other comparable nations have already introduced </w:t>
      </w:r>
      <w:r w:rsidR="00B56788">
        <w:t>legislati</w:t>
      </w:r>
      <w:r w:rsidR="006D3FB4">
        <w:t>on</w:t>
      </w:r>
      <w:r w:rsidR="00B56788">
        <w:t xml:space="preserve"> that specifically combats the effect of </w:t>
      </w:r>
      <w:r w:rsidR="00FD5858">
        <w:lastRenderedPageBreak/>
        <w:t>non-disclosure by trustees</w:t>
      </w:r>
      <w:r w:rsidR="00DF143A">
        <w:t>, such as the Trusts and Succession (Scotland) Act 2024, which provides statutory duties to provide information to beneficiaries of a trust, both on request and without request, in sections 30 and 29 respectively.</w:t>
      </w:r>
    </w:p>
    <w:p w14:paraId="73FC95C7" w14:textId="77777777" w:rsidR="00B73A4B" w:rsidRDefault="00B73A4B"/>
    <w:p w14:paraId="6413AB9A" w14:textId="3C0AEA21" w:rsidR="00B73A4B" w:rsidRPr="00B73A4B" w:rsidRDefault="006F12AF" w:rsidP="00B73A4B">
      <w:pPr>
        <w:pStyle w:val="Heading1"/>
        <w:rPr>
          <w:u w:val="single"/>
        </w:rPr>
      </w:pPr>
      <w:r w:rsidRPr="00B73A4B">
        <w:rPr>
          <w:u w:val="single"/>
        </w:rPr>
        <w:t>Proposals for Reform</w:t>
      </w:r>
    </w:p>
    <w:p w14:paraId="39293CF5" w14:textId="4FDD3460" w:rsidR="006F12AF" w:rsidRDefault="006F12AF">
      <w:r>
        <w:t xml:space="preserve">In response to </w:t>
      </w:r>
      <w:r w:rsidR="00DF143A">
        <w:t xml:space="preserve">the </w:t>
      </w:r>
      <w:r>
        <w:t>issue</w:t>
      </w:r>
      <w:r w:rsidR="00DF143A">
        <w:t xml:space="preserve"> mentioned in prior sections of this report</w:t>
      </w:r>
      <w:r>
        <w:t xml:space="preserve">, </w:t>
      </w:r>
      <w:r w:rsidR="00DF143A">
        <w:t>reform proposals have been submitted in the form of a draft bill, shown below.</w:t>
      </w:r>
    </w:p>
    <w:p w14:paraId="12C8287E" w14:textId="77777777" w:rsidR="004F3630" w:rsidRPr="004F3630" w:rsidRDefault="004F3630" w:rsidP="004F3630">
      <w:r w:rsidRPr="004F3630">
        <w:rPr>
          <w:b/>
          <w:bCs/>
          <w:u w:val="single"/>
        </w:rPr>
        <w:t>BILL TITLE – TRUSTEE DISCLOSURE AND BENEFICIARY INFORMATION ACT 2026.</w:t>
      </w:r>
      <w:r w:rsidRPr="004F3630">
        <w:t>  </w:t>
      </w:r>
    </w:p>
    <w:p w14:paraId="23C628CA" w14:textId="77777777" w:rsidR="004F3630" w:rsidRPr="004F3630" w:rsidRDefault="004F3630" w:rsidP="004F3630">
      <w:r w:rsidRPr="004F3630">
        <w:rPr>
          <w:b/>
          <w:bCs/>
          <w:u w:val="single"/>
        </w:rPr>
        <w:t>Long Title &amp; Summary – </w:t>
      </w:r>
      <w:r w:rsidRPr="004F3630">
        <w:t>An Act to clarify and regulate trustees' duties to provide information to beneficiaries, to define categories of trust documents subject to disclosure and to establish principles governing trustee discretion and for connected purposes.  </w:t>
      </w:r>
    </w:p>
    <w:p w14:paraId="04179E02" w14:textId="77777777" w:rsidR="004F3630" w:rsidRPr="004F3630" w:rsidRDefault="004F3630" w:rsidP="004F3630">
      <w:r w:rsidRPr="004F3630">
        <w:rPr>
          <w:b/>
          <w:bCs/>
          <w:u w:val="single"/>
        </w:rPr>
        <w:t>Clause 1 – Statutory Right to Core Information</w:t>
      </w:r>
      <w:r w:rsidRPr="004F3630">
        <w:t> </w:t>
      </w:r>
      <w:r w:rsidRPr="004F3630">
        <w:br/>
        <w:t>A trustee shall, upon reasonable request, provide a beneficiary with: (a) the trust instrument; (b) annual trust accounts (c) a summary of trust assets and liabilities and (d) details of distributions made to that beneficiary. Disclosure under this section shall not require a court order unless disputed. A trustee may refuse disclosure where the request is vexatious, manifestly unreasonable, or contrary to the proper administration of the trust. </w:t>
      </w:r>
    </w:p>
    <w:p w14:paraId="1915774A" w14:textId="77777777" w:rsidR="004F3630" w:rsidRPr="004F3630" w:rsidRDefault="004F3630" w:rsidP="004F3630">
      <w:r w:rsidRPr="004F3630">
        <w:rPr>
          <w:b/>
          <w:bCs/>
          <w:u w:val="single"/>
        </w:rPr>
        <w:t>Clause 2 – Confidential and Deliberative Documents</w:t>
      </w:r>
      <w:r w:rsidRPr="004F3630">
        <w:t> </w:t>
      </w:r>
      <w:r w:rsidRPr="004F3630">
        <w:br/>
        <w:t>Trustees shall not be required to disclose documents recording their deliberations or reasons for discretionary decisions. Letters of wishes shall be presumed confidential. The court may order disclosure where necessary to ensure proper administration and where just and equitable in the circumstances. </w:t>
      </w:r>
    </w:p>
    <w:p w14:paraId="678E0D13" w14:textId="77777777" w:rsidR="004F3630" w:rsidRPr="004F3630" w:rsidRDefault="004F3630" w:rsidP="004F3630">
      <w:r w:rsidRPr="004F3630">
        <w:rPr>
          <w:b/>
          <w:bCs/>
          <w:u w:val="single"/>
        </w:rPr>
        <w:t>Clause 3 – Alternative Dispute Resolution</w:t>
      </w:r>
      <w:r w:rsidRPr="004F3630">
        <w:t> </w:t>
      </w:r>
      <w:r w:rsidRPr="004F3630">
        <w:br/>
        <w:t>Before commencing court proceedings relating to disclosure under this Act, the parties shall attempt resolution through mediation or another recognised form of alternative dispute resolution. The court may consider non-compliance when determining costs. </w:t>
      </w:r>
    </w:p>
    <w:p w14:paraId="674F152D" w14:textId="77777777" w:rsidR="00B73A4B" w:rsidRDefault="00B73A4B"/>
    <w:p w14:paraId="1937FED0" w14:textId="09C4D121" w:rsidR="00B73A4B" w:rsidRPr="00B73A4B" w:rsidRDefault="004F3630" w:rsidP="00B73A4B">
      <w:pPr>
        <w:pStyle w:val="Heading1"/>
        <w:rPr>
          <w:u w:val="single"/>
        </w:rPr>
      </w:pPr>
      <w:r w:rsidRPr="00B73A4B">
        <w:rPr>
          <w:u w:val="single"/>
        </w:rPr>
        <w:t>Evaluation of Reform Proposals</w:t>
      </w:r>
    </w:p>
    <w:p w14:paraId="45FF2A92" w14:textId="67706C09" w:rsidR="004F3630" w:rsidRDefault="009A3716">
      <w:r>
        <w:t xml:space="preserve">The reform proposals above seek to amend the current law on disclosure for trustees and beneficiaries. </w:t>
      </w:r>
    </w:p>
    <w:p w14:paraId="55C77C3F" w14:textId="77777777" w:rsidR="00B73A4B" w:rsidRDefault="008052F6" w:rsidP="00B73A4B">
      <w:pPr>
        <w:pStyle w:val="Heading2"/>
      </w:pPr>
      <w:r>
        <w:t>Clause 1</w:t>
      </w:r>
    </w:p>
    <w:p w14:paraId="55D1A41B" w14:textId="0267275B" w:rsidR="00B73A4B" w:rsidRDefault="00B73A4B">
      <w:r>
        <w:t>This</w:t>
      </w:r>
      <w:r w:rsidR="008052F6">
        <w:t xml:space="preserve"> provides a remedy to the issue of disclosure in relation to the fiduciary duties of the trustees and their management of assets and funds held in trust. This statutory obligation to disclose financial information does partially alleviate the issues posed by non-disclosure, providing beneficiaries with confidence </w:t>
      </w:r>
      <w:r w:rsidR="00884191">
        <w:t>in the actions of trustees</w:t>
      </w:r>
      <w:r w:rsidR="00F1304A">
        <w:t xml:space="preserve"> by requiring that trustees provide evidence that they are fulfilling their fiduciary duties</w:t>
      </w:r>
      <w:r w:rsidR="00D90BC5">
        <w:t xml:space="preserve">, particularly their core duty to act in the best interest of the trust and its beneficiaries in a financial context (Re Merchant Navy Ratings Pension Fund [2015]). </w:t>
      </w:r>
    </w:p>
    <w:p w14:paraId="16F7E84E" w14:textId="4DBC8F48" w:rsidR="000D4848" w:rsidRDefault="00D90BC5">
      <w:r>
        <w:lastRenderedPageBreak/>
        <w:t xml:space="preserve">Clause one also protects trustees from unfair or aggressive </w:t>
      </w:r>
      <w:r w:rsidR="00B73A4B">
        <w:t>litigation by beneficiaries where they may have undertaken no wrongdoing</w:t>
      </w:r>
      <w:r w:rsidR="00553CC5">
        <w:t>, section 61 of the Trustee Act 1925</w:t>
      </w:r>
      <w:r w:rsidR="00B73A4B">
        <w:t xml:space="preserve"> further reinforces this benefit, as it</w:t>
      </w:r>
      <w:r w:rsidR="00553CC5">
        <w:t xml:space="preserve"> relieves trustees of any liability where they have acted honestly in the administration of the trust regardless of outcome</w:t>
      </w:r>
      <w:r w:rsidR="00C77992">
        <w:t xml:space="preserve">. </w:t>
      </w:r>
    </w:p>
    <w:p w14:paraId="5EDA2E8C" w14:textId="77777777" w:rsidR="008D6F6C" w:rsidRDefault="000D4848">
      <w:r>
        <w:t xml:space="preserve">This clause </w:t>
      </w:r>
      <w:r w:rsidR="00C77992">
        <w:t>also allows beneficiaries the explicit right</w:t>
      </w:r>
      <w:r w:rsidR="00DD1485">
        <w:t xml:space="preserve"> in legislation</w:t>
      </w:r>
      <w:r w:rsidR="00C77992">
        <w:t xml:space="preserve"> to </w:t>
      </w:r>
      <w:r w:rsidR="00DD1485">
        <w:t xml:space="preserve">gain documents detailing the assets in trust, how investments have been made, and full accounts in relation to them, however once again, these rights already exist in </w:t>
      </w:r>
      <w:r>
        <w:t xml:space="preserve">common law in England and Wales (Mackay, 2024, p. 419). Despite these rights already existing in case law, there is still merit in entrenching them through legislation, making them more difficult to repeal or amend. </w:t>
      </w:r>
      <w:r w:rsidR="00216895">
        <w:t>mentioned in this clause, as this confidentiality already exists within common law as per Breakspear v Ackland (2009).</w:t>
      </w:r>
      <w:r w:rsidR="003D4336">
        <w:t xml:space="preserve"> </w:t>
      </w:r>
      <w:r w:rsidR="008D6F6C">
        <w:t xml:space="preserve">This does, regardless, provide confidence to trustees, allowing them certainty that the trust is properly administered through documentary evidence. </w:t>
      </w:r>
    </w:p>
    <w:p w14:paraId="6D0CE379" w14:textId="500805FA" w:rsidR="00216895" w:rsidRDefault="00216895" w:rsidP="00B73A4B">
      <w:pPr>
        <w:pStyle w:val="Heading2"/>
      </w:pPr>
      <w:r>
        <w:t xml:space="preserve">Clause 2 </w:t>
      </w:r>
    </w:p>
    <w:p w14:paraId="7941C0F4" w14:textId="77777777" w:rsidR="00B73A4B" w:rsidRDefault="003D4336">
      <w:r>
        <w:t xml:space="preserve">This clause exists largely to protect trustees from undue influence that may be imposed upon them by beneficiaries as to their decision making when acting in the best interests of the trust. These provisions do adequately protect the trustees by ensuring any documents that are confidential or would allow beneficiaries to impose undue influence upon them be kept from said beneficiaries, however, this clause suffers from the same issues </w:t>
      </w:r>
      <w:r w:rsidR="005C6C7B">
        <w:t xml:space="preserve">as the previous. These provisions already exist in common law, as per Re Londonderry’s Settlement (1965), where letters of wishes are concerned, and Breakspear v Ackland (2009) </w:t>
      </w:r>
      <w:r w:rsidR="008D6F6C">
        <w:t xml:space="preserve">where documentation of the deliberations of trustees is concerned. The latter part of this clause also allows the court to force the disclosure of these documents where necessary, however this can already be done under Schmidt v Rosewood Trust Co (2003). Again, there is, regardless, value in entrenching these rights to prevent them from being fundamentally altered by the courts, creating ongoing certainty of their rights to beneficiaries. </w:t>
      </w:r>
    </w:p>
    <w:p w14:paraId="6FCB3AD1" w14:textId="66918FAD" w:rsidR="003D4336" w:rsidRDefault="008D6F6C">
      <w:r>
        <w:t>This clause also fails to address the circular logic preventing remediation of beneficiaries</w:t>
      </w:r>
      <w:r w:rsidR="00867E11">
        <w:t>, by allowing documents that would show trustee’s deliberations, meaning any conspiracy to commit fraud, or any actual fraud or neglect that is not directly evident in accounts will go unnoticed, as it did it in Adair’s Factor v Connel’s Trustees (1894). This issue would be rectified by only extending a p</w:t>
      </w:r>
      <w:r w:rsidR="00C128C9">
        <w:t xml:space="preserve">resumption towards non-disclosure to letters of wishes. </w:t>
      </w:r>
    </w:p>
    <w:p w14:paraId="63B8B24F" w14:textId="12BC0E25" w:rsidR="00C128C9" w:rsidRDefault="00C128C9" w:rsidP="00B73A4B">
      <w:pPr>
        <w:pStyle w:val="Heading2"/>
      </w:pPr>
      <w:r>
        <w:t>Clause 3</w:t>
      </w:r>
    </w:p>
    <w:p w14:paraId="23F344B2" w14:textId="7B55EEE7" w:rsidR="00C128C9" w:rsidRDefault="00C128C9">
      <w:r>
        <w:t xml:space="preserve">The third and final clause proposed would require that both parties attend alternative dispute resolution before one brings proceedings against the other. This would significantly reduce the cost upon both parties in </w:t>
      </w:r>
      <w:r w:rsidR="005434F2">
        <w:t>straight-forward</w:t>
      </w:r>
      <w:r>
        <w:t xml:space="preserve"> cases, or where there is genuine mistake or miscommunication. Alternative dispute resolution would allow parties to find common ground and decide between themselves the best possible compromise, however, this has its flaws. Alternative dispute resolution is non-binding, meaning non-compliance with the decided outcomes would mean that litigation would need to be brought regardless</w:t>
      </w:r>
      <w:r w:rsidR="00565AD6">
        <w:t>, and no specific mention of non-compliance with the outcomes of alternative dispute resolution is made in the clause, though non-compliance with alternative despite resolution generally is mentioned to affect costs</w:t>
      </w:r>
      <w:r>
        <w:t xml:space="preserve">. </w:t>
      </w:r>
      <w:r w:rsidR="00565AD6">
        <w:t xml:space="preserve">Additionally, </w:t>
      </w:r>
      <w:r w:rsidR="005434F2">
        <w:t xml:space="preserve">this non-compliance may increase costs long term in cases of complex breaches of trust or fraud, or where malicious behaviour has been undertaken by a trustee, causing increasingly high upfront costs to the beneficiary due to the requirement to use alternative dispute resolution before litigation. </w:t>
      </w:r>
    </w:p>
    <w:p w14:paraId="67BA6717" w14:textId="05814A10" w:rsidR="005434F2" w:rsidRPr="00B73A4B" w:rsidRDefault="005434F2" w:rsidP="00B73A4B">
      <w:pPr>
        <w:pStyle w:val="Heading1"/>
        <w:rPr>
          <w:u w:val="single"/>
        </w:rPr>
      </w:pPr>
      <w:r w:rsidRPr="00B73A4B">
        <w:rPr>
          <w:u w:val="single"/>
        </w:rPr>
        <w:lastRenderedPageBreak/>
        <w:t>Conclusion</w:t>
      </w:r>
    </w:p>
    <w:p w14:paraId="7DB7A70C" w14:textId="2B278A04" w:rsidR="005434F2" w:rsidRDefault="005434F2">
      <w:r>
        <w:t xml:space="preserve">The law of England and Wales, in statute, equity, and precedent, is severely lacking and particularly unclear on the rights of beneficiaries to disclosure of documents. The reform proposals given seek to remedy some of the deficiencies in the law in relation to this issue, </w:t>
      </w:r>
      <w:r w:rsidR="00BB3F11">
        <w:t>however,</w:t>
      </w:r>
      <w:r>
        <w:t xml:space="preserve"> largely fail at doing so due to the presence of already existing precedent to the same effect. The proposals </w:t>
      </w:r>
      <w:r w:rsidR="00BB3F11">
        <w:t>do,</w:t>
      </w:r>
      <w:r>
        <w:t xml:space="preserve"> however, have merit </w:t>
      </w:r>
      <w:r w:rsidR="00BB3F11">
        <w:t xml:space="preserve">outside of an attempt to remedy the problems found in this area of law, through entrenching the rights of the beneficiaries in statute, providing clarity to them and the trustees, while reducing costs associated with litigation in simple or miscommunicated cases of non-disclosure. </w:t>
      </w:r>
    </w:p>
    <w:p w14:paraId="62C7303A" w14:textId="77777777" w:rsidR="00B73A4B" w:rsidRDefault="00B73A4B"/>
    <w:p w14:paraId="11480ED6" w14:textId="77777777" w:rsidR="00B73A4B" w:rsidRDefault="00B73A4B"/>
    <w:p w14:paraId="57E6E957" w14:textId="77777777" w:rsidR="00B73A4B" w:rsidRDefault="00B73A4B"/>
    <w:p w14:paraId="20894F17" w14:textId="77777777" w:rsidR="00B73A4B" w:rsidRDefault="00B73A4B"/>
    <w:p w14:paraId="3198F5D4" w14:textId="77777777" w:rsidR="00B73A4B" w:rsidRDefault="00B73A4B"/>
    <w:p w14:paraId="40B3FE8B" w14:textId="77777777" w:rsidR="00B73A4B" w:rsidRDefault="00B73A4B"/>
    <w:p w14:paraId="29108CC2" w14:textId="77777777" w:rsidR="00B73A4B" w:rsidRDefault="00B73A4B"/>
    <w:p w14:paraId="1B14A458" w14:textId="77777777" w:rsidR="00B73A4B" w:rsidRDefault="00B73A4B"/>
    <w:p w14:paraId="278BA192" w14:textId="77777777" w:rsidR="00B73A4B" w:rsidRDefault="00B73A4B"/>
    <w:p w14:paraId="5D5CF8A4" w14:textId="77777777" w:rsidR="00B73A4B" w:rsidRDefault="00B73A4B"/>
    <w:p w14:paraId="7F254999" w14:textId="77777777" w:rsidR="00B73A4B" w:rsidRDefault="00B73A4B"/>
    <w:p w14:paraId="20BC21BC" w14:textId="77777777" w:rsidR="00B73A4B" w:rsidRDefault="00B73A4B"/>
    <w:p w14:paraId="42A8F8A9" w14:textId="77777777" w:rsidR="00B73A4B" w:rsidRDefault="00B73A4B"/>
    <w:p w14:paraId="26EC4D42" w14:textId="77777777" w:rsidR="00B73A4B" w:rsidRDefault="00B73A4B"/>
    <w:p w14:paraId="1B61B23B" w14:textId="77777777" w:rsidR="00B73A4B" w:rsidRDefault="00B73A4B"/>
    <w:p w14:paraId="15947E2D" w14:textId="77777777" w:rsidR="00B73A4B" w:rsidRDefault="00B73A4B"/>
    <w:p w14:paraId="6C3D01AE" w14:textId="77777777" w:rsidR="00B73A4B" w:rsidRDefault="00B73A4B"/>
    <w:p w14:paraId="064E0C17" w14:textId="77777777" w:rsidR="00B73A4B" w:rsidRDefault="00B73A4B"/>
    <w:p w14:paraId="5D2708FA" w14:textId="77777777" w:rsidR="00B73A4B" w:rsidRDefault="00B73A4B"/>
    <w:p w14:paraId="65864744" w14:textId="77777777" w:rsidR="00B73A4B" w:rsidRDefault="00B73A4B"/>
    <w:p w14:paraId="318FB341" w14:textId="77777777" w:rsidR="00B73A4B" w:rsidRDefault="00B73A4B"/>
    <w:p w14:paraId="57873E8A" w14:textId="77777777" w:rsidR="00B73A4B" w:rsidRDefault="00B73A4B"/>
    <w:p w14:paraId="473FBA05" w14:textId="77777777" w:rsidR="00B73A4B" w:rsidRDefault="00B73A4B"/>
    <w:p w14:paraId="39FBFD1D" w14:textId="77777777" w:rsidR="00B73A4B" w:rsidRDefault="00B73A4B"/>
    <w:p w14:paraId="2CD60118" w14:textId="3CA1D9BC" w:rsidR="00DF143A" w:rsidRPr="00B73A4B" w:rsidRDefault="00B73A4B" w:rsidP="00B73A4B">
      <w:pPr>
        <w:pStyle w:val="Heading1"/>
        <w:rPr>
          <w:u w:val="single"/>
        </w:rPr>
      </w:pPr>
      <w:r w:rsidRPr="00B73A4B">
        <w:rPr>
          <w:u w:val="single"/>
        </w:rPr>
        <w:lastRenderedPageBreak/>
        <w:t xml:space="preserve">References </w:t>
      </w:r>
      <w:r>
        <w:rPr>
          <w:u w:val="single"/>
        </w:rPr>
        <w:t>&amp; AI Acknowledgements</w:t>
      </w:r>
    </w:p>
    <w:p w14:paraId="205D2C39" w14:textId="77777777" w:rsidR="00B73A4B" w:rsidRDefault="00B73A4B" w:rsidP="00B73A4B">
      <w:r>
        <w:t>‘Adair’s Factor v Connel’s Trustees’ (1894), R, vol. 22, pp. 116</w:t>
      </w:r>
    </w:p>
    <w:p w14:paraId="75E1C986" w14:textId="77777777" w:rsidR="00B73A4B" w:rsidRPr="00B73A4B" w:rsidRDefault="00B73A4B" w:rsidP="00B73A4B">
      <w:pPr>
        <w:rPr>
          <w:b/>
          <w:bCs/>
        </w:rPr>
      </w:pPr>
      <w:r>
        <w:t xml:space="preserve">‘Breakspear v Ackland’ (2009), EWHC 220 (Ch), </w:t>
      </w:r>
      <w:proofErr w:type="spellStart"/>
      <w:r w:rsidRPr="00B73A4B">
        <w:rPr>
          <w:i/>
          <w:iCs/>
        </w:rPr>
        <w:t>LexisPlus</w:t>
      </w:r>
      <w:proofErr w:type="spellEnd"/>
      <w:r>
        <w:t xml:space="preserve">, Available at: </w:t>
      </w:r>
      <w:hyperlink r:id="rId6" w:history="1">
        <w:r w:rsidRPr="007B2792">
          <w:rPr>
            <w:rStyle w:val="Hyperlink"/>
          </w:rPr>
          <w:t>https://plus-lexis-com.uwtsd.idm.oclc.org/uk/cases-uk/breakspear-v-ackland/?crid=657f911a-2244-4326-a1ec-fa96c5a17455&amp;pddocumentnumber=1</w:t>
        </w:r>
      </w:hyperlink>
      <w:r>
        <w:t xml:space="preserve"> (Accessed 13/03/2026) </w:t>
      </w:r>
    </w:p>
    <w:p w14:paraId="08A8E21B" w14:textId="77777777" w:rsidR="00B73A4B" w:rsidRDefault="00B73A4B" w:rsidP="00B73A4B">
      <w:r>
        <w:t>‘Charitable Corporation v Sutton’ (1742), ER, vol. 26, pp. 642</w:t>
      </w:r>
    </w:p>
    <w:p w14:paraId="044E4A77" w14:textId="77777777" w:rsidR="00B73A4B" w:rsidRDefault="00B73A4B" w:rsidP="00B73A4B">
      <w:r>
        <w:t>‘Clough v Bond’ (1838), ER, vol. 40, pp. 1016</w:t>
      </w:r>
    </w:p>
    <w:p w14:paraId="723FF0BB" w14:textId="0882CB91" w:rsidR="00B73A4B" w:rsidRDefault="00B73A4B" w:rsidP="00B73A4B">
      <w:r w:rsidRPr="00B73A4B">
        <w:rPr>
          <w:i/>
          <w:iCs/>
        </w:rPr>
        <w:t>Data Protection Act 2018</w:t>
      </w:r>
      <w:r>
        <w:t xml:space="preserve">, c.12, Available at: </w:t>
      </w:r>
      <w:hyperlink r:id="rId7" w:history="1">
        <w:r w:rsidRPr="007B2792">
          <w:rPr>
            <w:rStyle w:val="Hyperlink"/>
          </w:rPr>
          <w:t>https://www.legislation.gov.uk/ukpga/2018/12/contents</w:t>
        </w:r>
      </w:hyperlink>
      <w:r>
        <w:t xml:space="preserve"> (Accessed 13/03/2026)</w:t>
      </w:r>
    </w:p>
    <w:p w14:paraId="6180D3D0" w14:textId="77777777" w:rsidR="00B73A4B" w:rsidRDefault="00B73A4B" w:rsidP="00B73A4B">
      <w:r>
        <w:t xml:space="preserve">‘Dawson-Damer &amp; Others v Taylor Wessing LLP’ (2020), EWCA </w:t>
      </w:r>
      <w:proofErr w:type="spellStart"/>
      <w:r>
        <w:t>Civ</w:t>
      </w:r>
      <w:proofErr w:type="spellEnd"/>
      <w:r>
        <w:t xml:space="preserve"> 352, </w:t>
      </w:r>
      <w:proofErr w:type="spellStart"/>
      <w:r w:rsidRPr="00B73A4B">
        <w:rPr>
          <w:i/>
          <w:iCs/>
        </w:rPr>
        <w:t>LexisPlus</w:t>
      </w:r>
      <w:proofErr w:type="spellEnd"/>
      <w:r>
        <w:t xml:space="preserve">, Available at: </w:t>
      </w:r>
      <w:hyperlink r:id="rId8" w:history="1">
        <w:r w:rsidRPr="007B2792">
          <w:rPr>
            <w:rStyle w:val="Hyperlink"/>
          </w:rPr>
          <w:t>https://plus-lexis-com.uwtsd.idm.oclc.org/uk/cases-uk/dawson-damer-and-others-v-taylor-wessing-llp_6/?crid=00d0ec80-e6b0-486f-a3d5-147046020b96&amp;pddocumentnumber=1</w:t>
        </w:r>
      </w:hyperlink>
      <w:r>
        <w:t xml:space="preserve"> (Accessed 13/03/2026) </w:t>
      </w:r>
    </w:p>
    <w:p w14:paraId="659DE1DA" w14:textId="77777777" w:rsidR="00B73A4B" w:rsidRDefault="00B73A4B" w:rsidP="00B73A4B">
      <w:pPr>
        <w:rPr>
          <w:i/>
          <w:iCs/>
        </w:rPr>
      </w:pPr>
      <w:r>
        <w:t xml:space="preserve">European Union (2016), </w:t>
      </w:r>
      <w:r w:rsidRPr="00B73A4B">
        <w:rPr>
          <w:i/>
          <w:iCs/>
        </w:rPr>
        <w:t>General Data Protection Regulation</w:t>
      </w:r>
    </w:p>
    <w:p w14:paraId="2C97E6F0" w14:textId="5A836193" w:rsidR="00B73A4B" w:rsidRDefault="000D4848">
      <w:r>
        <w:t xml:space="preserve">Mackay (2024), </w:t>
      </w:r>
      <w:r w:rsidRPr="000D4848">
        <w:rPr>
          <w:i/>
          <w:iCs/>
        </w:rPr>
        <w:t>Halsbury’s Laws of England</w:t>
      </w:r>
      <w:r>
        <w:rPr>
          <w:i/>
          <w:iCs/>
        </w:rPr>
        <w:t xml:space="preserve">, </w:t>
      </w:r>
      <w:r w:rsidR="00D25A74">
        <w:t xml:space="preserve">vol. 98, London: </w:t>
      </w:r>
      <w:r w:rsidR="00D25A74" w:rsidRPr="00D25A74">
        <w:t>LexisNexis</w:t>
      </w:r>
    </w:p>
    <w:p w14:paraId="64A7902A" w14:textId="75F88B07" w:rsidR="00B73A4B" w:rsidRDefault="00B73A4B">
      <w:r>
        <w:t xml:space="preserve">‘Parkin v Thorold’ (1852), ER, vol. 51, pp. 698 </w:t>
      </w:r>
    </w:p>
    <w:p w14:paraId="6C11962A" w14:textId="0B852000" w:rsidR="00B73A4B" w:rsidRDefault="00B73A4B">
      <w:proofErr w:type="spellStart"/>
      <w:r>
        <w:t>‘Re</w:t>
      </w:r>
      <w:proofErr w:type="spellEnd"/>
      <w:r>
        <w:t xml:space="preserve"> Londonderry’s Settlement’ (1964), All ER, Vol. 3, pp. 855</w:t>
      </w:r>
    </w:p>
    <w:p w14:paraId="4C8C3C9C" w14:textId="2FF6DD9B" w:rsidR="00B73A4B" w:rsidRDefault="00B73A4B">
      <w:proofErr w:type="spellStart"/>
      <w:r>
        <w:t>‘Re</w:t>
      </w:r>
      <w:proofErr w:type="spellEnd"/>
      <w:r>
        <w:t xml:space="preserve"> Merchant Navy Ratings Pension Fund’ (2015), EWHC 448 (</w:t>
      </w:r>
      <w:proofErr w:type="spellStart"/>
      <w:r>
        <w:t>ch</w:t>
      </w:r>
      <w:proofErr w:type="spellEnd"/>
      <w:r>
        <w:t xml:space="preserve">), </w:t>
      </w:r>
      <w:proofErr w:type="spellStart"/>
      <w:r w:rsidRPr="00B73A4B">
        <w:rPr>
          <w:i/>
          <w:iCs/>
        </w:rPr>
        <w:t>LexisPlus</w:t>
      </w:r>
      <w:proofErr w:type="spellEnd"/>
      <w:r>
        <w:t xml:space="preserve">, Available at: </w:t>
      </w:r>
      <w:hyperlink r:id="rId9" w:history="1">
        <w:r w:rsidRPr="007B2792">
          <w:rPr>
            <w:rStyle w:val="Hyperlink"/>
          </w:rPr>
          <w:t>https://plus-lexis-com.uwtsd.idm.oclc.org/uk/cases-uk/re-merchant-navy-ratings-pension-fund-merchan/?crid=1bc1c9dd-6289-4558-8ca9-3c7b6b4933f0&amp;pddocumentnumber=1</w:t>
        </w:r>
      </w:hyperlink>
      <w:r>
        <w:t xml:space="preserve"> (Accessed 13/03/2026) </w:t>
      </w:r>
    </w:p>
    <w:p w14:paraId="470A4DF6" w14:textId="3299AECA" w:rsidR="00B73A4B" w:rsidRDefault="00B73A4B">
      <w:r>
        <w:t xml:space="preserve">‘Schmidt v Rosewood Trust Ltd’ (2003), UKPC 26, </w:t>
      </w:r>
      <w:proofErr w:type="spellStart"/>
      <w:r>
        <w:t>LexisPlus</w:t>
      </w:r>
      <w:proofErr w:type="spellEnd"/>
      <w:r>
        <w:t xml:space="preserve">, Available at: </w:t>
      </w:r>
      <w:hyperlink r:id="rId10" w:history="1">
        <w:r w:rsidRPr="007B2792">
          <w:rPr>
            <w:rStyle w:val="Hyperlink"/>
          </w:rPr>
          <w:t>https://plus-lexis-com.uwtsd.idm.oclc.org/uk/cases-uk/schmidt-v-rosewood-trust-ltd/?crid=9ee4edba-b001-44fd-898c-0aeb5c563d42&amp;pddocumentnumber=1</w:t>
        </w:r>
      </w:hyperlink>
      <w:r>
        <w:t xml:space="preserve"> (Accessed 13/03/2026)</w:t>
      </w:r>
    </w:p>
    <w:p w14:paraId="0B7C0FAA" w14:textId="487FD2F3" w:rsidR="00B73A4B" w:rsidRDefault="00B73A4B">
      <w:r>
        <w:t xml:space="preserve">Trustee Act 1925, c.19, s.61, Available at: </w:t>
      </w:r>
      <w:hyperlink r:id="rId11" w:history="1">
        <w:r w:rsidRPr="007B2792">
          <w:rPr>
            <w:rStyle w:val="Hyperlink"/>
          </w:rPr>
          <w:t>https://www.legislation.gov.uk/ukpga/Geo5/15-16/19/section/61</w:t>
        </w:r>
      </w:hyperlink>
      <w:r>
        <w:t xml:space="preserve"> </w:t>
      </w:r>
      <w:r>
        <w:t>(Accessed 13/03/2026)</w:t>
      </w:r>
    </w:p>
    <w:p w14:paraId="1F41EB0E" w14:textId="6FABC50F" w:rsidR="00B73A4B" w:rsidRDefault="00B73A4B">
      <w:r w:rsidRPr="00B73A4B">
        <w:rPr>
          <w:i/>
          <w:iCs/>
        </w:rPr>
        <w:t>Trustee Act 2000</w:t>
      </w:r>
      <w:r>
        <w:t xml:space="preserve">, c.29, s.1, Available at: </w:t>
      </w:r>
      <w:hyperlink r:id="rId12" w:history="1">
        <w:r w:rsidRPr="007B2792">
          <w:rPr>
            <w:rStyle w:val="Hyperlink"/>
          </w:rPr>
          <w:t>https://www.legislation.gov.uk/ukpga/2000/29/section/1</w:t>
        </w:r>
      </w:hyperlink>
      <w:r>
        <w:t xml:space="preserve"> (Accessed 13/03/2026)</w:t>
      </w:r>
    </w:p>
    <w:p w14:paraId="2173B903" w14:textId="478E601D" w:rsidR="00B73A4B" w:rsidRDefault="00B73A4B">
      <w:r w:rsidRPr="00B73A4B">
        <w:rPr>
          <w:i/>
          <w:iCs/>
        </w:rPr>
        <w:t>Trustee Act 2000</w:t>
      </w:r>
      <w:r>
        <w:t>, c.29, s.</w:t>
      </w:r>
      <w:r>
        <w:t>4</w:t>
      </w:r>
      <w:r>
        <w:t>, Available at:</w:t>
      </w:r>
      <w:r w:rsidRPr="00B73A4B">
        <w:t xml:space="preserve"> </w:t>
      </w:r>
      <w:hyperlink r:id="rId13" w:history="1">
        <w:r w:rsidRPr="007B2792">
          <w:rPr>
            <w:rStyle w:val="Hyperlink"/>
          </w:rPr>
          <w:t>https://www.legislation.gov.uk/ukpga/2000/29/section/4</w:t>
        </w:r>
      </w:hyperlink>
      <w:r>
        <w:t xml:space="preserve"> (Accessed 13/03/2026)</w:t>
      </w:r>
    </w:p>
    <w:p w14:paraId="6841EC20" w14:textId="1C65F933" w:rsidR="00B73A4B" w:rsidRDefault="00B73A4B">
      <w:r w:rsidRPr="00B73A4B">
        <w:rPr>
          <w:i/>
          <w:iCs/>
        </w:rPr>
        <w:t>Trustee Act 2000</w:t>
      </w:r>
      <w:r>
        <w:rPr>
          <w:i/>
          <w:iCs/>
        </w:rPr>
        <w:t xml:space="preserve">, </w:t>
      </w:r>
      <w:r w:rsidRPr="00B73A4B">
        <w:t>c.29, s.5</w:t>
      </w:r>
      <w:r>
        <w:t xml:space="preserve">, Available at: </w:t>
      </w:r>
      <w:hyperlink r:id="rId14" w:history="1">
        <w:r w:rsidRPr="007B2792">
          <w:rPr>
            <w:rStyle w:val="Hyperlink"/>
          </w:rPr>
          <w:t>https://www.legislation.gov.uk/ukpga/2000/29/section/5</w:t>
        </w:r>
      </w:hyperlink>
      <w:r>
        <w:t xml:space="preserve"> (Accessed 13/03/2025) </w:t>
      </w:r>
    </w:p>
    <w:p w14:paraId="2AEA0331" w14:textId="546F3B36" w:rsidR="00B73A4B" w:rsidRDefault="00B73A4B">
      <w:r w:rsidRPr="00B73A4B">
        <w:rPr>
          <w:i/>
          <w:iCs/>
        </w:rPr>
        <w:t>Trusts of Land and Appointment of Trustees act 1996</w:t>
      </w:r>
      <w:r>
        <w:t xml:space="preserve">, c.47, s.11, Available at: </w:t>
      </w:r>
      <w:hyperlink r:id="rId15" w:history="1">
        <w:r w:rsidRPr="007B2792">
          <w:rPr>
            <w:rStyle w:val="Hyperlink"/>
          </w:rPr>
          <w:t>https://www.legislation.gov.uk/ukpga/1996/47</w:t>
        </w:r>
      </w:hyperlink>
      <w:r>
        <w:t xml:space="preserve"> (Accessed 13/03/2026)</w:t>
      </w:r>
    </w:p>
    <w:p w14:paraId="48302785" w14:textId="5519319B" w:rsidR="00B73A4B" w:rsidRDefault="00B73A4B">
      <w:r w:rsidRPr="00B73A4B">
        <w:rPr>
          <w:i/>
          <w:iCs/>
        </w:rPr>
        <w:t>Trusts and Succession (Scotland) Act 2024</w:t>
      </w:r>
      <w:r>
        <w:t xml:space="preserve">, Available at: </w:t>
      </w:r>
      <w:hyperlink r:id="rId16" w:history="1">
        <w:r w:rsidRPr="007B2792">
          <w:rPr>
            <w:rStyle w:val="Hyperlink"/>
          </w:rPr>
          <w:t>https://www.legislation.gov.uk/asp/2024/2/contents</w:t>
        </w:r>
      </w:hyperlink>
      <w:r>
        <w:t xml:space="preserve"> (Accessed 13/03/2026)</w:t>
      </w:r>
    </w:p>
    <w:p w14:paraId="6A90FF8B" w14:textId="491FC5B4" w:rsidR="00B73A4B" w:rsidRDefault="00B73A4B">
      <w:r>
        <w:lastRenderedPageBreak/>
        <w:t>Trusts and Succession (Scotland) Act 2024</w:t>
      </w:r>
      <w:r>
        <w:t xml:space="preserve">, s.29, Available at: </w:t>
      </w:r>
      <w:hyperlink r:id="rId17" w:history="1">
        <w:r w:rsidRPr="007B2792">
          <w:rPr>
            <w:rStyle w:val="Hyperlink"/>
          </w:rPr>
          <w:t>https://www.legislation.gov.uk/asp/2024/2/section/29</w:t>
        </w:r>
      </w:hyperlink>
      <w:r>
        <w:t xml:space="preserve"> (Accessed 13/03/2026)</w:t>
      </w:r>
    </w:p>
    <w:p w14:paraId="2C35A864" w14:textId="3E9E31BA" w:rsidR="00B73A4B" w:rsidRDefault="00B73A4B">
      <w:r>
        <w:t>Trusts and Succession (Scotland) Act 2024, s.</w:t>
      </w:r>
      <w:r>
        <w:t>30</w:t>
      </w:r>
      <w:r>
        <w:t>, Available at:</w:t>
      </w:r>
      <w:r>
        <w:t xml:space="preserve"> </w:t>
      </w:r>
      <w:hyperlink r:id="rId18" w:history="1">
        <w:r w:rsidRPr="007B2792">
          <w:rPr>
            <w:rStyle w:val="Hyperlink"/>
          </w:rPr>
          <w:t>https://www.legislation.gov.uk/asp/2024/2/section/30</w:t>
        </w:r>
      </w:hyperlink>
      <w:r>
        <w:t xml:space="preserve"> (Accessed 13/03/2026) </w:t>
      </w:r>
    </w:p>
    <w:p w14:paraId="606D842D" w14:textId="77777777" w:rsidR="00B73A4B" w:rsidRDefault="00B73A4B"/>
    <w:p w14:paraId="66A80988" w14:textId="32FC3B60" w:rsidR="00B73A4B" w:rsidRDefault="00B73A4B">
      <w:r w:rsidRPr="00B73A4B">
        <w:t xml:space="preserve">I acknowledge the use of </w:t>
      </w:r>
      <w:r>
        <w:t xml:space="preserve">Google/Gemini </w:t>
      </w:r>
      <w:r w:rsidRPr="00B73A4B">
        <w:t>[</w:t>
      </w:r>
      <w:r>
        <w:t>https://google.com</w:t>
      </w:r>
      <w:r w:rsidRPr="00B73A4B">
        <w:t>] on [</w:t>
      </w:r>
      <w:r>
        <w:t>10/03/2026</w:t>
      </w:r>
      <w:r w:rsidRPr="00B73A4B">
        <w:t xml:space="preserve">] to </w:t>
      </w:r>
      <w:r>
        <w:t>research case law (Breakspear v Ackland [2009] found through AI), to research the publisher of Halsbury’s Laws of England (</w:t>
      </w:r>
      <w:proofErr w:type="spellStart"/>
      <w:r>
        <w:t>LexisPlus</w:t>
      </w:r>
      <w:proofErr w:type="spellEnd"/>
      <w:r>
        <w:t>), and to research academic evaluations of the benefits of statute over case law (No results used in report)</w:t>
      </w:r>
      <w:r w:rsidRPr="00B73A4B">
        <w:t xml:space="preserve">. I used the prompt(s): </w:t>
      </w:r>
    </w:p>
    <w:p w14:paraId="487B34A6" w14:textId="0EB70A49" w:rsidR="00B73A4B" w:rsidRDefault="00B73A4B">
      <w:r w:rsidRPr="00B73A4B">
        <w:t xml:space="preserve">1. </w:t>
      </w:r>
      <w:r>
        <w:t xml:space="preserve">cases where disclosure of trust documents successfully refused </w:t>
      </w:r>
    </w:p>
    <w:p w14:paraId="3AAB2CD0" w14:textId="405464BF" w:rsidR="00B73A4B" w:rsidRDefault="00B73A4B">
      <w:r w:rsidRPr="00B73A4B">
        <w:t xml:space="preserve">2. </w:t>
      </w:r>
      <w:proofErr w:type="spellStart"/>
      <w:r>
        <w:t>halsbury’s</w:t>
      </w:r>
      <w:proofErr w:type="spellEnd"/>
      <w:r>
        <w:t xml:space="preserve"> laws of </w:t>
      </w:r>
      <w:proofErr w:type="spellStart"/>
      <w:r>
        <w:t>england</w:t>
      </w:r>
      <w:proofErr w:type="spellEnd"/>
      <w:r>
        <w:t xml:space="preserve"> publisher </w:t>
      </w:r>
    </w:p>
    <w:p w14:paraId="46FBBB1D" w14:textId="3003CEC7" w:rsidR="00B73A4B" w:rsidRDefault="00B73A4B">
      <w:r w:rsidRPr="00B73A4B">
        <w:t xml:space="preserve">3. </w:t>
      </w:r>
      <w:r>
        <w:t xml:space="preserve">strengths of legislation over case law </w:t>
      </w:r>
    </w:p>
    <w:p w14:paraId="0366FDC5" w14:textId="53E30320" w:rsidR="00B73A4B" w:rsidRPr="00B73A4B" w:rsidRDefault="00B73A4B">
      <w:r w:rsidRPr="00B73A4B">
        <w:t>I confirm that I have not presented any AI generated text as my own work. I confirm I have copies of my drafts, notes, and other resources I used before, and after the use of AI tools which I may be asked to provide in evidence.</w:t>
      </w:r>
    </w:p>
    <w:sectPr w:rsidR="00B73A4B" w:rsidRPr="00B73A4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97DD6" w14:textId="77777777" w:rsidR="008122BB" w:rsidRDefault="008122BB" w:rsidP="00B73A4B">
      <w:pPr>
        <w:spacing w:after="0" w:line="240" w:lineRule="auto"/>
      </w:pPr>
      <w:r>
        <w:separator/>
      </w:r>
    </w:p>
  </w:endnote>
  <w:endnote w:type="continuationSeparator" w:id="0">
    <w:p w14:paraId="2655BF96" w14:textId="77777777" w:rsidR="008122BB" w:rsidRDefault="008122BB" w:rsidP="00B73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6CE91" w14:textId="77777777" w:rsidR="008122BB" w:rsidRDefault="008122BB" w:rsidP="00B73A4B">
      <w:pPr>
        <w:spacing w:after="0" w:line="240" w:lineRule="auto"/>
      </w:pPr>
      <w:r>
        <w:separator/>
      </w:r>
    </w:p>
  </w:footnote>
  <w:footnote w:type="continuationSeparator" w:id="0">
    <w:p w14:paraId="2583FA5A" w14:textId="77777777" w:rsidR="008122BB" w:rsidRDefault="008122BB" w:rsidP="00B73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7566042"/>
      <w:docPartObj>
        <w:docPartGallery w:val="Page Numbers (Top of Page)"/>
        <w:docPartUnique/>
      </w:docPartObj>
    </w:sdtPr>
    <w:sdtEndPr>
      <w:rPr>
        <w:noProof/>
      </w:rPr>
    </w:sdtEndPr>
    <w:sdtContent>
      <w:p w14:paraId="15EC813C" w14:textId="3CF030CC" w:rsidR="00B73A4B" w:rsidRDefault="00B73A4B">
        <w:pPr>
          <w:pStyle w:val="Header"/>
        </w:pPr>
        <w:r>
          <w:fldChar w:fldCharType="begin"/>
        </w:r>
        <w:r>
          <w:instrText xml:space="preserve"> PAGE   \* MERGEFORMAT </w:instrText>
        </w:r>
        <w:r>
          <w:fldChar w:fldCharType="separate"/>
        </w:r>
        <w:r>
          <w:rPr>
            <w:noProof/>
          </w:rPr>
          <w:t>2</w:t>
        </w:r>
        <w:r>
          <w:rPr>
            <w:noProof/>
          </w:rPr>
          <w:fldChar w:fldCharType="end"/>
        </w:r>
      </w:p>
    </w:sdtContent>
  </w:sdt>
  <w:p w14:paraId="6BA518F5" w14:textId="77777777" w:rsidR="00B73A4B" w:rsidRDefault="00B73A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F26"/>
    <w:rsid w:val="000569CA"/>
    <w:rsid w:val="00080BE1"/>
    <w:rsid w:val="000A7668"/>
    <w:rsid w:val="000B327C"/>
    <w:rsid w:val="000D0674"/>
    <w:rsid w:val="000D4848"/>
    <w:rsid w:val="00202E0B"/>
    <w:rsid w:val="00216895"/>
    <w:rsid w:val="00273CEF"/>
    <w:rsid w:val="002F0D89"/>
    <w:rsid w:val="003627AF"/>
    <w:rsid w:val="00370E22"/>
    <w:rsid w:val="00386EBC"/>
    <w:rsid w:val="003D4336"/>
    <w:rsid w:val="00481CA7"/>
    <w:rsid w:val="004C1034"/>
    <w:rsid w:val="004F3630"/>
    <w:rsid w:val="005434F2"/>
    <w:rsid w:val="00553CC5"/>
    <w:rsid w:val="00565AD6"/>
    <w:rsid w:val="005C3C2C"/>
    <w:rsid w:val="005C6C7B"/>
    <w:rsid w:val="00635B16"/>
    <w:rsid w:val="00662FC0"/>
    <w:rsid w:val="00684820"/>
    <w:rsid w:val="006D2930"/>
    <w:rsid w:val="006D3FB4"/>
    <w:rsid w:val="006D4435"/>
    <w:rsid w:val="006F12AF"/>
    <w:rsid w:val="008012E9"/>
    <w:rsid w:val="008052F6"/>
    <w:rsid w:val="00810D7F"/>
    <w:rsid w:val="008122BB"/>
    <w:rsid w:val="0081534B"/>
    <w:rsid w:val="008434FC"/>
    <w:rsid w:val="00860868"/>
    <w:rsid w:val="00867E11"/>
    <w:rsid w:val="00884191"/>
    <w:rsid w:val="0089447C"/>
    <w:rsid w:val="008D6F6C"/>
    <w:rsid w:val="008F22AE"/>
    <w:rsid w:val="009054DB"/>
    <w:rsid w:val="009475AF"/>
    <w:rsid w:val="00967FB2"/>
    <w:rsid w:val="00976C19"/>
    <w:rsid w:val="00993F63"/>
    <w:rsid w:val="009A3716"/>
    <w:rsid w:val="00A50A58"/>
    <w:rsid w:val="00A52082"/>
    <w:rsid w:val="00A638C4"/>
    <w:rsid w:val="00A64F6D"/>
    <w:rsid w:val="00A83A5D"/>
    <w:rsid w:val="00AA5A13"/>
    <w:rsid w:val="00AF6A75"/>
    <w:rsid w:val="00B4159C"/>
    <w:rsid w:val="00B56788"/>
    <w:rsid w:val="00B576EE"/>
    <w:rsid w:val="00B73A4B"/>
    <w:rsid w:val="00B84F26"/>
    <w:rsid w:val="00BB3F11"/>
    <w:rsid w:val="00BC6A1E"/>
    <w:rsid w:val="00C030A9"/>
    <w:rsid w:val="00C128C9"/>
    <w:rsid w:val="00C511B2"/>
    <w:rsid w:val="00C733D9"/>
    <w:rsid w:val="00C77992"/>
    <w:rsid w:val="00C85290"/>
    <w:rsid w:val="00CB2FA8"/>
    <w:rsid w:val="00CB3C2E"/>
    <w:rsid w:val="00CF2555"/>
    <w:rsid w:val="00D213EF"/>
    <w:rsid w:val="00D25A74"/>
    <w:rsid w:val="00D42938"/>
    <w:rsid w:val="00D8307E"/>
    <w:rsid w:val="00D90BC5"/>
    <w:rsid w:val="00DA07D1"/>
    <w:rsid w:val="00DC211D"/>
    <w:rsid w:val="00DD1485"/>
    <w:rsid w:val="00DF143A"/>
    <w:rsid w:val="00E04C17"/>
    <w:rsid w:val="00E533AC"/>
    <w:rsid w:val="00E6183F"/>
    <w:rsid w:val="00E652D5"/>
    <w:rsid w:val="00E95523"/>
    <w:rsid w:val="00E96D48"/>
    <w:rsid w:val="00EE7954"/>
    <w:rsid w:val="00F1304A"/>
    <w:rsid w:val="00F82652"/>
    <w:rsid w:val="00F838BF"/>
    <w:rsid w:val="00FC5F94"/>
    <w:rsid w:val="00FD5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5A4A"/>
  <w15:chartTrackingRefBased/>
  <w15:docId w15:val="{C28EF7B2-20DE-430F-9D33-9B79726E0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F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4F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4F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F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F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F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F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F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F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F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4F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4F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F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F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F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F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F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F26"/>
    <w:rPr>
      <w:rFonts w:eastAsiaTheme="majorEastAsia" w:cstheme="majorBidi"/>
      <w:color w:val="272727" w:themeColor="text1" w:themeTint="D8"/>
    </w:rPr>
  </w:style>
  <w:style w:type="paragraph" w:styleId="Title">
    <w:name w:val="Title"/>
    <w:basedOn w:val="Normal"/>
    <w:next w:val="Normal"/>
    <w:link w:val="TitleChar"/>
    <w:uiPriority w:val="10"/>
    <w:qFormat/>
    <w:rsid w:val="00B84F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F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F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F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F26"/>
    <w:pPr>
      <w:spacing w:before="160"/>
      <w:jc w:val="center"/>
    </w:pPr>
    <w:rPr>
      <w:i/>
      <w:iCs/>
      <w:color w:val="404040" w:themeColor="text1" w:themeTint="BF"/>
    </w:rPr>
  </w:style>
  <w:style w:type="character" w:customStyle="1" w:styleId="QuoteChar">
    <w:name w:val="Quote Char"/>
    <w:basedOn w:val="DefaultParagraphFont"/>
    <w:link w:val="Quote"/>
    <w:uiPriority w:val="29"/>
    <w:rsid w:val="00B84F26"/>
    <w:rPr>
      <w:i/>
      <w:iCs/>
      <w:color w:val="404040" w:themeColor="text1" w:themeTint="BF"/>
    </w:rPr>
  </w:style>
  <w:style w:type="paragraph" w:styleId="ListParagraph">
    <w:name w:val="List Paragraph"/>
    <w:basedOn w:val="Normal"/>
    <w:uiPriority w:val="34"/>
    <w:qFormat/>
    <w:rsid w:val="00B84F26"/>
    <w:pPr>
      <w:ind w:left="720"/>
      <w:contextualSpacing/>
    </w:pPr>
  </w:style>
  <w:style w:type="character" w:styleId="IntenseEmphasis">
    <w:name w:val="Intense Emphasis"/>
    <w:basedOn w:val="DefaultParagraphFont"/>
    <w:uiPriority w:val="21"/>
    <w:qFormat/>
    <w:rsid w:val="00B84F26"/>
    <w:rPr>
      <w:i/>
      <w:iCs/>
      <w:color w:val="0F4761" w:themeColor="accent1" w:themeShade="BF"/>
    </w:rPr>
  </w:style>
  <w:style w:type="paragraph" w:styleId="IntenseQuote">
    <w:name w:val="Intense Quote"/>
    <w:basedOn w:val="Normal"/>
    <w:next w:val="Normal"/>
    <w:link w:val="IntenseQuoteChar"/>
    <w:uiPriority w:val="30"/>
    <w:qFormat/>
    <w:rsid w:val="00B84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F26"/>
    <w:rPr>
      <w:i/>
      <w:iCs/>
      <w:color w:val="0F4761" w:themeColor="accent1" w:themeShade="BF"/>
    </w:rPr>
  </w:style>
  <w:style w:type="character" w:styleId="IntenseReference">
    <w:name w:val="Intense Reference"/>
    <w:basedOn w:val="DefaultParagraphFont"/>
    <w:uiPriority w:val="32"/>
    <w:qFormat/>
    <w:rsid w:val="00B84F26"/>
    <w:rPr>
      <w:b/>
      <w:bCs/>
      <w:smallCaps/>
      <w:color w:val="0F4761" w:themeColor="accent1" w:themeShade="BF"/>
      <w:spacing w:val="5"/>
    </w:rPr>
  </w:style>
  <w:style w:type="character" w:styleId="Hyperlink">
    <w:name w:val="Hyperlink"/>
    <w:basedOn w:val="DefaultParagraphFont"/>
    <w:uiPriority w:val="99"/>
    <w:unhideWhenUsed/>
    <w:rsid w:val="00481CA7"/>
    <w:rPr>
      <w:color w:val="467886" w:themeColor="hyperlink"/>
      <w:u w:val="single"/>
    </w:rPr>
  </w:style>
  <w:style w:type="character" w:styleId="UnresolvedMention">
    <w:name w:val="Unresolved Mention"/>
    <w:basedOn w:val="DefaultParagraphFont"/>
    <w:uiPriority w:val="99"/>
    <w:semiHidden/>
    <w:unhideWhenUsed/>
    <w:rsid w:val="00481CA7"/>
    <w:rPr>
      <w:color w:val="605E5C"/>
      <w:shd w:val="clear" w:color="auto" w:fill="E1DFDD"/>
    </w:rPr>
  </w:style>
  <w:style w:type="character" w:styleId="FollowedHyperlink">
    <w:name w:val="FollowedHyperlink"/>
    <w:basedOn w:val="DefaultParagraphFont"/>
    <w:uiPriority w:val="99"/>
    <w:semiHidden/>
    <w:unhideWhenUsed/>
    <w:rsid w:val="00976C19"/>
    <w:rPr>
      <w:color w:val="96607D" w:themeColor="followedHyperlink"/>
      <w:u w:val="single"/>
    </w:rPr>
  </w:style>
  <w:style w:type="paragraph" w:styleId="Header">
    <w:name w:val="header"/>
    <w:basedOn w:val="Normal"/>
    <w:link w:val="HeaderChar"/>
    <w:uiPriority w:val="99"/>
    <w:unhideWhenUsed/>
    <w:rsid w:val="00B73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A4B"/>
  </w:style>
  <w:style w:type="paragraph" w:styleId="Footer">
    <w:name w:val="footer"/>
    <w:basedOn w:val="Normal"/>
    <w:link w:val="FooterChar"/>
    <w:uiPriority w:val="99"/>
    <w:unhideWhenUsed/>
    <w:rsid w:val="00B73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uwtsd.idm.oclc.org/uk/cases-uk/dawson-damer-and-others-v-taylor-wessing-llp_6/?crid=00d0ec80-e6b0-486f-a3d5-147046020b96&amp;pddocumentnumber=1" TargetMode="External"/><Relationship Id="rId13" Type="http://schemas.openxmlformats.org/officeDocument/2006/relationships/hyperlink" Target="https://www.legislation.gov.uk/ukpga/2000/29/section/4" TargetMode="External"/><Relationship Id="rId18" Type="http://schemas.openxmlformats.org/officeDocument/2006/relationships/hyperlink" Target="https://www.legislation.gov.uk/asp/2024/2/section/30"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legislation.gov.uk/ukpga/2018/12/contents" TargetMode="External"/><Relationship Id="rId12" Type="http://schemas.openxmlformats.org/officeDocument/2006/relationships/hyperlink" Target="https://www.legislation.gov.uk/ukpga/2000/29/section/1" TargetMode="External"/><Relationship Id="rId17" Type="http://schemas.openxmlformats.org/officeDocument/2006/relationships/hyperlink" Target="https://www.legislation.gov.uk/asp/2024/2/section/29" TargetMode="External"/><Relationship Id="rId2" Type="http://schemas.openxmlformats.org/officeDocument/2006/relationships/settings" Target="settings.xml"/><Relationship Id="rId16" Type="http://schemas.openxmlformats.org/officeDocument/2006/relationships/hyperlink" Target="https://www.legislation.gov.uk/asp/2024/2/conten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lus-lexis-com.uwtsd.idm.oclc.org/uk/cases-uk/breakspear-v-ackland/?crid=657f911a-2244-4326-a1ec-fa96c5a17455&amp;pddocumentnumber=1" TargetMode="External"/><Relationship Id="rId11" Type="http://schemas.openxmlformats.org/officeDocument/2006/relationships/hyperlink" Target="https://www.legislation.gov.uk/ukpga/Geo5/15-16/19/section/61" TargetMode="External"/><Relationship Id="rId5" Type="http://schemas.openxmlformats.org/officeDocument/2006/relationships/endnotes" Target="endnotes.xml"/><Relationship Id="rId15" Type="http://schemas.openxmlformats.org/officeDocument/2006/relationships/hyperlink" Target="https://www.legislation.gov.uk/ukpga/1996/47" TargetMode="External"/><Relationship Id="rId10" Type="http://schemas.openxmlformats.org/officeDocument/2006/relationships/hyperlink" Target="https://plus-lexis-com.uwtsd.idm.oclc.org/uk/cases-uk/schmidt-v-rosewood-trust-ltd/?crid=9ee4edba-b001-44fd-898c-0aeb5c563d42&amp;pddocumentnumber=1"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plus-lexis-com.uwtsd.idm.oclc.org/uk/cases-uk/re-merchant-navy-ratings-pension-fund-merchan/?crid=1bc1c9dd-6289-4558-8ca9-3c7b6b4933f0&amp;pddocumentnumber=1" TargetMode="External"/><Relationship Id="rId14" Type="http://schemas.openxmlformats.org/officeDocument/2006/relationships/hyperlink" Target="https://www.legislation.gov.uk/ukpga/2000/29/section/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2898</Words>
  <Characters>16434</Characters>
  <Application>Microsoft Office Word</Application>
  <DocSecurity>0</DocSecurity>
  <Lines>241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 (2305593)</dc:creator>
  <cp:keywords/>
  <dc:description/>
  <cp:lastModifiedBy>Gabrial Harris (2305593)</cp:lastModifiedBy>
  <cp:revision>2</cp:revision>
  <dcterms:created xsi:type="dcterms:W3CDTF">2026-03-13T22:46:00Z</dcterms:created>
  <dcterms:modified xsi:type="dcterms:W3CDTF">2026-03-13T22:46:00Z</dcterms:modified>
</cp:coreProperties>
</file>