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09B3C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w:t>
            </w:r>
            <w:r w:rsidR="008E4DEB">
              <w:rPr>
                <w:b/>
                <w:color w:val="auto"/>
                <w:sz w:val="32"/>
              </w:rPr>
              <w:t>DORIAN KRZEMIEN</w:t>
            </w:r>
            <w:r w:rsidR="005A1BA3">
              <w:rPr>
                <w:b/>
                <w:color w:val="auto"/>
                <w:sz w:val="32"/>
              </w:rPr>
              <w:t>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3452E3" w:rsidR="005A1BA3" w:rsidRDefault="005A1BA3" w:rsidP="0022001B">
            <w:pPr>
              <w:overflowPunct/>
              <w:autoSpaceDE/>
              <w:autoSpaceDN/>
              <w:adjustRightInd/>
              <w:ind w:right="-330"/>
              <w:textAlignment w:val="auto"/>
              <w:rPr>
                <w:b/>
                <w:color w:val="auto"/>
                <w:sz w:val="32"/>
              </w:rPr>
            </w:pPr>
            <w:r>
              <w:rPr>
                <w:b/>
                <w:color w:val="auto"/>
                <w:sz w:val="32"/>
              </w:rPr>
              <w:t>_________</w:t>
            </w:r>
            <w:r w:rsidR="008E4DEB">
              <w:rPr>
                <w:b/>
                <w:color w:val="auto"/>
                <w:sz w:val="32"/>
              </w:rPr>
              <w:t>2131852</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74C3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6D34FCF5" w14:textId="338AE37B" w:rsidR="00072DBE" w:rsidRPr="00492A93" w:rsidRDefault="00072DBE" w:rsidP="00072DBE">
      <w:pPr>
        <w:rPr>
          <w:i/>
          <w:iCs/>
          <w:sz w:val="24"/>
          <w:szCs w:val="24"/>
        </w:rPr>
      </w:pPr>
      <w:bookmarkStart w:id="0" w:name="_Hlk118986419"/>
      <w:r w:rsidRPr="00492A93">
        <w:rPr>
          <w:sz w:val="24"/>
          <w:szCs w:val="24"/>
        </w:rPr>
        <w:t xml:space="preserve">A lot of life depends on learning from past experiences and learning from it. In terms of taking a look at those experiences, writing them down and extracting valuable lessons a number of reflective models has been developed. The ERA cycle developed by </w:t>
      </w:r>
      <w:r w:rsidRPr="00492A93">
        <w:rPr>
          <w:i/>
          <w:iCs/>
          <w:sz w:val="24"/>
          <w:szCs w:val="24"/>
        </w:rPr>
        <w:t>Jasper</w:t>
      </w:r>
      <w:r w:rsidRPr="00492A93">
        <w:rPr>
          <w:sz w:val="24"/>
          <w:szCs w:val="24"/>
        </w:rPr>
        <w:t xml:space="preserve"> in 2013 is one of the more basic of those models and covers a cycle of Experience, Reflection and Action. There are also other models such as the Driscoll’s ‘What Model’ developed by </w:t>
      </w:r>
      <w:r w:rsidRPr="00492A93">
        <w:rPr>
          <w:i/>
          <w:iCs/>
          <w:sz w:val="24"/>
          <w:szCs w:val="24"/>
        </w:rPr>
        <w:t>Driscoll</w:t>
      </w:r>
      <w:r w:rsidRPr="00492A93">
        <w:rPr>
          <w:sz w:val="24"/>
          <w:szCs w:val="24"/>
        </w:rPr>
        <w:t xml:space="preserve"> in mid 1990’s, created on base of </w:t>
      </w:r>
      <w:r w:rsidRPr="00492A93">
        <w:rPr>
          <w:i/>
          <w:iCs/>
          <w:sz w:val="24"/>
          <w:szCs w:val="24"/>
        </w:rPr>
        <w:t xml:space="preserve">Terry Borton’s </w:t>
      </w:r>
      <w:r w:rsidRPr="00492A93">
        <w:rPr>
          <w:sz w:val="24"/>
          <w:szCs w:val="24"/>
        </w:rPr>
        <w:t xml:space="preserve">“The 3 What’s” that he developed in 1970’s. Driscoll’s ‘What’ model is also relatively basic in terms of complexity and for a brief work of text for above topic should suffice. Driscoll’s </w:t>
      </w:r>
      <w:r w:rsidRPr="00492A93">
        <w:rPr>
          <w:i/>
          <w:iCs/>
          <w:sz w:val="24"/>
          <w:szCs w:val="24"/>
        </w:rPr>
        <w:t xml:space="preserve">‘What’ </w:t>
      </w:r>
      <w:r w:rsidRPr="00492A93">
        <w:rPr>
          <w:sz w:val="24"/>
          <w:szCs w:val="24"/>
        </w:rPr>
        <w:t>model breaks reflective practice into 3 basic stages. Stage 1 is rather simple as it askes the vital question of ‘</w:t>
      </w:r>
      <w:r w:rsidRPr="00492A93">
        <w:rPr>
          <w:i/>
          <w:iCs/>
          <w:sz w:val="24"/>
          <w:szCs w:val="24"/>
        </w:rPr>
        <w:t xml:space="preserve">What happed?’ </w:t>
      </w:r>
      <w:r w:rsidRPr="00492A93">
        <w:rPr>
          <w:sz w:val="24"/>
          <w:szCs w:val="24"/>
        </w:rPr>
        <w:t>allowing the person to explain the situation in context, stage 2 cover’s the ‘So what?’ aspect of the cycle that aims to give the model’s user an ability to reflect on what transpired, stage 3 however gives the user an opportunity to process the ‘</w:t>
      </w:r>
      <w:r w:rsidRPr="00492A93">
        <w:rPr>
          <w:i/>
          <w:iCs/>
          <w:sz w:val="24"/>
          <w:szCs w:val="24"/>
        </w:rPr>
        <w:t xml:space="preserve">Now what?’ </w:t>
      </w:r>
      <w:r w:rsidRPr="00492A93">
        <w:rPr>
          <w:sz w:val="24"/>
          <w:szCs w:val="24"/>
        </w:rPr>
        <w:t xml:space="preserve">aspects which in turn allows for a working plan of action, whether it’s a positive, neutral or negative action, as one should not feel dishearten when upon reflection they, themselves don’t see anything wrong in how they dealt with a particular situation. There are also other models of reflection such as Gibb’s Reflective Cycle developed by </w:t>
      </w:r>
      <w:r w:rsidRPr="00492A93">
        <w:rPr>
          <w:i/>
          <w:iCs/>
          <w:sz w:val="24"/>
          <w:szCs w:val="24"/>
        </w:rPr>
        <w:t xml:space="preserve">Gibbs </w:t>
      </w:r>
      <w:r w:rsidRPr="00492A93">
        <w:rPr>
          <w:sz w:val="24"/>
          <w:szCs w:val="24"/>
        </w:rPr>
        <w:t xml:space="preserve">in 1998, but this particular reflective model would be more suited for a larger text and hence may be used in future essays. </w:t>
      </w:r>
      <w:r w:rsidRPr="00492A93">
        <w:rPr>
          <w:i/>
          <w:iCs/>
          <w:sz w:val="24"/>
          <w:szCs w:val="24"/>
        </w:rPr>
        <w:t>Text developed based on source:</w:t>
      </w:r>
      <w:r w:rsidR="009E1B34">
        <w:t xml:space="preserve"> </w:t>
      </w:r>
      <w:r w:rsidR="00415598" w:rsidRPr="00415598">
        <w:rPr>
          <w:sz w:val="24"/>
          <w:szCs w:val="24"/>
        </w:rPr>
        <w:t>the ‘Driscoll’s What Model’ (</w:t>
      </w:r>
      <w:r w:rsidR="00415598" w:rsidRPr="00415598">
        <w:rPr>
          <w:i/>
          <w:iCs/>
          <w:sz w:val="24"/>
          <w:szCs w:val="24"/>
        </w:rPr>
        <w:t>Reflective practice toolkit: Models of Reflection</w:t>
      </w:r>
      <w:r w:rsidR="00415598" w:rsidRPr="00415598">
        <w:rPr>
          <w:sz w:val="24"/>
          <w:szCs w:val="24"/>
        </w:rPr>
        <w:t xml:space="preserve"> (no date) </w:t>
      </w:r>
      <w:r w:rsidR="00415598" w:rsidRPr="00415598">
        <w:rPr>
          <w:i/>
          <w:iCs/>
          <w:sz w:val="24"/>
          <w:szCs w:val="24"/>
        </w:rPr>
        <w:t>LibGuides</w:t>
      </w:r>
      <w:r w:rsidR="00415598" w:rsidRPr="00415598">
        <w:rPr>
          <w:sz w:val="24"/>
          <w:szCs w:val="24"/>
        </w:rPr>
        <w:t>. Available at: https://libguides.cam.ac.uk/reflectivepracticetoolkit/models (Accessed: November 7, 2022)</w:t>
      </w:r>
    </w:p>
    <w:p w14:paraId="24D943F5" w14:textId="77777777" w:rsidR="00072DBE" w:rsidRPr="00492A93" w:rsidRDefault="00072DBE" w:rsidP="00072DBE">
      <w:pPr>
        <w:rPr>
          <w:i/>
          <w:iCs/>
          <w:sz w:val="24"/>
          <w:szCs w:val="24"/>
        </w:rPr>
      </w:pPr>
    </w:p>
    <w:p w14:paraId="3E10D8B5" w14:textId="77777777" w:rsidR="00072DBE" w:rsidRPr="00492A93" w:rsidRDefault="00072DBE" w:rsidP="00072DBE">
      <w:pPr>
        <w:rPr>
          <w:sz w:val="24"/>
          <w:szCs w:val="24"/>
        </w:rPr>
      </w:pPr>
      <w:r w:rsidRPr="00492A93">
        <w:rPr>
          <w:i/>
          <w:iCs/>
          <w:sz w:val="24"/>
          <w:szCs w:val="24"/>
        </w:rPr>
        <w:t xml:space="preserve">Wellbeing and Resilience </w:t>
      </w:r>
      <w:r w:rsidRPr="00492A93">
        <w:rPr>
          <w:sz w:val="24"/>
          <w:szCs w:val="24"/>
        </w:rPr>
        <w:t xml:space="preserve">using the Driscoll’s </w:t>
      </w:r>
      <w:r w:rsidRPr="00492A93">
        <w:rPr>
          <w:i/>
          <w:iCs/>
          <w:sz w:val="24"/>
          <w:szCs w:val="24"/>
        </w:rPr>
        <w:t xml:space="preserve">‘What’ </w:t>
      </w:r>
      <w:r w:rsidRPr="00492A93">
        <w:rPr>
          <w:sz w:val="24"/>
          <w:szCs w:val="24"/>
        </w:rPr>
        <w:t xml:space="preserve">model I will in following paragraphs breakdown how I’ve approached the last 6 months of phase 1 police training and strategies I’ve implemented. I will first explain the part of the topic I will be writing about and then apply the Driscoll’s model to break the topic down. So buckle up and enjoy the read. </w:t>
      </w:r>
    </w:p>
    <w:p w14:paraId="27567544" w14:textId="77777777" w:rsidR="00072DBE" w:rsidRPr="00492A93" w:rsidRDefault="00072DBE" w:rsidP="00072DBE">
      <w:pPr>
        <w:rPr>
          <w:sz w:val="24"/>
          <w:szCs w:val="24"/>
        </w:rPr>
      </w:pPr>
    </w:p>
    <w:p w14:paraId="3ADD7F8E" w14:textId="77777777" w:rsidR="00072DBE" w:rsidRPr="00492A93" w:rsidRDefault="00072DBE" w:rsidP="00072DBE">
      <w:pPr>
        <w:rPr>
          <w:sz w:val="24"/>
          <w:szCs w:val="24"/>
        </w:rPr>
      </w:pPr>
      <w:r w:rsidRPr="00492A93">
        <w:rPr>
          <w:sz w:val="24"/>
          <w:szCs w:val="24"/>
        </w:rPr>
        <w:t xml:space="preserve">Wellbeing and resilience, two fundamental parts of every human experience, both mental and physical wellbeing and resilience are equally important. In order to cope with the strain of learning I was posed with a rather simple set of circumstance. I </w:t>
      </w:r>
      <w:r w:rsidRPr="00492A93">
        <w:rPr>
          <w:sz w:val="24"/>
          <w:szCs w:val="24"/>
        </w:rPr>
        <w:lastRenderedPageBreak/>
        <w:t>found myself doing a university degree, being relatively rusty from studying and revision as I’ve left school age 18 and finished 2 colleges that were practical, and module based for the end of course certificates they offered and hence involved little to no need for revision work. Having to read over new and mostly unknown material as my law and legislation knowledge was fairly limited at that time I was faced with a lot of workloads, knowledge of 2 timed exams that were drawing nearer by the day, and that those were covering vast number of topics and knowing that I am hopeless at revision the initial prognosis was bleak to say the least. To top it off I found myself in a class full of new people, most of which had more knowledge and practical experience than me in this field or type of education.</w:t>
      </w:r>
    </w:p>
    <w:p w14:paraId="5E7339DC" w14:textId="77777777" w:rsidR="00072DBE" w:rsidRPr="00492A93" w:rsidRDefault="00072DBE" w:rsidP="00072DBE">
      <w:pPr>
        <w:rPr>
          <w:sz w:val="24"/>
          <w:szCs w:val="24"/>
        </w:rPr>
      </w:pPr>
    </w:p>
    <w:p w14:paraId="057F8D82" w14:textId="26F8A964" w:rsidR="00072DBE" w:rsidRPr="00492A93" w:rsidRDefault="00072DBE" w:rsidP="00072DBE">
      <w:pPr>
        <w:rPr>
          <w:sz w:val="24"/>
          <w:szCs w:val="24"/>
        </w:rPr>
      </w:pPr>
      <w:r w:rsidRPr="00492A93">
        <w:rPr>
          <w:sz w:val="24"/>
          <w:szCs w:val="24"/>
        </w:rPr>
        <w:t xml:space="preserve">So what did I do? Well, that’s what I am about to write next. So, not being a quitter and enjoying books that cover topics such as </w:t>
      </w:r>
      <w:r w:rsidRPr="00492A93">
        <w:rPr>
          <w:i/>
          <w:iCs/>
          <w:sz w:val="24"/>
          <w:szCs w:val="24"/>
        </w:rPr>
        <w:t xml:space="preserve">Social Psychology </w:t>
      </w:r>
      <w:r w:rsidRPr="00492A93">
        <w:rPr>
          <w:sz w:val="24"/>
          <w:szCs w:val="24"/>
        </w:rPr>
        <w:t xml:space="preserve">and </w:t>
      </w:r>
      <w:r w:rsidRPr="00492A93">
        <w:rPr>
          <w:i/>
          <w:iCs/>
          <w:sz w:val="24"/>
          <w:szCs w:val="24"/>
        </w:rPr>
        <w:t xml:space="preserve">How to influence People </w:t>
      </w:r>
      <w:r w:rsidRPr="00492A93">
        <w:rPr>
          <w:sz w:val="24"/>
          <w:szCs w:val="24"/>
        </w:rPr>
        <w:t xml:space="preserve">and </w:t>
      </w:r>
      <w:r w:rsidRPr="00492A93">
        <w:rPr>
          <w:i/>
          <w:iCs/>
          <w:sz w:val="24"/>
          <w:szCs w:val="24"/>
        </w:rPr>
        <w:t>Behavioural neuro-science</w:t>
      </w:r>
      <w:r w:rsidRPr="00492A93">
        <w:rPr>
          <w:sz w:val="24"/>
          <w:szCs w:val="24"/>
        </w:rPr>
        <w:t xml:space="preserve"> I had already a decent theoretical background on how my body and brain is going to respond to this new situation, however, it’s not that short or easy or I could have covered this topic in 300 words. So, coming to my first exam, I’ve revised by simply reading over the bulk material, with a hope of retaining some information, I passed the 1</w:t>
      </w:r>
      <w:r w:rsidRPr="00492A93">
        <w:rPr>
          <w:sz w:val="24"/>
          <w:szCs w:val="24"/>
          <w:vertAlign w:val="superscript"/>
        </w:rPr>
        <w:t>st</w:t>
      </w:r>
      <w:r w:rsidRPr="00492A93">
        <w:rPr>
          <w:sz w:val="24"/>
          <w:szCs w:val="24"/>
        </w:rPr>
        <w:t xml:space="preserve"> exam, so it kind of worked, but I wasn’t satisfied with the result, so for my 2</w:t>
      </w:r>
      <w:r w:rsidRPr="00492A93">
        <w:rPr>
          <w:sz w:val="24"/>
          <w:szCs w:val="24"/>
          <w:vertAlign w:val="superscript"/>
        </w:rPr>
        <w:t>nd</w:t>
      </w:r>
      <w:r w:rsidRPr="00492A93">
        <w:rPr>
          <w:sz w:val="24"/>
          <w:szCs w:val="24"/>
        </w:rPr>
        <w:t xml:space="preserve"> exam, I’ve used boiled down notes on the topics that other people have made available to the class, kudos to these individuals who shared their knowledge of making quality revision notes, I would have struggled without them. I’ve also didn’t forget to still practice my hobbies as I believe a work/life balance is important, so I’ve continued doing my other activities, hiking and martial arts were a blessing as they helped with the physical side of dealing with the situation. Camping trips and studying while in the great outdoors, on a side of a mountain like I am now while typing this essay also helped greatly, but not so much with the physical side, I mean, I still had to walk up here with all the necessary </w:t>
      </w:r>
      <w:r w:rsidR="00797DE5" w:rsidRPr="00492A93">
        <w:rPr>
          <w:sz w:val="24"/>
          <w:szCs w:val="24"/>
        </w:rPr>
        <w:t>equipment</w:t>
      </w:r>
      <w:r w:rsidRPr="00492A93">
        <w:rPr>
          <w:sz w:val="24"/>
          <w:szCs w:val="24"/>
        </w:rPr>
        <w:t xml:space="preserve"> to sustain me for a day of working on a laptop but the mental side, with fresh mountainside breeze, no people and no distractions, I found that I can focus a lot better, and retain a lot more information when the artificial background noise is gone. On top of that, I found out that after reading a book by </w:t>
      </w:r>
      <w:r w:rsidR="00797DE5" w:rsidRPr="00797DE5">
        <w:rPr>
          <w:i/>
          <w:iCs/>
          <w:sz w:val="24"/>
          <w:szCs w:val="24"/>
        </w:rPr>
        <w:t xml:space="preserve">Grylls, B </w:t>
      </w:r>
      <w:r w:rsidRPr="00492A93">
        <w:rPr>
          <w:sz w:val="24"/>
          <w:szCs w:val="24"/>
        </w:rPr>
        <w:t>I found out that some lessons withing that book are precious and everyone could do with reading it, the main lesson I found the most useful was that one should not worry about thigs that are outside their sphere of control or influence and so I did. And I found it so enabling, especially with all the things that are going on around the world. And that would be it for the ‘</w:t>
      </w:r>
      <w:r w:rsidRPr="00492A93">
        <w:rPr>
          <w:i/>
          <w:iCs/>
          <w:sz w:val="24"/>
          <w:szCs w:val="24"/>
        </w:rPr>
        <w:t>Now what?’</w:t>
      </w:r>
      <w:r w:rsidRPr="00492A93">
        <w:rPr>
          <w:sz w:val="24"/>
          <w:szCs w:val="24"/>
        </w:rPr>
        <w:t xml:space="preserve"> part of this work.</w:t>
      </w:r>
    </w:p>
    <w:p w14:paraId="09646CE0" w14:textId="77777777" w:rsidR="00072DBE" w:rsidRPr="00492A93" w:rsidRDefault="00072DBE" w:rsidP="00072DBE">
      <w:pPr>
        <w:rPr>
          <w:sz w:val="24"/>
          <w:szCs w:val="24"/>
        </w:rPr>
      </w:pPr>
    </w:p>
    <w:p w14:paraId="6CB18D23" w14:textId="77777777" w:rsidR="00072DBE" w:rsidRPr="00492A93" w:rsidRDefault="00072DBE" w:rsidP="00072DBE">
      <w:pPr>
        <w:rPr>
          <w:sz w:val="24"/>
          <w:szCs w:val="24"/>
        </w:rPr>
      </w:pPr>
      <w:r w:rsidRPr="00492A93">
        <w:rPr>
          <w:sz w:val="24"/>
          <w:szCs w:val="24"/>
        </w:rPr>
        <w:t xml:space="preserve">As to the final part, I am past the theory part of police training, and even though it feels daunting, I know I won’t have to do any more exams any time soon. What have I learned from these initial 6 months? Mostly, that I am more capable than I thought, that I have a long way to learn as to how to embrace this endeavouring adventure of being a student police constable, the university work, and these workbooks. Is there a room to improve? Surely, I need to engage more with sources of vital information, read or listen more and take life in both hands, embrace this adventure, and continue to write this workbook and perhaps, apply these reflection models in a written format more often, but all in all, I think I did pretty well during these last 6 months. </w:t>
      </w:r>
      <w:bookmarkEnd w:id="0"/>
    </w:p>
    <w:p w14:paraId="728067A8" w14:textId="77777777" w:rsidR="00072DBE" w:rsidRPr="00492A93" w:rsidRDefault="00072DBE" w:rsidP="00072DBE">
      <w:pPr>
        <w:rPr>
          <w:b/>
          <w:bCs/>
          <w:i/>
          <w:iCs/>
          <w:sz w:val="24"/>
          <w:szCs w:val="24"/>
        </w:rPr>
      </w:pPr>
    </w:p>
    <w:p w14:paraId="43158042" w14:textId="749EC0FA" w:rsidR="00072DBE" w:rsidRPr="00492A93" w:rsidRDefault="00072DBE" w:rsidP="00072DBE">
      <w:pPr>
        <w:rPr>
          <w:b/>
          <w:bCs/>
          <w:i/>
          <w:iCs/>
          <w:sz w:val="24"/>
          <w:szCs w:val="24"/>
        </w:rPr>
      </w:pPr>
      <w:r w:rsidRPr="00492A93">
        <w:rPr>
          <w:b/>
          <w:bCs/>
          <w:i/>
          <w:iCs/>
          <w:sz w:val="24"/>
          <w:szCs w:val="24"/>
        </w:rPr>
        <w:t>Total word count: 105</w:t>
      </w:r>
      <w:r w:rsidR="00797DE5">
        <w:rPr>
          <w:b/>
          <w:bCs/>
          <w:i/>
          <w:iCs/>
          <w:sz w:val="24"/>
          <w:szCs w:val="24"/>
        </w:rPr>
        <w:t>6</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5ADF0E5" w14:textId="77777777" w:rsidR="00072DBE" w:rsidRPr="00C72353" w:rsidRDefault="00072DBE" w:rsidP="00072DBE">
      <w:pPr>
        <w:rPr>
          <w:sz w:val="24"/>
          <w:szCs w:val="24"/>
        </w:rPr>
      </w:pPr>
      <w:bookmarkStart w:id="1" w:name="_Hlk118989272"/>
      <w:r w:rsidRPr="00C72353">
        <w:rPr>
          <w:sz w:val="24"/>
          <w:szCs w:val="24"/>
        </w:rPr>
        <w:t xml:space="preserve">The incident I am going to talk about happened on a Wednesday night, some time before this work is being produced. It was a domestic incident, the type you see in criminal movies. Partners start to argue over a minor disagreement and next thing you see is a full out fight. Police gets called and someone gets arrested. Well, that’s basically what happened here, so let’s let the story begin. </w:t>
      </w:r>
    </w:p>
    <w:p w14:paraId="5CFF65BE" w14:textId="77777777" w:rsidR="00072DBE" w:rsidRPr="00C72353" w:rsidRDefault="00072DBE" w:rsidP="00072DBE">
      <w:pPr>
        <w:rPr>
          <w:sz w:val="24"/>
          <w:szCs w:val="24"/>
        </w:rPr>
      </w:pPr>
    </w:p>
    <w:p w14:paraId="4CEF2116" w14:textId="77777777" w:rsidR="00072DBE" w:rsidRPr="00C72353" w:rsidRDefault="00072DBE" w:rsidP="00072DBE">
      <w:pPr>
        <w:rPr>
          <w:sz w:val="24"/>
          <w:szCs w:val="24"/>
        </w:rPr>
      </w:pPr>
      <w:r w:rsidRPr="00C72353">
        <w:rPr>
          <w:sz w:val="24"/>
          <w:szCs w:val="24"/>
        </w:rPr>
        <w:t>It happened on a Wednesday, some time after we started our night shift. A call came in of an ongoing domestic which in essence means that an argument or some sort of disagreement is happening between 2</w:t>
      </w:r>
      <w:r>
        <w:rPr>
          <w:sz w:val="24"/>
          <w:szCs w:val="24"/>
        </w:rPr>
        <w:t xml:space="preserve"> or more</w:t>
      </w:r>
      <w:r w:rsidRPr="00C72353">
        <w:rPr>
          <w:sz w:val="24"/>
          <w:szCs w:val="24"/>
        </w:rPr>
        <w:t xml:space="preserve"> people believed to be in a relationship while someone is on the phone to the police. Female phoned in reporting that she just had an argument with her partner and that they had a physical altercation. They are both still at the address. We arrived there shortly to deal with the issue. </w:t>
      </w:r>
    </w:p>
    <w:p w14:paraId="0CD51486" w14:textId="77777777" w:rsidR="00072DBE" w:rsidRPr="00C72353" w:rsidRDefault="00072DBE" w:rsidP="00072DBE">
      <w:pPr>
        <w:rPr>
          <w:sz w:val="24"/>
          <w:szCs w:val="24"/>
        </w:rPr>
      </w:pPr>
    </w:p>
    <w:p w14:paraId="65810FC0" w14:textId="793304F4" w:rsidR="00072DBE" w:rsidRPr="00C72353" w:rsidRDefault="00072DBE" w:rsidP="00072DBE">
      <w:pPr>
        <w:rPr>
          <w:sz w:val="24"/>
          <w:szCs w:val="24"/>
        </w:rPr>
      </w:pPr>
      <w:r w:rsidRPr="00C72353">
        <w:rPr>
          <w:sz w:val="24"/>
          <w:szCs w:val="24"/>
        </w:rPr>
        <w:t xml:space="preserve">Inside the property we found 2 people still arguing, there was a fair amount of broken glass on the floor also. Long story short, the male was the perpetrator which wasn’t all that surprising as statistically, in most domestic violence or abuse cases, the male </w:t>
      </w:r>
      <w:r w:rsidRPr="00C72353">
        <w:rPr>
          <w:sz w:val="24"/>
          <w:szCs w:val="24"/>
        </w:rPr>
        <w:lastRenderedPageBreak/>
        <w:t xml:space="preserve">is the perpetrator </w:t>
      </w:r>
      <w:r w:rsidR="008C284C" w:rsidRPr="008C284C">
        <w:rPr>
          <w:sz w:val="24"/>
          <w:szCs w:val="24"/>
        </w:rPr>
        <w:t xml:space="preserve">Smith, R. (2018) 'Domestic Abuse V14' </w:t>
      </w:r>
      <w:r w:rsidR="00415598">
        <w:rPr>
          <w:sz w:val="24"/>
          <w:szCs w:val="24"/>
        </w:rPr>
        <w:t>[</w:t>
      </w:r>
      <w:r w:rsidR="008C284C" w:rsidRPr="008C284C">
        <w:rPr>
          <w:sz w:val="24"/>
          <w:szCs w:val="24"/>
        </w:rPr>
        <w:t>Slide 12]</w:t>
      </w:r>
      <w:r w:rsidRPr="00C72353">
        <w:rPr>
          <w:sz w:val="24"/>
          <w:szCs w:val="24"/>
        </w:rPr>
        <w:t>. Once we showed up, they both calmed immediately, but the damage was done, I’ve arrested him for breach of peace</w:t>
      </w:r>
      <w:r>
        <w:rPr>
          <w:sz w:val="24"/>
          <w:szCs w:val="24"/>
        </w:rPr>
        <w:t xml:space="preserve"> as </w:t>
      </w:r>
      <w:r w:rsidRPr="00C72353">
        <w:rPr>
          <w:sz w:val="24"/>
          <w:szCs w:val="24"/>
        </w:rPr>
        <w:t>we didn’t have anything else at that time. We had a quick conversation with the female to see if she had any injuries but for whatever reason she continued to antagonise the male even with us present, in the end we had to warn her of potential repercussions if she didn’t stop which seemed to work for the time I was there</w:t>
      </w:r>
      <w:r>
        <w:rPr>
          <w:sz w:val="24"/>
          <w:szCs w:val="24"/>
        </w:rPr>
        <w:t xml:space="preserve"> but we had to expedite our departure and taking the male with us in case the situation would have re-escalated, our colleagues spoke with her in our absence to gather additional information.</w:t>
      </w:r>
    </w:p>
    <w:p w14:paraId="234625FF" w14:textId="77777777" w:rsidR="00072DBE" w:rsidRPr="00C72353" w:rsidRDefault="00072DBE" w:rsidP="00072DBE">
      <w:pPr>
        <w:rPr>
          <w:sz w:val="24"/>
          <w:szCs w:val="24"/>
        </w:rPr>
      </w:pPr>
    </w:p>
    <w:p w14:paraId="552C7B08" w14:textId="6E7A2C73" w:rsidR="00072DBE" w:rsidRPr="00C72353" w:rsidRDefault="00072DBE" w:rsidP="00072DBE">
      <w:pPr>
        <w:rPr>
          <w:sz w:val="24"/>
          <w:szCs w:val="24"/>
        </w:rPr>
      </w:pPr>
      <w:r w:rsidRPr="00C72353">
        <w:rPr>
          <w:sz w:val="24"/>
          <w:szCs w:val="24"/>
        </w:rPr>
        <w:t>On our way to the custody as I was the arresting officer, I sat facing the male who was being conveyed in a holding cell of our van, I’ve utilised my knowledge of human behaviour and friendship models. The 2 main ones I used is the golden rule of friendship and the friendship formula (</w:t>
      </w:r>
      <w:hyperlink r:id="rId20" w:history="1">
        <w:r w:rsidR="005D75FD" w:rsidRPr="005D75FD">
          <w:rPr>
            <w:rStyle w:val="Hyperlink"/>
            <w:color w:val="auto"/>
            <w:sz w:val="24"/>
            <w:szCs w:val="24"/>
          </w:rPr>
          <w:t>Jack Schafer PhD</w:t>
        </w:r>
      </w:hyperlink>
      <w:r w:rsidR="005D75FD" w:rsidRPr="005D75FD">
        <w:rPr>
          <w:color w:val="auto"/>
          <w:sz w:val="24"/>
          <w:szCs w:val="24"/>
        </w:rPr>
        <w:t>, </w:t>
      </w:r>
      <w:hyperlink r:id="rId21" w:history="1">
        <w:r w:rsidR="005D75FD" w:rsidRPr="005D75FD">
          <w:rPr>
            <w:rStyle w:val="Hyperlink"/>
            <w:color w:val="auto"/>
            <w:sz w:val="24"/>
            <w:szCs w:val="24"/>
          </w:rPr>
          <w:t>Ph.D. Marvin Karlins Ph.D</w:t>
        </w:r>
      </w:hyperlink>
      <w:r w:rsidR="005D75FD" w:rsidRPr="005D75FD">
        <w:rPr>
          <w:color w:val="auto"/>
          <w:sz w:val="24"/>
          <w:szCs w:val="24"/>
        </w:rPr>
        <w:t>. (2015)</w:t>
      </w:r>
      <w:r w:rsidRPr="005D75FD">
        <w:rPr>
          <w:color w:val="auto"/>
          <w:sz w:val="24"/>
          <w:szCs w:val="24"/>
        </w:rPr>
        <w:t xml:space="preserve"> </w:t>
      </w:r>
      <w:r w:rsidRPr="00C72353">
        <w:rPr>
          <w:sz w:val="24"/>
          <w:szCs w:val="24"/>
        </w:rPr>
        <w:t xml:space="preserve">where by asking simple questions that were not relevant to the case as that would constitute an interview I spoke to the male in a calm tone, giving him my undivided attention, keeping him in the centre of my attention and making the focus of the conversation to be on him it allowed me to make the male perceive me as a friend, or at least, </w:t>
      </w:r>
      <w:r>
        <w:rPr>
          <w:sz w:val="24"/>
          <w:szCs w:val="24"/>
        </w:rPr>
        <w:t>to perceive me as not being a threat to him, but someone who is on his side</w:t>
      </w:r>
      <w:r w:rsidRPr="00C72353">
        <w:rPr>
          <w:sz w:val="24"/>
          <w:szCs w:val="24"/>
        </w:rPr>
        <w:t xml:space="preserve">, effectively forcing him on a subconscious level to behave appropriately and not play up. I’ve utilised head tilts and eyebrow flashes to further reinforce that I was not a threat but his friend. On our arrival at the custody, the male left the cell in a peaceful manner, unfortunately, as we were driving to custody, my colleagues spoke with the female who we left at the address and ascertained that she was also hit by the male and cut her foot on a glass shrapnel of a bottle the male smashed up </w:t>
      </w:r>
      <w:r>
        <w:rPr>
          <w:sz w:val="24"/>
          <w:szCs w:val="24"/>
        </w:rPr>
        <w:t xml:space="preserve">against a wall </w:t>
      </w:r>
      <w:r w:rsidRPr="00C72353">
        <w:rPr>
          <w:sz w:val="24"/>
          <w:szCs w:val="24"/>
        </w:rPr>
        <w:t xml:space="preserve">during their argument, I then, based on the information passed, further arrested him for a </w:t>
      </w:r>
      <w:r>
        <w:rPr>
          <w:sz w:val="24"/>
          <w:szCs w:val="24"/>
        </w:rPr>
        <w:t>section 38 C</w:t>
      </w:r>
      <w:r w:rsidRPr="00C72353">
        <w:rPr>
          <w:sz w:val="24"/>
          <w:szCs w:val="24"/>
        </w:rPr>
        <w:t xml:space="preserve">ommon </w:t>
      </w:r>
      <w:r>
        <w:rPr>
          <w:sz w:val="24"/>
          <w:szCs w:val="24"/>
        </w:rPr>
        <w:t>A</w:t>
      </w:r>
      <w:r w:rsidRPr="00C72353">
        <w:rPr>
          <w:sz w:val="24"/>
          <w:szCs w:val="24"/>
        </w:rPr>
        <w:t>ssault.</w:t>
      </w:r>
    </w:p>
    <w:p w14:paraId="2678C21E" w14:textId="77777777" w:rsidR="00072DBE" w:rsidRPr="00C72353" w:rsidRDefault="00072DBE" w:rsidP="00072DBE">
      <w:pPr>
        <w:rPr>
          <w:sz w:val="24"/>
          <w:szCs w:val="24"/>
        </w:rPr>
      </w:pPr>
    </w:p>
    <w:p w14:paraId="01BBB512" w14:textId="77777777" w:rsidR="00072DBE" w:rsidRPr="00C72353" w:rsidRDefault="00072DBE" w:rsidP="00072DBE">
      <w:pPr>
        <w:rPr>
          <w:sz w:val="24"/>
          <w:szCs w:val="24"/>
        </w:rPr>
      </w:pPr>
      <w:r w:rsidRPr="00C72353">
        <w:rPr>
          <w:sz w:val="24"/>
          <w:szCs w:val="24"/>
        </w:rPr>
        <w:t>Looking at this occurrence using one the reflective models available, I will now break down my evaluation of this incident. The reflective model I will be using will be yet again the ‘Driscoll’s What Model’ (</w:t>
      </w:r>
      <w:r w:rsidRPr="00C72353">
        <w:rPr>
          <w:i/>
          <w:iCs/>
          <w:sz w:val="24"/>
          <w:szCs w:val="24"/>
        </w:rPr>
        <w:t>Reflective practice toolkit: Models of Reflection</w:t>
      </w:r>
      <w:r w:rsidRPr="00C72353">
        <w:rPr>
          <w:sz w:val="24"/>
          <w:szCs w:val="24"/>
        </w:rPr>
        <w:t xml:space="preserve"> (no date) </w:t>
      </w:r>
      <w:r w:rsidRPr="00C72353">
        <w:rPr>
          <w:i/>
          <w:iCs/>
          <w:sz w:val="24"/>
          <w:szCs w:val="24"/>
        </w:rPr>
        <w:t>LibGuides</w:t>
      </w:r>
      <w:r w:rsidRPr="00C72353">
        <w:rPr>
          <w:sz w:val="24"/>
          <w:szCs w:val="24"/>
        </w:rPr>
        <w:t xml:space="preserve">. Available at: https://libguides.cam.ac.uk/reflectivepracticetoolkit/models (Accessed: November 7, 2022). </w:t>
      </w:r>
    </w:p>
    <w:p w14:paraId="191E218C" w14:textId="77777777" w:rsidR="00072DBE" w:rsidRPr="00C72353" w:rsidRDefault="00072DBE" w:rsidP="00072DBE">
      <w:pPr>
        <w:rPr>
          <w:sz w:val="24"/>
          <w:szCs w:val="24"/>
        </w:rPr>
      </w:pPr>
    </w:p>
    <w:p w14:paraId="33F9BF92" w14:textId="77777777" w:rsidR="00072DBE" w:rsidRPr="00C72353" w:rsidRDefault="00072DBE" w:rsidP="00072DBE">
      <w:pPr>
        <w:rPr>
          <w:sz w:val="24"/>
          <w:szCs w:val="24"/>
        </w:rPr>
      </w:pPr>
      <w:r w:rsidRPr="00C72353">
        <w:rPr>
          <w:sz w:val="24"/>
          <w:szCs w:val="24"/>
        </w:rPr>
        <w:t xml:space="preserve">The above basically explain the </w:t>
      </w:r>
      <w:r w:rsidRPr="00C72353">
        <w:rPr>
          <w:i/>
          <w:iCs/>
          <w:sz w:val="24"/>
          <w:szCs w:val="24"/>
        </w:rPr>
        <w:t>‘What’</w:t>
      </w:r>
      <w:r w:rsidRPr="00C72353">
        <w:rPr>
          <w:sz w:val="24"/>
          <w:szCs w:val="24"/>
        </w:rPr>
        <w:t xml:space="preserve"> part of this model, so I will go straight to the ‘So what’ part of the reflective model. In this part I will give a reflection on what happened. </w:t>
      </w:r>
    </w:p>
    <w:p w14:paraId="0F370801" w14:textId="77777777" w:rsidR="00072DBE" w:rsidRPr="00C72353" w:rsidRDefault="00072DBE" w:rsidP="00072DBE">
      <w:pPr>
        <w:rPr>
          <w:sz w:val="24"/>
          <w:szCs w:val="24"/>
        </w:rPr>
      </w:pPr>
    </w:p>
    <w:p w14:paraId="4D3AB82C" w14:textId="77777777" w:rsidR="00072DBE" w:rsidRPr="00C72353" w:rsidRDefault="00072DBE" w:rsidP="00072DBE">
      <w:pPr>
        <w:rPr>
          <w:sz w:val="24"/>
          <w:szCs w:val="24"/>
        </w:rPr>
      </w:pPr>
      <w:r w:rsidRPr="00C72353">
        <w:rPr>
          <w:sz w:val="24"/>
          <w:szCs w:val="24"/>
        </w:rPr>
        <w:t xml:space="preserve">So, upon thinking about how this played out, I can see that what I did have worked, I’ve used my knowledge of non-verbal and verbal language to keep the male from getting angry or frustrated with himself or any other factor as once calm he have told me that he feels bad for “Loosing his cool at his missus”, hence why I felt it was important to speak with him about neutral things which effectively prevented him from being left to his own devices and making his mind reflect on what just transpired effectively causing a high degree of stress which could have caused him to get worked up and become frustrated with himself and his inability to deal with the situation which, being as there is a stereotype that </w:t>
      </w:r>
      <w:r w:rsidRPr="00C72353">
        <w:rPr>
          <w:i/>
          <w:iCs/>
          <w:sz w:val="24"/>
          <w:szCs w:val="24"/>
        </w:rPr>
        <w:t>“A man should be the head and shoulders of a house”</w:t>
      </w:r>
      <w:r w:rsidRPr="00C72353">
        <w:rPr>
          <w:sz w:val="24"/>
          <w:szCs w:val="24"/>
        </w:rPr>
        <w:t xml:space="preserve"> it could cause a major internal conflict within him known as </w:t>
      </w:r>
      <w:r w:rsidRPr="00C72353">
        <w:rPr>
          <w:i/>
          <w:iCs/>
          <w:sz w:val="24"/>
          <w:szCs w:val="24"/>
        </w:rPr>
        <w:t>Cognitive Dissonance</w:t>
      </w:r>
      <w:r w:rsidRPr="00C72353">
        <w:rPr>
          <w:sz w:val="24"/>
          <w:szCs w:val="24"/>
        </w:rPr>
        <w:t xml:space="preserve"> (Festinger, L. (1957) “A theory of cognitive dissonance.” </w:t>
      </w:r>
      <w:r w:rsidRPr="00C72353">
        <w:rPr>
          <w:sz w:val="24"/>
          <w:szCs w:val="24"/>
        </w:rPr>
        <w:lastRenderedPageBreak/>
        <w:t>Available at: https://doi.org/10.1515/9781503620766). which is in essence an internal psychological conflict one has with themselves when they hold 2 opposing views simultaneously, in this case it was the fact that he would see him as someone the society expects to remain cool and collective when he just said to me that he “Lost his cool with his missus”, got himself involved in a major argument with his partner to the point as we later found out he hit her and had to deal with the fact that he broke</w:t>
      </w:r>
      <w:r>
        <w:rPr>
          <w:sz w:val="24"/>
          <w:szCs w:val="24"/>
        </w:rPr>
        <w:t xml:space="preserve"> yet</w:t>
      </w:r>
      <w:r w:rsidRPr="00C72353">
        <w:rPr>
          <w:sz w:val="24"/>
          <w:szCs w:val="24"/>
        </w:rPr>
        <w:t xml:space="preserve"> another of societies rules to </w:t>
      </w:r>
      <w:r w:rsidRPr="00C72353">
        <w:rPr>
          <w:i/>
          <w:iCs/>
          <w:sz w:val="24"/>
          <w:szCs w:val="24"/>
        </w:rPr>
        <w:t>Never hit women</w:t>
      </w:r>
      <w:r w:rsidRPr="00C72353">
        <w:rPr>
          <w:sz w:val="24"/>
          <w:szCs w:val="24"/>
        </w:rPr>
        <w:t xml:space="preserve"> and being as he was effectively trapped inside a cell, it could quickly escalate to a major aggressive response from him and I wanted to avoid that as he was compliant up to this point and should he loose his cool again it would make my job a lot harder after we arrived at the custody and had to take him out of the van holding cell and into the custody. </w:t>
      </w:r>
    </w:p>
    <w:p w14:paraId="60B85775" w14:textId="77777777" w:rsidR="00072DBE" w:rsidRPr="00C72353" w:rsidRDefault="00072DBE" w:rsidP="00072DBE">
      <w:pPr>
        <w:rPr>
          <w:sz w:val="24"/>
          <w:szCs w:val="24"/>
        </w:rPr>
      </w:pPr>
    </w:p>
    <w:p w14:paraId="1B001DCA" w14:textId="1F83F8C5" w:rsidR="00072DBE" w:rsidRPr="00C72353" w:rsidRDefault="00072DBE" w:rsidP="00072DBE">
      <w:pPr>
        <w:rPr>
          <w:sz w:val="24"/>
          <w:szCs w:val="24"/>
        </w:rPr>
      </w:pPr>
      <w:r w:rsidRPr="00C72353">
        <w:rPr>
          <w:sz w:val="24"/>
          <w:szCs w:val="24"/>
        </w:rPr>
        <w:t xml:space="preserve">As to the </w:t>
      </w:r>
      <w:r w:rsidRPr="00C72353">
        <w:rPr>
          <w:i/>
          <w:iCs/>
          <w:sz w:val="24"/>
          <w:szCs w:val="24"/>
        </w:rPr>
        <w:t>‘Now What’</w:t>
      </w:r>
      <w:r w:rsidRPr="00C72353">
        <w:rPr>
          <w:sz w:val="24"/>
          <w:szCs w:val="24"/>
        </w:rPr>
        <w:t xml:space="preserve"> part, upon reflecting how this turned out in the end, I will surely use the same techniques in the future when I without a doubt find </w:t>
      </w:r>
      <w:r w:rsidR="00415598" w:rsidRPr="00C72353">
        <w:rPr>
          <w:sz w:val="24"/>
          <w:szCs w:val="24"/>
        </w:rPr>
        <w:t>myself</w:t>
      </w:r>
      <w:r w:rsidRPr="00C72353">
        <w:rPr>
          <w:sz w:val="24"/>
          <w:szCs w:val="24"/>
        </w:rPr>
        <w:t xml:space="preserve"> in similar situation solemnly by the nature of the job. As to the female of who I didn’t speak much in this work, in future, when similar situation happens, I will make sure to speak to the person reporting thoroughly before making off to custody with any prisoners so all the facts can be ascertained </w:t>
      </w:r>
      <w:r w:rsidR="00415598" w:rsidRPr="00C72353">
        <w:rPr>
          <w:sz w:val="24"/>
          <w:szCs w:val="24"/>
        </w:rPr>
        <w:t>beforehand</w:t>
      </w:r>
      <w:r w:rsidRPr="00C72353">
        <w:rPr>
          <w:sz w:val="24"/>
          <w:szCs w:val="24"/>
        </w:rPr>
        <w:t xml:space="preserve"> and any further arrests necessary done before arriving at the custody. As to the male, I feel what I done was well withing what is expected of me. Speaking to him about neutral things like hobbies, sport and music can prove to be an effective way to mitigate conflict and bring focus of the person being spoken to back to the present, keeping appropriate level of eye contact as well as head tilting, and empathic statements are also crucial elements of effective communication as well conflict prevention or de-escalation. </w:t>
      </w:r>
    </w:p>
    <w:p w14:paraId="6E8392A4" w14:textId="77777777" w:rsidR="00072DBE" w:rsidRPr="00C72353" w:rsidRDefault="00072DBE" w:rsidP="00072DBE">
      <w:pPr>
        <w:rPr>
          <w:sz w:val="24"/>
          <w:szCs w:val="24"/>
        </w:rPr>
      </w:pPr>
    </w:p>
    <w:p w14:paraId="489D89A0" w14:textId="77777777" w:rsidR="00072DBE" w:rsidRDefault="00072DBE" w:rsidP="00072DBE">
      <w:pPr>
        <w:rPr>
          <w:sz w:val="24"/>
          <w:szCs w:val="24"/>
        </w:rPr>
      </w:pPr>
      <w:r w:rsidRPr="00C72353">
        <w:rPr>
          <w:sz w:val="24"/>
          <w:szCs w:val="24"/>
        </w:rPr>
        <w:t xml:space="preserve">As to the models used even before arrival at the scene I was already gathering information and intelligence via the radio and my mobile device using the NDM </w:t>
      </w:r>
      <w:r w:rsidRPr="00C72353">
        <w:rPr>
          <w:i/>
          <w:iCs/>
          <w:sz w:val="24"/>
          <w:szCs w:val="24"/>
        </w:rPr>
        <w:t xml:space="preserve">(National Decision Model – College of Policing – 2015) </w:t>
      </w:r>
      <w:r w:rsidRPr="00C72353">
        <w:rPr>
          <w:sz w:val="24"/>
          <w:szCs w:val="24"/>
        </w:rPr>
        <w:t>by asking the control room about any available information such as warning markers, occupants</w:t>
      </w:r>
      <w:r>
        <w:rPr>
          <w:sz w:val="24"/>
          <w:szCs w:val="24"/>
        </w:rPr>
        <w:t xml:space="preserve"> that we may hold</w:t>
      </w:r>
      <w:r w:rsidRPr="00C72353">
        <w:rPr>
          <w:sz w:val="24"/>
          <w:szCs w:val="24"/>
        </w:rPr>
        <w:t xml:space="preserve"> on the system, any previous history for people involved or the address as I believe all this bits of information can help assess and establish a working model of what I am going into. I also use my mobile device for any other information I could miss out from the brief the control room has provided as well as review the area using Google Maps in satellite mode to see how the area look like in real as well as ascertain any access and/or exit routes from the area in case we had to pursue a suspect or needed more units to attend and lock the area or exit routes down.</w:t>
      </w:r>
    </w:p>
    <w:p w14:paraId="5EB59644" w14:textId="77777777" w:rsidR="00072DBE" w:rsidRDefault="00072DBE" w:rsidP="00072DBE">
      <w:pPr>
        <w:rPr>
          <w:sz w:val="24"/>
          <w:szCs w:val="24"/>
        </w:rPr>
      </w:pPr>
    </w:p>
    <w:p w14:paraId="7752920E" w14:textId="77777777" w:rsidR="00072DBE" w:rsidRDefault="00072DBE" w:rsidP="00072DBE">
      <w:pPr>
        <w:rPr>
          <w:sz w:val="24"/>
          <w:szCs w:val="24"/>
        </w:rPr>
      </w:pPr>
      <w:r>
        <w:rPr>
          <w:sz w:val="24"/>
          <w:szCs w:val="24"/>
        </w:rPr>
        <w:t xml:space="preserve">As to the legislative aspects, the offences in this incident were </w:t>
      </w:r>
      <w:r>
        <w:rPr>
          <w:i/>
          <w:iCs/>
          <w:sz w:val="24"/>
          <w:szCs w:val="24"/>
        </w:rPr>
        <w:t>A breach of the peace</w:t>
      </w:r>
      <w:r>
        <w:rPr>
          <w:sz w:val="24"/>
          <w:szCs w:val="24"/>
        </w:rPr>
        <w:t xml:space="preserve"> where we had no choice but to remove the male from the address and take him to the custody under arrest, being that neither him or his partner could give us an address where we could take the male to prevent it, being as the </w:t>
      </w:r>
      <w:r w:rsidRPr="00212C40">
        <w:rPr>
          <w:i/>
          <w:iCs/>
          <w:sz w:val="24"/>
          <w:szCs w:val="24"/>
        </w:rPr>
        <w:t>offence occurs where harm is done or is likely to be done to a person or to his property in his presence or he is in fear of being harmed</w:t>
      </w:r>
      <w:r>
        <w:rPr>
          <w:i/>
          <w:iCs/>
          <w:sz w:val="24"/>
          <w:szCs w:val="24"/>
        </w:rPr>
        <w:t xml:space="preserve"> (Pocket Sergeant – 2022) </w:t>
      </w:r>
      <w:r>
        <w:rPr>
          <w:sz w:val="24"/>
          <w:szCs w:val="24"/>
        </w:rPr>
        <w:t xml:space="preserve"> and the other offence was Section 39 – Criminal Justice Act 1988 which is a Common Assault and its defined as </w:t>
      </w:r>
      <w:r>
        <w:rPr>
          <w:i/>
          <w:iCs/>
          <w:sz w:val="24"/>
          <w:szCs w:val="24"/>
        </w:rPr>
        <w:t>It is an offence for any person to unlawfully assault or beat another (Pocket Sergeant – 2022)</w:t>
      </w:r>
      <w:r>
        <w:rPr>
          <w:sz w:val="24"/>
          <w:szCs w:val="24"/>
        </w:rPr>
        <w:t xml:space="preserve">, this is because as, upon my colleagues speaking with the female, she disclosed that the male had hit her and caused some localised red marks on her arms, being as because she stood on a piece of glass, we could not hold the male responsible for causing that injury despite him being the person that broke the glass as otherwise this could constitute an offence under Section 47 of </w:t>
      </w:r>
      <w:r>
        <w:rPr>
          <w:sz w:val="24"/>
          <w:szCs w:val="24"/>
        </w:rPr>
        <w:lastRenderedPageBreak/>
        <w:t xml:space="preserve">Offences Against the Person Act 1861 where an actual bodily harm was cause, should he however threw a broken glass at her and then cause the injury this offence would be complete. </w:t>
      </w:r>
    </w:p>
    <w:bookmarkEnd w:id="1"/>
    <w:p w14:paraId="35BA1DBF" w14:textId="77777777" w:rsidR="00072DBE" w:rsidRDefault="00072DBE" w:rsidP="00072DBE">
      <w:pPr>
        <w:rPr>
          <w:sz w:val="24"/>
          <w:szCs w:val="24"/>
        </w:rPr>
      </w:pPr>
    </w:p>
    <w:p w14:paraId="4013E933" w14:textId="39CA5DA4" w:rsidR="00072DBE" w:rsidRPr="009C1D0E" w:rsidRDefault="00072DBE" w:rsidP="00072DBE">
      <w:pPr>
        <w:rPr>
          <w:b/>
          <w:bCs/>
          <w:i/>
          <w:iCs/>
          <w:sz w:val="24"/>
          <w:szCs w:val="24"/>
        </w:rPr>
      </w:pPr>
      <w:r>
        <w:rPr>
          <w:b/>
          <w:bCs/>
          <w:i/>
          <w:iCs/>
          <w:sz w:val="24"/>
          <w:szCs w:val="24"/>
        </w:rPr>
        <w:t>Word count: 158</w:t>
      </w:r>
      <w:r w:rsidR="00415598">
        <w:rPr>
          <w:b/>
          <w:bCs/>
          <w:i/>
          <w:iCs/>
          <w:sz w:val="24"/>
          <w:szCs w:val="24"/>
        </w:rPr>
        <w:t>0</w:t>
      </w:r>
      <w:r>
        <w:rPr>
          <w:b/>
          <w:bCs/>
          <w:i/>
          <w:iCs/>
          <w:sz w:val="24"/>
          <w:szCs w:val="24"/>
        </w:rPr>
        <w:t xml:space="preserve"> </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298BB999" w14:textId="77777777" w:rsidR="003B6F00" w:rsidRPr="003B6F00" w:rsidRDefault="003B6F00" w:rsidP="003B6F00">
      <w:pPr>
        <w:jc w:val="both"/>
        <w:rPr>
          <w:i/>
          <w:iCs/>
          <w:sz w:val="24"/>
          <w:szCs w:val="24"/>
        </w:rPr>
      </w:pPr>
      <w:r w:rsidRPr="003B6F00">
        <w:rPr>
          <w:sz w:val="24"/>
          <w:szCs w:val="24"/>
        </w:rPr>
        <w:t xml:space="preserve">    This essay will look at areas surrounding topics relating to who is classed as a victim, working with victims, my responsibility to the victim as a member of a police force and what can be done to help victims. However, as I have been a deployed officer for a relatively short period of time, I do not have any successful cases I can easily relate to, so I will look at the theoretical side of things and how I understand my role in victim support and how all this ties up to the </w:t>
      </w:r>
      <w:r w:rsidRPr="003B6F00">
        <w:rPr>
          <w:i/>
          <w:iCs/>
          <w:sz w:val="24"/>
          <w:szCs w:val="24"/>
        </w:rPr>
        <w:t xml:space="preserve">Victim Codes of Practice. </w:t>
      </w:r>
    </w:p>
    <w:p w14:paraId="705BFC0B" w14:textId="77777777" w:rsidR="003B6F00" w:rsidRPr="003B6F00" w:rsidRDefault="003B6F00" w:rsidP="003B6F00">
      <w:pPr>
        <w:jc w:val="both"/>
        <w:rPr>
          <w:sz w:val="24"/>
          <w:szCs w:val="24"/>
        </w:rPr>
      </w:pPr>
    </w:p>
    <w:p w14:paraId="13E12D8E" w14:textId="77777777" w:rsidR="003B6F00" w:rsidRPr="003B6F00" w:rsidRDefault="003B6F00" w:rsidP="003B6F00">
      <w:pPr>
        <w:jc w:val="both"/>
        <w:rPr>
          <w:sz w:val="24"/>
          <w:szCs w:val="24"/>
        </w:rPr>
      </w:pPr>
    </w:p>
    <w:p w14:paraId="409D684B" w14:textId="77777777" w:rsidR="003B6F00" w:rsidRPr="003B6F00" w:rsidRDefault="003B6F00" w:rsidP="003B6F00">
      <w:pPr>
        <w:jc w:val="both"/>
        <w:rPr>
          <w:sz w:val="24"/>
          <w:szCs w:val="24"/>
        </w:rPr>
      </w:pPr>
      <w:r w:rsidRPr="003B6F00">
        <w:rPr>
          <w:sz w:val="24"/>
          <w:szCs w:val="24"/>
        </w:rPr>
        <w:t xml:space="preserve">   Accordingly, to the </w:t>
      </w:r>
      <w:r w:rsidRPr="003B6F00">
        <w:rPr>
          <w:i/>
          <w:iCs/>
          <w:sz w:val="24"/>
          <w:szCs w:val="24"/>
        </w:rPr>
        <w:t>VCOP (2020)</w:t>
      </w:r>
      <w:r w:rsidRPr="003B6F00">
        <w:rPr>
          <w:sz w:val="24"/>
          <w:szCs w:val="24"/>
        </w:rPr>
        <w:t xml:space="preserve"> a definition of ‘victim of a crime’ is a person who has suffered any psychological, physical, emotional or mental harm or were a subject to economic loss as a direct result of a crime being committed against them. However, it can also include people relatives of people deceased as a result of crime. A crime in this case is understood as a ‘deliberate act that causes psychological or physical harm, damage to or lose of property and is against the law’ </w:t>
      </w:r>
      <w:r w:rsidRPr="003B6F00">
        <w:rPr>
          <w:i/>
          <w:iCs/>
          <w:sz w:val="24"/>
          <w:szCs w:val="24"/>
        </w:rPr>
        <w:t>(Victim Support  – (accessed 27/11/2022)</w:t>
      </w:r>
    </w:p>
    <w:p w14:paraId="71B6D890" w14:textId="77777777" w:rsidR="003B6F00" w:rsidRPr="003B6F00" w:rsidRDefault="003B6F00" w:rsidP="003B6F00">
      <w:pPr>
        <w:jc w:val="both"/>
        <w:rPr>
          <w:sz w:val="24"/>
          <w:szCs w:val="24"/>
        </w:rPr>
      </w:pPr>
    </w:p>
    <w:p w14:paraId="0E9F0BEB" w14:textId="77777777" w:rsidR="003B6F00" w:rsidRPr="003B6F00" w:rsidRDefault="003B6F00" w:rsidP="003B6F00">
      <w:pPr>
        <w:jc w:val="both"/>
        <w:rPr>
          <w:sz w:val="24"/>
          <w:szCs w:val="24"/>
        </w:rPr>
      </w:pPr>
    </w:p>
    <w:p w14:paraId="0698F6BD" w14:textId="77777777" w:rsidR="003B6F00" w:rsidRPr="003B6F00" w:rsidRDefault="003B6F00" w:rsidP="003B6F00">
      <w:pPr>
        <w:jc w:val="both"/>
        <w:rPr>
          <w:sz w:val="24"/>
          <w:szCs w:val="24"/>
        </w:rPr>
      </w:pPr>
      <w:r w:rsidRPr="003B6F00">
        <w:rPr>
          <w:sz w:val="24"/>
          <w:szCs w:val="24"/>
        </w:rPr>
        <w:lastRenderedPageBreak/>
        <w:t xml:space="preserve">   I, as an officer have a responsibility to inform victims of crime of the stage of the initial investigation, this is often done by following the guidance of VU-Codes when completing NICHE entries. I am a ‘impartial evidence gatherer’ who essentially follows the </w:t>
      </w:r>
      <w:r w:rsidRPr="003B6F00">
        <w:rPr>
          <w:i/>
          <w:iCs/>
          <w:sz w:val="24"/>
          <w:szCs w:val="24"/>
        </w:rPr>
        <w:t>Code of Ethics</w:t>
      </w:r>
      <w:r w:rsidRPr="003B6F00">
        <w:rPr>
          <w:sz w:val="24"/>
          <w:szCs w:val="24"/>
        </w:rPr>
        <w:t xml:space="preserve">, primarily the values of fairness and equality in order to put the victim needs in focus (CoP – 2022, Accessed 27/11/2022). Under SWP policies and the VCoP all victims have access to 12 </w:t>
      </w:r>
      <w:r w:rsidRPr="003B6F00">
        <w:rPr>
          <w:i/>
          <w:iCs/>
          <w:sz w:val="24"/>
          <w:szCs w:val="24"/>
        </w:rPr>
        <w:t xml:space="preserve">Victim Codes or Rights (VCoP 2020). </w:t>
      </w:r>
      <w:r w:rsidRPr="003B6F00">
        <w:rPr>
          <w:sz w:val="24"/>
          <w:szCs w:val="24"/>
        </w:rPr>
        <w:t>However, majority of those are applied on a case-to-case basis with exception of right 1, 4 and 12 which apply to all victims of crime irresectable of the crime’s nature.</w:t>
      </w:r>
    </w:p>
    <w:p w14:paraId="353E6543" w14:textId="77777777" w:rsidR="003B6F00" w:rsidRPr="003B6F00" w:rsidRDefault="003B6F00" w:rsidP="003B6F00">
      <w:pPr>
        <w:jc w:val="both"/>
        <w:rPr>
          <w:sz w:val="24"/>
          <w:szCs w:val="24"/>
        </w:rPr>
      </w:pPr>
    </w:p>
    <w:p w14:paraId="35BF8273" w14:textId="77777777" w:rsidR="003B6F00" w:rsidRPr="003B6F00" w:rsidRDefault="003B6F00" w:rsidP="003B6F00">
      <w:pPr>
        <w:jc w:val="both"/>
        <w:rPr>
          <w:sz w:val="24"/>
          <w:szCs w:val="24"/>
        </w:rPr>
      </w:pPr>
    </w:p>
    <w:p w14:paraId="0EFC37B8" w14:textId="77777777" w:rsidR="003B6F00" w:rsidRPr="003B6F00" w:rsidRDefault="003B6F00" w:rsidP="003B6F00">
      <w:pPr>
        <w:jc w:val="both"/>
        <w:rPr>
          <w:sz w:val="24"/>
          <w:szCs w:val="24"/>
        </w:rPr>
      </w:pPr>
      <w:r w:rsidRPr="003B6F00">
        <w:rPr>
          <w:sz w:val="24"/>
          <w:szCs w:val="24"/>
        </w:rPr>
        <w:t xml:space="preserve">    The first fundamental right form this code which apply to all victims I will be looking at is </w:t>
      </w:r>
      <w:r w:rsidRPr="003B6F00">
        <w:rPr>
          <w:i/>
          <w:iCs/>
          <w:sz w:val="24"/>
          <w:szCs w:val="24"/>
        </w:rPr>
        <w:t xml:space="preserve">Right 1 – ‘To be able to understand and to be understood’. </w:t>
      </w:r>
      <w:r w:rsidRPr="003B6F00">
        <w:rPr>
          <w:sz w:val="24"/>
          <w:szCs w:val="24"/>
        </w:rPr>
        <w:t>This is often assessed by an officer while submitting entry VU01 on any case update in NICHE.</w:t>
      </w:r>
      <w:r w:rsidRPr="003B6F00">
        <w:rPr>
          <w:i/>
          <w:iCs/>
          <w:sz w:val="24"/>
          <w:szCs w:val="24"/>
        </w:rPr>
        <w:t xml:space="preserve"> </w:t>
      </w:r>
      <w:r w:rsidRPr="003B6F00">
        <w:rPr>
          <w:sz w:val="24"/>
          <w:szCs w:val="24"/>
        </w:rPr>
        <w:t xml:space="preserve">What this means in my understanding is that everyone, no matter the ability of where they come from has a right to services that aid in communication free of any charge, it could mean methods such as providing the victim with an interpreter or in case of disabilities such as short of hearing or sight, sufficient methods such as use of sign language or braille writing are also available. Also, an interesting note here is that in Wales, a victim under this right can provide a statement or give evidence in Welsh irresectable of where the offender resides as well as any communication from service providers to be given in Welsh </w:t>
      </w:r>
      <w:r w:rsidRPr="003B6F00">
        <w:rPr>
          <w:i/>
          <w:iCs/>
          <w:sz w:val="24"/>
          <w:szCs w:val="24"/>
        </w:rPr>
        <w:t xml:space="preserve">(VCoP, Right 1, 2020). </w:t>
      </w:r>
      <w:r w:rsidRPr="003B6F00">
        <w:rPr>
          <w:sz w:val="24"/>
          <w:szCs w:val="24"/>
        </w:rPr>
        <w:t xml:space="preserve">I believe this is important as inclusion and the sense of empowerment one gets when being informed in an otherwise powerless situation cannot be emphasised enough, a blog post by </w:t>
      </w:r>
      <w:r w:rsidRPr="003B6F00">
        <w:rPr>
          <w:i/>
          <w:iCs/>
          <w:sz w:val="24"/>
          <w:szCs w:val="24"/>
        </w:rPr>
        <w:t>Hjelm (Superoffice, 2021, Accessed: 27/11/2022)</w:t>
      </w:r>
      <w:r w:rsidRPr="003B6F00">
        <w:rPr>
          <w:sz w:val="24"/>
          <w:szCs w:val="24"/>
        </w:rPr>
        <w:t xml:space="preserve"> states that sometimes a simple task as giving a customer a unique reference number and a simple notice that enquiries are ongoing can greatly improve customers satisfaction as long as it’s done within a reasonable timeframe, empowering them with knowledge that their case is being dealt with diligently, it also increases their loyalty, which can essentially prompt the customer to recommend the service.</w:t>
      </w:r>
    </w:p>
    <w:p w14:paraId="7CF23B52" w14:textId="77777777" w:rsidR="003B6F00" w:rsidRPr="003B6F00" w:rsidRDefault="003B6F00" w:rsidP="003B6F00">
      <w:pPr>
        <w:jc w:val="both"/>
        <w:rPr>
          <w:sz w:val="24"/>
          <w:szCs w:val="24"/>
        </w:rPr>
      </w:pPr>
    </w:p>
    <w:p w14:paraId="73DAC2CE" w14:textId="77777777" w:rsidR="003B6F00" w:rsidRPr="003B6F00" w:rsidRDefault="003B6F00" w:rsidP="003B6F00">
      <w:pPr>
        <w:jc w:val="both"/>
        <w:rPr>
          <w:sz w:val="24"/>
          <w:szCs w:val="24"/>
        </w:rPr>
      </w:pPr>
    </w:p>
    <w:p w14:paraId="2A704928" w14:textId="77777777" w:rsidR="003B6F00" w:rsidRPr="003B6F00" w:rsidRDefault="003B6F00" w:rsidP="003B6F00">
      <w:pPr>
        <w:jc w:val="both"/>
        <w:rPr>
          <w:sz w:val="24"/>
          <w:szCs w:val="24"/>
        </w:rPr>
      </w:pPr>
      <w:r w:rsidRPr="003B6F00">
        <w:rPr>
          <w:i/>
          <w:iCs/>
          <w:sz w:val="24"/>
          <w:szCs w:val="24"/>
        </w:rPr>
        <w:t>Right 4 – To be referred to services that support victims and have services and support tailored to your needs</w:t>
      </w:r>
      <w:r w:rsidRPr="003B6F00">
        <w:rPr>
          <w:sz w:val="24"/>
          <w:szCs w:val="24"/>
        </w:rPr>
        <w:t xml:space="preserve"> explains that a victim can apply for what’s called </w:t>
      </w:r>
      <w:r w:rsidRPr="003B6F00">
        <w:rPr>
          <w:i/>
          <w:iCs/>
          <w:sz w:val="24"/>
          <w:szCs w:val="24"/>
        </w:rPr>
        <w:t xml:space="preserve">‘Special Measures’ (VCoP 2020), </w:t>
      </w:r>
      <w:r w:rsidRPr="003B6F00">
        <w:rPr>
          <w:sz w:val="24"/>
          <w:szCs w:val="24"/>
        </w:rPr>
        <w:t xml:space="preserve">this right also covers all the referrals I can make on victim’s behalf and with their consent to out-of-force agencies such as </w:t>
      </w:r>
      <w:r w:rsidRPr="003B6F00">
        <w:rPr>
          <w:i/>
          <w:iCs/>
          <w:sz w:val="24"/>
          <w:szCs w:val="24"/>
        </w:rPr>
        <w:t>South Wales Victim Focus</w:t>
      </w:r>
      <w:r w:rsidRPr="003B6F00">
        <w:rPr>
          <w:sz w:val="24"/>
          <w:szCs w:val="24"/>
        </w:rPr>
        <w:t xml:space="preserve"> and </w:t>
      </w:r>
      <w:r w:rsidRPr="003B6F00">
        <w:rPr>
          <w:i/>
          <w:iCs/>
          <w:sz w:val="24"/>
          <w:szCs w:val="24"/>
        </w:rPr>
        <w:t>Victim Support</w:t>
      </w:r>
      <w:r w:rsidRPr="003B6F00">
        <w:rPr>
          <w:sz w:val="24"/>
          <w:szCs w:val="24"/>
        </w:rPr>
        <w:t xml:space="preserve">. It states that in some cases, where applicable, the </w:t>
      </w:r>
      <w:r w:rsidRPr="003B6F00">
        <w:rPr>
          <w:i/>
          <w:iCs/>
          <w:sz w:val="24"/>
          <w:szCs w:val="24"/>
        </w:rPr>
        <w:t>CPS</w:t>
      </w:r>
      <w:r w:rsidRPr="003B6F00">
        <w:rPr>
          <w:sz w:val="24"/>
          <w:szCs w:val="24"/>
        </w:rPr>
        <w:t xml:space="preserve"> can implement special measures that can help the victim and/or witness provide best evidence, it covers measures such as installation of protective screen, where the person giving evidence does not have a direct contact with the defendant or other people present in the room, it can also provide other means such as giving evidence in private which prevents the public and press from attending on top of other measures that can be applied for on the victim’s behalf. As to the outside agencies, they can be referred to at any point during the case progression, these services are also available to the public, and victims are encouraged to seek their help even if they do not wish to report a crime, they are also accessible even after the trial (VCoP 2020). A journal article by </w:t>
      </w:r>
      <w:r w:rsidRPr="003B6F00">
        <w:rPr>
          <w:i/>
          <w:iCs/>
          <w:sz w:val="24"/>
          <w:szCs w:val="24"/>
        </w:rPr>
        <w:t>Hembree, E. A. and Foa, E. B.</w:t>
      </w:r>
      <w:r w:rsidRPr="003B6F00">
        <w:rPr>
          <w:sz w:val="24"/>
          <w:szCs w:val="24"/>
        </w:rPr>
        <w:t xml:space="preserve"> (2003) shows us how disproportionately victims of crimes other than those of sexual nature seek help in regards of long-term effects of trauma related to falling a victim to crime, it also looks at various methods such as </w:t>
      </w:r>
      <w:r w:rsidRPr="003B6F00">
        <w:rPr>
          <w:i/>
          <w:iCs/>
          <w:sz w:val="24"/>
          <w:szCs w:val="24"/>
        </w:rPr>
        <w:t xml:space="preserve">Stress Inoculation Training </w:t>
      </w:r>
      <w:r w:rsidRPr="003B6F00">
        <w:rPr>
          <w:sz w:val="24"/>
          <w:szCs w:val="24"/>
        </w:rPr>
        <w:t xml:space="preserve">and </w:t>
      </w:r>
      <w:r w:rsidRPr="003B6F00">
        <w:rPr>
          <w:i/>
          <w:iCs/>
          <w:sz w:val="24"/>
          <w:szCs w:val="24"/>
        </w:rPr>
        <w:t xml:space="preserve">Cognitive Therapy </w:t>
      </w:r>
      <w:r w:rsidRPr="003B6F00">
        <w:rPr>
          <w:sz w:val="24"/>
          <w:szCs w:val="24"/>
        </w:rPr>
        <w:t xml:space="preserve">to name just the two, which both look at making sense of the experience and dealing with </w:t>
      </w:r>
      <w:r w:rsidRPr="003B6F00">
        <w:rPr>
          <w:i/>
          <w:iCs/>
          <w:sz w:val="24"/>
          <w:szCs w:val="24"/>
        </w:rPr>
        <w:t>Post Traumatic Stress Disorder (PTSD)</w:t>
      </w:r>
      <w:r w:rsidRPr="003B6F00">
        <w:rPr>
          <w:sz w:val="24"/>
          <w:szCs w:val="24"/>
        </w:rPr>
        <w:t xml:space="preserve"> by breaking down the event that caused the trauma into key </w:t>
      </w:r>
      <w:r w:rsidRPr="003B6F00">
        <w:rPr>
          <w:sz w:val="24"/>
          <w:szCs w:val="24"/>
        </w:rPr>
        <w:lastRenderedPageBreak/>
        <w:t xml:space="preserve">components and isolating the source of the trauma from all other factors such as environment, and the victim. It also looks at effectiveness of these trauma managing systems, whether used alongside of each other or standalone. This article also looks at the use of pharmacological drugs known as </w:t>
      </w:r>
      <w:r w:rsidRPr="003B6F00">
        <w:rPr>
          <w:i/>
          <w:iCs/>
          <w:sz w:val="24"/>
          <w:szCs w:val="24"/>
        </w:rPr>
        <w:t xml:space="preserve">Selective Serotonergic Reuptake Inhibitors (SSRIs) </w:t>
      </w:r>
      <w:r w:rsidRPr="003B6F00">
        <w:rPr>
          <w:sz w:val="24"/>
          <w:szCs w:val="24"/>
        </w:rPr>
        <w:t xml:space="preserve">such as sertraline (Zoloft) and paroxetine (Paxil) that work to supress the intake of hormone </w:t>
      </w:r>
      <w:r w:rsidRPr="003B6F00">
        <w:rPr>
          <w:i/>
          <w:iCs/>
          <w:sz w:val="24"/>
          <w:szCs w:val="24"/>
        </w:rPr>
        <w:t>serotonin</w:t>
      </w:r>
      <w:r w:rsidRPr="003B6F00">
        <w:rPr>
          <w:sz w:val="24"/>
          <w:szCs w:val="24"/>
        </w:rPr>
        <w:t xml:space="preserve"> into the nervous system. An article by </w:t>
      </w:r>
      <w:r w:rsidRPr="003B6F00">
        <w:rPr>
          <w:i/>
          <w:iCs/>
          <w:sz w:val="24"/>
          <w:szCs w:val="24"/>
        </w:rPr>
        <w:t xml:space="preserve">Nutt D. J. et al (1999) </w:t>
      </w:r>
      <w:r w:rsidRPr="003B6F00">
        <w:rPr>
          <w:sz w:val="24"/>
          <w:szCs w:val="24"/>
        </w:rPr>
        <w:t xml:space="preserve">explains how this type of pharmacological drug affects areas of the brain responsible for anxiety and stress responses. I have found from attending several calls that there is a lot of connection between mental health issues, depression and anxiety, and victims who have been previously affected by crime, it appears that this phenomenon is more prevalent in cases where the victim has been previously affected by domestic violence and abuse, </w:t>
      </w:r>
      <w:r w:rsidRPr="003B6F00">
        <w:rPr>
          <w:i/>
          <w:iCs/>
          <w:sz w:val="24"/>
          <w:szCs w:val="24"/>
        </w:rPr>
        <w:t xml:space="preserve">Howard L. M. Trevillion K. Agnew-Davies R. (2010) </w:t>
      </w:r>
      <w:r w:rsidRPr="003B6F00">
        <w:rPr>
          <w:sz w:val="24"/>
          <w:szCs w:val="24"/>
        </w:rPr>
        <w:t xml:space="preserve">in their article for ‘International Review for Psychiatry’ titled </w:t>
      </w:r>
      <w:r w:rsidRPr="003B6F00">
        <w:rPr>
          <w:i/>
          <w:iCs/>
          <w:sz w:val="24"/>
          <w:szCs w:val="24"/>
        </w:rPr>
        <w:t xml:space="preserve">‘Domestic Violence and Mental Health’  </w:t>
      </w:r>
      <w:r w:rsidRPr="003B6F00">
        <w:rPr>
          <w:sz w:val="24"/>
          <w:szCs w:val="24"/>
        </w:rPr>
        <w:t xml:space="preserve">look at the collation between people, in particular females struggling  with mental health issues and domestic abuse and how females are far more likely to experience multiple episodes of domestic violence, this in turn points out why women are predominantly suffering with mental health issues as a result of crime. </w:t>
      </w:r>
    </w:p>
    <w:p w14:paraId="30B341CC" w14:textId="09E05201" w:rsidR="003B6F00" w:rsidRDefault="003B6F00" w:rsidP="003B6F00">
      <w:pPr>
        <w:jc w:val="both"/>
        <w:rPr>
          <w:sz w:val="24"/>
          <w:szCs w:val="24"/>
        </w:rPr>
      </w:pPr>
    </w:p>
    <w:p w14:paraId="7DB6B79E" w14:textId="77777777" w:rsidR="003B6F00" w:rsidRPr="003B6F00" w:rsidRDefault="003B6F00" w:rsidP="003B6F00">
      <w:pPr>
        <w:jc w:val="both"/>
        <w:rPr>
          <w:sz w:val="24"/>
          <w:szCs w:val="24"/>
        </w:rPr>
      </w:pPr>
    </w:p>
    <w:p w14:paraId="67F006C6" w14:textId="77777777" w:rsidR="003B6F00" w:rsidRPr="003B6F00" w:rsidRDefault="003B6F00" w:rsidP="003B6F00">
      <w:pPr>
        <w:jc w:val="both"/>
        <w:rPr>
          <w:sz w:val="24"/>
          <w:szCs w:val="24"/>
        </w:rPr>
      </w:pPr>
      <w:r w:rsidRPr="003B6F00">
        <w:rPr>
          <w:sz w:val="24"/>
          <w:szCs w:val="24"/>
        </w:rPr>
        <w:t xml:space="preserve">    The last fundamental right that all victims of crime receive is </w:t>
      </w:r>
      <w:r w:rsidRPr="003B6F00">
        <w:rPr>
          <w:i/>
          <w:iCs/>
          <w:sz w:val="24"/>
          <w:szCs w:val="24"/>
        </w:rPr>
        <w:t xml:space="preserve">Right 12 – To make a complaint about your rights not being met. </w:t>
      </w:r>
      <w:r w:rsidRPr="003B6F00">
        <w:rPr>
          <w:sz w:val="24"/>
          <w:szCs w:val="24"/>
        </w:rPr>
        <w:t xml:space="preserve">This right, at its core takes a look at how victim was being dealt with by the service provide, for the purpose of this essay, I would be referring to the police force. Right 12 gives the victim an opportunity to complain should they were not satisfied with the service they were provided. </w:t>
      </w:r>
      <w:r w:rsidRPr="003B6F00">
        <w:rPr>
          <w:i/>
          <w:iCs/>
          <w:sz w:val="24"/>
          <w:szCs w:val="24"/>
        </w:rPr>
        <w:t xml:space="preserve">Helms M. M. and Mayo D. T. (2008) </w:t>
      </w:r>
      <w:r w:rsidRPr="003B6F00">
        <w:rPr>
          <w:sz w:val="24"/>
          <w:szCs w:val="24"/>
        </w:rPr>
        <w:t xml:space="preserve">look at this in depth in the article about </w:t>
      </w:r>
      <w:r w:rsidRPr="003B6F00">
        <w:rPr>
          <w:i/>
          <w:iCs/>
          <w:sz w:val="24"/>
          <w:szCs w:val="24"/>
        </w:rPr>
        <w:t>‘Assessing poor quality service’</w:t>
      </w:r>
      <w:r w:rsidRPr="003B6F00">
        <w:rPr>
          <w:sz w:val="24"/>
          <w:szCs w:val="24"/>
        </w:rPr>
        <w:t xml:space="preserve"> where they look at how poor quality of service affects customers and their willingness to seek repeated custom when this service is satisfying or go elsewhere or not seek the service again when its poor, being as we as police officers police the public by consent and follow the long established </w:t>
      </w:r>
      <w:r w:rsidRPr="003B6F00">
        <w:rPr>
          <w:i/>
          <w:iCs/>
          <w:sz w:val="24"/>
          <w:szCs w:val="24"/>
        </w:rPr>
        <w:t>‘Robert Peel’s 9 Principles of policing’ Gov.uk (2012) Definition of Policing by Consent.</w:t>
      </w:r>
      <w:r w:rsidRPr="003B6F00">
        <w:rPr>
          <w:sz w:val="24"/>
          <w:szCs w:val="24"/>
        </w:rPr>
        <w:t xml:space="preserve"> The long standing adage ‘Police is the public and the public is the police’ has merit as if our quality of service is poor, we don’t keep our victims ‘in the loop’ by keeping them up to date on how their often unique case is progressing we are effectively jeopardising a luck of trust from the public, this results in the public being reluctant to support us in our daily work and create a ‘fertile ground’ for crime to thrive or even worse case, the public deciding to ‘take matters in their own hands’ and actively work in order to inhibit police work due to distrust, a well known example are the Brixton Riots of 1981, </w:t>
      </w:r>
      <w:r w:rsidRPr="003B6F00">
        <w:rPr>
          <w:i/>
          <w:iCs/>
          <w:sz w:val="24"/>
          <w:szCs w:val="24"/>
        </w:rPr>
        <w:t xml:space="preserve">The Scarman Report (Lord Scarman 1981) </w:t>
      </w:r>
      <w:r w:rsidRPr="003B6F00">
        <w:rPr>
          <w:sz w:val="24"/>
          <w:szCs w:val="24"/>
        </w:rPr>
        <w:t>that was published by Lord Scarman after Brixton Riots took place show’s vividly how bad policing and not keeping the customer, in this case the public at the centre of what police does can have severe effects on public trust and confidence.</w:t>
      </w:r>
    </w:p>
    <w:p w14:paraId="7E40C7B2" w14:textId="77777777" w:rsidR="003B6F00" w:rsidRPr="003B6F00" w:rsidRDefault="003B6F00" w:rsidP="003B6F00">
      <w:pPr>
        <w:jc w:val="both"/>
        <w:rPr>
          <w:sz w:val="24"/>
          <w:szCs w:val="24"/>
        </w:rPr>
      </w:pPr>
    </w:p>
    <w:p w14:paraId="1639FBD7" w14:textId="77777777" w:rsidR="003B6F00" w:rsidRPr="003B6F00" w:rsidRDefault="003B6F00" w:rsidP="003B6F00">
      <w:pPr>
        <w:jc w:val="both"/>
        <w:rPr>
          <w:b/>
          <w:bCs/>
          <w:sz w:val="24"/>
          <w:szCs w:val="24"/>
          <w:u w:val="single"/>
        </w:rPr>
      </w:pPr>
      <w:r w:rsidRPr="003B6F00">
        <w:rPr>
          <w:b/>
          <w:bCs/>
          <w:sz w:val="24"/>
          <w:szCs w:val="24"/>
          <w:u w:val="single"/>
        </w:rPr>
        <w:t>Word Count: 1399</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65A756D9" w14:textId="7AEC6252" w:rsidR="002E0DFC" w:rsidRPr="002E0DFC" w:rsidRDefault="002E0DFC" w:rsidP="002E0DFC">
      <w:pPr>
        <w:rPr>
          <w:sz w:val="24"/>
          <w:szCs w:val="24"/>
        </w:rPr>
      </w:pPr>
      <w:bookmarkStart w:id="2" w:name="_Hlk118989345"/>
      <w:r w:rsidRPr="002E0DFC">
        <w:rPr>
          <w:sz w:val="24"/>
          <w:szCs w:val="24"/>
        </w:rPr>
        <w:t>For this task I would like to write about one of the first cases I got assigned which was a</w:t>
      </w:r>
      <w:r w:rsidR="008C138B">
        <w:rPr>
          <w:sz w:val="24"/>
          <w:szCs w:val="24"/>
        </w:rPr>
        <w:t>n</w:t>
      </w:r>
      <w:r w:rsidRPr="002E0DFC">
        <w:rPr>
          <w:sz w:val="24"/>
          <w:szCs w:val="24"/>
        </w:rPr>
        <w:t xml:space="preserve"> attempted theft from a local ASDA Living retail branch. Basically, what happened was that a woman tried to take some small dolls worth about £100 from the shop without paying for them. She was stopped by security at the door and had the items taken from her, she left the shop after and ironically also left her purse that had her driving licence, within the bag she had the stolen items in hence why we knew who she was. The part when I come in is when my tutor and I arrived at the shop several days later as we had a lot of strain on us, and it wasn’t a high priority call as the shop had the items back. Upon our arrival I spoke with the security guard at the door who happened to be the same one that stopped the women that tried to steal the dolls on that day. He was very polite and told us what happened, how she tried to leave the shop, but the front door alarms activated, and she was stopped by him, how he searched the carrier bag and found the dolls in there, as she couldn’t explain how she come by them and had no proof of purchase, they were taken away from her. The guard then told us how she quickly left the area without the carrier bag and her purse that was in there and seemed to be embarrassed by being caught. I’ve then asked him if we can speak to the store manager who he agreed to go and call for us while we wait at the front door. Shortly after the store manager arrived and spoke to us, explaining what happened and how after reviewing the CCTV in the </w:t>
      </w:r>
      <w:r w:rsidRPr="002E0DFC">
        <w:rPr>
          <w:sz w:val="24"/>
          <w:szCs w:val="24"/>
        </w:rPr>
        <w:lastRenderedPageBreak/>
        <w:t xml:space="preserve">store she could see that the woman in question just grabbed the dolls, put them in her carrier bag and attempted to leave the store. She also told us that she’s well familiar with this woman as she is a known shoplifter. She wasn’t happy that it took us so long to come to the store and speak to them regarding this matter, however, after explaining her that we are response officers and being as they had the items back immediately it wasn’t a high priority call for us to attend as nothing has been stolen. </w:t>
      </w:r>
    </w:p>
    <w:p w14:paraId="5FBBBBC4" w14:textId="47E1F5F9" w:rsidR="002E0DFC" w:rsidRDefault="002E0DFC" w:rsidP="002E0DFC">
      <w:pPr>
        <w:rPr>
          <w:sz w:val="24"/>
          <w:szCs w:val="24"/>
        </w:rPr>
      </w:pPr>
      <w:r w:rsidRPr="002E0DFC">
        <w:rPr>
          <w:sz w:val="24"/>
          <w:szCs w:val="24"/>
        </w:rPr>
        <w:t xml:space="preserve">In regards to legislative aspects of this case, as it was an attempted theft </w:t>
      </w:r>
      <w:r w:rsidR="008C138B">
        <w:rPr>
          <w:sz w:val="24"/>
          <w:szCs w:val="24"/>
        </w:rPr>
        <w:t>as</w:t>
      </w:r>
      <w:r w:rsidRPr="002E0DFC">
        <w:rPr>
          <w:sz w:val="24"/>
          <w:szCs w:val="24"/>
        </w:rPr>
        <w:t xml:space="preserve"> the shop had the goods back immediately</w:t>
      </w:r>
      <w:r w:rsidR="008C138B">
        <w:rPr>
          <w:sz w:val="24"/>
          <w:szCs w:val="24"/>
        </w:rPr>
        <w:t xml:space="preserve"> and the female didn’t leave the store</w:t>
      </w:r>
      <w:r w:rsidRPr="002E0DFC">
        <w:rPr>
          <w:sz w:val="24"/>
          <w:szCs w:val="24"/>
        </w:rPr>
        <w:t xml:space="preserve">, the piece of legislation </w:t>
      </w:r>
      <w:r w:rsidRPr="002E0DFC">
        <w:rPr>
          <w:i/>
          <w:iCs/>
          <w:sz w:val="24"/>
          <w:szCs w:val="24"/>
        </w:rPr>
        <w:t>Criminal Attempts Act 1981</w:t>
      </w:r>
      <w:r w:rsidRPr="002E0DFC">
        <w:rPr>
          <w:sz w:val="24"/>
          <w:szCs w:val="24"/>
        </w:rPr>
        <w:t xml:space="preserve"> (section 1) states that a person is guilty an offence if attempting to commit crime, and has go so far as past the point of merely preparing to commit an offence, in this case it was an offence under </w:t>
      </w:r>
      <w:r w:rsidRPr="002E0DFC">
        <w:rPr>
          <w:i/>
          <w:iCs/>
          <w:sz w:val="24"/>
          <w:szCs w:val="24"/>
        </w:rPr>
        <w:t>Theft Act 1968 (Section 1) </w:t>
      </w:r>
      <w:r w:rsidRPr="002E0DFC">
        <w:rPr>
          <w:sz w:val="24"/>
          <w:szCs w:val="24"/>
        </w:rPr>
        <w:t xml:space="preserve">however, due to the fact that the store had retrieved the goods straight away, I’ve decided to use my discretion and told the store manager that due to the fact that they had the goods back, I believe that it was not in public interest to pursue a prosecution as it won’t of gone far and as because they had the goods back, </w:t>
      </w:r>
      <w:r w:rsidRPr="002E0DFC">
        <w:rPr>
          <w:i/>
          <w:iCs/>
          <w:sz w:val="24"/>
          <w:szCs w:val="24"/>
        </w:rPr>
        <w:t xml:space="preserve">Crown Prosecution Services (CPS) </w:t>
      </w:r>
      <w:r w:rsidRPr="002E0DFC">
        <w:rPr>
          <w:sz w:val="24"/>
          <w:szCs w:val="24"/>
        </w:rPr>
        <w:t xml:space="preserve">won’t progress the case to court, I’ve also informed her that I’ve reviewed this case and available information with my supervisor and he also agreed that this was the best course of action. Regarding the </w:t>
      </w:r>
      <w:r w:rsidRPr="002E0DFC">
        <w:rPr>
          <w:i/>
          <w:iCs/>
          <w:sz w:val="24"/>
          <w:szCs w:val="24"/>
        </w:rPr>
        <w:t>Criminal Proceedings and Investigations Act 1996 (CPIA 1996)</w:t>
      </w:r>
      <w:r w:rsidRPr="002E0DFC">
        <w:rPr>
          <w:sz w:val="24"/>
          <w:szCs w:val="24"/>
        </w:rPr>
        <w:t xml:space="preserve"> I had a legal obligation to disclose the information given by all parties involved, being as there was a CCTV recording and the suspect left their purse along with the stolen items as she handed them over, it was beyond reasonable doubt that she was responsible for attempting to steal the goods</w:t>
      </w:r>
      <w:r w:rsidR="008C138B">
        <w:rPr>
          <w:sz w:val="24"/>
          <w:szCs w:val="24"/>
        </w:rPr>
        <w:t>, all this information has been logged on NICHE</w:t>
      </w:r>
      <w:r w:rsidRPr="002E0DFC">
        <w:rPr>
          <w:sz w:val="24"/>
          <w:szCs w:val="24"/>
        </w:rPr>
        <w:t xml:space="preserve">. </w:t>
      </w:r>
    </w:p>
    <w:p w14:paraId="42A61FAF" w14:textId="77777777" w:rsidR="008C138B" w:rsidRPr="002E0DFC" w:rsidRDefault="008C138B" w:rsidP="002E0DFC">
      <w:pPr>
        <w:rPr>
          <w:sz w:val="24"/>
          <w:szCs w:val="24"/>
        </w:rPr>
      </w:pPr>
    </w:p>
    <w:p w14:paraId="401F2E7C" w14:textId="0A197659" w:rsidR="002E0DFC" w:rsidRDefault="002E0DFC" w:rsidP="002E0DFC">
      <w:pPr>
        <w:rPr>
          <w:sz w:val="24"/>
          <w:szCs w:val="24"/>
        </w:rPr>
      </w:pPr>
      <w:r w:rsidRPr="002E0DFC">
        <w:rPr>
          <w:sz w:val="24"/>
          <w:szCs w:val="24"/>
        </w:rPr>
        <w:t xml:space="preserve">As to the way at which I’ve come to that conclusion, using the National Decision Model (NDM) which has been developed and approved by </w:t>
      </w:r>
      <w:r w:rsidRPr="002E0DFC">
        <w:rPr>
          <w:i/>
          <w:iCs/>
          <w:sz w:val="24"/>
          <w:szCs w:val="24"/>
        </w:rPr>
        <w:t>College of Policing (COP)</w:t>
      </w:r>
      <w:r w:rsidRPr="002E0DFC">
        <w:rPr>
          <w:sz w:val="24"/>
          <w:szCs w:val="24"/>
        </w:rPr>
        <w:t xml:space="preserve"> as the main decision making model, we as police officers need to look at, it comprises of several </w:t>
      </w:r>
      <w:r w:rsidR="008C138B">
        <w:rPr>
          <w:sz w:val="24"/>
          <w:szCs w:val="24"/>
        </w:rPr>
        <w:t xml:space="preserve">points we need to take into consideration </w:t>
      </w:r>
      <w:r w:rsidRPr="002E0DFC">
        <w:rPr>
          <w:sz w:val="24"/>
          <w:szCs w:val="24"/>
        </w:rPr>
        <w:t>in a neat 5 step system with the equality and diversity along with Code of ethics at the core of it. The NDM comprises of 5 steps starting from Gathering information and intelligence which in essence means to search for useful information using systems used in policing such as the 5W+H Model used in interviewing (Gabbert et al (2015) </w:t>
      </w:r>
      <w:r w:rsidRPr="002E0DFC">
        <w:rPr>
          <w:i/>
          <w:iCs/>
          <w:sz w:val="24"/>
          <w:szCs w:val="24"/>
        </w:rPr>
        <w:t>Structured Interview Protocol)</w:t>
      </w:r>
      <w:r w:rsidRPr="002E0DFC">
        <w:rPr>
          <w:sz w:val="24"/>
          <w:szCs w:val="24"/>
        </w:rPr>
        <w:t xml:space="preserve"> by asking some key questions such as Who, What, Where, When, Why and How which allowed me to gather some key information. By asking ‘Who is involved?’ I can develop a basic understanding of parties involved, this can be achieved by looking on my mobile device and doing PNC (</w:t>
      </w:r>
      <w:r w:rsidRPr="002E0DFC">
        <w:rPr>
          <w:i/>
          <w:iCs/>
          <w:sz w:val="24"/>
          <w:szCs w:val="24"/>
        </w:rPr>
        <w:t>Police National Computer)</w:t>
      </w:r>
      <w:r w:rsidRPr="002E0DFC">
        <w:rPr>
          <w:sz w:val="24"/>
          <w:szCs w:val="24"/>
        </w:rPr>
        <w:t xml:space="preserve"> checks and NICHE where I can easily see who we are dealing with, their history with us and many other useful bits of information. By asking ‘What has happened?’ question I can get a outline of the call and what could be expected of me when I get there. By looking at the Where part of the model I can create a mental image of the area, what hazards might be there etc. The ‘When did it happened?’ question gives me a timeframe, how long ago this happened, and could the suspects still be in the area. The ‘Why did this happen?’ and ‘How did this happen?’ questions provides me with vital information that can give me an idea of possible motives, a possible MO (Modus Operandi) of the suspects and other vital information, further to that, asking those questions gives me working material for the next step of the NDM that deals with looking at impact factors, risk assessment and developing a working strategy to deal with the case. Next step is to consider options, any powers I have as a constable that fit the scenario and provide the best possible outcome, keep the </w:t>
      </w:r>
      <w:r w:rsidRPr="002E0DFC">
        <w:rPr>
          <w:sz w:val="24"/>
          <w:szCs w:val="24"/>
        </w:rPr>
        <w:lastRenderedPageBreak/>
        <w:t xml:space="preserve">victim in focus and allow a quick investigation. Upon doing that I can look at available options keeping in mind the </w:t>
      </w:r>
      <w:r w:rsidRPr="002E0DFC">
        <w:rPr>
          <w:i/>
          <w:iCs/>
          <w:sz w:val="24"/>
          <w:szCs w:val="24"/>
        </w:rPr>
        <w:t>Code of Ethics</w:t>
      </w:r>
      <w:r w:rsidRPr="002E0DFC">
        <w:rPr>
          <w:sz w:val="24"/>
          <w:szCs w:val="24"/>
        </w:rPr>
        <w:t xml:space="preserve"> and following the </w:t>
      </w:r>
      <w:r w:rsidRPr="002E0DFC">
        <w:rPr>
          <w:i/>
          <w:iCs/>
          <w:sz w:val="24"/>
          <w:szCs w:val="24"/>
        </w:rPr>
        <w:t>JPLANE model</w:t>
      </w:r>
      <w:r w:rsidRPr="002E0DFC">
        <w:rPr>
          <w:sz w:val="24"/>
          <w:szCs w:val="24"/>
        </w:rPr>
        <w:t xml:space="preserve"> (</w:t>
      </w:r>
      <w:r w:rsidRPr="002E0DFC">
        <w:rPr>
          <w:i/>
          <w:iCs/>
          <w:sz w:val="24"/>
          <w:szCs w:val="24"/>
        </w:rPr>
        <w:t>Human Rights Act 1998</w:t>
      </w:r>
      <w:r w:rsidRPr="002E0DFC">
        <w:rPr>
          <w:sz w:val="24"/>
          <w:szCs w:val="24"/>
        </w:rPr>
        <w:t xml:space="preserve">) making sure that whatever I do is Justified, Proportionate, Legal, making sure that I am Accountable and what I do will survive scrutiny, my actions also need to be Necessary and Ethical. After that I look at taking action and upon completion review and improve for the future. </w:t>
      </w:r>
      <w:r w:rsidR="008C138B">
        <w:rPr>
          <w:sz w:val="24"/>
          <w:szCs w:val="24"/>
        </w:rPr>
        <w:t>Summarised</w:t>
      </w:r>
      <w:r w:rsidRPr="002E0DFC">
        <w:rPr>
          <w:sz w:val="24"/>
          <w:szCs w:val="24"/>
        </w:rPr>
        <w:t xml:space="preserve"> from presentation by Jones, S (2018) 'National Decision Model' </w:t>
      </w:r>
    </w:p>
    <w:p w14:paraId="2E7C8AFA" w14:textId="77777777" w:rsidR="008C138B" w:rsidRPr="002E0DFC" w:rsidRDefault="008C138B" w:rsidP="002E0DFC">
      <w:pPr>
        <w:rPr>
          <w:sz w:val="24"/>
          <w:szCs w:val="24"/>
        </w:rPr>
      </w:pPr>
    </w:p>
    <w:p w14:paraId="0747348D" w14:textId="417153FE" w:rsidR="002E0DFC" w:rsidRPr="002E0DFC" w:rsidRDefault="002E0DFC" w:rsidP="002E0DFC">
      <w:pPr>
        <w:rPr>
          <w:sz w:val="24"/>
          <w:szCs w:val="24"/>
        </w:rPr>
      </w:pPr>
      <w:r w:rsidRPr="002E0DFC">
        <w:rPr>
          <w:sz w:val="24"/>
          <w:szCs w:val="24"/>
        </w:rPr>
        <w:t xml:space="preserve"> Looking at the initial report of the crime, I’ve managed to ascertain that the store had their goods back and had information about the person responsible for the attempted theft. Speaking to the staff at the store further reinforced the fact that they retrieved the goods on the spot, given the impact factors that she was a known shoplifter, the store had the goods back and that the female was stopped in store I didn’t see that any crime prosecution action was necessary, however, as we must always review any report and endeavour to bring in some type of positive action with every call we attend we’ve offered to visit the female and warn her not to try and steal things in the future however, the manager wasn’t content with just giving the female suitable words of </w:t>
      </w:r>
      <w:r w:rsidR="008C138B" w:rsidRPr="002E0DFC">
        <w:rPr>
          <w:sz w:val="24"/>
          <w:szCs w:val="24"/>
        </w:rPr>
        <w:t>advice</w:t>
      </w:r>
      <w:r w:rsidRPr="002E0DFC">
        <w:rPr>
          <w:sz w:val="24"/>
          <w:szCs w:val="24"/>
        </w:rPr>
        <w:t xml:space="preserve"> so we had to look at contingencies hence we asked her specifically what would she want us to do that would make her satisfied with our service. The manager said that we could also issue the female with a notice issued by the store that bans her from attending the shop for a period of 12 months and by doing that, she would consider our attendance and service satisfactory. We agreed to do it as we were going to see the female anyway and being as issuing her with a letter from the store was enough to keep the store manager satisfied, we left the store and drove to the address we had for the female. There we issued her with the letter and told her that she’s not to try and steal anything in the future, we’ve also told her that her purse with cards etc. is at the store and despite the ban, she’s allowed to go there and retrieve it in her own time. </w:t>
      </w:r>
    </w:p>
    <w:p w14:paraId="51B7AF1B" w14:textId="77777777" w:rsidR="002E0DFC" w:rsidRPr="002E0DFC" w:rsidRDefault="002E0DFC" w:rsidP="002E0DFC">
      <w:pPr>
        <w:rPr>
          <w:sz w:val="24"/>
          <w:szCs w:val="24"/>
        </w:rPr>
      </w:pPr>
    </w:p>
    <w:p w14:paraId="0EC58D42" w14:textId="218F13A5" w:rsidR="002E0DFC" w:rsidRPr="002E0DFC" w:rsidRDefault="002E0DFC" w:rsidP="002E0DFC">
      <w:pPr>
        <w:rPr>
          <w:sz w:val="24"/>
          <w:szCs w:val="24"/>
        </w:rPr>
      </w:pPr>
      <w:r w:rsidRPr="002E0DFC">
        <w:rPr>
          <w:sz w:val="24"/>
          <w:szCs w:val="24"/>
        </w:rPr>
        <w:t>As to the reflection and review of this case, I believe that I’ve dealt with it well, despite the aggrieved manager being unhappy with the time frame between report of the crime and our attendance and that the case wasn’t going anywhere she did eventually compromise by giving us the ban letter for the female and having us deliver it along with suitable words of advice. Are there any other things I could have dealt with better? The answer is Yes. I could have viewed the CCTV however, as I knew this wasn’t going to go anywhere proceeding wise, I didn’t feel it was necessary, I could have ensured that we attended the store earlier, but due to operational requirements it wasn’t possible as I can’t leave the station without my tutor who also has her own workload to deal with on top of all the other calls that came in during that time. I could have also looked for more impactful methods to deal with the offender as she is a known shoplifter, however, being that the items stolen were retrieved immediately and without offering much resistance I didn’t feel it warranted any more impactful methods to deal with it as I could have issued her with a Fixed Penalty Notice but I didn’t fee</w:t>
      </w:r>
      <w:r w:rsidR="00415598">
        <w:rPr>
          <w:sz w:val="24"/>
          <w:szCs w:val="24"/>
        </w:rPr>
        <w:t>l</w:t>
      </w:r>
      <w:r w:rsidRPr="002E0DFC">
        <w:rPr>
          <w:sz w:val="24"/>
          <w:szCs w:val="24"/>
        </w:rPr>
        <w:t xml:space="preserve"> that it was justified as the crime has been reported after the store had the items back and police were not called to the scene at the time but it was reported as a 101 call. </w:t>
      </w:r>
    </w:p>
    <w:bookmarkEnd w:id="2"/>
    <w:p w14:paraId="4BC8C669" w14:textId="77777777" w:rsidR="002E0DFC" w:rsidRPr="002E0DFC" w:rsidRDefault="002E0DFC" w:rsidP="002E0DFC">
      <w:pPr>
        <w:rPr>
          <w:sz w:val="24"/>
          <w:szCs w:val="24"/>
        </w:rPr>
      </w:pPr>
    </w:p>
    <w:p w14:paraId="70709524" w14:textId="77777777" w:rsidR="002E0DFC" w:rsidRPr="002E0DFC" w:rsidRDefault="002E0DFC" w:rsidP="002E0DFC">
      <w:pPr>
        <w:rPr>
          <w:b/>
          <w:bCs/>
          <w:sz w:val="24"/>
          <w:szCs w:val="24"/>
        </w:rPr>
      </w:pPr>
      <w:r w:rsidRPr="002E0DFC">
        <w:rPr>
          <w:b/>
          <w:bCs/>
          <w:sz w:val="24"/>
          <w:szCs w:val="24"/>
        </w:rPr>
        <w:t>Total word count: 1649</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F46813A" w14:textId="68BEDF61" w:rsidR="00220D06" w:rsidRPr="00270EEB" w:rsidRDefault="008C138B" w:rsidP="00FF7EBB">
            <w:pPr>
              <w:jc w:val="both"/>
              <w:rPr>
                <w:sz w:val="24"/>
                <w:szCs w:val="24"/>
              </w:rPr>
            </w:pPr>
            <w:r>
              <w:rPr>
                <w:sz w:val="24"/>
                <w:szCs w:val="24"/>
              </w:rPr>
              <w:t>Gain more diverse experience from attending various calls that involve different types of engagement</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FCC0F17" w:rsidR="00220D06" w:rsidRPr="00270EEB" w:rsidRDefault="008C138B" w:rsidP="00FF7EBB">
            <w:pPr>
              <w:jc w:val="both"/>
              <w:rPr>
                <w:sz w:val="24"/>
                <w:szCs w:val="24"/>
              </w:rPr>
            </w:pPr>
            <w:r>
              <w:rPr>
                <w:sz w:val="24"/>
                <w:szCs w:val="24"/>
              </w:rPr>
              <w:t xml:space="preserve">By attending such calls and dealing with various incidents </w:t>
            </w:r>
          </w:p>
        </w:tc>
        <w:tc>
          <w:tcPr>
            <w:tcW w:w="2230" w:type="dxa"/>
            <w:shd w:val="clear" w:color="auto" w:fill="auto"/>
          </w:tcPr>
          <w:p w14:paraId="177DD410" w14:textId="1E5AA4C6" w:rsidR="00220D06" w:rsidRPr="00270EEB" w:rsidRDefault="001F5B59" w:rsidP="00FF7EBB">
            <w:pPr>
              <w:jc w:val="both"/>
              <w:rPr>
                <w:sz w:val="24"/>
                <w:szCs w:val="24"/>
              </w:rPr>
            </w:pPr>
            <w:r>
              <w:rPr>
                <w:sz w:val="24"/>
                <w:szCs w:val="24"/>
              </w:rPr>
              <w:t>My team, tutor and a bit of fortune</w:t>
            </w:r>
          </w:p>
        </w:tc>
        <w:tc>
          <w:tcPr>
            <w:tcW w:w="2230" w:type="dxa"/>
            <w:shd w:val="clear" w:color="auto" w:fill="auto"/>
          </w:tcPr>
          <w:p w14:paraId="1F90E38B" w14:textId="09F540EF" w:rsidR="62FE5CAF" w:rsidRDefault="001F5B59" w:rsidP="62FE5CAF">
            <w:pPr>
              <w:jc w:val="both"/>
              <w:rPr>
                <w:sz w:val="24"/>
                <w:szCs w:val="24"/>
              </w:rPr>
            </w:pPr>
            <w:r>
              <w:rPr>
                <w:sz w:val="24"/>
                <w:szCs w:val="24"/>
              </w:rPr>
              <w:t>Next workbook submission.</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073FC13" w:rsidR="00220D06" w:rsidRPr="00270EEB" w:rsidRDefault="00D003AB" w:rsidP="00FF7EBB">
            <w:pPr>
              <w:jc w:val="both"/>
              <w:rPr>
                <w:sz w:val="24"/>
                <w:szCs w:val="24"/>
              </w:rPr>
            </w:pPr>
            <w:r>
              <w:rPr>
                <w:sz w:val="24"/>
                <w:szCs w:val="24"/>
              </w:rPr>
              <w:t xml:space="preserve">Improve my skills in reflective writing as I’ve never had to do that before beginning this course. </w:t>
            </w: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704CA4" w:rsidR="00220D06" w:rsidRPr="00270EEB" w:rsidRDefault="00D003AB" w:rsidP="00FF7EBB">
            <w:pPr>
              <w:jc w:val="both"/>
              <w:rPr>
                <w:sz w:val="24"/>
                <w:szCs w:val="24"/>
              </w:rPr>
            </w:pPr>
            <w:r>
              <w:rPr>
                <w:sz w:val="24"/>
                <w:szCs w:val="24"/>
              </w:rPr>
              <w:t>Via research and reading books on the topics relevant to this</w:t>
            </w:r>
          </w:p>
        </w:tc>
        <w:tc>
          <w:tcPr>
            <w:tcW w:w="2230" w:type="dxa"/>
            <w:shd w:val="clear" w:color="auto" w:fill="auto"/>
          </w:tcPr>
          <w:p w14:paraId="55CDA8EA" w14:textId="14C4C976" w:rsidR="00220D06" w:rsidRPr="00270EEB" w:rsidRDefault="00D003AB" w:rsidP="00FF7EBB">
            <w:pPr>
              <w:jc w:val="both"/>
              <w:rPr>
                <w:sz w:val="24"/>
                <w:szCs w:val="24"/>
              </w:rPr>
            </w:pPr>
            <w:r>
              <w:rPr>
                <w:sz w:val="24"/>
                <w:szCs w:val="24"/>
              </w:rPr>
              <w:t>University staff, teammates, research out of my own accord</w:t>
            </w:r>
          </w:p>
        </w:tc>
        <w:tc>
          <w:tcPr>
            <w:tcW w:w="2230" w:type="dxa"/>
            <w:shd w:val="clear" w:color="auto" w:fill="auto"/>
          </w:tcPr>
          <w:p w14:paraId="25AAFC86" w14:textId="4D4EF2A1" w:rsidR="62FE5CAF" w:rsidRDefault="00D003AB" w:rsidP="62FE5CAF">
            <w:pPr>
              <w:jc w:val="both"/>
              <w:rPr>
                <w:sz w:val="24"/>
                <w:szCs w:val="24"/>
              </w:rPr>
            </w:pPr>
            <w:r>
              <w:rPr>
                <w:sz w:val="24"/>
                <w:szCs w:val="24"/>
              </w:rPr>
              <w:t>Next workbook submission</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C3A6492" w:rsidR="00220D06" w:rsidRPr="00270EEB" w:rsidRDefault="00D003AB" w:rsidP="00FF7EBB">
            <w:pPr>
              <w:jc w:val="both"/>
              <w:rPr>
                <w:sz w:val="24"/>
                <w:szCs w:val="24"/>
              </w:rPr>
            </w:pPr>
            <w:r>
              <w:rPr>
                <w:sz w:val="24"/>
                <w:szCs w:val="24"/>
              </w:rPr>
              <w:t>Improve my communication skills when dealing with people and actually implement knowledge I gained from studying various books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8933445" w:rsidR="00220D06" w:rsidRPr="00270EEB" w:rsidRDefault="00D003AB" w:rsidP="00FF7EBB">
            <w:pPr>
              <w:jc w:val="both"/>
              <w:rPr>
                <w:sz w:val="24"/>
                <w:szCs w:val="24"/>
              </w:rPr>
            </w:pPr>
            <w:r>
              <w:rPr>
                <w:sz w:val="24"/>
                <w:szCs w:val="24"/>
              </w:rPr>
              <w:t xml:space="preserve">By actively being the first to engage in conversation with people we deal with rather than relying on my tutor to guide the conversation. </w:t>
            </w:r>
          </w:p>
        </w:tc>
        <w:tc>
          <w:tcPr>
            <w:tcW w:w="2230" w:type="dxa"/>
            <w:shd w:val="clear" w:color="auto" w:fill="auto"/>
          </w:tcPr>
          <w:p w14:paraId="63C5B3FF" w14:textId="3E298A01" w:rsidR="00220D06" w:rsidRPr="00270EEB" w:rsidRDefault="00D003AB" w:rsidP="00FF7EBB">
            <w:pPr>
              <w:jc w:val="both"/>
              <w:rPr>
                <w:sz w:val="24"/>
                <w:szCs w:val="24"/>
              </w:rPr>
            </w:pPr>
            <w:r>
              <w:rPr>
                <w:sz w:val="24"/>
                <w:szCs w:val="24"/>
              </w:rPr>
              <w:t>Myself and my tutor putting more pressure and expectations on me</w:t>
            </w:r>
          </w:p>
        </w:tc>
        <w:tc>
          <w:tcPr>
            <w:tcW w:w="2230" w:type="dxa"/>
            <w:shd w:val="clear" w:color="auto" w:fill="auto"/>
          </w:tcPr>
          <w:p w14:paraId="5A4090B6" w14:textId="29F9A272" w:rsidR="62FE5CAF" w:rsidRDefault="00D003AB" w:rsidP="62FE5CAF">
            <w:pPr>
              <w:jc w:val="both"/>
              <w:rPr>
                <w:sz w:val="24"/>
                <w:szCs w:val="24"/>
              </w:rPr>
            </w:pPr>
            <w:r>
              <w:rPr>
                <w:sz w:val="24"/>
                <w:szCs w:val="24"/>
              </w:rPr>
              <w:t xml:space="preserve">By the time I leave tutorship.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219F400" w14:textId="77777777" w:rsidR="003B6F00" w:rsidRPr="003B6F00" w:rsidRDefault="003B6F00" w:rsidP="003B6F00">
      <w:pPr>
        <w:keepNext/>
        <w:jc w:val="center"/>
        <w:rPr>
          <w:b/>
          <w:sz w:val="24"/>
          <w:szCs w:val="24"/>
        </w:rPr>
      </w:pPr>
      <w:r w:rsidRPr="003B6F00">
        <w:rPr>
          <w:b/>
          <w:i/>
          <w:iCs/>
          <w:sz w:val="24"/>
          <w:szCs w:val="24"/>
        </w:rPr>
        <w:t>Criminal Attempts Act 1981</w:t>
      </w:r>
      <w:r w:rsidRPr="003B6F00">
        <w:rPr>
          <w:b/>
          <w:sz w:val="24"/>
          <w:szCs w:val="24"/>
        </w:rPr>
        <w:t> (section 1). Available at: </w:t>
      </w:r>
      <w:hyperlink r:id="rId22" w:history="1">
        <w:r w:rsidRPr="003B6F00">
          <w:rPr>
            <w:rStyle w:val="Hyperlink"/>
            <w:b/>
            <w:sz w:val="24"/>
            <w:szCs w:val="24"/>
          </w:rPr>
          <w:t>Criminal Attempts Act 1981 (legislation.gov.uk)</w:t>
        </w:r>
      </w:hyperlink>
      <w:r w:rsidRPr="003B6F00">
        <w:rPr>
          <w:b/>
          <w:sz w:val="24"/>
          <w:szCs w:val="24"/>
        </w:rPr>
        <w:t> (Accessed: 09/11/2022).</w:t>
      </w:r>
    </w:p>
    <w:p w14:paraId="48B27BF7" w14:textId="77777777" w:rsidR="003B6F00" w:rsidRPr="003B6F00" w:rsidRDefault="003B6F00" w:rsidP="003B6F00">
      <w:pPr>
        <w:keepNext/>
        <w:jc w:val="center"/>
        <w:rPr>
          <w:b/>
          <w:sz w:val="24"/>
          <w:szCs w:val="24"/>
        </w:rPr>
      </w:pPr>
    </w:p>
    <w:p w14:paraId="024A9604" w14:textId="77777777" w:rsidR="003B6F00" w:rsidRPr="003B6F00" w:rsidRDefault="003B6F00" w:rsidP="003B6F00">
      <w:pPr>
        <w:keepNext/>
        <w:jc w:val="center"/>
        <w:rPr>
          <w:b/>
          <w:sz w:val="24"/>
          <w:szCs w:val="24"/>
        </w:rPr>
      </w:pPr>
      <w:r w:rsidRPr="003B6F00">
        <w:rPr>
          <w:b/>
          <w:sz w:val="24"/>
          <w:szCs w:val="24"/>
        </w:rPr>
        <w:t>Gabbert et al (2015) </w:t>
      </w:r>
      <w:r w:rsidRPr="003B6F00">
        <w:rPr>
          <w:b/>
          <w:i/>
          <w:iCs/>
          <w:sz w:val="24"/>
          <w:szCs w:val="24"/>
        </w:rPr>
        <w:t>Structured Interview Protocol</w:t>
      </w:r>
      <w:r w:rsidRPr="003B6F00">
        <w:rPr>
          <w:b/>
          <w:sz w:val="24"/>
          <w:szCs w:val="24"/>
        </w:rPr>
        <w:t>.  Available at: </w:t>
      </w:r>
      <w:hyperlink r:id="rId23" w:history="1">
        <w:r w:rsidRPr="003B6F00">
          <w:rPr>
            <w:rStyle w:val="Hyperlink"/>
            <w:b/>
            <w:sz w:val="24"/>
            <w:szCs w:val="24"/>
          </w:rPr>
          <w:t>SIP_consecutive_pages.pdf (college.police.uk)</w:t>
        </w:r>
      </w:hyperlink>
      <w:r w:rsidRPr="003B6F00">
        <w:rPr>
          <w:b/>
          <w:sz w:val="24"/>
          <w:szCs w:val="24"/>
        </w:rPr>
        <w:t> (Accessed: 09/11/2022).</w:t>
      </w:r>
    </w:p>
    <w:p w14:paraId="0269BE6C" w14:textId="77777777" w:rsidR="003B6F00" w:rsidRPr="003B6F00" w:rsidRDefault="003B6F00" w:rsidP="003B6F00">
      <w:pPr>
        <w:keepNext/>
        <w:jc w:val="center"/>
        <w:rPr>
          <w:b/>
          <w:sz w:val="24"/>
          <w:szCs w:val="24"/>
        </w:rPr>
      </w:pPr>
    </w:p>
    <w:p w14:paraId="2DBAD3BC" w14:textId="77777777" w:rsidR="003B6F00" w:rsidRPr="003B6F00" w:rsidRDefault="003B6F00" w:rsidP="003B6F00">
      <w:pPr>
        <w:keepNext/>
        <w:jc w:val="center"/>
        <w:rPr>
          <w:b/>
          <w:sz w:val="24"/>
          <w:szCs w:val="24"/>
        </w:rPr>
      </w:pPr>
      <w:r w:rsidRPr="003B6F00">
        <w:rPr>
          <w:b/>
          <w:sz w:val="24"/>
          <w:szCs w:val="24"/>
        </w:rPr>
        <w:t>Grylls, B. (2012/ Released in 2013) </w:t>
      </w:r>
      <w:r w:rsidRPr="003B6F00">
        <w:rPr>
          <w:b/>
          <w:i/>
          <w:iCs/>
          <w:sz w:val="24"/>
          <w:szCs w:val="24"/>
        </w:rPr>
        <w:t>A Survival guide for Life.</w:t>
      </w:r>
      <w:r w:rsidRPr="003B6F00">
        <w:rPr>
          <w:b/>
          <w:sz w:val="24"/>
          <w:szCs w:val="24"/>
        </w:rPr>
        <w:t> Available at: </w:t>
      </w:r>
      <w:hyperlink r:id="rId24" w:history="1">
        <w:r w:rsidRPr="003B6F00">
          <w:rPr>
            <w:rStyle w:val="Hyperlink"/>
            <w:b/>
            <w:sz w:val="24"/>
            <w:szCs w:val="24"/>
          </w:rPr>
          <w:t>A Survival Guide for Life by Bear Grylls - Audiobook - Audible.co.uk</w:t>
        </w:r>
      </w:hyperlink>
      <w:r w:rsidRPr="003B6F00">
        <w:rPr>
          <w:b/>
          <w:sz w:val="24"/>
          <w:szCs w:val="24"/>
        </w:rPr>
        <w:t> (Accessed: 10/11/2022.</w:t>
      </w:r>
    </w:p>
    <w:p w14:paraId="73599AFF" w14:textId="77777777" w:rsidR="003B6F00" w:rsidRPr="003B6F00" w:rsidRDefault="003B6F00" w:rsidP="003B6F00">
      <w:pPr>
        <w:keepNext/>
        <w:jc w:val="center"/>
        <w:rPr>
          <w:b/>
          <w:sz w:val="24"/>
          <w:szCs w:val="24"/>
        </w:rPr>
      </w:pPr>
    </w:p>
    <w:p w14:paraId="4F9C1AAD" w14:textId="77777777" w:rsidR="003B6F00" w:rsidRPr="003B6F00" w:rsidRDefault="003B6F00" w:rsidP="003B6F00">
      <w:pPr>
        <w:keepNext/>
        <w:jc w:val="center"/>
        <w:rPr>
          <w:b/>
          <w:sz w:val="24"/>
          <w:szCs w:val="24"/>
        </w:rPr>
      </w:pPr>
      <w:r w:rsidRPr="003B6F00">
        <w:rPr>
          <w:b/>
          <w:sz w:val="24"/>
          <w:szCs w:val="24"/>
        </w:rPr>
        <w:t>Gov.uk (2012) </w:t>
      </w:r>
      <w:r w:rsidRPr="003B6F00">
        <w:rPr>
          <w:b/>
          <w:i/>
          <w:iCs/>
          <w:sz w:val="24"/>
          <w:szCs w:val="24"/>
        </w:rPr>
        <w:t>Definition of Policing by Consent</w:t>
      </w:r>
      <w:r w:rsidRPr="003B6F00">
        <w:rPr>
          <w:b/>
          <w:sz w:val="24"/>
          <w:szCs w:val="24"/>
        </w:rPr>
        <w:t>. Available at: </w:t>
      </w:r>
      <w:hyperlink r:id="rId25" w:history="1">
        <w:r w:rsidRPr="003B6F00">
          <w:rPr>
            <w:rStyle w:val="Hyperlink"/>
            <w:b/>
            <w:sz w:val="24"/>
            <w:szCs w:val="24"/>
          </w:rPr>
          <w:t>Definition of policing by consent - GOV.UK (www.gov.uk)</w:t>
        </w:r>
      </w:hyperlink>
      <w:r w:rsidRPr="003B6F00">
        <w:rPr>
          <w:b/>
          <w:sz w:val="24"/>
          <w:szCs w:val="24"/>
        </w:rPr>
        <w:t> (Accessed: 28/11/2022).</w:t>
      </w:r>
    </w:p>
    <w:p w14:paraId="32B84A5F" w14:textId="77777777" w:rsidR="003B6F00" w:rsidRPr="003B6F00" w:rsidRDefault="003B6F00" w:rsidP="003B6F00">
      <w:pPr>
        <w:keepNext/>
        <w:jc w:val="center"/>
        <w:rPr>
          <w:b/>
          <w:sz w:val="24"/>
          <w:szCs w:val="24"/>
        </w:rPr>
      </w:pPr>
    </w:p>
    <w:p w14:paraId="6309EB16" w14:textId="77777777" w:rsidR="003B6F00" w:rsidRPr="003B6F00" w:rsidRDefault="003B6F00" w:rsidP="003B6F00">
      <w:pPr>
        <w:keepNext/>
        <w:jc w:val="center"/>
        <w:rPr>
          <w:b/>
          <w:sz w:val="24"/>
          <w:szCs w:val="24"/>
        </w:rPr>
      </w:pPr>
      <w:r w:rsidRPr="003B6F00">
        <w:rPr>
          <w:b/>
          <w:sz w:val="24"/>
          <w:szCs w:val="24"/>
        </w:rPr>
        <w:t>Helms M. M. and Mayo D. T. (2008) '</w:t>
      </w:r>
    </w:p>
    <w:p w14:paraId="0E8C9D43" w14:textId="77777777" w:rsidR="003B6F00" w:rsidRPr="003B6F00" w:rsidRDefault="003B6F00" w:rsidP="003B6F00">
      <w:pPr>
        <w:keepNext/>
        <w:jc w:val="center"/>
        <w:rPr>
          <w:b/>
          <w:sz w:val="24"/>
          <w:szCs w:val="24"/>
        </w:rPr>
      </w:pPr>
      <w:r w:rsidRPr="003B6F00">
        <w:rPr>
          <w:b/>
          <w:i/>
          <w:iCs/>
          <w:sz w:val="24"/>
          <w:szCs w:val="24"/>
        </w:rPr>
        <w:t>Assessing poor quality service: perceptions of customer service representatives</w:t>
      </w:r>
    </w:p>
    <w:p w14:paraId="4379C6E4" w14:textId="77777777" w:rsidR="003B6F00" w:rsidRPr="003B6F00" w:rsidRDefault="003B6F00" w:rsidP="003B6F00">
      <w:pPr>
        <w:keepNext/>
        <w:jc w:val="center"/>
        <w:rPr>
          <w:b/>
          <w:sz w:val="24"/>
          <w:szCs w:val="24"/>
        </w:rPr>
      </w:pPr>
      <w:r w:rsidRPr="003B6F00">
        <w:rPr>
          <w:b/>
          <w:sz w:val="24"/>
          <w:szCs w:val="24"/>
        </w:rPr>
        <w:t>'Managing service quality, 2008, Vol.18(6), p.610-622. Available at: 10.1108/09604520810920095</w:t>
      </w:r>
    </w:p>
    <w:p w14:paraId="31CFF178" w14:textId="77777777" w:rsidR="003B6F00" w:rsidRPr="003B6F00" w:rsidRDefault="003B6F00" w:rsidP="003B6F00">
      <w:pPr>
        <w:keepNext/>
        <w:jc w:val="center"/>
        <w:rPr>
          <w:b/>
          <w:sz w:val="24"/>
          <w:szCs w:val="24"/>
        </w:rPr>
      </w:pPr>
    </w:p>
    <w:p w14:paraId="116F5DDE" w14:textId="77777777" w:rsidR="003B6F00" w:rsidRPr="003B6F00" w:rsidRDefault="003B6F00" w:rsidP="003B6F00">
      <w:pPr>
        <w:keepNext/>
        <w:jc w:val="center"/>
        <w:rPr>
          <w:b/>
          <w:sz w:val="24"/>
          <w:szCs w:val="24"/>
        </w:rPr>
      </w:pPr>
      <w:r w:rsidRPr="003B6F00">
        <w:rPr>
          <w:b/>
          <w:sz w:val="24"/>
          <w:szCs w:val="24"/>
        </w:rPr>
        <w:t>Hembree, E. A. and Foa, E. B. . (2003) 'Interventions for Trauma-Related Emotional</w:t>
      </w:r>
      <w:r w:rsidRPr="003B6F00">
        <w:rPr>
          <w:b/>
          <w:sz w:val="24"/>
          <w:szCs w:val="24"/>
        </w:rPr>
        <w:br/>
        <w:t>Disturbances in Adult Victims of Crime', J</w:t>
      </w:r>
      <w:r w:rsidRPr="003B6F00">
        <w:rPr>
          <w:b/>
          <w:i/>
          <w:iCs/>
          <w:sz w:val="24"/>
          <w:szCs w:val="24"/>
        </w:rPr>
        <w:t>ournal of Traumatic Stress, Vol. 16, No. 2, April 2003, pp. 187–199</w:t>
      </w:r>
      <w:r w:rsidRPr="003B6F00">
        <w:rPr>
          <w:b/>
          <w:sz w:val="24"/>
          <w:szCs w:val="24"/>
        </w:rPr>
        <w:t>. Available at: 10.1023/A:1022803408114</w:t>
      </w:r>
    </w:p>
    <w:p w14:paraId="7870B5E2" w14:textId="77777777" w:rsidR="003B6F00" w:rsidRPr="003B6F00" w:rsidRDefault="003B6F00" w:rsidP="003B6F00">
      <w:pPr>
        <w:keepNext/>
        <w:jc w:val="center"/>
        <w:rPr>
          <w:b/>
          <w:sz w:val="24"/>
          <w:szCs w:val="24"/>
        </w:rPr>
      </w:pPr>
    </w:p>
    <w:p w14:paraId="16FE8DB3" w14:textId="77777777" w:rsidR="003B6F00" w:rsidRPr="003B6F00" w:rsidRDefault="003B6F00" w:rsidP="003B6F00">
      <w:pPr>
        <w:keepNext/>
        <w:jc w:val="center"/>
        <w:rPr>
          <w:b/>
          <w:sz w:val="24"/>
          <w:szCs w:val="24"/>
        </w:rPr>
      </w:pPr>
      <w:r w:rsidRPr="003B6F00">
        <w:rPr>
          <w:b/>
          <w:sz w:val="24"/>
          <w:szCs w:val="24"/>
        </w:rPr>
        <w:t>Howard L. M. Trevillion K. Agnew-Davies R. (2010) '</w:t>
      </w:r>
      <w:r w:rsidRPr="003B6F00">
        <w:rPr>
          <w:b/>
          <w:i/>
          <w:iCs/>
          <w:sz w:val="24"/>
          <w:szCs w:val="24"/>
        </w:rPr>
        <w:t>Domestic violence and mental health</w:t>
      </w:r>
      <w:r w:rsidRPr="003B6F00">
        <w:rPr>
          <w:b/>
          <w:sz w:val="24"/>
          <w:szCs w:val="24"/>
        </w:rPr>
        <w:t>', International Review of Psychiatry, October 2010; 22(5): 525–534. Available at: 10.3109/09540261.2010.512283L (Accessed: 28/11/2022).</w:t>
      </w:r>
    </w:p>
    <w:p w14:paraId="3E8EC366" w14:textId="77777777" w:rsidR="003B6F00" w:rsidRPr="003B6F00" w:rsidRDefault="003B6F00" w:rsidP="003B6F00">
      <w:pPr>
        <w:keepNext/>
        <w:jc w:val="center"/>
        <w:rPr>
          <w:b/>
          <w:sz w:val="24"/>
          <w:szCs w:val="24"/>
        </w:rPr>
      </w:pPr>
    </w:p>
    <w:p w14:paraId="05EB02D0" w14:textId="77777777" w:rsidR="003B6F00" w:rsidRPr="003B6F00" w:rsidRDefault="003B6F00" w:rsidP="003B6F00">
      <w:pPr>
        <w:keepNext/>
        <w:jc w:val="center"/>
        <w:rPr>
          <w:b/>
          <w:sz w:val="24"/>
          <w:szCs w:val="24"/>
        </w:rPr>
      </w:pPr>
      <w:r w:rsidRPr="003B6F00">
        <w:rPr>
          <w:b/>
          <w:i/>
          <w:iCs/>
          <w:sz w:val="24"/>
          <w:szCs w:val="24"/>
        </w:rPr>
        <w:t>Human Rights Act 1998</w:t>
      </w:r>
      <w:r w:rsidRPr="003B6F00">
        <w:rPr>
          <w:b/>
          <w:sz w:val="24"/>
          <w:szCs w:val="24"/>
        </w:rPr>
        <w:t>.  Available at: </w:t>
      </w:r>
      <w:hyperlink r:id="rId26" w:history="1">
        <w:r w:rsidRPr="003B6F00">
          <w:rPr>
            <w:rStyle w:val="Hyperlink"/>
            <w:b/>
            <w:sz w:val="24"/>
            <w:szCs w:val="24"/>
          </w:rPr>
          <w:t>Human Rights Act 1998 (legislation.gov.uk)</w:t>
        </w:r>
      </w:hyperlink>
      <w:r w:rsidRPr="003B6F00">
        <w:rPr>
          <w:b/>
          <w:sz w:val="24"/>
          <w:szCs w:val="24"/>
        </w:rPr>
        <w:t> (Accessed: 09/11/2022).</w:t>
      </w:r>
    </w:p>
    <w:p w14:paraId="23D7A87A" w14:textId="77777777" w:rsidR="003B6F00" w:rsidRPr="003B6F00" w:rsidRDefault="003B6F00" w:rsidP="003B6F00">
      <w:pPr>
        <w:keepNext/>
        <w:jc w:val="center"/>
        <w:rPr>
          <w:b/>
          <w:sz w:val="24"/>
          <w:szCs w:val="24"/>
        </w:rPr>
      </w:pPr>
    </w:p>
    <w:p w14:paraId="23670BAA" w14:textId="77777777" w:rsidR="003B6F00" w:rsidRPr="003B6F00" w:rsidRDefault="003B6F00" w:rsidP="003B6F00">
      <w:pPr>
        <w:keepNext/>
        <w:jc w:val="center"/>
        <w:rPr>
          <w:b/>
          <w:sz w:val="24"/>
          <w:szCs w:val="24"/>
        </w:rPr>
      </w:pPr>
      <w:r w:rsidRPr="003B6F00">
        <w:rPr>
          <w:b/>
          <w:sz w:val="24"/>
          <w:szCs w:val="24"/>
        </w:rPr>
        <w:t>Jones, S (2018) 'National Decision Model' [Presentation slides]. </w:t>
      </w:r>
      <w:r w:rsidRPr="003B6F00">
        <w:rPr>
          <w:b/>
          <w:i/>
          <w:iCs/>
          <w:sz w:val="24"/>
          <w:szCs w:val="24"/>
        </w:rPr>
        <w:t>Module code: Module title</w:t>
      </w:r>
      <w:r w:rsidRPr="003B6F00">
        <w:rPr>
          <w:b/>
          <w:sz w:val="24"/>
          <w:szCs w:val="24"/>
        </w:rPr>
        <w:t>. Available at: https://moodle.uwtsd.ac.uk/pluginfile.php/266056/mod_folder/content/0/The%20National%20Decision%20Model%20-%20%20V3.pptx?forcedownload=1 (Accessed: 09/11/2022).</w:t>
      </w:r>
    </w:p>
    <w:p w14:paraId="43374D34" w14:textId="77777777" w:rsidR="003B6F00" w:rsidRPr="003B6F00" w:rsidRDefault="003B6F00" w:rsidP="003B6F00">
      <w:pPr>
        <w:keepNext/>
        <w:jc w:val="center"/>
        <w:rPr>
          <w:b/>
          <w:sz w:val="24"/>
          <w:szCs w:val="24"/>
        </w:rPr>
      </w:pPr>
    </w:p>
    <w:p w14:paraId="3B999291" w14:textId="77777777" w:rsidR="003B6F00" w:rsidRPr="003B6F00" w:rsidRDefault="003B6F00" w:rsidP="003B6F00">
      <w:pPr>
        <w:keepNext/>
        <w:jc w:val="center"/>
        <w:rPr>
          <w:b/>
          <w:sz w:val="24"/>
          <w:szCs w:val="24"/>
        </w:rPr>
      </w:pPr>
      <w:r w:rsidRPr="003B6F00">
        <w:rPr>
          <w:b/>
          <w:sz w:val="24"/>
          <w:szCs w:val="24"/>
        </w:rPr>
        <w:t>Lord Scarman (1981) </w:t>
      </w:r>
      <w:r w:rsidRPr="003B6F00">
        <w:rPr>
          <w:b/>
          <w:i/>
          <w:iCs/>
          <w:sz w:val="24"/>
          <w:szCs w:val="24"/>
        </w:rPr>
        <w:t>The Scarman Report - inquiry into Brixton riots </w:t>
      </w:r>
      <w:r w:rsidRPr="003B6F00">
        <w:rPr>
          <w:b/>
          <w:sz w:val="24"/>
          <w:szCs w:val="24"/>
        </w:rPr>
        <w:t> (Volume 425). Available at: https://hansard.parliament.uk/Lords/1981-11-25/debates/008514e8-e688-4dfe-ba60-777fee95e3e5/TheScarmanReport</w:t>
      </w:r>
    </w:p>
    <w:p w14:paraId="0D9893E1" w14:textId="77777777" w:rsidR="003B6F00" w:rsidRPr="003B6F00" w:rsidRDefault="003B6F00" w:rsidP="003B6F00">
      <w:pPr>
        <w:keepNext/>
        <w:jc w:val="center"/>
        <w:rPr>
          <w:b/>
          <w:sz w:val="24"/>
          <w:szCs w:val="24"/>
        </w:rPr>
      </w:pPr>
      <w:r w:rsidRPr="003B6F00">
        <w:rPr>
          <w:b/>
          <w:sz w:val="24"/>
          <w:szCs w:val="24"/>
        </w:rPr>
        <w:t>  (Accessed: 22/11/2022).</w:t>
      </w:r>
    </w:p>
    <w:bookmarkStart w:id="3" w:name="_Hlk118989133"/>
    <w:p w14:paraId="316DD1FE" w14:textId="77777777" w:rsidR="003B6F00" w:rsidRPr="003B6F00" w:rsidRDefault="003B6F00" w:rsidP="003B6F00">
      <w:pPr>
        <w:keepNext/>
        <w:jc w:val="center"/>
        <w:rPr>
          <w:b/>
          <w:sz w:val="24"/>
          <w:szCs w:val="24"/>
        </w:rPr>
      </w:pPr>
      <w:r w:rsidRPr="003B6F00">
        <w:rPr>
          <w:b/>
          <w:sz w:val="24"/>
          <w:szCs w:val="24"/>
        </w:rPr>
        <w:fldChar w:fldCharType="begin"/>
      </w:r>
      <w:r w:rsidRPr="003B6F00">
        <w:rPr>
          <w:b/>
          <w:sz w:val="24"/>
          <w:szCs w:val="24"/>
        </w:rPr>
        <w:instrText xml:space="preserve"> HYPERLINK "https://www.audible.co.uk/author/Jack-Schafer/B00J61P1JO?ref=a_pd_The-Li_c1_author_1&amp;pf_rd_p=aebffbf1-33ac-4be8-82f9-b498e9e5fcfa&amp;pf_rd_r=ZFDPXG6JREP5P6XJPY32" </w:instrText>
      </w:r>
      <w:r w:rsidRPr="003B6F00">
        <w:rPr>
          <w:b/>
          <w:sz w:val="24"/>
          <w:szCs w:val="24"/>
        </w:rPr>
        <w:fldChar w:fldCharType="separate"/>
      </w:r>
      <w:r w:rsidRPr="003B6F00">
        <w:rPr>
          <w:rStyle w:val="Hyperlink"/>
          <w:b/>
          <w:sz w:val="24"/>
          <w:szCs w:val="24"/>
        </w:rPr>
        <w:t>Schafer</w:t>
      </w:r>
      <w:r w:rsidRPr="003B6F00">
        <w:rPr>
          <w:b/>
          <w:sz w:val="24"/>
          <w:szCs w:val="24"/>
        </w:rPr>
        <w:fldChar w:fldCharType="end"/>
      </w:r>
      <w:r w:rsidRPr="003B6F00">
        <w:rPr>
          <w:b/>
          <w:sz w:val="24"/>
          <w:szCs w:val="24"/>
        </w:rPr>
        <w:t xml:space="preserve"> J., </w:t>
      </w:r>
      <w:hyperlink r:id="rId27" w:history="1">
        <w:r w:rsidRPr="003B6F00">
          <w:rPr>
            <w:rStyle w:val="Hyperlink"/>
            <w:b/>
            <w:sz w:val="24"/>
            <w:szCs w:val="24"/>
          </w:rPr>
          <w:t xml:space="preserve"> Karlins M.</w:t>
        </w:r>
      </w:hyperlink>
      <w:r w:rsidRPr="003B6F00">
        <w:rPr>
          <w:b/>
          <w:sz w:val="24"/>
          <w:szCs w:val="24"/>
        </w:rPr>
        <w:t xml:space="preserve"> (2015)</w:t>
      </w:r>
      <w:bookmarkEnd w:id="3"/>
      <w:r w:rsidRPr="003B6F00">
        <w:rPr>
          <w:b/>
          <w:sz w:val="24"/>
          <w:szCs w:val="24"/>
        </w:rPr>
        <w:t> </w:t>
      </w:r>
      <w:r w:rsidRPr="003B6F00">
        <w:rPr>
          <w:b/>
          <w:sz w:val="24"/>
          <w:szCs w:val="24"/>
        </w:rPr>
        <w:br/>
        <w:t>The Like Switch. Available at: Audioble.co.uk </w:t>
      </w:r>
      <w:r w:rsidRPr="003B6F00">
        <w:rPr>
          <w:b/>
          <w:i/>
          <w:iCs/>
          <w:sz w:val="24"/>
          <w:szCs w:val="24"/>
        </w:rPr>
        <w:t>or</w:t>
      </w:r>
      <w:r w:rsidRPr="003B6F00">
        <w:rPr>
          <w:b/>
          <w:sz w:val="24"/>
          <w:szCs w:val="24"/>
        </w:rPr>
        <w:t> </w:t>
      </w:r>
      <w:hyperlink r:id="rId28" w:history="1">
        <w:r w:rsidRPr="003B6F00">
          <w:rPr>
            <w:rStyle w:val="Hyperlink"/>
            <w:b/>
            <w:sz w:val="24"/>
            <w:szCs w:val="24"/>
          </w:rPr>
          <w:t xml:space="preserve">The Like Switch by Jack </w:t>
        </w:r>
        <w:r w:rsidRPr="003B6F00">
          <w:rPr>
            <w:rStyle w:val="Hyperlink"/>
            <w:b/>
            <w:sz w:val="24"/>
            <w:szCs w:val="24"/>
          </w:rPr>
          <w:lastRenderedPageBreak/>
          <w:t>Schafer PhD, Ph.D. Marvin Karlins Ph.D. - Audiobook - Audible.co.uk</w:t>
        </w:r>
      </w:hyperlink>
      <w:r w:rsidRPr="003B6F00">
        <w:rPr>
          <w:b/>
          <w:sz w:val="24"/>
          <w:szCs w:val="24"/>
        </w:rPr>
        <w:t> (Accessed: 10/11/2022).</w:t>
      </w:r>
    </w:p>
    <w:p w14:paraId="5D1DBA0A" w14:textId="77777777" w:rsidR="003B6F00" w:rsidRPr="003B6F00" w:rsidRDefault="003B6F00" w:rsidP="003B6F00">
      <w:pPr>
        <w:keepNext/>
        <w:jc w:val="center"/>
        <w:rPr>
          <w:b/>
          <w:sz w:val="24"/>
          <w:szCs w:val="24"/>
        </w:rPr>
      </w:pPr>
    </w:p>
    <w:p w14:paraId="5876F762" w14:textId="77777777" w:rsidR="003B6F00" w:rsidRPr="003B6F00" w:rsidRDefault="003B6F00" w:rsidP="003B6F00">
      <w:pPr>
        <w:keepNext/>
        <w:jc w:val="center"/>
        <w:rPr>
          <w:b/>
          <w:sz w:val="24"/>
          <w:szCs w:val="24"/>
        </w:rPr>
      </w:pPr>
      <w:r w:rsidRPr="003B6F00">
        <w:rPr>
          <w:b/>
          <w:sz w:val="24"/>
          <w:szCs w:val="24"/>
        </w:rPr>
        <w:t>Nutt, D. J. (1999) 'Mechanisms of action of selective serotonin reuptake inhibitors in the treatment of psychiatric disorders', </w:t>
      </w:r>
      <w:r w:rsidRPr="003B6F00">
        <w:rPr>
          <w:b/>
          <w:i/>
          <w:iCs/>
          <w:sz w:val="24"/>
          <w:szCs w:val="24"/>
        </w:rPr>
        <w:t>European Neuropsychopharmacology</w:t>
      </w:r>
      <w:r w:rsidRPr="003B6F00">
        <w:rPr>
          <w:b/>
          <w:sz w:val="24"/>
          <w:szCs w:val="24"/>
        </w:rPr>
        <w:t> 9 Suppl. 3 (1999) S81–S86. Available at: 10.1016/S0924-977X(99)00030-9</w:t>
      </w:r>
    </w:p>
    <w:p w14:paraId="66FD5E10" w14:textId="77777777" w:rsidR="003B6F00" w:rsidRPr="003B6F00" w:rsidRDefault="003B6F00" w:rsidP="003B6F00">
      <w:pPr>
        <w:keepNext/>
        <w:jc w:val="center"/>
        <w:rPr>
          <w:b/>
          <w:sz w:val="24"/>
          <w:szCs w:val="24"/>
        </w:rPr>
      </w:pPr>
    </w:p>
    <w:p w14:paraId="210E887F" w14:textId="77777777" w:rsidR="003B6F00" w:rsidRPr="003B6F00" w:rsidRDefault="003B6F00" w:rsidP="003B6F00">
      <w:pPr>
        <w:keepNext/>
        <w:jc w:val="center"/>
        <w:rPr>
          <w:b/>
          <w:sz w:val="24"/>
          <w:szCs w:val="24"/>
        </w:rPr>
      </w:pPr>
      <w:bookmarkStart w:id="4" w:name="_Hlk118987259"/>
      <w:r w:rsidRPr="003B6F00">
        <w:rPr>
          <w:b/>
          <w:sz w:val="24"/>
          <w:szCs w:val="24"/>
        </w:rPr>
        <w:t>Smith, R. (2018) 'Domestic Abuse V14' Slide 12]</w:t>
      </w:r>
      <w:bookmarkEnd w:id="4"/>
      <w:r w:rsidRPr="003B6F00">
        <w:rPr>
          <w:b/>
          <w:sz w:val="24"/>
          <w:szCs w:val="24"/>
        </w:rPr>
        <w:t>. </w:t>
      </w:r>
      <w:r w:rsidRPr="003B6F00">
        <w:rPr>
          <w:b/>
          <w:i/>
          <w:iCs/>
          <w:sz w:val="24"/>
          <w:szCs w:val="24"/>
        </w:rPr>
        <w:t>Module code: Public Protection - DASH, Domestic Abuse, DVPN &amp; DVPO</w:t>
      </w:r>
      <w:r w:rsidRPr="003B6F00">
        <w:rPr>
          <w:b/>
          <w:sz w:val="24"/>
          <w:szCs w:val="24"/>
        </w:rPr>
        <w:t>. Available at: </w:t>
      </w:r>
      <w:hyperlink r:id="rId29" w:history="1">
        <w:r w:rsidRPr="003B6F00">
          <w:rPr>
            <w:rStyle w:val="Hyperlink"/>
            <w:b/>
            <w:sz w:val="24"/>
            <w:szCs w:val="24"/>
          </w:rPr>
          <w:t>BMPP4002D-BMPP6007D: DASH, Domestic Abuse, DVPN &amp; DVPO (uwtsd.ac.uk)</w:t>
        </w:r>
      </w:hyperlink>
      <w:r w:rsidRPr="003B6F00">
        <w:rPr>
          <w:b/>
          <w:sz w:val="24"/>
          <w:szCs w:val="24"/>
        </w:rPr>
        <w:t> (Accessed: 10/11/2022).</w:t>
      </w:r>
    </w:p>
    <w:p w14:paraId="45972D34" w14:textId="77777777" w:rsidR="003B6F00" w:rsidRPr="003B6F00" w:rsidRDefault="003B6F00" w:rsidP="003B6F00">
      <w:pPr>
        <w:keepNext/>
        <w:jc w:val="center"/>
        <w:rPr>
          <w:b/>
          <w:sz w:val="24"/>
          <w:szCs w:val="24"/>
        </w:rPr>
      </w:pPr>
    </w:p>
    <w:p w14:paraId="53ADFF27" w14:textId="77777777" w:rsidR="003B6F00" w:rsidRPr="003B6F00" w:rsidRDefault="003B6F00" w:rsidP="003B6F00">
      <w:pPr>
        <w:keepNext/>
        <w:jc w:val="center"/>
        <w:rPr>
          <w:b/>
          <w:sz w:val="24"/>
          <w:szCs w:val="24"/>
        </w:rPr>
      </w:pPr>
      <w:r w:rsidRPr="003B6F00">
        <w:rPr>
          <w:b/>
          <w:i/>
          <w:iCs/>
          <w:sz w:val="24"/>
          <w:szCs w:val="24"/>
        </w:rPr>
        <w:t>Theft Act 1968 (Section 1) </w:t>
      </w:r>
      <w:r w:rsidRPr="003B6F00">
        <w:rPr>
          <w:b/>
          <w:sz w:val="24"/>
          <w:szCs w:val="24"/>
        </w:rPr>
        <w:t>Available at: </w:t>
      </w:r>
      <w:hyperlink r:id="rId30" w:history="1">
        <w:r w:rsidRPr="003B6F00">
          <w:rPr>
            <w:rStyle w:val="Hyperlink"/>
            <w:b/>
            <w:sz w:val="24"/>
            <w:szCs w:val="24"/>
          </w:rPr>
          <w:t>Theft Act 1968 (legislation.gov.uk)</w:t>
        </w:r>
      </w:hyperlink>
      <w:r w:rsidRPr="003B6F00">
        <w:rPr>
          <w:b/>
          <w:sz w:val="24"/>
          <w:szCs w:val="24"/>
        </w:rPr>
        <w:t> (Accessed: 09/11/2022).</w:t>
      </w:r>
    </w:p>
    <w:p w14:paraId="55225E26" w14:textId="77777777" w:rsidR="003B6F00" w:rsidRPr="003B6F00" w:rsidRDefault="003B6F00" w:rsidP="003B6F00">
      <w:pPr>
        <w:keepNext/>
        <w:jc w:val="center"/>
        <w:rPr>
          <w:b/>
          <w:sz w:val="24"/>
          <w:szCs w:val="24"/>
        </w:rPr>
      </w:pPr>
    </w:p>
    <w:p w14:paraId="2282AF9F" w14:textId="77777777" w:rsidR="003B6F00" w:rsidRPr="003B6F00" w:rsidRDefault="003B6F00" w:rsidP="003B6F00">
      <w:pPr>
        <w:keepNext/>
        <w:jc w:val="center"/>
        <w:rPr>
          <w:b/>
          <w:sz w:val="24"/>
          <w:szCs w:val="24"/>
        </w:rPr>
      </w:pPr>
      <w:bookmarkStart w:id="5" w:name="_Hlk118986122"/>
      <w:r w:rsidRPr="003B6F00">
        <w:rPr>
          <w:b/>
          <w:sz w:val="24"/>
          <w:szCs w:val="24"/>
        </w:rPr>
        <w:t>University of Cambridge (no date) </w:t>
      </w:r>
      <w:r w:rsidRPr="003B6F00">
        <w:rPr>
          <w:b/>
          <w:i/>
          <w:iCs/>
          <w:sz w:val="24"/>
          <w:szCs w:val="24"/>
        </w:rPr>
        <w:t>Models of Reflection</w:t>
      </w:r>
      <w:bookmarkEnd w:id="5"/>
      <w:r w:rsidRPr="003B6F00">
        <w:rPr>
          <w:b/>
          <w:sz w:val="24"/>
          <w:szCs w:val="24"/>
        </w:rPr>
        <w:t>. Available at: </w:t>
      </w:r>
      <w:hyperlink r:id="rId31" w:history="1">
        <w:r w:rsidRPr="003B6F00">
          <w:rPr>
            <w:rStyle w:val="Hyperlink"/>
            <w:b/>
            <w:sz w:val="24"/>
            <w:szCs w:val="24"/>
          </w:rPr>
          <w:t>Models of reflection - Reflective Practice Toolkit - LibGuides at University of Cambridge Subject Libraries</w:t>
        </w:r>
      </w:hyperlink>
      <w:r w:rsidRPr="003B6F00">
        <w:rPr>
          <w:b/>
          <w:sz w:val="24"/>
          <w:szCs w:val="24"/>
        </w:rPr>
        <w:t> (Accessed: 10/11/2022).</w:t>
      </w:r>
    </w:p>
    <w:p w14:paraId="0A983C1C" w14:textId="77777777" w:rsidR="003B6F00" w:rsidRPr="003B6F00" w:rsidRDefault="003B6F00" w:rsidP="003B6F00">
      <w:pPr>
        <w:keepNext/>
        <w:jc w:val="center"/>
        <w:rPr>
          <w:b/>
          <w:sz w:val="24"/>
          <w:szCs w:val="24"/>
        </w:rPr>
      </w:pPr>
    </w:p>
    <w:p w14:paraId="0D46AD61" w14:textId="77777777" w:rsidR="003B6F00" w:rsidRPr="003B6F00" w:rsidRDefault="003B6F00" w:rsidP="003B6F00">
      <w:pPr>
        <w:keepNext/>
        <w:jc w:val="center"/>
        <w:rPr>
          <w:b/>
          <w:sz w:val="24"/>
          <w:szCs w:val="24"/>
        </w:rPr>
      </w:pPr>
    </w:p>
    <w:p w14:paraId="6ED77802" w14:textId="7D8FD2F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547A4094"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13B71">
        <w:rPr>
          <w:rFonts w:eastAsia="Arial"/>
          <w:color w:val="000000" w:themeColor="text1"/>
          <w:sz w:val="24"/>
          <w:szCs w:val="24"/>
          <w:highlight w:val="yellow"/>
        </w:rPr>
        <w:t>Dorian Krzemien</w:t>
      </w:r>
    </w:p>
    <w:p w14:paraId="7016A26F" w14:textId="77777777" w:rsidR="00426B24" w:rsidRDefault="00426B24" w:rsidP="00426B24">
      <w:pPr>
        <w:jc w:val="both"/>
        <w:rPr>
          <w:color w:val="000000" w:themeColor="text1"/>
          <w:sz w:val="24"/>
          <w:szCs w:val="24"/>
          <w:highlight w:val="yellow"/>
        </w:rPr>
      </w:pPr>
    </w:p>
    <w:p w14:paraId="2F627689" w14:textId="57799902"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3B6F00">
        <w:rPr>
          <w:rFonts w:eastAsia="Arial"/>
          <w:color w:val="000000" w:themeColor="text1"/>
          <w:sz w:val="24"/>
          <w:szCs w:val="24"/>
          <w:highlight w:val="yellow"/>
        </w:rPr>
        <w:t>28</w:t>
      </w:r>
      <w:r w:rsidR="00213B71" w:rsidRPr="00213B71">
        <w:rPr>
          <w:rFonts w:eastAsia="Arial"/>
          <w:color w:val="000000" w:themeColor="text1"/>
          <w:sz w:val="24"/>
          <w:szCs w:val="24"/>
          <w:highlight w:val="yellow"/>
          <w:vertAlign w:val="superscript"/>
        </w:rPr>
        <w:t>th</w:t>
      </w:r>
      <w:r w:rsidR="00213B71">
        <w:rPr>
          <w:rFonts w:eastAsia="Arial"/>
          <w:color w:val="000000" w:themeColor="text1"/>
          <w:sz w:val="24"/>
          <w:szCs w:val="24"/>
          <w:highlight w:val="yellow"/>
        </w:rPr>
        <w:t xml:space="preserve"> November 2022</w:t>
      </w:r>
    </w:p>
    <w:p w14:paraId="61C970FF" w14:textId="07033338" w:rsidR="000F7ECD" w:rsidRPr="00213B71" w:rsidRDefault="00426B24" w:rsidP="00213B71">
      <w:pPr>
        <w:sectPr w:rsidR="000F7ECD" w:rsidRPr="00213B71" w:rsidSect="0022001B">
          <w:pgSz w:w="11906" w:h="16838" w:code="9"/>
          <w:pgMar w:top="1440" w:right="1440" w:bottom="1440" w:left="1440" w:header="720" w:footer="720" w:gutter="0"/>
          <w:cols w:space="720"/>
          <w:docGrid w:linePitch="272"/>
        </w:sectPr>
      </w:pPr>
      <w:r w:rsidRPr="28A9B94D">
        <w:rPr>
          <w:rFonts w:eastAsia="Arial"/>
          <w:b/>
          <w:bCs/>
          <w:sz w:val="24"/>
          <w:szCs w:val="24"/>
        </w:rPr>
        <w:t xml:space="preserve"> </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A5DE6" w14:textId="77777777" w:rsidR="00B74C31" w:rsidRDefault="00B74C31">
      <w:r>
        <w:separator/>
      </w:r>
    </w:p>
  </w:endnote>
  <w:endnote w:type="continuationSeparator" w:id="0">
    <w:p w14:paraId="6BFCAF16" w14:textId="77777777" w:rsidR="00B74C31" w:rsidRDefault="00B7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29B8" w14:textId="77777777" w:rsidR="008E4DEB" w:rsidRDefault="008E4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8714F" w14:textId="77777777" w:rsidR="008E4DEB" w:rsidRDefault="008E4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3F702" w14:textId="77777777" w:rsidR="00B74C31" w:rsidRDefault="00B74C31">
      <w:r>
        <w:separator/>
      </w:r>
    </w:p>
  </w:footnote>
  <w:footnote w:type="continuationSeparator" w:id="0">
    <w:p w14:paraId="26847C1A" w14:textId="77777777" w:rsidR="00B74C31" w:rsidRDefault="00B74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7102" w14:textId="77777777" w:rsidR="008E4DEB" w:rsidRDefault="008E4D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DEE2D" w14:textId="77777777" w:rsidR="008E4DEB" w:rsidRDefault="008E4D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4AAB" w14:textId="77777777" w:rsidR="008E4DEB" w:rsidRDefault="008E4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2DB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252"/>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5B59"/>
    <w:rsid w:val="002019EB"/>
    <w:rsid w:val="002030F2"/>
    <w:rsid w:val="00205051"/>
    <w:rsid w:val="00211F65"/>
    <w:rsid w:val="00213B71"/>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0DFC"/>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50E1"/>
    <w:rsid w:val="003B6F00"/>
    <w:rsid w:val="003C19F1"/>
    <w:rsid w:val="003C4186"/>
    <w:rsid w:val="003C458C"/>
    <w:rsid w:val="003C6185"/>
    <w:rsid w:val="003D0D2D"/>
    <w:rsid w:val="003D4710"/>
    <w:rsid w:val="003E16D7"/>
    <w:rsid w:val="003E197E"/>
    <w:rsid w:val="004046F0"/>
    <w:rsid w:val="0040668F"/>
    <w:rsid w:val="00412677"/>
    <w:rsid w:val="00415598"/>
    <w:rsid w:val="00417925"/>
    <w:rsid w:val="0042277D"/>
    <w:rsid w:val="00426B24"/>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D75FD"/>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DE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D2D"/>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38B"/>
    <w:rsid w:val="008C14C7"/>
    <w:rsid w:val="008C284C"/>
    <w:rsid w:val="008C2FFB"/>
    <w:rsid w:val="008C6EEA"/>
    <w:rsid w:val="008D5813"/>
    <w:rsid w:val="008D634E"/>
    <w:rsid w:val="008D778A"/>
    <w:rsid w:val="008E4DEB"/>
    <w:rsid w:val="008F22BD"/>
    <w:rsid w:val="0090649C"/>
    <w:rsid w:val="009079BD"/>
    <w:rsid w:val="00912BD9"/>
    <w:rsid w:val="00920E5B"/>
    <w:rsid w:val="00926436"/>
    <w:rsid w:val="0093018C"/>
    <w:rsid w:val="00932CCA"/>
    <w:rsid w:val="009544C0"/>
    <w:rsid w:val="00954FA4"/>
    <w:rsid w:val="00956AE9"/>
    <w:rsid w:val="00964CC6"/>
    <w:rsid w:val="00984440"/>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1B34"/>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1C75"/>
    <w:rsid w:val="00B24344"/>
    <w:rsid w:val="00B26769"/>
    <w:rsid w:val="00B31C91"/>
    <w:rsid w:val="00B3747F"/>
    <w:rsid w:val="00B43194"/>
    <w:rsid w:val="00B47734"/>
    <w:rsid w:val="00B50FBA"/>
    <w:rsid w:val="00B558EB"/>
    <w:rsid w:val="00B577D3"/>
    <w:rsid w:val="00B60466"/>
    <w:rsid w:val="00B6548F"/>
    <w:rsid w:val="00B74C31"/>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3B8"/>
    <w:rsid w:val="00CD5D3F"/>
    <w:rsid w:val="00CF1E90"/>
    <w:rsid w:val="00CF3DB3"/>
    <w:rsid w:val="00D003AB"/>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057E3"/>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D7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98/42/contents" TargetMode="External"/><Relationship Id="rId3" Type="http://schemas.openxmlformats.org/officeDocument/2006/relationships/customXml" Target="../customXml/item3.xml"/><Relationship Id="rId21" Type="http://schemas.openxmlformats.org/officeDocument/2006/relationships/hyperlink" Target="https://www.audible.co.uk/author/Marvin-Karlins/B001H6EP1Q?ref=a_pd_The-Li_c1_author_2&amp;pf_rd_p=aebffbf1-33ac-4be8-82f9-b498e9e5fcfa&amp;pf_rd_r=ZFDPXG6JREP5P6XJPY3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policing-by-consent/definition-of-policing-by-consen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udible.co.uk/author/Jack-Schafer/B00J61P1JO?ref=a_pd_The-Li_c1_author_1&amp;pf_rd_p=aebffbf1-33ac-4be8-82f9-b498e9e5fcfa&amp;pf_rd_r=ZFDPXG6JREP5P6XJPY32" TargetMode="External"/><Relationship Id="rId29" Type="http://schemas.openxmlformats.org/officeDocument/2006/relationships/hyperlink" Target="https://moodle.uwtsd.ac.uk/mod/folder/view.php?id=1910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udible.co.uk/pd/A-Survival-Guide-for-Life-Audiobook/B00EUEFXH2"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SIP_consecutive_pages.pdf" TargetMode="External"/><Relationship Id="rId28" Type="http://schemas.openxmlformats.org/officeDocument/2006/relationships/hyperlink" Target="https://www.audible.co.uk/pd/The-Like-Switch-Audiobook/B00RKR4XTU?ipRedirectOverride=true&amp;overrideBaseCountry=true&amp;bp_o=true&amp;source_code=M2M30DFT1Bk13010142102TD&amp;gclid=EAIaIQobChMI1rGsuf-j-wIVQp7tCh1yxQJ0EAYYASABEgIvdPD_BwE&amp;gclsrc=aw.d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libguides.cam.ac.uk/reflectivepracticetoolkit/mode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81/47" TargetMode="External"/><Relationship Id="rId27" Type="http://schemas.openxmlformats.org/officeDocument/2006/relationships/hyperlink" Target="https://www.audible.co.uk/author/Marvin-Karlins/B001H6EP1Q?ref=a_pd_The-Li_c1_author_2&amp;pf_rd_p=aebffbf1-33ac-4be8-82f9-b498e9e5fcfa&amp;pf_rd_r=ZFDPXG6JREP5P6XJPY32" TargetMode="External"/><Relationship Id="rId30" Type="http://schemas.openxmlformats.org/officeDocument/2006/relationships/hyperlink" Target="https://www.legislation.gov.uk/ukpga/1968/60/section/1"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26</Pages>
  <Words>7259</Words>
  <Characters>41377</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Krzemien,Dorian swp8259</cp:lastModifiedBy>
  <cp:revision>10</cp:revision>
  <cp:lastPrinted>2014-08-26T08:55:00Z</cp:lastPrinted>
  <dcterms:created xsi:type="dcterms:W3CDTF">2022-09-14T15:15:00Z</dcterms:created>
  <dcterms:modified xsi:type="dcterms:W3CDTF">2022-11-28T23:57:00Z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2022-10-05T01:14:09Z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71c9223c-7154-47cc-ab07-2de2a7de4f4e</vt:lpwstr>
  </property>
  <property fmtid="{D5CDD505-2E9C-101B-9397-08002B2CF9AE}" pid="9" name="MSIP_Label_66cf8fe5-b7b7-4df7-b38d-1c61ac2f6639_ContentBits">
    <vt:lpwstr>0</vt:lpwstr>
  </property>
</Properties>
</file>