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FBF0CD" w14:textId="410AE40E" w:rsidR="00077030" w:rsidRPr="00A87FCE" w:rsidRDefault="00077030" w:rsidP="00077030">
      <w:pPr>
        <w:spacing w:line="360" w:lineRule="auto"/>
        <w:rPr>
          <w:rFonts w:asciiTheme="minorBidi" w:eastAsia="Arial" w:hAnsiTheme="minorBidi"/>
          <w:b/>
          <w:bCs/>
          <w:sz w:val="24"/>
          <w:szCs w:val="24"/>
        </w:rPr>
      </w:pPr>
      <w:r w:rsidRPr="00A87FCE">
        <w:rPr>
          <w:rFonts w:asciiTheme="minorBidi" w:eastAsia="Arial" w:hAnsiTheme="minorBidi"/>
          <w:b/>
          <w:bCs/>
          <w:sz w:val="24"/>
          <w:szCs w:val="24"/>
        </w:rPr>
        <w:t>Part 2</w:t>
      </w:r>
      <w:r w:rsidR="00A333DF" w:rsidRPr="00A87FCE">
        <w:rPr>
          <w:rFonts w:asciiTheme="minorBidi" w:eastAsia="Arial" w:hAnsiTheme="minorBidi"/>
          <w:b/>
          <w:bCs/>
          <w:sz w:val="24"/>
          <w:szCs w:val="24"/>
        </w:rPr>
        <w:t xml:space="preserve"> – Reflective Paper on Quality</w:t>
      </w:r>
    </w:p>
    <w:p w14:paraId="1298F5F6" w14:textId="032106E2" w:rsidR="00077030" w:rsidRPr="00A87FCE" w:rsidRDefault="00077030" w:rsidP="00077030">
      <w:pPr>
        <w:spacing w:line="360" w:lineRule="auto"/>
        <w:rPr>
          <w:rFonts w:asciiTheme="minorBidi" w:eastAsia="Arial" w:hAnsiTheme="minorBidi"/>
          <w:b/>
          <w:bCs/>
          <w:sz w:val="24"/>
          <w:szCs w:val="24"/>
        </w:rPr>
      </w:pPr>
      <w:r w:rsidRPr="00A87FCE">
        <w:rPr>
          <w:rFonts w:asciiTheme="minorBidi" w:eastAsia="Arial" w:hAnsiTheme="minorBidi"/>
          <w:b/>
          <w:bCs/>
          <w:sz w:val="24"/>
          <w:szCs w:val="24"/>
        </w:rPr>
        <w:t>Intro</w:t>
      </w:r>
      <w:r w:rsidR="00A333DF" w:rsidRPr="00A87FCE">
        <w:rPr>
          <w:rFonts w:asciiTheme="minorBidi" w:eastAsia="Arial" w:hAnsiTheme="minorBidi"/>
          <w:b/>
          <w:bCs/>
          <w:sz w:val="24"/>
          <w:szCs w:val="24"/>
        </w:rPr>
        <w:t>duction</w:t>
      </w:r>
    </w:p>
    <w:p w14:paraId="2598C3C1"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hAnsiTheme="minorBidi"/>
          <w:sz w:val="24"/>
          <w:szCs w:val="24"/>
        </w:rPr>
        <w:t xml:space="preserve">This reflective assignment critically explores two methods that promote and ensure quality in early years settings beyond statutory requirements: the </w:t>
      </w:r>
      <w:proofErr w:type="gramStart"/>
      <w:r w:rsidRPr="00A87FCE">
        <w:rPr>
          <w:rStyle w:val="Emphasis"/>
          <w:rFonts w:asciiTheme="minorBidi" w:hAnsiTheme="minorBidi"/>
          <w:sz w:val="24"/>
          <w:szCs w:val="24"/>
        </w:rPr>
        <w:t>Quality of Care</w:t>
      </w:r>
      <w:proofErr w:type="gramEnd"/>
      <w:r w:rsidRPr="00A87FCE">
        <w:rPr>
          <w:rStyle w:val="Emphasis"/>
          <w:rFonts w:asciiTheme="minorBidi" w:hAnsiTheme="minorBidi"/>
          <w:sz w:val="24"/>
          <w:szCs w:val="24"/>
        </w:rPr>
        <w:t xml:space="preserve"> Review (QOCR) and parent engagement tools</w:t>
      </w:r>
      <w:r w:rsidRPr="00A87FCE">
        <w:rPr>
          <w:rFonts w:asciiTheme="minorBidi" w:hAnsiTheme="minorBidi"/>
          <w:sz w:val="24"/>
          <w:szCs w:val="24"/>
        </w:rPr>
        <w:t xml:space="preserve">, and </w:t>
      </w:r>
      <w:r w:rsidRPr="00A87FCE">
        <w:rPr>
          <w:rStyle w:val="Emphasis"/>
          <w:rFonts w:asciiTheme="minorBidi" w:hAnsiTheme="minorBidi"/>
          <w:sz w:val="24"/>
          <w:szCs w:val="24"/>
        </w:rPr>
        <w:t>staff professional development through frameworks such as SSTEW and reflective supervision</w:t>
      </w:r>
      <w:r w:rsidRPr="00A87FCE">
        <w:rPr>
          <w:rFonts w:asciiTheme="minorBidi" w:hAnsiTheme="minorBidi"/>
          <w:sz w:val="24"/>
          <w:szCs w:val="24"/>
        </w:rPr>
        <w:t>. Both are widely used across Flying Start provision and aligned with Welsh Government priorities around relational pedagogy and children’s rights. Drawing on statutory guidance, research literature, and practice-based quality frameworks, this assignment evaluates how these methods contribute to a culture of continuous improvement. Emphasis is placed on reflective practice, family voice, and pedagogical leadership as foundations for enhancing quality in a meaningful, sustainable way. The analysis also considers the limitations of surface level implementation, and the enabling conditions required to maximise the impact of these approaches.</w:t>
      </w:r>
    </w:p>
    <w:p w14:paraId="6167D869" w14:textId="75E8C96E" w:rsidR="00077030" w:rsidRPr="00A87FCE" w:rsidRDefault="00077030" w:rsidP="00077030">
      <w:pPr>
        <w:spacing w:line="360" w:lineRule="auto"/>
        <w:rPr>
          <w:rFonts w:asciiTheme="minorBidi" w:eastAsia="Arial" w:hAnsiTheme="minorBidi"/>
          <w:b/>
          <w:bCs/>
          <w:sz w:val="24"/>
          <w:szCs w:val="24"/>
        </w:rPr>
      </w:pPr>
      <w:r w:rsidRPr="00A87FCE">
        <w:rPr>
          <w:rFonts w:asciiTheme="minorBidi" w:eastAsia="Arial" w:hAnsiTheme="minorBidi"/>
          <w:b/>
          <w:bCs/>
          <w:sz w:val="24"/>
          <w:szCs w:val="24"/>
        </w:rPr>
        <w:t>Section 1 - Parent Questionnaires, SASS, and Reflective Practice</w:t>
      </w:r>
    </w:p>
    <w:p w14:paraId="053D36FA"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Promoting quality beyond statutory requirements requires early years settings to embed inclusive and reflective tools that enable them to hear and respond to the voices of families. One such method is the </w:t>
      </w:r>
      <w:proofErr w:type="gramStart"/>
      <w:r w:rsidRPr="00A87FCE">
        <w:rPr>
          <w:rFonts w:asciiTheme="minorBidi" w:eastAsia="Times New Roman" w:hAnsiTheme="minorBidi"/>
          <w:sz w:val="24"/>
          <w:szCs w:val="24"/>
          <w:lang w:eastAsia="en-GB"/>
        </w:rPr>
        <w:t>Quality of Care</w:t>
      </w:r>
      <w:proofErr w:type="gramEnd"/>
      <w:r w:rsidRPr="00A87FCE">
        <w:rPr>
          <w:rFonts w:asciiTheme="minorBidi" w:eastAsia="Times New Roman" w:hAnsiTheme="minorBidi"/>
          <w:sz w:val="24"/>
          <w:szCs w:val="24"/>
          <w:lang w:eastAsia="en-GB"/>
        </w:rPr>
        <w:t xml:space="preserve"> Review (QOCR), a requirement under the Regulation and Inspection of Social Care (Wales) Act 2016 (Welsh Government, 2016), supported by the Self-Assessment of Service Statement (SASS) and annual quality assurance processes (CIW, </w:t>
      </w:r>
      <w:proofErr w:type="spellStart"/>
      <w:r w:rsidRPr="00A87FCE">
        <w:rPr>
          <w:rFonts w:asciiTheme="minorBidi" w:eastAsia="Times New Roman" w:hAnsiTheme="minorBidi"/>
          <w:sz w:val="24"/>
          <w:szCs w:val="24"/>
          <w:lang w:eastAsia="en-GB"/>
        </w:rPr>
        <w:t>n.d</w:t>
      </w:r>
      <w:proofErr w:type="spellEnd"/>
      <w:r w:rsidRPr="00A87FCE">
        <w:rPr>
          <w:rFonts w:asciiTheme="minorBidi" w:eastAsia="Times New Roman" w:hAnsiTheme="minorBidi"/>
          <w:sz w:val="24"/>
          <w:szCs w:val="24"/>
          <w:lang w:eastAsia="en-GB"/>
        </w:rPr>
        <w:t>). In practice, many Flying Start settings use parent questionnaires and structured reflections as a way of assessing impact, improving practice, and deepening relationships with the communities they serve.</w:t>
      </w:r>
    </w:p>
    <w:p w14:paraId="1872BB69"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Unlike statutory inspections or regulatory systems of measurement that may capture surface-level compliance, QOCRs can offer a more contextualised and child/family-centred perspective when applied meaningfully. As shown in the CIW-reviewed examples from Badgers Jet-Set (2016) and Little Cherubs Nursery (2018), reflective engagement with parent voice enabled leaders to identify culturally relevant gaps, </w:t>
      </w:r>
      <w:r w:rsidRPr="00A87FCE">
        <w:rPr>
          <w:rFonts w:asciiTheme="minorBidi" w:eastAsia="Times New Roman" w:hAnsiTheme="minorBidi"/>
          <w:sz w:val="24"/>
          <w:szCs w:val="24"/>
          <w:lang w:eastAsia="en-GB"/>
        </w:rPr>
        <w:lastRenderedPageBreak/>
        <w:t>address feedback on routine flexibility, and ensure alignment with both policy and family priorities. These case studies demonstrate how the QOCR can be used as a live document, reviewed and developed collaboratively to improve practice in real time.</w:t>
      </w:r>
    </w:p>
    <w:p w14:paraId="048C7387"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However, the value of parent voice depends heavily on how it is captured and interpreted. Parent questionnaires, while convenient, risk becoming tokenistic or dominated by confident voices if language barriers, digital access, or cultural communication styles are not actively considered. This concern is echoed in wider literature. Cottle and Alexander (2014) argue that parent partnership is too often shaped by practitioner assumptions, rather than co-produced with families. Their earlier work (2012) further critiques how government-led definitions of “quality” are often compliance-focused and misaligned with practitioners’ lived experiences. As they note, “Practitioners’ own views of quality are often overshadowed by external definitions shaped by policy and regulatory frameworks” (Cottle &amp; Alexander, 2012, p. 643). In this way, the act of surveying parents can become more about evidencing quality than improving it.</w:t>
      </w:r>
    </w:p>
    <w:p w14:paraId="1B38C75B"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By contrast, reflective engagement processes—such as the QOCR when implemented robustly—can allow for localised, relational definitions of quality to emerge. This is supported by </w:t>
      </w:r>
      <w:proofErr w:type="spellStart"/>
      <w:r w:rsidRPr="00A87FCE">
        <w:rPr>
          <w:rFonts w:asciiTheme="minorBidi" w:eastAsia="Times New Roman" w:hAnsiTheme="minorBidi"/>
          <w:sz w:val="24"/>
          <w:szCs w:val="24"/>
          <w:lang w:eastAsia="en-GB"/>
        </w:rPr>
        <w:t>Rudoe</w:t>
      </w:r>
      <w:proofErr w:type="spellEnd"/>
      <w:r w:rsidRPr="00A87FCE">
        <w:rPr>
          <w:rFonts w:asciiTheme="minorBidi" w:eastAsia="Times New Roman" w:hAnsiTheme="minorBidi"/>
          <w:sz w:val="24"/>
          <w:szCs w:val="24"/>
          <w:lang w:eastAsia="en-GB"/>
        </w:rPr>
        <w:t xml:space="preserve"> (2020), who in a study of nursery headteachers found that leaders emphasised seeing “every child as an individual” and prioritised enacting quality through daily relationships rather than through standardised audits. In her words, “Quality was something enacted and embodied rather than audited” (</w:t>
      </w:r>
      <w:proofErr w:type="spellStart"/>
      <w:r w:rsidRPr="00A87FCE">
        <w:rPr>
          <w:rFonts w:asciiTheme="minorBidi" w:eastAsia="Times New Roman" w:hAnsiTheme="minorBidi"/>
          <w:sz w:val="24"/>
          <w:szCs w:val="24"/>
          <w:lang w:eastAsia="en-GB"/>
        </w:rPr>
        <w:t>Rudoe</w:t>
      </w:r>
      <w:proofErr w:type="spellEnd"/>
      <w:r w:rsidRPr="00A87FCE">
        <w:rPr>
          <w:rFonts w:asciiTheme="minorBidi" w:eastAsia="Times New Roman" w:hAnsiTheme="minorBidi"/>
          <w:sz w:val="24"/>
          <w:szCs w:val="24"/>
          <w:lang w:eastAsia="en-GB"/>
        </w:rPr>
        <w:t>, 2020, p. 1020). This resonates with Flying Start's emphasis on responsive provision and its alignment with the United Nations Convention on the Rights of the Child (UNCRC), particularly Article 12, which upholds children’s and families’ right to be heard.</w:t>
      </w:r>
    </w:p>
    <w:p w14:paraId="6C44A235"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When settings create time and space to reflect on what parents are saying, it supports both accountability and innovation. As Reed and Canning (2012) highlight, tools like the QOCR only support quality improvement when used within a culture of reflection, not as mechanical compliance tasks. “The danger is that reflective tools become reduced to a series of forms to be filled, rather than dynamic processes that enable learning and </w:t>
      </w:r>
      <w:r w:rsidRPr="00A87FCE">
        <w:rPr>
          <w:rFonts w:asciiTheme="minorBidi" w:eastAsia="Times New Roman" w:hAnsiTheme="minorBidi"/>
          <w:sz w:val="24"/>
          <w:szCs w:val="24"/>
          <w:lang w:eastAsia="en-GB"/>
        </w:rPr>
        <w:lastRenderedPageBreak/>
        <w:t>improvement” (Reed &amp; Canning, 2012, p. 59). In this way, the QOCR becomes both a process and a mindset—shaping how the setting interprets parental input and staff observations to adapt provision for the better.</w:t>
      </w:r>
    </w:p>
    <w:p w14:paraId="200FB548"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In practice, the success of parent engagement is also influenced by cultural competence and practitioner confidence. The Badgers Jet-Set example illustrates how multilingual and visual adaptations to parent surveys led to more meaningful feedback from underrepresented families (</w:t>
      </w:r>
      <w:r w:rsidRPr="00A87FCE">
        <w:rPr>
          <w:rFonts w:asciiTheme="minorBidi" w:hAnsiTheme="minorBidi"/>
          <w:sz w:val="24"/>
          <w:szCs w:val="24"/>
        </w:rPr>
        <w:t>Badgers Jet-Set Nursery, 2018)</w:t>
      </w:r>
      <w:r w:rsidRPr="00A87FCE">
        <w:rPr>
          <w:rFonts w:asciiTheme="minorBidi" w:eastAsia="Times New Roman" w:hAnsiTheme="minorBidi"/>
          <w:sz w:val="24"/>
          <w:szCs w:val="24"/>
          <w:lang w:eastAsia="en-GB"/>
        </w:rPr>
        <w:t>. This mirrors critiques from literature such as Brooker (2010), who warns that “unquestioned norms” around communication often lead to exclusionary practices that silence the most marginalised voices. Thus, inclusion is not simply about offering surveys in multiple languages—it is about challenging assumptions, building trust, and empowering all families to share their views with confidence.</w:t>
      </w:r>
    </w:p>
    <w:p w14:paraId="15AA3F89"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When applied meaningfully, QOCR processes can act as mirrors for settings, helping them uncover patterns that may not be immediately visible through observation or inspection. For instance, parental feedback about children’s home routines not being reflected in daily practice led one setting to reassess their transitions and drop-off policies (</w:t>
      </w:r>
      <w:r w:rsidRPr="00A87FCE">
        <w:rPr>
          <w:rFonts w:asciiTheme="minorBidi" w:hAnsiTheme="minorBidi"/>
          <w:sz w:val="24"/>
          <w:szCs w:val="24"/>
        </w:rPr>
        <w:t>Little Cherubs Day Care Nursery, 2016</w:t>
      </w:r>
      <w:r w:rsidRPr="00A87FCE">
        <w:rPr>
          <w:rFonts w:asciiTheme="minorBidi" w:eastAsia="Times New Roman" w:hAnsiTheme="minorBidi"/>
          <w:sz w:val="24"/>
          <w:szCs w:val="24"/>
          <w:lang w:eastAsia="en-GB"/>
        </w:rPr>
        <w:t>). This level of responsiveness fosters a co-constructed model of care, positioning families not as passive recipients but as active contributors to quality development. This reflects broader shifts in early years philosophy toward participatory approaches that centre relational and emotional dimensions of practice (Eadie et al., 2022).</w:t>
      </w:r>
    </w:p>
    <w:p w14:paraId="3F541CF9"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However, it is important to recognise that not all settings are equally resourced or supported to do this well. Where staff are stretched or unfamiliar with reflective practice, there is a risk that QOCR processes remain superficial. As Cottle and Alexander (2012) note, “quality is interpreted through the lens of lived experience, values, and contextual pressures” (p. 648). For some, this may mean prioritising health and safety compliance or inspection readiness, rather than authentic dialogue. Similarly, unless leadership models encourage open dialogue and staff development, reflective engagement may feel like extra work rather than a shared responsibility.</w:t>
      </w:r>
    </w:p>
    <w:p w14:paraId="7C2C6A08" w14:textId="18E84AC3" w:rsidR="00077030" w:rsidRPr="00A87FCE" w:rsidRDefault="00A333DF" w:rsidP="00A333DF">
      <w:pPr>
        <w:spacing w:line="360" w:lineRule="auto"/>
        <w:rPr>
          <w:rFonts w:asciiTheme="minorBidi" w:eastAsia="Arial" w:hAnsiTheme="minorBidi"/>
          <w:sz w:val="24"/>
          <w:szCs w:val="24"/>
        </w:rPr>
      </w:pPr>
      <w:r w:rsidRPr="00A87FCE">
        <w:rPr>
          <w:rFonts w:asciiTheme="minorBidi" w:eastAsia="Times New Roman" w:hAnsiTheme="minorBidi"/>
          <w:sz w:val="24"/>
          <w:szCs w:val="24"/>
          <w:lang w:eastAsia="en-GB"/>
        </w:rPr>
        <w:lastRenderedPageBreak/>
        <w:t xml:space="preserve">In conclusion, QOCRs and parent questionnaires offer significant potential to promote quality above statutory minimums—particularly when embedded in a reflective, relational, and inclusive culture. Drawing on guidance from CIW and the UNCRC, and supported by critical literature, </w:t>
      </w:r>
      <w:proofErr w:type="gramStart"/>
      <w:r w:rsidRPr="00A87FCE">
        <w:rPr>
          <w:rFonts w:asciiTheme="minorBidi" w:eastAsia="Times New Roman" w:hAnsiTheme="minorBidi"/>
          <w:sz w:val="24"/>
          <w:szCs w:val="24"/>
          <w:lang w:eastAsia="en-GB"/>
        </w:rPr>
        <w:t>it is clear that parent</w:t>
      </w:r>
      <w:proofErr w:type="gramEnd"/>
      <w:r w:rsidRPr="00A87FCE">
        <w:rPr>
          <w:rFonts w:asciiTheme="minorBidi" w:eastAsia="Times New Roman" w:hAnsiTheme="minorBidi"/>
          <w:sz w:val="24"/>
          <w:szCs w:val="24"/>
          <w:lang w:eastAsia="en-GB"/>
        </w:rPr>
        <w:t xml:space="preserve"> voice is a powerful tool—but only when settings have the confidence, competence, and commitment to engage with it meaningfully. Otherwise, such processes risk reinforcing hierarchies of voice, rather than dismantling them.</w:t>
      </w:r>
    </w:p>
    <w:p w14:paraId="64DC09B0" w14:textId="116690B8" w:rsidR="00077030" w:rsidRPr="00A87FCE" w:rsidRDefault="00077030" w:rsidP="00077030">
      <w:pPr>
        <w:spacing w:line="360" w:lineRule="auto"/>
        <w:rPr>
          <w:rFonts w:asciiTheme="minorBidi" w:eastAsia="Arial" w:hAnsiTheme="minorBidi"/>
          <w:b/>
          <w:bCs/>
          <w:sz w:val="24"/>
          <w:szCs w:val="24"/>
        </w:rPr>
      </w:pPr>
      <w:r w:rsidRPr="00A87FCE">
        <w:rPr>
          <w:rFonts w:asciiTheme="minorBidi" w:eastAsia="Arial" w:hAnsiTheme="minorBidi"/>
          <w:b/>
          <w:bCs/>
          <w:sz w:val="24"/>
          <w:szCs w:val="24"/>
        </w:rPr>
        <w:t>Section 2 - Focus: Supervision, SSTEW Framework, CPD, and Flying Start</w:t>
      </w:r>
    </w:p>
    <w:p w14:paraId="084D257D"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Improving quality beyond statutory minimums also relies on investing in the professional learning and well-being of staff. Flying Start settings often model this through regular supervision, in-house CPD, and structured reflection rooted in relational pedagogy. While statutory guidance such as the National Minimum Standards for Regulated Childcare and Estyn's inspection areas include broad references to training, these frameworks typically lack depth regarding how professional learning translates into daily pedagogical quality (</w:t>
      </w:r>
      <w:r w:rsidRPr="00A87FCE">
        <w:rPr>
          <w:rFonts w:asciiTheme="minorBidi" w:eastAsia="Times New Roman" w:hAnsiTheme="minorBidi"/>
          <w:i/>
          <w:iCs/>
          <w:sz w:val="24"/>
          <w:szCs w:val="24"/>
          <w:lang w:eastAsia="en-GB"/>
        </w:rPr>
        <w:t>CIW, 2022</w:t>
      </w:r>
      <w:r w:rsidRPr="00A87FCE">
        <w:rPr>
          <w:rFonts w:asciiTheme="minorBidi" w:eastAsia="Times New Roman" w:hAnsiTheme="minorBidi"/>
          <w:sz w:val="24"/>
          <w:szCs w:val="24"/>
          <w:lang w:eastAsia="en-GB"/>
        </w:rPr>
        <w:t>). In contrast, approaches such as the Sustained Shared Thinking and Emotional Well-being (SSTEW) Scale offer specific indicators to help practitioners critically examine and improve their practice.</w:t>
      </w:r>
    </w:p>
    <w:p w14:paraId="12A3E8CE"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Developed by Siraj et al. (2015), the SSTEW framework assesses process quality across five domains, including trusting relationships, critical thinking, and language-rich interactions. Unlike compliance systems of measurement, it provides reflective prompts for practitioners to consider how their behaviour, tone, and responsiveness affect children’s well-being and cognitive development. For example, practitioners are encouraged to “engage in genuine conversations,” model curiosity, and tailor scaffolding to individual children's developmental profiles (Siraj et al., 2015, pp. 10, 27, 33). This allows CPD and supervision to be grounded in real examples of practice, moving beyond surface-level “training” to embedded improvement.</w:t>
      </w:r>
    </w:p>
    <w:p w14:paraId="3526E9BF"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The importance of such process-oriented tools is reinforced by research from Siraj et al. (2019), who compared regulatory and non-regulatory measures of early years quality </w:t>
      </w:r>
      <w:r w:rsidRPr="00A87FCE">
        <w:rPr>
          <w:rFonts w:asciiTheme="minorBidi" w:eastAsia="Times New Roman" w:hAnsiTheme="minorBidi"/>
          <w:sz w:val="24"/>
          <w:szCs w:val="24"/>
          <w:lang w:eastAsia="en-GB"/>
        </w:rPr>
        <w:lastRenderedPageBreak/>
        <w:t>across Australian settings. Their findings showed that while structural indicators (e.g., ratios, policies) had limited predictive value, tools like SSTEW were significantly associated with improved child outcomes. “Regulatory quality indicators were only weakly associated with child outcomes,” they note, “whereas non-regulatory indicators, such as those measured by the SSTEW scale, showed stronger predictive validity” (Siraj et al., 2019, p. 374). This supports the idea that professional learning must be embedded within pedagogical frameworks, not simply statutory expectations.</w:t>
      </w:r>
    </w:p>
    <w:p w14:paraId="30E22618"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Further empirical support comes from the FEEL study by </w:t>
      </w:r>
      <w:proofErr w:type="spellStart"/>
      <w:r w:rsidRPr="00A87FCE">
        <w:rPr>
          <w:rFonts w:asciiTheme="minorBidi" w:eastAsia="Times New Roman" w:hAnsiTheme="minorBidi"/>
          <w:sz w:val="24"/>
          <w:szCs w:val="24"/>
          <w:lang w:eastAsia="en-GB"/>
        </w:rPr>
        <w:t>Melhuish</w:t>
      </w:r>
      <w:proofErr w:type="spellEnd"/>
      <w:r w:rsidRPr="00A87FCE">
        <w:rPr>
          <w:rFonts w:asciiTheme="minorBidi" w:eastAsia="Times New Roman" w:hAnsiTheme="minorBidi"/>
          <w:sz w:val="24"/>
          <w:szCs w:val="24"/>
          <w:lang w:eastAsia="en-GB"/>
        </w:rPr>
        <w:t xml:space="preserve"> et al. (2016), which used a randomised controlled trial to examine the impact of SSTEW-based CPD on educator practice and child development. The intervention showed that sustained shared thinking, emotional responsiveness, and collaborative reflection significantly improved both educator-child interactions and school readiness outcomes. As the authors argue, “Improving educator-child interactions through reflective, practice-based CPD represents a key mechanism for advancing quality in early years provision” (</w:t>
      </w:r>
      <w:proofErr w:type="spellStart"/>
      <w:r w:rsidRPr="00A87FCE">
        <w:rPr>
          <w:rFonts w:asciiTheme="minorBidi" w:eastAsia="Times New Roman" w:hAnsiTheme="minorBidi"/>
          <w:sz w:val="24"/>
          <w:szCs w:val="24"/>
          <w:lang w:eastAsia="en-GB"/>
        </w:rPr>
        <w:t>Melhuish</w:t>
      </w:r>
      <w:proofErr w:type="spellEnd"/>
      <w:r w:rsidRPr="00A87FCE">
        <w:rPr>
          <w:rFonts w:asciiTheme="minorBidi" w:eastAsia="Times New Roman" w:hAnsiTheme="minorBidi"/>
          <w:sz w:val="24"/>
          <w:szCs w:val="24"/>
          <w:lang w:eastAsia="en-GB"/>
        </w:rPr>
        <w:t xml:space="preserve"> et al., 2016, p. 3). This directly supports the argument that investment in deep, contextually grounded CPD is vital for achieving authentic quality.</w:t>
      </w:r>
    </w:p>
    <w:p w14:paraId="6EDC3B29"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However, CPD alone is insufficient without leadership that fosters a culture of reflection and relational practice. As Campbell-Barr and Leeson (2016) assert, “Leadership in the early years involves the creation of a reflective culture where quality is a lived experience, not a fixed output” (p. 29). Their conceptualisation of leadership challenges deficit models of supervision and instead centres the role of leaders as facilitators of enquiry and co-learning. In Flying Start settings, this may be reflected in supervision meetings that offer safe spaces for staff to critically explore dilemmas, revisit practice using SSTEW indicators, and co-construct next steps. Rather than performance management, supervision becomes a site of professional dialogue and identity building.</w:t>
      </w:r>
    </w:p>
    <w:p w14:paraId="11D688F0"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This view aligns with the Welsh Government’s National Approach to Professional Learning, which encourages sustained, enquiry-based models of CPD over one-off events (</w:t>
      </w:r>
      <w:r w:rsidRPr="00A87FCE">
        <w:rPr>
          <w:rFonts w:asciiTheme="minorBidi" w:eastAsia="Times New Roman" w:hAnsiTheme="minorBidi"/>
          <w:i/>
          <w:iCs/>
          <w:sz w:val="24"/>
          <w:szCs w:val="24"/>
          <w:lang w:eastAsia="en-GB"/>
        </w:rPr>
        <w:t>Welsh Government, 2022</w:t>
      </w:r>
      <w:r w:rsidRPr="00A87FCE">
        <w:rPr>
          <w:rFonts w:asciiTheme="minorBidi" w:eastAsia="Times New Roman" w:hAnsiTheme="minorBidi"/>
          <w:sz w:val="24"/>
          <w:szCs w:val="24"/>
          <w:lang w:eastAsia="en-GB"/>
        </w:rPr>
        <w:t xml:space="preserve">). It also reflects findings from Welsh Government (2010), which emphasised the importance of well-being, trust, and continuous learning </w:t>
      </w:r>
      <w:r w:rsidRPr="00A87FCE">
        <w:rPr>
          <w:rFonts w:asciiTheme="minorBidi" w:eastAsia="Times New Roman" w:hAnsiTheme="minorBidi"/>
          <w:sz w:val="24"/>
          <w:szCs w:val="24"/>
          <w:lang w:eastAsia="en-GB"/>
        </w:rPr>
        <w:lastRenderedPageBreak/>
        <w:t>in supervisory practice. While statutory references to staff supervision exist in the Child Minding and Day Care (Wales) Regulations 2010, they lack the pedagogical depth explored in frameworks like SSTEW or the broader theoretical literature (</w:t>
      </w:r>
      <w:r w:rsidRPr="00A87FCE">
        <w:rPr>
          <w:rFonts w:asciiTheme="minorBidi" w:hAnsiTheme="minorBidi"/>
          <w:sz w:val="24"/>
          <w:szCs w:val="24"/>
        </w:rPr>
        <w:t>Campbell-Barr &amp; Leeson, 2016; Siraj et al., 2015</w:t>
      </w:r>
      <w:r w:rsidRPr="00A87FCE">
        <w:rPr>
          <w:rFonts w:asciiTheme="minorBidi" w:eastAsia="Times New Roman" w:hAnsiTheme="minorBidi"/>
          <w:sz w:val="24"/>
          <w:szCs w:val="24"/>
          <w:lang w:eastAsia="en-GB"/>
        </w:rPr>
        <w:t>).</w:t>
      </w:r>
    </w:p>
    <w:p w14:paraId="6E500805"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Nonetheless, the ability of settings to deliver high-quality supervision is contingent on time, training, and leadership priorities. Where resources are limited or supervision is viewed as a compliance task, opportunities for reflective dialogue are reduced. This can lead to stress, miscommunication, or missed opportunities to improve practice. As Campbell-Barr and Leeson (2016) caution, “If quality is to be sustained, leadership must embrace uncertainty and support practitioners in interpreting what quality means in their specific context” (p. 67). Therefore, promoting quality above statutory requirements depends not only on the tools used but on the leadership culture in which those tools are embedded.</w:t>
      </w:r>
    </w:p>
    <w:p w14:paraId="0F50A7CC" w14:textId="77777777" w:rsidR="00A333DF"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In summary, professional learning, reflective supervision, and frameworks such as SSTEW enable Flying Start settings to pursue process quality in meaningful and measurable ways. This exceeds the expectations set by statutory guidance by offering a more holistic, relational, and responsive model of pedagogy. When supervision is informed by pedagogical frameworks and supported by reflective leadership, it becomes a lever for continuous quality improvement, benefitting both practitioners and the children in their care.</w:t>
      </w:r>
    </w:p>
    <w:p w14:paraId="3A049795" w14:textId="6FB4EA27" w:rsidR="00A333DF" w:rsidRPr="00A87FCE" w:rsidRDefault="00A333DF" w:rsidP="00A333DF">
      <w:pPr>
        <w:spacing w:before="100" w:beforeAutospacing="1" w:after="100" w:afterAutospacing="1" w:line="360" w:lineRule="auto"/>
        <w:rPr>
          <w:rFonts w:asciiTheme="minorBidi" w:eastAsia="Times New Roman" w:hAnsiTheme="minorBidi"/>
          <w:b/>
          <w:bCs/>
          <w:sz w:val="24"/>
          <w:szCs w:val="24"/>
          <w:lang w:eastAsia="en-GB"/>
        </w:rPr>
      </w:pPr>
      <w:r w:rsidRPr="00A87FCE">
        <w:rPr>
          <w:rFonts w:asciiTheme="minorBidi" w:eastAsia="Times New Roman" w:hAnsiTheme="minorBidi"/>
          <w:b/>
          <w:bCs/>
          <w:sz w:val="24"/>
          <w:szCs w:val="24"/>
          <w:lang w:eastAsia="en-GB"/>
        </w:rPr>
        <w:t>Conclusion</w:t>
      </w:r>
    </w:p>
    <w:p w14:paraId="52FF7601" w14:textId="58680643" w:rsidR="00707994" w:rsidRPr="00A87FCE" w:rsidRDefault="00A333DF"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hAnsiTheme="minorBidi"/>
          <w:sz w:val="24"/>
          <w:szCs w:val="24"/>
        </w:rPr>
        <w:t xml:space="preserve">Promoting quality beyond compliance requires more than fulfilling statutory obligations; it calls for a values-led, relational, and reflective approach to early years practice. This assignment has examined how QOCRs and parent engagement tools can elevate quality when embedded meaningfully, offering families a platform to influence provision and shaping services around lived experience. Likewise, frameworks such as SSTEW, when supported through reflective supervision and strong leadership, enable staff to develop process quality through dialogue, curiosity, and emotional responsiveness. </w:t>
      </w:r>
      <w:r w:rsidRPr="00A87FCE">
        <w:rPr>
          <w:rFonts w:asciiTheme="minorBidi" w:hAnsiTheme="minorBidi"/>
          <w:sz w:val="24"/>
          <w:szCs w:val="24"/>
        </w:rPr>
        <w:lastRenderedPageBreak/>
        <w:t>Both methods require time, trust, and intentionality to be effective. Ultimately, it is not the tools themselves, but how they are used within a supportive culture, that determines whether they enhance or dilute quality in early childhood care and education.</w:t>
      </w:r>
      <w:r w:rsidR="00707994" w:rsidRPr="00A87FCE">
        <w:rPr>
          <w:rFonts w:asciiTheme="minorBidi" w:eastAsia="Arial" w:hAnsiTheme="minorBidi"/>
          <w:sz w:val="24"/>
          <w:szCs w:val="24"/>
        </w:rPr>
        <w:br w:type="page"/>
      </w:r>
    </w:p>
    <w:p w14:paraId="6EC007CF" w14:textId="2F6CC673" w:rsidR="00A333DF" w:rsidRPr="00A87FCE" w:rsidRDefault="00707994" w:rsidP="00A333DF">
      <w:pPr>
        <w:spacing w:line="360" w:lineRule="auto"/>
        <w:rPr>
          <w:rFonts w:asciiTheme="minorBidi" w:eastAsia="Arial" w:hAnsiTheme="minorBidi"/>
          <w:b/>
          <w:bCs/>
          <w:sz w:val="24"/>
          <w:szCs w:val="24"/>
        </w:rPr>
      </w:pPr>
      <w:r w:rsidRPr="00A87FCE">
        <w:rPr>
          <w:rFonts w:asciiTheme="minorBidi" w:eastAsia="Arial" w:hAnsiTheme="minorBidi"/>
          <w:b/>
          <w:bCs/>
          <w:sz w:val="24"/>
          <w:szCs w:val="24"/>
        </w:rPr>
        <w:lastRenderedPageBreak/>
        <w:t>Reference List</w:t>
      </w:r>
    </w:p>
    <w:p w14:paraId="1FD78BA7" w14:textId="77777777" w:rsidR="00E4788E" w:rsidRPr="00A87FCE" w:rsidRDefault="00E4788E" w:rsidP="00A333DF">
      <w:pPr>
        <w:spacing w:line="360" w:lineRule="auto"/>
        <w:rPr>
          <w:rFonts w:asciiTheme="minorBidi" w:hAnsiTheme="minorBidi"/>
          <w:sz w:val="24"/>
          <w:szCs w:val="24"/>
        </w:rPr>
      </w:pPr>
      <w:r w:rsidRPr="00A87FCE">
        <w:rPr>
          <w:rFonts w:asciiTheme="minorBidi" w:hAnsiTheme="minorBidi"/>
          <w:sz w:val="24"/>
          <w:szCs w:val="24"/>
        </w:rPr>
        <w:t>Badgers Jet-Set Nursery (2018)</w:t>
      </w:r>
      <w:r w:rsidRPr="00A87FCE">
        <w:rPr>
          <w:rFonts w:asciiTheme="minorBidi" w:hAnsiTheme="minorBidi"/>
          <w:i/>
          <w:iCs/>
          <w:sz w:val="24"/>
          <w:szCs w:val="24"/>
        </w:rPr>
        <w:t xml:space="preserve"> Quality of Care Review. </w:t>
      </w:r>
      <w:r w:rsidRPr="00A87FCE">
        <w:rPr>
          <w:rFonts w:asciiTheme="minorBidi" w:hAnsiTheme="minorBidi"/>
          <w:sz w:val="24"/>
          <w:szCs w:val="24"/>
        </w:rPr>
        <w:t>Case study document shared via ECEY6011 module, University of Wales Trinity Saint David. (Accessed: 29 March 2025).</w:t>
      </w:r>
    </w:p>
    <w:p w14:paraId="2B153C11"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Brooker, L. (2010) </w:t>
      </w:r>
      <w:r w:rsidRPr="00A87FCE">
        <w:rPr>
          <w:rFonts w:asciiTheme="minorBidi" w:eastAsia="Times New Roman" w:hAnsiTheme="minorBidi"/>
          <w:i/>
          <w:iCs/>
          <w:sz w:val="24"/>
          <w:szCs w:val="24"/>
          <w:lang w:eastAsia="en-GB"/>
        </w:rPr>
        <w:t>Constructing the triangle of care: Power and professionalisation in parent–practitioner relationships</w:t>
      </w:r>
      <w:r w:rsidRPr="00A87FCE">
        <w:rPr>
          <w:rFonts w:asciiTheme="minorBidi" w:eastAsia="Times New Roman" w:hAnsiTheme="minorBidi"/>
          <w:sz w:val="24"/>
          <w:szCs w:val="24"/>
          <w:lang w:eastAsia="en-GB"/>
        </w:rPr>
        <w:t>. British Journal of Educational Studies, 58(2), pp. 181–196.</w:t>
      </w:r>
    </w:p>
    <w:p w14:paraId="68AE2D11"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Campbell-Barr, V. and Leeson, C. (2016) </w:t>
      </w:r>
      <w:r w:rsidRPr="00A87FCE">
        <w:rPr>
          <w:rFonts w:asciiTheme="minorBidi" w:eastAsia="Times New Roman" w:hAnsiTheme="minorBidi"/>
          <w:i/>
          <w:iCs/>
          <w:sz w:val="24"/>
          <w:szCs w:val="24"/>
          <w:lang w:eastAsia="en-GB"/>
        </w:rPr>
        <w:t>Quality and Leadership in the Early Years: Research, Theory and Practice</w:t>
      </w:r>
      <w:r w:rsidRPr="00A87FCE">
        <w:rPr>
          <w:rFonts w:asciiTheme="minorBidi" w:eastAsia="Times New Roman" w:hAnsiTheme="minorBidi"/>
          <w:sz w:val="24"/>
          <w:szCs w:val="24"/>
          <w:lang w:eastAsia="en-GB"/>
        </w:rPr>
        <w:t>. London: SAGE Publications Ltd.</w:t>
      </w:r>
    </w:p>
    <w:p w14:paraId="7D03DDA8"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Care Inspectorate Wales (2022) </w:t>
      </w:r>
      <w:r w:rsidRPr="00A87FCE">
        <w:rPr>
          <w:rFonts w:asciiTheme="minorBidi" w:eastAsia="Times New Roman" w:hAnsiTheme="minorBidi"/>
          <w:i/>
          <w:iCs/>
          <w:sz w:val="24"/>
          <w:szCs w:val="24"/>
          <w:lang w:eastAsia="en-GB"/>
        </w:rPr>
        <w:t>National Minimum Standards for Regulated Childcare for Children up to the Age of 12 Years</w:t>
      </w:r>
      <w:r w:rsidRPr="00A87FCE">
        <w:rPr>
          <w:rFonts w:asciiTheme="minorBidi" w:eastAsia="Times New Roman" w:hAnsiTheme="minorBidi"/>
          <w:sz w:val="24"/>
          <w:szCs w:val="24"/>
          <w:lang w:eastAsia="en-GB"/>
        </w:rPr>
        <w:t xml:space="preserve">. Available at: </w:t>
      </w:r>
      <w:hyperlink r:id="rId7" w:tgtFrame="_new" w:history="1">
        <w:r w:rsidRPr="00A87FCE">
          <w:rPr>
            <w:rFonts w:asciiTheme="minorBidi" w:eastAsia="Times New Roman" w:hAnsiTheme="minorBidi"/>
            <w:color w:val="0000FF"/>
            <w:sz w:val="24"/>
            <w:szCs w:val="24"/>
            <w:u w:val="single"/>
            <w:lang w:eastAsia="en-GB"/>
          </w:rPr>
          <w:t>https://www.gov.wales/sites/default/files/publications/2023-05/national-minimum-standards-for-regulated-childcare_0.pdf</w:t>
        </w:r>
      </w:hyperlink>
      <w:r w:rsidRPr="00A87FCE">
        <w:rPr>
          <w:rFonts w:asciiTheme="minorBidi" w:eastAsia="Times New Roman" w:hAnsiTheme="minorBidi"/>
          <w:sz w:val="24"/>
          <w:szCs w:val="24"/>
          <w:lang w:eastAsia="en-GB"/>
        </w:rPr>
        <w:t xml:space="preserve"> (Accessed: 17 March 2025).</w:t>
      </w:r>
    </w:p>
    <w:p w14:paraId="185B793C" w14:textId="77777777" w:rsidR="00E4788E" w:rsidRPr="00A87FCE" w:rsidRDefault="00E4788E" w:rsidP="00A333DF">
      <w:pPr>
        <w:spacing w:line="360" w:lineRule="auto"/>
        <w:rPr>
          <w:rFonts w:asciiTheme="minorBidi" w:hAnsiTheme="minorBidi"/>
          <w:sz w:val="24"/>
          <w:szCs w:val="24"/>
        </w:rPr>
      </w:pPr>
      <w:r w:rsidRPr="00A87FCE">
        <w:rPr>
          <w:rFonts w:asciiTheme="minorBidi" w:hAnsiTheme="minorBidi"/>
          <w:sz w:val="24"/>
          <w:szCs w:val="24"/>
        </w:rPr>
        <w:t xml:space="preserve">Care Inspectorate Wales (n.d.) </w:t>
      </w:r>
      <w:proofErr w:type="spellStart"/>
      <w:r w:rsidRPr="00A87FCE">
        <w:rPr>
          <w:rFonts w:asciiTheme="minorBidi" w:hAnsiTheme="minorBidi"/>
          <w:i/>
          <w:iCs/>
          <w:sz w:val="24"/>
          <w:szCs w:val="24"/>
        </w:rPr>
        <w:t>Self Assessment</w:t>
      </w:r>
      <w:proofErr w:type="spellEnd"/>
      <w:r w:rsidRPr="00A87FCE">
        <w:rPr>
          <w:rFonts w:asciiTheme="minorBidi" w:hAnsiTheme="minorBidi"/>
          <w:i/>
          <w:iCs/>
          <w:sz w:val="24"/>
          <w:szCs w:val="24"/>
        </w:rPr>
        <w:t xml:space="preserve"> of Service Statement (SASS.</w:t>
      </w:r>
      <w:r w:rsidRPr="00A87FCE">
        <w:rPr>
          <w:rFonts w:asciiTheme="minorBidi" w:hAnsiTheme="minorBidi"/>
          <w:sz w:val="24"/>
          <w:szCs w:val="24"/>
        </w:rPr>
        <w:t xml:space="preserve"> Available at: </w:t>
      </w:r>
      <w:hyperlink r:id="rId8" w:anchor=":~:text=What%20is%20a%20SASS%3F,us%20before%2031%20December%202024" w:history="1">
        <w:r w:rsidRPr="00A87FCE">
          <w:rPr>
            <w:rStyle w:val="Hyperlink"/>
            <w:rFonts w:asciiTheme="minorBidi" w:hAnsiTheme="minorBidi"/>
            <w:sz w:val="24"/>
            <w:szCs w:val="24"/>
          </w:rPr>
          <w:t>https://www.careinspectorate.wales/providing-a-care-service/already-registered-services/self-assessment-service-statement-sass#:~:text=What%20is%20a%20SASS%3F,us%20before%2031%20December%202024</w:t>
        </w:r>
      </w:hyperlink>
      <w:r w:rsidRPr="00A87FCE">
        <w:rPr>
          <w:rFonts w:asciiTheme="minorBidi" w:hAnsiTheme="minorBidi"/>
          <w:sz w:val="24"/>
          <w:szCs w:val="24"/>
        </w:rPr>
        <w:t>. (Accessed: 30 March 2025).</w:t>
      </w:r>
    </w:p>
    <w:p w14:paraId="0846A860"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Cottle, M. and Alexander, E. (2012) ‘Quality in early years settings: Government, research and practitioners’ perspectives’, </w:t>
      </w:r>
      <w:r w:rsidRPr="00A87FCE">
        <w:rPr>
          <w:rFonts w:asciiTheme="minorBidi" w:eastAsia="Times New Roman" w:hAnsiTheme="minorBidi"/>
          <w:i/>
          <w:iCs/>
          <w:sz w:val="24"/>
          <w:szCs w:val="24"/>
          <w:lang w:eastAsia="en-GB"/>
        </w:rPr>
        <w:t>British Educational Research Journal</w:t>
      </w:r>
      <w:r w:rsidRPr="00A87FCE">
        <w:rPr>
          <w:rFonts w:asciiTheme="minorBidi" w:eastAsia="Times New Roman" w:hAnsiTheme="minorBidi"/>
          <w:sz w:val="24"/>
          <w:szCs w:val="24"/>
          <w:lang w:eastAsia="en-GB"/>
        </w:rPr>
        <w:t>, 38(4), pp. 635–654. doi:10.1080/01411926.2011.571661.</w:t>
      </w:r>
    </w:p>
    <w:p w14:paraId="19B6197C"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Cottle, M. and Alexander, E. (2014) ‘Parent partnership and quality in early years settings’, </w:t>
      </w:r>
      <w:r w:rsidRPr="00A87FCE">
        <w:rPr>
          <w:rFonts w:asciiTheme="minorBidi" w:eastAsia="Times New Roman" w:hAnsiTheme="minorBidi"/>
          <w:i/>
          <w:iCs/>
          <w:sz w:val="24"/>
          <w:szCs w:val="24"/>
          <w:lang w:eastAsia="en-GB"/>
        </w:rPr>
        <w:t>Early Child Development and Care</w:t>
      </w:r>
      <w:r w:rsidRPr="00A87FCE">
        <w:rPr>
          <w:rFonts w:asciiTheme="minorBidi" w:eastAsia="Times New Roman" w:hAnsiTheme="minorBidi"/>
          <w:sz w:val="24"/>
          <w:szCs w:val="24"/>
          <w:lang w:eastAsia="en-GB"/>
        </w:rPr>
        <w:t>, 184(3), pp. 337–351.</w:t>
      </w:r>
    </w:p>
    <w:p w14:paraId="79FC5CC5"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Eadie, T., Hughes, C. and Roberts-Holmes, G. (2022) </w:t>
      </w:r>
      <w:r w:rsidRPr="00A87FCE">
        <w:rPr>
          <w:rFonts w:asciiTheme="minorBidi" w:eastAsia="Times New Roman" w:hAnsiTheme="minorBidi"/>
          <w:i/>
          <w:iCs/>
          <w:sz w:val="24"/>
          <w:szCs w:val="24"/>
          <w:lang w:eastAsia="en-GB"/>
        </w:rPr>
        <w:t>Understanding Quality in Early Years Care and Education</w:t>
      </w:r>
      <w:r w:rsidRPr="00A87FCE">
        <w:rPr>
          <w:rFonts w:asciiTheme="minorBidi" w:eastAsia="Times New Roman" w:hAnsiTheme="minorBidi"/>
          <w:sz w:val="24"/>
          <w:szCs w:val="24"/>
          <w:lang w:eastAsia="en-GB"/>
        </w:rPr>
        <w:t>. London: Sage.</w:t>
      </w:r>
    </w:p>
    <w:p w14:paraId="617FF0A5" w14:textId="77777777" w:rsidR="00E4788E" w:rsidRPr="00A87FCE" w:rsidRDefault="00E4788E" w:rsidP="00A333DF">
      <w:pPr>
        <w:spacing w:line="360" w:lineRule="auto"/>
        <w:rPr>
          <w:rFonts w:asciiTheme="minorBidi" w:hAnsiTheme="minorBidi"/>
          <w:sz w:val="24"/>
          <w:szCs w:val="24"/>
        </w:rPr>
      </w:pPr>
      <w:r w:rsidRPr="00A87FCE">
        <w:rPr>
          <w:rFonts w:asciiTheme="minorBidi" w:hAnsiTheme="minorBidi"/>
          <w:sz w:val="24"/>
          <w:szCs w:val="24"/>
        </w:rPr>
        <w:lastRenderedPageBreak/>
        <w:t xml:space="preserve">Little Cherubs Day Care Nursery (2016) </w:t>
      </w:r>
      <w:r w:rsidRPr="00A87FCE">
        <w:rPr>
          <w:rFonts w:asciiTheme="minorBidi" w:hAnsiTheme="minorBidi"/>
          <w:i/>
          <w:iCs/>
          <w:sz w:val="24"/>
          <w:szCs w:val="24"/>
        </w:rPr>
        <w:t>Quality of Care Report – Little Cherubs Day Care Nursery</w:t>
      </w:r>
      <w:r w:rsidRPr="00A87FCE">
        <w:rPr>
          <w:rFonts w:asciiTheme="minorBidi" w:hAnsiTheme="minorBidi"/>
          <w:sz w:val="24"/>
          <w:szCs w:val="24"/>
        </w:rPr>
        <w:t>. Teaching resource shared via ECEY6011 module, University of Wales Trinity Saint David. (Accessed: 29 March 2025).</w:t>
      </w:r>
    </w:p>
    <w:p w14:paraId="043FC62F"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proofErr w:type="spellStart"/>
      <w:r w:rsidRPr="00A87FCE">
        <w:rPr>
          <w:rFonts w:asciiTheme="minorBidi" w:eastAsia="Times New Roman" w:hAnsiTheme="minorBidi"/>
          <w:sz w:val="24"/>
          <w:szCs w:val="24"/>
          <w:lang w:eastAsia="en-GB"/>
        </w:rPr>
        <w:t>Melhuish</w:t>
      </w:r>
      <w:proofErr w:type="spellEnd"/>
      <w:r w:rsidRPr="00A87FCE">
        <w:rPr>
          <w:rFonts w:asciiTheme="minorBidi" w:eastAsia="Times New Roman" w:hAnsiTheme="minorBidi"/>
          <w:sz w:val="24"/>
          <w:szCs w:val="24"/>
          <w:lang w:eastAsia="en-GB"/>
        </w:rPr>
        <w:t xml:space="preserve">, E., Howard, S.J., Siraj, I., Neilsen-Hewett, C., Kingston, D., de </w:t>
      </w:r>
      <w:proofErr w:type="spellStart"/>
      <w:r w:rsidRPr="00A87FCE">
        <w:rPr>
          <w:rFonts w:asciiTheme="minorBidi" w:eastAsia="Times New Roman" w:hAnsiTheme="minorBidi"/>
          <w:sz w:val="24"/>
          <w:szCs w:val="24"/>
          <w:lang w:eastAsia="en-GB"/>
        </w:rPr>
        <w:t>Rosnay</w:t>
      </w:r>
      <w:proofErr w:type="spellEnd"/>
      <w:r w:rsidRPr="00A87FCE">
        <w:rPr>
          <w:rFonts w:asciiTheme="minorBidi" w:eastAsia="Times New Roman" w:hAnsiTheme="minorBidi"/>
          <w:sz w:val="24"/>
          <w:szCs w:val="24"/>
          <w:lang w:eastAsia="en-GB"/>
        </w:rPr>
        <w:t xml:space="preserve">, M., </w:t>
      </w:r>
      <w:proofErr w:type="spellStart"/>
      <w:r w:rsidRPr="00A87FCE">
        <w:rPr>
          <w:rFonts w:asciiTheme="minorBidi" w:eastAsia="Times New Roman" w:hAnsiTheme="minorBidi"/>
          <w:sz w:val="24"/>
          <w:szCs w:val="24"/>
          <w:lang w:eastAsia="en-GB"/>
        </w:rPr>
        <w:t>Duursma</w:t>
      </w:r>
      <w:proofErr w:type="spellEnd"/>
      <w:r w:rsidRPr="00A87FCE">
        <w:rPr>
          <w:rFonts w:asciiTheme="minorBidi" w:eastAsia="Times New Roman" w:hAnsiTheme="minorBidi"/>
          <w:sz w:val="24"/>
          <w:szCs w:val="24"/>
          <w:lang w:eastAsia="en-GB"/>
        </w:rPr>
        <w:t xml:space="preserve">, E. and Luu, B. (2016) ‘Fostering Effective Early Learning (FEEL) through a professional development programme for early childhood educators to improve professional practice and child outcomes in the year before formal schooling: study protocol for a cluster randomised controlled trial’, </w:t>
      </w:r>
      <w:r w:rsidRPr="00A87FCE">
        <w:rPr>
          <w:rFonts w:asciiTheme="minorBidi" w:eastAsia="Times New Roman" w:hAnsiTheme="minorBidi"/>
          <w:i/>
          <w:iCs/>
          <w:sz w:val="24"/>
          <w:szCs w:val="24"/>
          <w:lang w:eastAsia="en-GB"/>
        </w:rPr>
        <w:t>Trials</w:t>
      </w:r>
      <w:r w:rsidRPr="00A87FCE">
        <w:rPr>
          <w:rFonts w:asciiTheme="minorBidi" w:eastAsia="Times New Roman" w:hAnsiTheme="minorBidi"/>
          <w:sz w:val="24"/>
          <w:szCs w:val="24"/>
          <w:lang w:eastAsia="en-GB"/>
        </w:rPr>
        <w:t>, 17(1), p. 602. doi:10.1186/s13063-016-1742-1.</w:t>
      </w:r>
    </w:p>
    <w:p w14:paraId="1DA29D31"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Reed, M. and Canning, N. (2012) ‘Reflective Practice is the Key to Quality Improvement’, in Reed, M. and Canning, N. (eds.) </w:t>
      </w:r>
      <w:r w:rsidRPr="00A87FCE">
        <w:rPr>
          <w:rFonts w:asciiTheme="minorBidi" w:eastAsia="Times New Roman" w:hAnsiTheme="minorBidi"/>
          <w:i/>
          <w:iCs/>
          <w:sz w:val="24"/>
          <w:szCs w:val="24"/>
          <w:lang w:eastAsia="en-GB"/>
        </w:rPr>
        <w:t>Implementing Quality Improvement and Change in the Early Years</w:t>
      </w:r>
      <w:r w:rsidRPr="00A87FCE">
        <w:rPr>
          <w:rFonts w:asciiTheme="minorBidi" w:eastAsia="Times New Roman" w:hAnsiTheme="minorBidi"/>
          <w:sz w:val="24"/>
          <w:szCs w:val="24"/>
          <w:lang w:eastAsia="en-GB"/>
        </w:rPr>
        <w:t>. London: SAGE Publications Ltd, pp. 57–72. doi:10.4135/9781446250747.n5.</w:t>
      </w:r>
    </w:p>
    <w:p w14:paraId="02752969"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proofErr w:type="spellStart"/>
      <w:r w:rsidRPr="00A87FCE">
        <w:rPr>
          <w:rFonts w:asciiTheme="minorBidi" w:eastAsia="Times New Roman" w:hAnsiTheme="minorBidi"/>
          <w:sz w:val="24"/>
          <w:szCs w:val="24"/>
          <w:lang w:eastAsia="en-GB"/>
        </w:rPr>
        <w:t>Rudoe</w:t>
      </w:r>
      <w:proofErr w:type="spellEnd"/>
      <w:r w:rsidRPr="00A87FCE">
        <w:rPr>
          <w:rFonts w:asciiTheme="minorBidi" w:eastAsia="Times New Roman" w:hAnsiTheme="minorBidi"/>
          <w:sz w:val="24"/>
          <w:szCs w:val="24"/>
          <w:lang w:eastAsia="en-GB"/>
        </w:rPr>
        <w:t xml:space="preserve">, N. (2020) ‘“We believe in every child as an individual”: Nursery school head teachers’ understandings of “quality” in early years education’, </w:t>
      </w:r>
      <w:r w:rsidRPr="00A87FCE">
        <w:rPr>
          <w:rFonts w:asciiTheme="minorBidi" w:eastAsia="Times New Roman" w:hAnsiTheme="minorBidi"/>
          <w:i/>
          <w:iCs/>
          <w:sz w:val="24"/>
          <w:szCs w:val="24"/>
          <w:lang w:eastAsia="en-GB"/>
        </w:rPr>
        <w:t>British Educational Research Journal</w:t>
      </w:r>
      <w:r w:rsidRPr="00A87FCE">
        <w:rPr>
          <w:rFonts w:asciiTheme="minorBidi" w:eastAsia="Times New Roman" w:hAnsiTheme="minorBidi"/>
          <w:sz w:val="24"/>
          <w:szCs w:val="24"/>
          <w:lang w:eastAsia="en-GB"/>
        </w:rPr>
        <w:t>, 46(5), pp. 1012–1025. doi:10.1002/berj.3610.</w:t>
      </w:r>
    </w:p>
    <w:p w14:paraId="63C254FE"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Siraj, I., Howard, S.J., Kingston, D., Neilsen-Hewett, C., </w:t>
      </w:r>
      <w:proofErr w:type="spellStart"/>
      <w:r w:rsidRPr="00A87FCE">
        <w:rPr>
          <w:rFonts w:asciiTheme="minorBidi" w:eastAsia="Times New Roman" w:hAnsiTheme="minorBidi"/>
          <w:sz w:val="24"/>
          <w:szCs w:val="24"/>
          <w:lang w:eastAsia="en-GB"/>
        </w:rPr>
        <w:t>Melhuish</w:t>
      </w:r>
      <w:proofErr w:type="spellEnd"/>
      <w:r w:rsidRPr="00A87FCE">
        <w:rPr>
          <w:rFonts w:asciiTheme="minorBidi" w:eastAsia="Times New Roman" w:hAnsiTheme="minorBidi"/>
          <w:sz w:val="24"/>
          <w:szCs w:val="24"/>
          <w:lang w:eastAsia="en-GB"/>
        </w:rPr>
        <w:t xml:space="preserve">, E.C. and de </w:t>
      </w:r>
      <w:proofErr w:type="spellStart"/>
      <w:r w:rsidRPr="00A87FCE">
        <w:rPr>
          <w:rFonts w:asciiTheme="minorBidi" w:eastAsia="Times New Roman" w:hAnsiTheme="minorBidi"/>
          <w:sz w:val="24"/>
          <w:szCs w:val="24"/>
          <w:lang w:eastAsia="en-GB"/>
        </w:rPr>
        <w:t>Rosnay</w:t>
      </w:r>
      <w:proofErr w:type="spellEnd"/>
      <w:r w:rsidRPr="00A87FCE">
        <w:rPr>
          <w:rFonts w:asciiTheme="minorBidi" w:eastAsia="Times New Roman" w:hAnsiTheme="minorBidi"/>
          <w:sz w:val="24"/>
          <w:szCs w:val="24"/>
          <w:lang w:eastAsia="en-GB"/>
        </w:rPr>
        <w:t xml:space="preserve">, M. (2019) ‘Comparing regulatory and non-regulatory indices of early childhood education and care (ECEC) quality in the Australian early childhood sector’, </w:t>
      </w:r>
      <w:r w:rsidRPr="00A87FCE">
        <w:rPr>
          <w:rFonts w:asciiTheme="minorBidi" w:eastAsia="Times New Roman" w:hAnsiTheme="minorBidi"/>
          <w:i/>
          <w:iCs/>
          <w:sz w:val="24"/>
          <w:szCs w:val="24"/>
          <w:lang w:eastAsia="en-GB"/>
        </w:rPr>
        <w:t>Australian Educational Researcher</w:t>
      </w:r>
      <w:r w:rsidRPr="00A87FCE">
        <w:rPr>
          <w:rFonts w:asciiTheme="minorBidi" w:eastAsia="Times New Roman" w:hAnsiTheme="minorBidi"/>
          <w:sz w:val="24"/>
          <w:szCs w:val="24"/>
          <w:lang w:eastAsia="en-GB"/>
        </w:rPr>
        <w:t>, 46(3), pp. 365–383. doi:10.1007/s13384-019-00325-3.</w:t>
      </w:r>
    </w:p>
    <w:p w14:paraId="314388CA"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Siraj, I., Kingston, D. and </w:t>
      </w:r>
      <w:proofErr w:type="spellStart"/>
      <w:r w:rsidRPr="00A87FCE">
        <w:rPr>
          <w:rFonts w:asciiTheme="minorBidi" w:eastAsia="Times New Roman" w:hAnsiTheme="minorBidi"/>
          <w:sz w:val="24"/>
          <w:szCs w:val="24"/>
          <w:lang w:eastAsia="en-GB"/>
        </w:rPr>
        <w:t>Melhuish</w:t>
      </w:r>
      <w:proofErr w:type="spellEnd"/>
      <w:r w:rsidRPr="00A87FCE">
        <w:rPr>
          <w:rFonts w:asciiTheme="minorBidi" w:eastAsia="Times New Roman" w:hAnsiTheme="minorBidi"/>
          <w:sz w:val="24"/>
          <w:szCs w:val="24"/>
          <w:lang w:eastAsia="en-GB"/>
        </w:rPr>
        <w:t xml:space="preserve">, E.C. (2015) </w:t>
      </w:r>
      <w:r w:rsidRPr="00A87FCE">
        <w:rPr>
          <w:rFonts w:asciiTheme="minorBidi" w:eastAsia="Times New Roman" w:hAnsiTheme="minorBidi"/>
          <w:i/>
          <w:iCs/>
          <w:sz w:val="24"/>
          <w:szCs w:val="24"/>
          <w:lang w:eastAsia="en-GB"/>
        </w:rPr>
        <w:t xml:space="preserve">Assessing Quality in Early Childhood Education and Care: Sustained Shared Thinking and Emotional Well-being (SSTEW) Scale for </w:t>
      </w:r>
      <w:proofErr w:type="gramStart"/>
      <w:r w:rsidRPr="00A87FCE">
        <w:rPr>
          <w:rFonts w:asciiTheme="minorBidi" w:eastAsia="Times New Roman" w:hAnsiTheme="minorBidi"/>
          <w:i/>
          <w:iCs/>
          <w:sz w:val="24"/>
          <w:szCs w:val="24"/>
          <w:lang w:eastAsia="en-GB"/>
        </w:rPr>
        <w:t>2-5 Year-olds</w:t>
      </w:r>
      <w:proofErr w:type="gramEnd"/>
      <w:r w:rsidRPr="00A87FCE">
        <w:rPr>
          <w:rFonts w:asciiTheme="minorBidi" w:eastAsia="Times New Roman" w:hAnsiTheme="minorBidi"/>
          <w:i/>
          <w:iCs/>
          <w:sz w:val="24"/>
          <w:szCs w:val="24"/>
          <w:lang w:eastAsia="en-GB"/>
        </w:rPr>
        <w:t xml:space="preserve"> Provision</w:t>
      </w:r>
      <w:r w:rsidRPr="00A87FCE">
        <w:rPr>
          <w:rFonts w:asciiTheme="minorBidi" w:eastAsia="Times New Roman" w:hAnsiTheme="minorBidi"/>
          <w:sz w:val="24"/>
          <w:szCs w:val="24"/>
          <w:lang w:eastAsia="en-GB"/>
        </w:rPr>
        <w:t>. London: IOE Press; Trentham Books.</w:t>
      </w:r>
    </w:p>
    <w:p w14:paraId="06E3892C"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United Nations (1989) </w:t>
      </w:r>
      <w:r w:rsidRPr="00A87FCE">
        <w:rPr>
          <w:rFonts w:asciiTheme="minorBidi" w:eastAsia="Times New Roman" w:hAnsiTheme="minorBidi"/>
          <w:i/>
          <w:iCs/>
          <w:sz w:val="24"/>
          <w:szCs w:val="24"/>
          <w:lang w:eastAsia="en-GB"/>
        </w:rPr>
        <w:t>Convention on the Rights of the Child</w:t>
      </w:r>
      <w:r w:rsidRPr="00A87FCE">
        <w:rPr>
          <w:rFonts w:asciiTheme="minorBidi" w:eastAsia="Times New Roman" w:hAnsiTheme="minorBidi"/>
          <w:sz w:val="24"/>
          <w:szCs w:val="24"/>
          <w:lang w:eastAsia="en-GB"/>
        </w:rPr>
        <w:t xml:space="preserve">. Available at: </w:t>
      </w:r>
      <w:hyperlink r:id="rId9" w:tgtFrame="_new" w:history="1">
        <w:r w:rsidRPr="00A87FCE">
          <w:rPr>
            <w:rFonts w:asciiTheme="minorBidi" w:eastAsia="Times New Roman" w:hAnsiTheme="minorBidi"/>
            <w:color w:val="0000FF"/>
            <w:sz w:val="24"/>
            <w:szCs w:val="24"/>
            <w:u w:val="single"/>
            <w:lang w:eastAsia="en-GB"/>
          </w:rPr>
          <w:t>https://www.ohchr.org/en/instruments-mechanisms/instruments/convention-rights-child</w:t>
        </w:r>
      </w:hyperlink>
      <w:r w:rsidRPr="00A87FCE">
        <w:rPr>
          <w:rFonts w:asciiTheme="minorBidi" w:eastAsia="Times New Roman" w:hAnsiTheme="minorBidi"/>
          <w:sz w:val="24"/>
          <w:szCs w:val="24"/>
          <w:lang w:eastAsia="en-GB"/>
        </w:rPr>
        <w:t xml:space="preserve"> (Accessed: 12 March 2025).</w:t>
      </w:r>
    </w:p>
    <w:p w14:paraId="62122404"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lastRenderedPageBreak/>
        <w:t xml:space="preserve">Welsh Government (2010) </w:t>
      </w:r>
      <w:r w:rsidRPr="00A87FCE">
        <w:rPr>
          <w:rFonts w:asciiTheme="minorBidi" w:eastAsia="Times New Roman" w:hAnsiTheme="minorBidi"/>
          <w:i/>
          <w:iCs/>
          <w:sz w:val="24"/>
          <w:szCs w:val="24"/>
          <w:lang w:eastAsia="en-GB"/>
        </w:rPr>
        <w:t>The Child Minding and Day Care (Wales) Regulations 2010</w:t>
      </w:r>
      <w:r w:rsidRPr="00A87FCE">
        <w:rPr>
          <w:rFonts w:asciiTheme="minorBidi" w:eastAsia="Times New Roman" w:hAnsiTheme="minorBidi"/>
          <w:sz w:val="24"/>
          <w:szCs w:val="24"/>
          <w:lang w:eastAsia="en-GB"/>
        </w:rPr>
        <w:t xml:space="preserve">. Available at: </w:t>
      </w:r>
      <w:hyperlink r:id="rId10" w:tgtFrame="_new" w:history="1">
        <w:r w:rsidRPr="00A87FCE">
          <w:rPr>
            <w:rFonts w:asciiTheme="minorBidi" w:eastAsia="Times New Roman" w:hAnsiTheme="minorBidi"/>
            <w:color w:val="0000FF"/>
            <w:sz w:val="24"/>
            <w:szCs w:val="24"/>
            <w:u w:val="single"/>
            <w:lang w:eastAsia="en-GB"/>
          </w:rPr>
          <w:t>https://www.legislation.gov.uk/wsi/2010/2574/contents/made</w:t>
        </w:r>
      </w:hyperlink>
      <w:r w:rsidRPr="00A87FCE">
        <w:rPr>
          <w:rFonts w:asciiTheme="minorBidi" w:eastAsia="Times New Roman" w:hAnsiTheme="minorBidi"/>
          <w:sz w:val="24"/>
          <w:szCs w:val="24"/>
          <w:lang w:eastAsia="en-GB"/>
        </w:rPr>
        <w:t xml:space="preserve"> (Accessed: 23 March 2025).</w:t>
      </w:r>
    </w:p>
    <w:p w14:paraId="6CFC8EC8" w14:textId="77777777" w:rsidR="00E4788E" w:rsidRPr="00A87FCE" w:rsidRDefault="00E4788E" w:rsidP="00A333DF">
      <w:pPr>
        <w:spacing w:line="360" w:lineRule="auto"/>
        <w:rPr>
          <w:rFonts w:asciiTheme="minorBidi" w:hAnsiTheme="minorBidi"/>
          <w:sz w:val="24"/>
          <w:szCs w:val="24"/>
        </w:rPr>
      </w:pPr>
      <w:r w:rsidRPr="00A87FCE">
        <w:rPr>
          <w:rFonts w:asciiTheme="minorBidi" w:hAnsiTheme="minorBidi"/>
          <w:sz w:val="24"/>
          <w:szCs w:val="24"/>
        </w:rPr>
        <w:t xml:space="preserve">Welsh Government (2016) </w:t>
      </w:r>
      <w:r w:rsidRPr="00A87FCE">
        <w:rPr>
          <w:rFonts w:asciiTheme="minorBidi" w:hAnsiTheme="minorBidi"/>
          <w:i/>
          <w:iCs/>
          <w:sz w:val="24"/>
          <w:szCs w:val="24"/>
        </w:rPr>
        <w:t xml:space="preserve">Regulation and Inspection of Social Care (Wales) Act 2016. </w:t>
      </w:r>
      <w:r w:rsidRPr="00A87FCE">
        <w:rPr>
          <w:rFonts w:asciiTheme="minorBidi" w:hAnsiTheme="minorBidi"/>
          <w:sz w:val="24"/>
          <w:szCs w:val="24"/>
        </w:rPr>
        <w:t xml:space="preserve">Available at: </w:t>
      </w:r>
      <w:hyperlink r:id="rId11" w:history="1">
        <w:r w:rsidRPr="00A87FCE">
          <w:rPr>
            <w:rStyle w:val="Hyperlink"/>
            <w:rFonts w:asciiTheme="minorBidi" w:hAnsiTheme="minorBidi"/>
            <w:sz w:val="24"/>
            <w:szCs w:val="24"/>
          </w:rPr>
          <w:t>https://www.legislation.gov.uk/anaw/2016/2/contents</w:t>
        </w:r>
      </w:hyperlink>
      <w:r w:rsidRPr="00A87FCE">
        <w:rPr>
          <w:rFonts w:asciiTheme="minorBidi" w:hAnsiTheme="minorBidi"/>
          <w:sz w:val="24"/>
          <w:szCs w:val="24"/>
        </w:rPr>
        <w:t xml:space="preserve"> (Accessed: 30 March 2025).</w:t>
      </w:r>
    </w:p>
    <w:p w14:paraId="2FFE8CFD" w14:textId="77777777" w:rsidR="00E4788E" w:rsidRPr="00A87FCE" w:rsidRDefault="00E4788E" w:rsidP="00A333DF">
      <w:pPr>
        <w:spacing w:before="100" w:beforeAutospacing="1" w:after="100" w:afterAutospacing="1" w:line="360" w:lineRule="auto"/>
        <w:rPr>
          <w:rFonts w:asciiTheme="minorBidi" w:eastAsia="Times New Roman" w:hAnsiTheme="minorBidi"/>
          <w:sz w:val="24"/>
          <w:szCs w:val="24"/>
          <w:lang w:eastAsia="en-GB"/>
        </w:rPr>
      </w:pPr>
      <w:r w:rsidRPr="00A87FCE">
        <w:rPr>
          <w:rFonts w:asciiTheme="minorBidi" w:eastAsia="Times New Roman" w:hAnsiTheme="minorBidi"/>
          <w:sz w:val="24"/>
          <w:szCs w:val="24"/>
          <w:lang w:eastAsia="en-GB"/>
        </w:rPr>
        <w:t xml:space="preserve">Welsh Government (2022) </w:t>
      </w:r>
      <w:r w:rsidRPr="00A87FCE">
        <w:rPr>
          <w:rFonts w:asciiTheme="minorBidi" w:eastAsia="Times New Roman" w:hAnsiTheme="minorBidi"/>
          <w:i/>
          <w:iCs/>
          <w:sz w:val="24"/>
          <w:szCs w:val="24"/>
          <w:lang w:eastAsia="en-GB"/>
        </w:rPr>
        <w:t>National Approach to Professional Learning – Hwb</w:t>
      </w:r>
      <w:r w:rsidRPr="00A87FCE">
        <w:rPr>
          <w:rFonts w:asciiTheme="minorBidi" w:eastAsia="Times New Roman" w:hAnsiTheme="minorBidi"/>
          <w:sz w:val="24"/>
          <w:szCs w:val="24"/>
          <w:lang w:eastAsia="en-GB"/>
        </w:rPr>
        <w:t xml:space="preserve">. Available at: </w:t>
      </w:r>
      <w:hyperlink r:id="rId12" w:tgtFrame="_new" w:history="1">
        <w:r w:rsidRPr="00A87FCE">
          <w:rPr>
            <w:rFonts w:asciiTheme="minorBidi" w:eastAsia="Times New Roman" w:hAnsiTheme="minorBidi"/>
            <w:color w:val="0000FF"/>
            <w:sz w:val="24"/>
            <w:szCs w:val="24"/>
            <w:u w:val="single"/>
            <w:lang w:eastAsia="en-GB"/>
          </w:rPr>
          <w:t>https://hwb.gov.wales/professional-learning/planning-and-designing-professional-learning/national-approach-to-professional-learning</w:t>
        </w:r>
      </w:hyperlink>
      <w:r w:rsidRPr="00A87FCE">
        <w:rPr>
          <w:rFonts w:asciiTheme="minorBidi" w:eastAsia="Times New Roman" w:hAnsiTheme="minorBidi"/>
          <w:sz w:val="24"/>
          <w:szCs w:val="24"/>
          <w:lang w:eastAsia="en-GB"/>
        </w:rPr>
        <w:t xml:space="preserve"> (Accessed: 17 March 2025).</w:t>
      </w:r>
    </w:p>
    <w:sectPr w:rsidR="00E4788E" w:rsidRPr="00A87FCE">
      <w:headerReference w:type="default" r:id="rId13"/>
      <w:footerReference w:type="even" r:id="rId14"/>
      <w:footerReference w:type="defaul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3B267" w14:textId="77777777" w:rsidR="0074610F" w:rsidRDefault="0074610F">
      <w:pPr>
        <w:spacing w:after="0" w:line="240" w:lineRule="auto"/>
      </w:pPr>
      <w:r>
        <w:separator/>
      </w:r>
    </w:p>
  </w:endnote>
  <w:endnote w:type="continuationSeparator" w:id="0">
    <w:p w14:paraId="36B46879" w14:textId="77777777" w:rsidR="0074610F" w:rsidRDefault="00746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B58C6" w14:textId="2FF80484" w:rsidR="00B302E4" w:rsidRDefault="00B302E4" w:rsidP="004E7C92">
    <w:pPr>
      <w:pStyle w:val="Footer"/>
      <w:framePr w:wrap="none" w:vAnchor="text" w:hAnchor="margin" w:xAlign="center" w:y="1"/>
      <w:rPr>
        <w:rStyle w:val="PageNumber"/>
      </w:rPr>
    </w:pPr>
    <w:r w:rsidRPr="54464101">
      <w:rPr>
        <w:rStyle w:val="PageNumber"/>
      </w:rPr>
      <w:fldChar w:fldCharType="begin"/>
    </w:r>
    <w:r w:rsidRPr="54464101">
      <w:rPr>
        <w:rStyle w:val="PageNumber"/>
      </w:rPr>
      <w:instrText xml:space="preserve"> PAGE </w:instrText>
    </w:r>
    <w:r w:rsidRPr="54464101">
      <w:rPr>
        <w:rStyle w:val="PageNumber"/>
      </w:rPr>
      <w:fldChar w:fldCharType="separate"/>
    </w:r>
    <w:r w:rsidR="54464101" w:rsidRPr="54464101">
      <w:rPr>
        <w:rStyle w:val="PageNumber"/>
      </w:rPr>
      <w:t>1</w:t>
    </w:r>
    <w:r w:rsidRPr="54464101">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25150736"/>
      <w:docPartObj>
        <w:docPartGallery w:val="Page Numbers (Bottom of Page)"/>
        <w:docPartUnique/>
      </w:docPartObj>
    </w:sdtPr>
    <w:sdtContent>
      <w:p w14:paraId="79B9533A" w14:textId="7670A451" w:rsidR="00B302E4" w:rsidRDefault="00B302E4" w:rsidP="004E7C92">
        <w:pPr>
          <w:pStyle w:val="Footer"/>
          <w:framePr w:wrap="none" w:vAnchor="text" w:hAnchor="margin" w:xAlign="center" w:y="1"/>
          <w:rPr>
            <w:rStyle w:val="PageNumber"/>
          </w:rPr>
        </w:pPr>
        <w:r w:rsidRPr="54464101">
          <w:rPr>
            <w:rStyle w:val="PageNumber"/>
          </w:rPr>
          <w:fldChar w:fldCharType="begin"/>
        </w:r>
        <w:r w:rsidRPr="54464101">
          <w:rPr>
            <w:rStyle w:val="PageNumber"/>
          </w:rPr>
          <w:instrText xml:space="preserve"> PAGE </w:instrText>
        </w:r>
        <w:r w:rsidRPr="54464101">
          <w:rPr>
            <w:rStyle w:val="PageNumber"/>
          </w:rPr>
          <w:fldChar w:fldCharType="separate"/>
        </w:r>
        <w:r w:rsidR="54464101" w:rsidRPr="54464101">
          <w:rPr>
            <w:rStyle w:val="PageNumber"/>
          </w:rPr>
          <w:t>1</w:t>
        </w:r>
        <w:r w:rsidRPr="54464101">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54464101">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6BF07" w14:textId="77777777" w:rsidR="0074610F" w:rsidRDefault="0074610F">
      <w:pPr>
        <w:spacing w:after="0" w:line="240" w:lineRule="auto"/>
      </w:pPr>
      <w:r>
        <w:separator/>
      </w:r>
    </w:p>
  </w:footnote>
  <w:footnote w:type="continuationSeparator" w:id="0">
    <w:p w14:paraId="2FF80B73" w14:textId="77777777" w:rsidR="0074610F" w:rsidRDefault="00746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54464101">
      <w:trPr>
        <w:trHeight w:val="300"/>
      </w:trPr>
      <w:tc>
        <w:tcPr>
          <w:tcW w:w="3120" w:type="dxa"/>
        </w:tcPr>
        <w:p w14:paraId="5FC9FE6A" w14:textId="1BC5EC0C" w:rsidR="60A775A8" w:rsidRDefault="54464101" w:rsidP="60A775A8">
          <w:pPr>
            <w:pStyle w:val="Header"/>
            <w:ind w:left="-115"/>
          </w:pPr>
          <w:r w:rsidRPr="54464101">
            <w:rPr>
              <w:rFonts w:ascii="Segoe UI" w:eastAsia="Segoe UI" w:hAnsi="Segoe UI" w:cs="Segoe UI"/>
              <w:color w:val="201F1E"/>
              <w:sz w:val="21"/>
              <w:szCs w:val="21"/>
            </w:rPr>
            <w:t>2307239</w:t>
          </w:r>
        </w:p>
        <w:p w14:paraId="0D570317" w14:textId="57248169" w:rsidR="60A775A8" w:rsidRDefault="60A775A8" w:rsidP="60A775A8">
          <w:pPr>
            <w:pStyle w:val="Header"/>
            <w:ind w:left="-115"/>
          </w:pPr>
        </w:p>
      </w:tc>
      <w:tc>
        <w:tcPr>
          <w:tcW w:w="3120" w:type="dxa"/>
        </w:tcPr>
        <w:p w14:paraId="4B58A09E" w14:textId="700F4DEC" w:rsidR="60A775A8" w:rsidRDefault="1882DB94" w:rsidP="60A775A8">
          <w:pPr>
            <w:pStyle w:val="Header"/>
            <w:jc w:val="center"/>
          </w:pPr>
          <w:r>
            <w:t>ECEY6011</w:t>
          </w:r>
        </w:p>
      </w:tc>
      <w:tc>
        <w:tcPr>
          <w:tcW w:w="3120" w:type="dxa"/>
        </w:tcPr>
        <w:p w14:paraId="4EA0A332" w14:textId="69BEB56E" w:rsidR="60A775A8" w:rsidRDefault="60A775A8" w:rsidP="60A775A8">
          <w:pPr>
            <w:pStyle w:val="Header"/>
            <w:ind w:right="-115"/>
            <w:jc w:val="right"/>
          </w:pPr>
          <w:r>
            <w:t>Word Count</w:t>
          </w:r>
        </w:p>
      </w:tc>
    </w:tr>
  </w:tbl>
  <w:p w14:paraId="403141D5" w14:textId="6905C367" w:rsidR="60A775A8" w:rsidRDefault="60A775A8" w:rsidP="60A775A8">
    <w:pPr>
      <w:pStyle w:val="Header"/>
    </w:pPr>
  </w:p>
</w:hdr>
</file>

<file path=word/intelligence2.xml><?xml version="1.0" encoding="utf-8"?>
<int2:intelligence xmlns:int2="http://schemas.microsoft.com/office/intelligence/2020/intelligence" xmlns:oel="http://schemas.microsoft.com/office/2019/extlst">
  <int2:observations>
    <int2:textHash int2:hashCode="aG+z44WpgrTp0l" int2:id="Mr5wARp7">
      <int2:state int2:value="Rejected" int2:type="AugLoop_Text_Critique"/>
    </int2:textHash>
    <int2:textHash int2:hashCode="CT//e7o1eiDA6M" int2:id="6ZvpDFYj">
      <int2:state int2:value="Rejected" int2:type="AugLoop_Text_Critique"/>
    </int2:textHash>
    <int2:textHash int2:hashCode="7zWR0Y3osWYpTC" int2:id="lW5MoPcu">
      <int2:state int2:value="Rejected" int2:type="AugLoop_Text_Critique"/>
    </int2:textHash>
    <int2:textHash int2:hashCode="bLNw5K/RtBTj6A" int2:id="7CglZnGJ">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5FFB5"/>
    <w:multiLevelType w:val="hybridMultilevel"/>
    <w:tmpl w:val="312258F4"/>
    <w:lvl w:ilvl="0" w:tplc="10BEC0F2">
      <w:start w:val="1"/>
      <w:numFmt w:val="bullet"/>
      <w:lvlText w:val=""/>
      <w:lvlJc w:val="left"/>
      <w:pPr>
        <w:ind w:left="720" w:hanging="360"/>
      </w:pPr>
      <w:rPr>
        <w:rFonts w:ascii="Symbol" w:hAnsi="Symbol" w:hint="default"/>
      </w:rPr>
    </w:lvl>
    <w:lvl w:ilvl="1" w:tplc="A074EBDC">
      <w:start w:val="1"/>
      <w:numFmt w:val="bullet"/>
      <w:lvlText w:val="o"/>
      <w:lvlJc w:val="left"/>
      <w:pPr>
        <w:ind w:left="1440" w:hanging="360"/>
      </w:pPr>
      <w:rPr>
        <w:rFonts w:ascii="Courier New" w:hAnsi="Courier New" w:hint="default"/>
      </w:rPr>
    </w:lvl>
    <w:lvl w:ilvl="2" w:tplc="E9284DCA">
      <w:start w:val="1"/>
      <w:numFmt w:val="bullet"/>
      <w:lvlText w:val=""/>
      <w:lvlJc w:val="left"/>
      <w:pPr>
        <w:ind w:left="2160" w:hanging="360"/>
      </w:pPr>
      <w:rPr>
        <w:rFonts w:ascii="Wingdings" w:hAnsi="Wingdings" w:hint="default"/>
      </w:rPr>
    </w:lvl>
    <w:lvl w:ilvl="3" w:tplc="C7E63CCE">
      <w:start w:val="1"/>
      <w:numFmt w:val="bullet"/>
      <w:lvlText w:val=""/>
      <w:lvlJc w:val="left"/>
      <w:pPr>
        <w:ind w:left="2880" w:hanging="360"/>
      </w:pPr>
      <w:rPr>
        <w:rFonts w:ascii="Symbol" w:hAnsi="Symbol" w:hint="default"/>
      </w:rPr>
    </w:lvl>
    <w:lvl w:ilvl="4" w:tplc="FDEAA18E">
      <w:start w:val="1"/>
      <w:numFmt w:val="bullet"/>
      <w:lvlText w:val="o"/>
      <w:lvlJc w:val="left"/>
      <w:pPr>
        <w:ind w:left="3600" w:hanging="360"/>
      </w:pPr>
      <w:rPr>
        <w:rFonts w:ascii="Courier New" w:hAnsi="Courier New" w:hint="default"/>
      </w:rPr>
    </w:lvl>
    <w:lvl w:ilvl="5" w:tplc="3B720F24">
      <w:start w:val="1"/>
      <w:numFmt w:val="bullet"/>
      <w:lvlText w:val=""/>
      <w:lvlJc w:val="left"/>
      <w:pPr>
        <w:ind w:left="4320" w:hanging="360"/>
      </w:pPr>
      <w:rPr>
        <w:rFonts w:ascii="Wingdings" w:hAnsi="Wingdings" w:hint="default"/>
      </w:rPr>
    </w:lvl>
    <w:lvl w:ilvl="6" w:tplc="1C4CD434">
      <w:start w:val="1"/>
      <w:numFmt w:val="bullet"/>
      <w:lvlText w:val=""/>
      <w:lvlJc w:val="left"/>
      <w:pPr>
        <w:ind w:left="5040" w:hanging="360"/>
      </w:pPr>
      <w:rPr>
        <w:rFonts w:ascii="Symbol" w:hAnsi="Symbol" w:hint="default"/>
      </w:rPr>
    </w:lvl>
    <w:lvl w:ilvl="7" w:tplc="71682B8E">
      <w:start w:val="1"/>
      <w:numFmt w:val="bullet"/>
      <w:lvlText w:val="o"/>
      <w:lvlJc w:val="left"/>
      <w:pPr>
        <w:ind w:left="5760" w:hanging="360"/>
      </w:pPr>
      <w:rPr>
        <w:rFonts w:ascii="Courier New" w:hAnsi="Courier New" w:hint="default"/>
      </w:rPr>
    </w:lvl>
    <w:lvl w:ilvl="8" w:tplc="5F20D244">
      <w:start w:val="1"/>
      <w:numFmt w:val="bullet"/>
      <w:lvlText w:val=""/>
      <w:lvlJc w:val="left"/>
      <w:pPr>
        <w:ind w:left="6480" w:hanging="360"/>
      </w:pPr>
      <w:rPr>
        <w:rFonts w:ascii="Wingdings" w:hAnsi="Wingdings" w:hint="default"/>
      </w:rPr>
    </w:lvl>
  </w:abstractNum>
  <w:abstractNum w:abstractNumId="1" w15:restartNumberingAfterBreak="0">
    <w:nsid w:val="22FAEAEC"/>
    <w:multiLevelType w:val="hybridMultilevel"/>
    <w:tmpl w:val="2D4E5894"/>
    <w:lvl w:ilvl="0" w:tplc="99E0D672">
      <w:start w:val="1"/>
      <w:numFmt w:val="decimal"/>
      <w:lvlText w:val="%1."/>
      <w:lvlJc w:val="left"/>
      <w:pPr>
        <w:ind w:left="720" w:hanging="360"/>
      </w:pPr>
    </w:lvl>
    <w:lvl w:ilvl="1" w:tplc="7478BCB8">
      <w:start w:val="1"/>
      <w:numFmt w:val="lowerLetter"/>
      <w:lvlText w:val="%2."/>
      <w:lvlJc w:val="left"/>
      <w:pPr>
        <w:ind w:left="1440" w:hanging="360"/>
      </w:pPr>
    </w:lvl>
    <w:lvl w:ilvl="2" w:tplc="5B7E8C90">
      <w:start w:val="1"/>
      <w:numFmt w:val="lowerRoman"/>
      <w:lvlText w:val="%3."/>
      <w:lvlJc w:val="right"/>
      <w:pPr>
        <w:ind w:left="2160" w:hanging="180"/>
      </w:pPr>
    </w:lvl>
    <w:lvl w:ilvl="3" w:tplc="03704CA8">
      <w:start w:val="1"/>
      <w:numFmt w:val="decimal"/>
      <w:lvlText w:val="%4."/>
      <w:lvlJc w:val="left"/>
      <w:pPr>
        <w:ind w:left="2880" w:hanging="360"/>
      </w:pPr>
    </w:lvl>
    <w:lvl w:ilvl="4" w:tplc="183E7C5A">
      <w:start w:val="1"/>
      <w:numFmt w:val="lowerLetter"/>
      <w:lvlText w:val="%5."/>
      <w:lvlJc w:val="left"/>
      <w:pPr>
        <w:ind w:left="3600" w:hanging="360"/>
      </w:pPr>
    </w:lvl>
    <w:lvl w:ilvl="5" w:tplc="08142BA2">
      <w:start w:val="1"/>
      <w:numFmt w:val="lowerRoman"/>
      <w:lvlText w:val="%6."/>
      <w:lvlJc w:val="right"/>
      <w:pPr>
        <w:ind w:left="4320" w:hanging="180"/>
      </w:pPr>
    </w:lvl>
    <w:lvl w:ilvl="6" w:tplc="3EEC55F6">
      <w:start w:val="1"/>
      <w:numFmt w:val="decimal"/>
      <w:lvlText w:val="%7."/>
      <w:lvlJc w:val="left"/>
      <w:pPr>
        <w:ind w:left="5040" w:hanging="360"/>
      </w:pPr>
    </w:lvl>
    <w:lvl w:ilvl="7" w:tplc="1764D5B6">
      <w:start w:val="1"/>
      <w:numFmt w:val="lowerLetter"/>
      <w:lvlText w:val="%8."/>
      <w:lvlJc w:val="left"/>
      <w:pPr>
        <w:ind w:left="5760" w:hanging="360"/>
      </w:pPr>
    </w:lvl>
    <w:lvl w:ilvl="8" w:tplc="4002F160">
      <w:start w:val="1"/>
      <w:numFmt w:val="lowerRoman"/>
      <w:lvlText w:val="%9."/>
      <w:lvlJc w:val="right"/>
      <w:pPr>
        <w:ind w:left="6480" w:hanging="180"/>
      </w:pPr>
    </w:lvl>
  </w:abstractNum>
  <w:abstractNum w:abstractNumId="2" w15:restartNumberingAfterBreak="0">
    <w:nsid w:val="2579A832"/>
    <w:multiLevelType w:val="hybridMultilevel"/>
    <w:tmpl w:val="CC6CDE6E"/>
    <w:lvl w:ilvl="0" w:tplc="CF0CB9DE">
      <w:start w:val="1"/>
      <w:numFmt w:val="bullet"/>
      <w:lvlText w:val=""/>
      <w:lvlJc w:val="left"/>
      <w:pPr>
        <w:ind w:left="720" w:hanging="360"/>
      </w:pPr>
      <w:rPr>
        <w:rFonts w:ascii="Symbol" w:hAnsi="Symbol" w:hint="default"/>
      </w:rPr>
    </w:lvl>
    <w:lvl w:ilvl="1" w:tplc="0430DEF8">
      <w:start w:val="1"/>
      <w:numFmt w:val="bullet"/>
      <w:lvlText w:val="o"/>
      <w:lvlJc w:val="left"/>
      <w:pPr>
        <w:ind w:left="1440" w:hanging="360"/>
      </w:pPr>
      <w:rPr>
        <w:rFonts w:ascii="Courier New" w:hAnsi="Courier New" w:hint="default"/>
      </w:rPr>
    </w:lvl>
    <w:lvl w:ilvl="2" w:tplc="5AD40CC8">
      <w:start w:val="1"/>
      <w:numFmt w:val="bullet"/>
      <w:lvlText w:val=""/>
      <w:lvlJc w:val="left"/>
      <w:pPr>
        <w:ind w:left="2160" w:hanging="360"/>
      </w:pPr>
      <w:rPr>
        <w:rFonts w:ascii="Wingdings" w:hAnsi="Wingdings" w:hint="default"/>
      </w:rPr>
    </w:lvl>
    <w:lvl w:ilvl="3" w:tplc="C1D81624">
      <w:start w:val="1"/>
      <w:numFmt w:val="bullet"/>
      <w:lvlText w:val=""/>
      <w:lvlJc w:val="left"/>
      <w:pPr>
        <w:ind w:left="2880" w:hanging="360"/>
      </w:pPr>
      <w:rPr>
        <w:rFonts w:ascii="Symbol" w:hAnsi="Symbol" w:hint="default"/>
      </w:rPr>
    </w:lvl>
    <w:lvl w:ilvl="4" w:tplc="D15E8E7C">
      <w:start w:val="1"/>
      <w:numFmt w:val="bullet"/>
      <w:lvlText w:val="o"/>
      <w:lvlJc w:val="left"/>
      <w:pPr>
        <w:ind w:left="3600" w:hanging="360"/>
      </w:pPr>
      <w:rPr>
        <w:rFonts w:ascii="Courier New" w:hAnsi="Courier New" w:hint="default"/>
      </w:rPr>
    </w:lvl>
    <w:lvl w:ilvl="5" w:tplc="D14E5838">
      <w:start w:val="1"/>
      <w:numFmt w:val="bullet"/>
      <w:lvlText w:val=""/>
      <w:lvlJc w:val="left"/>
      <w:pPr>
        <w:ind w:left="4320" w:hanging="360"/>
      </w:pPr>
      <w:rPr>
        <w:rFonts w:ascii="Wingdings" w:hAnsi="Wingdings" w:hint="default"/>
      </w:rPr>
    </w:lvl>
    <w:lvl w:ilvl="6" w:tplc="E7C06788">
      <w:start w:val="1"/>
      <w:numFmt w:val="bullet"/>
      <w:lvlText w:val=""/>
      <w:lvlJc w:val="left"/>
      <w:pPr>
        <w:ind w:left="5040" w:hanging="360"/>
      </w:pPr>
      <w:rPr>
        <w:rFonts w:ascii="Symbol" w:hAnsi="Symbol" w:hint="default"/>
      </w:rPr>
    </w:lvl>
    <w:lvl w:ilvl="7" w:tplc="5E96F708">
      <w:start w:val="1"/>
      <w:numFmt w:val="bullet"/>
      <w:lvlText w:val="o"/>
      <w:lvlJc w:val="left"/>
      <w:pPr>
        <w:ind w:left="5760" w:hanging="360"/>
      </w:pPr>
      <w:rPr>
        <w:rFonts w:ascii="Courier New" w:hAnsi="Courier New" w:hint="default"/>
      </w:rPr>
    </w:lvl>
    <w:lvl w:ilvl="8" w:tplc="9B16425E">
      <w:start w:val="1"/>
      <w:numFmt w:val="bullet"/>
      <w:lvlText w:val=""/>
      <w:lvlJc w:val="left"/>
      <w:pPr>
        <w:ind w:left="6480" w:hanging="360"/>
      </w:pPr>
      <w:rPr>
        <w:rFonts w:ascii="Wingdings" w:hAnsi="Wingdings" w:hint="default"/>
      </w:rPr>
    </w:lvl>
  </w:abstractNum>
  <w:abstractNum w:abstractNumId="3" w15:restartNumberingAfterBreak="0">
    <w:nsid w:val="2B5E3BE2"/>
    <w:multiLevelType w:val="hybridMultilevel"/>
    <w:tmpl w:val="6ED2F56C"/>
    <w:lvl w:ilvl="0" w:tplc="DE0AD076">
      <w:start w:val="1"/>
      <w:numFmt w:val="decimal"/>
      <w:lvlText w:val="%1."/>
      <w:lvlJc w:val="left"/>
      <w:pPr>
        <w:ind w:left="720" w:hanging="360"/>
      </w:pPr>
    </w:lvl>
    <w:lvl w:ilvl="1" w:tplc="C486C9C4">
      <w:start w:val="1"/>
      <w:numFmt w:val="lowerLetter"/>
      <w:lvlText w:val="%2."/>
      <w:lvlJc w:val="left"/>
      <w:pPr>
        <w:ind w:left="1440" w:hanging="360"/>
      </w:pPr>
    </w:lvl>
    <w:lvl w:ilvl="2" w:tplc="DCB6D2EA">
      <w:start w:val="1"/>
      <w:numFmt w:val="lowerRoman"/>
      <w:lvlText w:val="%3."/>
      <w:lvlJc w:val="right"/>
      <w:pPr>
        <w:ind w:left="2160" w:hanging="180"/>
      </w:pPr>
    </w:lvl>
    <w:lvl w:ilvl="3" w:tplc="178CC8FC">
      <w:start w:val="1"/>
      <w:numFmt w:val="decimal"/>
      <w:lvlText w:val="%4."/>
      <w:lvlJc w:val="left"/>
      <w:pPr>
        <w:ind w:left="2880" w:hanging="360"/>
      </w:pPr>
    </w:lvl>
    <w:lvl w:ilvl="4" w:tplc="1986AFB2">
      <w:start w:val="1"/>
      <w:numFmt w:val="lowerLetter"/>
      <w:lvlText w:val="%5."/>
      <w:lvlJc w:val="left"/>
      <w:pPr>
        <w:ind w:left="3600" w:hanging="360"/>
      </w:pPr>
    </w:lvl>
    <w:lvl w:ilvl="5" w:tplc="CD7215C8">
      <w:start w:val="1"/>
      <w:numFmt w:val="lowerRoman"/>
      <w:lvlText w:val="%6."/>
      <w:lvlJc w:val="right"/>
      <w:pPr>
        <w:ind w:left="4320" w:hanging="180"/>
      </w:pPr>
    </w:lvl>
    <w:lvl w:ilvl="6" w:tplc="04A23D4A">
      <w:start w:val="1"/>
      <w:numFmt w:val="decimal"/>
      <w:lvlText w:val="%7."/>
      <w:lvlJc w:val="left"/>
      <w:pPr>
        <w:ind w:left="5040" w:hanging="360"/>
      </w:pPr>
    </w:lvl>
    <w:lvl w:ilvl="7" w:tplc="B7E69FEE">
      <w:start w:val="1"/>
      <w:numFmt w:val="lowerLetter"/>
      <w:lvlText w:val="%8."/>
      <w:lvlJc w:val="left"/>
      <w:pPr>
        <w:ind w:left="5760" w:hanging="360"/>
      </w:pPr>
    </w:lvl>
    <w:lvl w:ilvl="8" w:tplc="F3E2D0FE">
      <w:start w:val="1"/>
      <w:numFmt w:val="lowerRoman"/>
      <w:lvlText w:val="%9."/>
      <w:lvlJc w:val="right"/>
      <w:pPr>
        <w:ind w:left="6480" w:hanging="180"/>
      </w:pPr>
    </w:lvl>
  </w:abstractNum>
  <w:abstractNum w:abstractNumId="4"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2FBFEB"/>
    <w:multiLevelType w:val="hybridMultilevel"/>
    <w:tmpl w:val="F03821F6"/>
    <w:lvl w:ilvl="0" w:tplc="55389F44">
      <w:start w:val="1"/>
      <w:numFmt w:val="bullet"/>
      <w:lvlText w:val=""/>
      <w:lvlJc w:val="left"/>
      <w:pPr>
        <w:ind w:left="720" w:hanging="360"/>
      </w:pPr>
      <w:rPr>
        <w:rFonts w:ascii="Symbol" w:hAnsi="Symbol" w:hint="default"/>
      </w:rPr>
    </w:lvl>
    <w:lvl w:ilvl="1" w:tplc="A092A0D2">
      <w:start w:val="1"/>
      <w:numFmt w:val="bullet"/>
      <w:lvlText w:val="o"/>
      <w:lvlJc w:val="left"/>
      <w:pPr>
        <w:ind w:left="1440" w:hanging="360"/>
      </w:pPr>
      <w:rPr>
        <w:rFonts w:ascii="Courier New" w:hAnsi="Courier New" w:hint="default"/>
      </w:rPr>
    </w:lvl>
    <w:lvl w:ilvl="2" w:tplc="13CCCCF6">
      <w:start w:val="1"/>
      <w:numFmt w:val="bullet"/>
      <w:lvlText w:val=""/>
      <w:lvlJc w:val="left"/>
      <w:pPr>
        <w:ind w:left="2160" w:hanging="360"/>
      </w:pPr>
      <w:rPr>
        <w:rFonts w:ascii="Wingdings" w:hAnsi="Wingdings" w:hint="default"/>
      </w:rPr>
    </w:lvl>
    <w:lvl w:ilvl="3" w:tplc="8B9E8E96">
      <w:start w:val="1"/>
      <w:numFmt w:val="bullet"/>
      <w:lvlText w:val=""/>
      <w:lvlJc w:val="left"/>
      <w:pPr>
        <w:ind w:left="2880" w:hanging="360"/>
      </w:pPr>
      <w:rPr>
        <w:rFonts w:ascii="Symbol" w:hAnsi="Symbol" w:hint="default"/>
      </w:rPr>
    </w:lvl>
    <w:lvl w:ilvl="4" w:tplc="A6F8FD12">
      <w:start w:val="1"/>
      <w:numFmt w:val="bullet"/>
      <w:lvlText w:val="o"/>
      <w:lvlJc w:val="left"/>
      <w:pPr>
        <w:ind w:left="3600" w:hanging="360"/>
      </w:pPr>
      <w:rPr>
        <w:rFonts w:ascii="Courier New" w:hAnsi="Courier New" w:hint="default"/>
      </w:rPr>
    </w:lvl>
    <w:lvl w:ilvl="5" w:tplc="41AA7884">
      <w:start w:val="1"/>
      <w:numFmt w:val="bullet"/>
      <w:lvlText w:val=""/>
      <w:lvlJc w:val="left"/>
      <w:pPr>
        <w:ind w:left="4320" w:hanging="360"/>
      </w:pPr>
      <w:rPr>
        <w:rFonts w:ascii="Wingdings" w:hAnsi="Wingdings" w:hint="default"/>
      </w:rPr>
    </w:lvl>
    <w:lvl w:ilvl="6" w:tplc="D60C11E4">
      <w:start w:val="1"/>
      <w:numFmt w:val="bullet"/>
      <w:lvlText w:val=""/>
      <w:lvlJc w:val="left"/>
      <w:pPr>
        <w:ind w:left="5040" w:hanging="360"/>
      </w:pPr>
      <w:rPr>
        <w:rFonts w:ascii="Symbol" w:hAnsi="Symbol" w:hint="default"/>
      </w:rPr>
    </w:lvl>
    <w:lvl w:ilvl="7" w:tplc="B6765B5A">
      <w:start w:val="1"/>
      <w:numFmt w:val="bullet"/>
      <w:lvlText w:val="o"/>
      <w:lvlJc w:val="left"/>
      <w:pPr>
        <w:ind w:left="5760" w:hanging="360"/>
      </w:pPr>
      <w:rPr>
        <w:rFonts w:ascii="Courier New" w:hAnsi="Courier New" w:hint="default"/>
      </w:rPr>
    </w:lvl>
    <w:lvl w:ilvl="8" w:tplc="1ADAA3CE">
      <w:start w:val="1"/>
      <w:numFmt w:val="bullet"/>
      <w:lvlText w:val=""/>
      <w:lvlJc w:val="left"/>
      <w:pPr>
        <w:ind w:left="6480" w:hanging="360"/>
      </w:pPr>
      <w:rPr>
        <w:rFonts w:ascii="Wingdings" w:hAnsi="Wingdings" w:hint="default"/>
      </w:rPr>
    </w:lvl>
  </w:abstractNum>
  <w:abstractNum w:abstractNumId="6" w15:restartNumberingAfterBreak="0">
    <w:nsid w:val="5BC4CE1D"/>
    <w:multiLevelType w:val="hybridMultilevel"/>
    <w:tmpl w:val="DF2AF844"/>
    <w:lvl w:ilvl="0" w:tplc="CC3473B2">
      <w:start w:val="1"/>
      <w:numFmt w:val="bullet"/>
      <w:lvlText w:val="·"/>
      <w:lvlJc w:val="left"/>
      <w:pPr>
        <w:ind w:left="720" w:hanging="360"/>
      </w:pPr>
      <w:rPr>
        <w:rFonts w:ascii="Symbol" w:hAnsi="Symbol" w:hint="default"/>
      </w:rPr>
    </w:lvl>
    <w:lvl w:ilvl="1" w:tplc="CE5C4444">
      <w:start w:val="1"/>
      <w:numFmt w:val="bullet"/>
      <w:lvlText w:val="o"/>
      <w:lvlJc w:val="left"/>
      <w:pPr>
        <w:ind w:left="1440" w:hanging="360"/>
      </w:pPr>
      <w:rPr>
        <w:rFonts w:ascii="Courier New" w:hAnsi="Courier New" w:hint="default"/>
      </w:rPr>
    </w:lvl>
    <w:lvl w:ilvl="2" w:tplc="62802638">
      <w:start w:val="1"/>
      <w:numFmt w:val="bullet"/>
      <w:lvlText w:val=""/>
      <w:lvlJc w:val="left"/>
      <w:pPr>
        <w:ind w:left="2160" w:hanging="360"/>
      </w:pPr>
      <w:rPr>
        <w:rFonts w:ascii="Wingdings" w:hAnsi="Wingdings" w:hint="default"/>
      </w:rPr>
    </w:lvl>
    <w:lvl w:ilvl="3" w:tplc="862EFC56">
      <w:start w:val="1"/>
      <w:numFmt w:val="bullet"/>
      <w:lvlText w:val=""/>
      <w:lvlJc w:val="left"/>
      <w:pPr>
        <w:ind w:left="2880" w:hanging="360"/>
      </w:pPr>
      <w:rPr>
        <w:rFonts w:ascii="Symbol" w:hAnsi="Symbol" w:hint="default"/>
      </w:rPr>
    </w:lvl>
    <w:lvl w:ilvl="4" w:tplc="00AE78CE">
      <w:start w:val="1"/>
      <w:numFmt w:val="bullet"/>
      <w:lvlText w:val="o"/>
      <w:lvlJc w:val="left"/>
      <w:pPr>
        <w:ind w:left="3600" w:hanging="360"/>
      </w:pPr>
      <w:rPr>
        <w:rFonts w:ascii="Courier New" w:hAnsi="Courier New" w:hint="default"/>
      </w:rPr>
    </w:lvl>
    <w:lvl w:ilvl="5" w:tplc="D7C2B5F8">
      <w:start w:val="1"/>
      <w:numFmt w:val="bullet"/>
      <w:lvlText w:val=""/>
      <w:lvlJc w:val="left"/>
      <w:pPr>
        <w:ind w:left="4320" w:hanging="360"/>
      </w:pPr>
      <w:rPr>
        <w:rFonts w:ascii="Wingdings" w:hAnsi="Wingdings" w:hint="default"/>
      </w:rPr>
    </w:lvl>
    <w:lvl w:ilvl="6" w:tplc="6EB22740">
      <w:start w:val="1"/>
      <w:numFmt w:val="bullet"/>
      <w:lvlText w:val=""/>
      <w:lvlJc w:val="left"/>
      <w:pPr>
        <w:ind w:left="5040" w:hanging="360"/>
      </w:pPr>
      <w:rPr>
        <w:rFonts w:ascii="Symbol" w:hAnsi="Symbol" w:hint="default"/>
      </w:rPr>
    </w:lvl>
    <w:lvl w:ilvl="7" w:tplc="430CB62C">
      <w:start w:val="1"/>
      <w:numFmt w:val="bullet"/>
      <w:lvlText w:val="o"/>
      <w:lvlJc w:val="left"/>
      <w:pPr>
        <w:ind w:left="5760" w:hanging="360"/>
      </w:pPr>
      <w:rPr>
        <w:rFonts w:ascii="Courier New" w:hAnsi="Courier New" w:hint="default"/>
      </w:rPr>
    </w:lvl>
    <w:lvl w:ilvl="8" w:tplc="3B9077D2">
      <w:start w:val="1"/>
      <w:numFmt w:val="bullet"/>
      <w:lvlText w:val=""/>
      <w:lvlJc w:val="left"/>
      <w:pPr>
        <w:ind w:left="6480" w:hanging="360"/>
      </w:pPr>
      <w:rPr>
        <w:rFonts w:ascii="Wingdings" w:hAnsi="Wingdings" w:hint="default"/>
      </w:rPr>
    </w:lvl>
  </w:abstractNum>
  <w:abstractNum w:abstractNumId="7" w15:restartNumberingAfterBreak="0">
    <w:nsid w:val="5C626909"/>
    <w:multiLevelType w:val="hybridMultilevel"/>
    <w:tmpl w:val="948AF16C"/>
    <w:lvl w:ilvl="0" w:tplc="4D2E65E8">
      <w:start w:val="1"/>
      <w:numFmt w:val="bullet"/>
      <w:lvlText w:val=""/>
      <w:lvlJc w:val="left"/>
      <w:pPr>
        <w:ind w:left="720" w:hanging="360"/>
      </w:pPr>
      <w:rPr>
        <w:rFonts w:ascii="Symbol" w:hAnsi="Symbol" w:hint="default"/>
      </w:rPr>
    </w:lvl>
    <w:lvl w:ilvl="1" w:tplc="DCB21B14">
      <w:start w:val="1"/>
      <w:numFmt w:val="bullet"/>
      <w:lvlText w:val="o"/>
      <w:lvlJc w:val="left"/>
      <w:pPr>
        <w:ind w:left="1440" w:hanging="360"/>
      </w:pPr>
      <w:rPr>
        <w:rFonts w:ascii="Courier New" w:hAnsi="Courier New" w:hint="default"/>
      </w:rPr>
    </w:lvl>
    <w:lvl w:ilvl="2" w:tplc="1A849D84">
      <w:start w:val="1"/>
      <w:numFmt w:val="bullet"/>
      <w:lvlText w:val=""/>
      <w:lvlJc w:val="left"/>
      <w:pPr>
        <w:ind w:left="2160" w:hanging="360"/>
      </w:pPr>
      <w:rPr>
        <w:rFonts w:ascii="Wingdings" w:hAnsi="Wingdings" w:hint="default"/>
      </w:rPr>
    </w:lvl>
    <w:lvl w:ilvl="3" w:tplc="4B986C98">
      <w:start w:val="1"/>
      <w:numFmt w:val="bullet"/>
      <w:lvlText w:val=""/>
      <w:lvlJc w:val="left"/>
      <w:pPr>
        <w:ind w:left="2880" w:hanging="360"/>
      </w:pPr>
      <w:rPr>
        <w:rFonts w:ascii="Symbol" w:hAnsi="Symbol" w:hint="default"/>
      </w:rPr>
    </w:lvl>
    <w:lvl w:ilvl="4" w:tplc="68E20202">
      <w:start w:val="1"/>
      <w:numFmt w:val="bullet"/>
      <w:lvlText w:val="o"/>
      <w:lvlJc w:val="left"/>
      <w:pPr>
        <w:ind w:left="3600" w:hanging="360"/>
      </w:pPr>
      <w:rPr>
        <w:rFonts w:ascii="Courier New" w:hAnsi="Courier New" w:hint="default"/>
      </w:rPr>
    </w:lvl>
    <w:lvl w:ilvl="5" w:tplc="821835F4">
      <w:start w:val="1"/>
      <w:numFmt w:val="bullet"/>
      <w:lvlText w:val=""/>
      <w:lvlJc w:val="left"/>
      <w:pPr>
        <w:ind w:left="4320" w:hanging="360"/>
      </w:pPr>
      <w:rPr>
        <w:rFonts w:ascii="Wingdings" w:hAnsi="Wingdings" w:hint="default"/>
      </w:rPr>
    </w:lvl>
    <w:lvl w:ilvl="6" w:tplc="3B60450E">
      <w:start w:val="1"/>
      <w:numFmt w:val="bullet"/>
      <w:lvlText w:val=""/>
      <w:lvlJc w:val="left"/>
      <w:pPr>
        <w:ind w:left="5040" w:hanging="360"/>
      </w:pPr>
      <w:rPr>
        <w:rFonts w:ascii="Symbol" w:hAnsi="Symbol" w:hint="default"/>
      </w:rPr>
    </w:lvl>
    <w:lvl w:ilvl="7" w:tplc="875EC2A6">
      <w:start w:val="1"/>
      <w:numFmt w:val="bullet"/>
      <w:lvlText w:val="o"/>
      <w:lvlJc w:val="left"/>
      <w:pPr>
        <w:ind w:left="5760" w:hanging="360"/>
      </w:pPr>
      <w:rPr>
        <w:rFonts w:ascii="Courier New" w:hAnsi="Courier New" w:hint="default"/>
      </w:rPr>
    </w:lvl>
    <w:lvl w:ilvl="8" w:tplc="000E565E">
      <w:start w:val="1"/>
      <w:numFmt w:val="bullet"/>
      <w:lvlText w:val=""/>
      <w:lvlJc w:val="left"/>
      <w:pPr>
        <w:ind w:left="6480" w:hanging="360"/>
      </w:pPr>
      <w:rPr>
        <w:rFonts w:ascii="Wingdings" w:hAnsi="Wingdings" w:hint="default"/>
      </w:rPr>
    </w:lvl>
  </w:abstractNum>
  <w:abstractNum w:abstractNumId="8" w15:restartNumberingAfterBreak="0">
    <w:nsid w:val="6CD46603"/>
    <w:multiLevelType w:val="hybridMultilevel"/>
    <w:tmpl w:val="5BA2BFF6"/>
    <w:lvl w:ilvl="0" w:tplc="CECE6B6C">
      <w:start w:val="1"/>
      <w:numFmt w:val="bullet"/>
      <w:lvlText w:val=""/>
      <w:lvlJc w:val="left"/>
      <w:pPr>
        <w:ind w:left="720" w:hanging="360"/>
      </w:pPr>
      <w:rPr>
        <w:rFonts w:ascii="Symbol" w:hAnsi="Symbol" w:hint="default"/>
      </w:rPr>
    </w:lvl>
    <w:lvl w:ilvl="1" w:tplc="6C1CDDBC">
      <w:start w:val="1"/>
      <w:numFmt w:val="bullet"/>
      <w:lvlText w:val="o"/>
      <w:lvlJc w:val="left"/>
      <w:pPr>
        <w:ind w:left="1440" w:hanging="360"/>
      </w:pPr>
      <w:rPr>
        <w:rFonts w:ascii="Courier New" w:hAnsi="Courier New" w:hint="default"/>
      </w:rPr>
    </w:lvl>
    <w:lvl w:ilvl="2" w:tplc="2A36BB06">
      <w:start w:val="1"/>
      <w:numFmt w:val="bullet"/>
      <w:lvlText w:val=""/>
      <w:lvlJc w:val="left"/>
      <w:pPr>
        <w:ind w:left="2160" w:hanging="360"/>
      </w:pPr>
      <w:rPr>
        <w:rFonts w:ascii="Wingdings" w:hAnsi="Wingdings" w:hint="default"/>
      </w:rPr>
    </w:lvl>
    <w:lvl w:ilvl="3" w:tplc="7744010E">
      <w:start w:val="1"/>
      <w:numFmt w:val="bullet"/>
      <w:lvlText w:val=""/>
      <w:lvlJc w:val="left"/>
      <w:pPr>
        <w:ind w:left="2880" w:hanging="360"/>
      </w:pPr>
      <w:rPr>
        <w:rFonts w:ascii="Symbol" w:hAnsi="Symbol" w:hint="default"/>
      </w:rPr>
    </w:lvl>
    <w:lvl w:ilvl="4" w:tplc="DD1E584E">
      <w:start w:val="1"/>
      <w:numFmt w:val="bullet"/>
      <w:lvlText w:val="o"/>
      <w:lvlJc w:val="left"/>
      <w:pPr>
        <w:ind w:left="3600" w:hanging="360"/>
      </w:pPr>
      <w:rPr>
        <w:rFonts w:ascii="Courier New" w:hAnsi="Courier New" w:hint="default"/>
      </w:rPr>
    </w:lvl>
    <w:lvl w:ilvl="5" w:tplc="41FE0128">
      <w:start w:val="1"/>
      <w:numFmt w:val="bullet"/>
      <w:lvlText w:val=""/>
      <w:lvlJc w:val="left"/>
      <w:pPr>
        <w:ind w:left="4320" w:hanging="360"/>
      </w:pPr>
      <w:rPr>
        <w:rFonts w:ascii="Wingdings" w:hAnsi="Wingdings" w:hint="default"/>
      </w:rPr>
    </w:lvl>
    <w:lvl w:ilvl="6" w:tplc="D1A67A96">
      <w:start w:val="1"/>
      <w:numFmt w:val="bullet"/>
      <w:lvlText w:val=""/>
      <w:lvlJc w:val="left"/>
      <w:pPr>
        <w:ind w:left="5040" w:hanging="360"/>
      </w:pPr>
      <w:rPr>
        <w:rFonts w:ascii="Symbol" w:hAnsi="Symbol" w:hint="default"/>
      </w:rPr>
    </w:lvl>
    <w:lvl w:ilvl="7" w:tplc="58FC53E4">
      <w:start w:val="1"/>
      <w:numFmt w:val="bullet"/>
      <w:lvlText w:val="o"/>
      <w:lvlJc w:val="left"/>
      <w:pPr>
        <w:ind w:left="5760" w:hanging="360"/>
      </w:pPr>
      <w:rPr>
        <w:rFonts w:ascii="Courier New" w:hAnsi="Courier New" w:hint="default"/>
      </w:rPr>
    </w:lvl>
    <w:lvl w:ilvl="8" w:tplc="D2769252">
      <w:start w:val="1"/>
      <w:numFmt w:val="bullet"/>
      <w:lvlText w:val=""/>
      <w:lvlJc w:val="left"/>
      <w:pPr>
        <w:ind w:left="6480" w:hanging="360"/>
      </w:pPr>
      <w:rPr>
        <w:rFonts w:ascii="Wingdings" w:hAnsi="Wingdings" w:hint="default"/>
      </w:rPr>
    </w:lvl>
  </w:abstractNum>
  <w:abstractNum w:abstractNumId="9" w15:restartNumberingAfterBreak="0">
    <w:nsid w:val="7D927064"/>
    <w:multiLevelType w:val="hybridMultilevel"/>
    <w:tmpl w:val="051C86BC"/>
    <w:lvl w:ilvl="0" w:tplc="658E64AA">
      <w:start w:val="1"/>
      <w:numFmt w:val="bullet"/>
      <w:lvlText w:val=""/>
      <w:lvlJc w:val="left"/>
      <w:pPr>
        <w:ind w:left="720" w:hanging="360"/>
      </w:pPr>
      <w:rPr>
        <w:rFonts w:ascii="Symbol" w:hAnsi="Symbol" w:hint="default"/>
      </w:rPr>
    </w:lvl>
    <w:lvl w:ilvl="1" w:tplc="51B02FF2">
      <w:start w:val="1"/>
      <w:numFmt w:val="bullet"/>
      <w:lvlText w:val="o"/>
      <w:lvlJc w:val="left"/>
      <w:pPr>
        <w:ind w:left="1440" w:hanging="360"/>
      </w:pPr>
      <w:rPr>
        <w:rFonts w:ascii="Courier New" w:hAnsi="Courier New" w:hint="default"/>
      </w:rPr>
    </w:lvl>
    <w:lvl w:ilvl="2" w:tplc="D8C0D4BE">
      <w:start w:val="1"/>
      <w:numFmt w:val="bullet"/>
      <w:lvlText w:val=""/>
      <w:lvlJc w:val="left"/>
      <w:pPr>
        <w:ind w:left="2160" w:hanging="360"/>
      </w:pPr>
      <w:rPr>
        <w:rFonts w:ascii="Wingdings" w:hAnsi="Wingdings" w:hint="default"/>
      </w:rPr>
    </w:lvl>
    <w:lvl w:ilvl="3" w:tplc="0A2A6EFE">
      <w:start w:val="1"/>
      <w:numFmt w:val="bullet"/>
      <w:lvlText w:val=""/>
      <w:lvlJc w:val="left"/>
      <w:pPr>
        <w:ind w:left="2880" w:hanging="360"/>
      </w:pPr>
      <w:rPr>
        <w:rFonts w:ascii="Symbol" w:hAnsi="Symbol" w:hint="default"/>
      </w:rPr>
    </w:lvl>
    <w:lvl w:ilvl="4" w:tplc="7D661B20">
      <w:start w:val="1"/>
      <w:numFmt w:val="bullet"/>
      <w:lvlText w:val="o"/>
      <w:lvlJc w:val="left"/>
      <w:pPr>
        <w:ind w:left="3600" w:hanging="360"/>
      </w:pPr>
      <w:rPr>
        <w:rFonts w:ascii="Courier New" w:hAnsi="Courier New" w:hint="default"/>
      </w:rPr>
    </w:lvl>
    <w:lvl w:ilvl="5" w:tplc="1DFE243E">
      <w:start w:val="1"/>
      <w:numFmt w:val="bullet"/>
      <w:lvlText w:val=""/>
      <w:lvlJc w:val="left"/>
      <w:pPr>
        <w:ind w:left="4320" w:hanging="360"/>
      </w:pPr>
      <w:rPr>
        <w:rFonts w:ascii="Wingdings" w:hAnsi="Wingdings" w:hint="default"/>
      </w:rPr>
    </w:lvl>
    <w:lvl w:ilvl="6" w:tplc="B03EB416">
      <w:start w:val="1"/>
      <w:numFmt w:val="bullet"/>
      <w:lvlText w:val=""/>
      <w:lvlJc w:val="left"/>
      <w:pPr>
        <w:ind w:left="5040" w:hanging="360"/>
      </w:pPr>
      <w:rPr>
        <w:rFonts w:ascii="Symbol" w:hAnsi="Symbol" w:hint="default"/>
      </w:rPr>
    </w:lvl>
    <w:lvl w:ilvl="7" w:tplc="424A7C3E">
      <w:start w:val="1"/>
      <w:numFmt w:val="bullet"/>
      <w:lvlText w:val="o"/>
      <w:lvlJc w:val="left"/>
      <w:pPr>
        <w:ind w:left="5760" w:hanging="360"/>
      </w:pPr>
      <w:rPr>
        <w:rFonts w:ascii="Courier New" w:hAnsi="Courier New" w:hint="default"/>
      </w:rPr>
    </w:lvl>
    <w:lvl w:ilvl="8" w:tplc="E8384780">
      <w:start w:val="1"/>
      <w:numFmt w:val="bullet"/>
      <w:lvlText w:val=""/>
      <w:lvlJc w:val="left"/>
      <w:pPr>
        <w:ind w:left="6480" w:hanging="360"/>
      </w:pPr>
      <w:rPr>
        <w:rFonts w:ascii="Wingdings" w:hAnsi="Wingdings" w:hint="default"/>
      </w:rPr>
    </w:lvl>
  </w:abstractNum>
  <w:num w:numId="1" w16cid:durableId="1027370611">
    <w:abstractNumId w:val="7"/>
  </w:num>
  <w:num w:numId="2" w16cid:durableId="65999908">
    <w:abstractNumId w:val="6"/>
  </w:num>
  <w:num w:numId="3" w16cid:durableId="1350986229">
    <w:abstractNumId w:val="1"/>
  </w:num>
  <w:num w:numId="4" w16cid:durableId="1451974744">
    <w:abstractNumId w:val="9"/>
  </w:num>
  <w:num w:numId="5" w16cid:durableId="1840849299">
    <w:abstractNumId w:val="0"/>
  </w:num>
  <w:num w:numId="6" w16cid:durableId="1211498975">
    <w:abstractNumId w:val="3"/>
  </w:num>
  <w:num w:numId="7" w16cid:durableId="1106005271">
    <w:abstractNumId w:val="8"/>
  </w:num>
  <w:num w:numId="8" w16cid:durableId="1994681286">
    <w:abstractNumId w:val="5"/>
  </w:num>
  <w:num w:numId="9" w16cid:durableId="461506138">
    <w:abstractNumId w:val="2"/>
  </w:num>
  <w:num w:numId="10" w16cid:durableId="10181914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11621"/>
    <w:rsid w:val="00077030"/>
    <w:rsid w:val="00095AFC"/>
    <w:rsid w:val="00101933"/>
    <w:rsid w:val="00125179"/>
    <w:rsid w:val="001539B3"/>
    <w:rsid w:val="001B1952"/>
    <w:rsid w:val="001B2930"/>
    <w:rsid w:val="0021420F"/>
    <w:rsid w:val="002A67F3"/>
    <w:rsid w:val="002E35D3"/>
    <w:rsid w:val="00417554"/>
    <w:rsid w:val="0047F79E"/>
    <w:rsid w:val="004E5D81"/>
    <w:rsid w:val="00565BBE"/>
    <w:rsid w:val="00707994"/>
    <w:rsid w:val="0074610F"/>
    <w:rsid w:val="00754F18"/>
    <w:rsid w:val="00835809"/>
    <w:rsid w:val="0090162D"/>
    <w:rsid w:val="00A03EE5"/>
    <w:rsid w:val="00A333DF"/>
    <w:rsid w:val="00A83F48"/>
    <w:rsid w:val="00A87FCE"/>
    <w:rsid w:val="00AF2DD1"/>
    <w:rsid w:val="00B302E4"/>
    <w:rsid w:val="00B72E80"/>
    <w:rsid w:val="00BD1490"/>
    <w:rsid w:val="00BF75A6"/>
    <w:rsid w:val="00C263D5"/>
    <w:rsid w:val="00C86F2D"/>
    <w:rsid w:val="00D21C31"/>
    <w:rsid w:val="00DB176E"/>
    <w:rsid w:val="00E05400"/>
    <w:rsid w:val="00E4788E"/>
    <w:rsid w:val="00E926E7"/>
    <w:rsid w:val="0112A069"/>
    <w:rsid w:val="0140917A"/>
    <w:rsid w:val="01435C8B"/>
    <w:rsid w:val="01AE6C17"/>
    <w:rsid w:val="01B3382E"/>
    <w:rsid w:val="01F1527B"/>
    <w:rsid w:val="028CAFC5"/>
    <w:rsid w:val="02DE8A16"/>
    <w:rsid w:val="02F845B3"/>
    <w:rsid w:val="033E332F"/>
    <w:rsid w:val="036DA6A0"/>
    <w:rsid w:val="03C5BDC3"/>
    <w:rsid w:val="03D7156A"/>
    <w:rsid w:val="04B9E296"/>
    <w:rsid w:val="051CA5C5"/>
    <w:rsid w:val="05994914"/>
    <w:rsid w:val="06072781"/>
    <w:rsid w:val="064F1D8C"/>
    <w:rsid w:val="067F4A8B"/>
    <w:rsid w:val="068DCC12"/>
    <w:rsid w:val="06A6DAD2"/>
    <w:rsid w:val="06BDF331"/>
    <w:rsid w:val="06CF47B7"/>
    <w:rsid w:val="06EDD802"/>
    <w:rsid w:val="075655CB"/>
    <w:rsid w:val="078F4D61"/>
    <w:rsid w:val="07CB60ED"/>
    <w:rsid w:val="07ED5F49"/>
    <w:rsid w:val="08018308"/>
    <w:rsid w:val="080F312C"/>
    <w:rsid w:val="08170438"/>
    <w:rsid w:val="081E9BA4"/>
    <w:rsid w:val="086D3C16"/>
    <w:rsid w:val="08E837E0"/>
    <w:rsid w:val="096C1C6A"/>
    <w:rsid w:val="09ADBBC9"/>
    <w:rsid w:val="09C6E926"/>
    <w:rsid w:val="09DA92D2"/>
    <w:rsid w:val="0A196879"/>
    <w:rsid w:val="0AA5235A"/>
    <w:rsid w:val="0ABB8F2C"/>
    <w:rsid w:val="0AD36400"/>
    <w:rsid w:val="0B39DC17"/>
    <w:rsid w:val="0B641A83"/>
    <w:rsid w:val="0BC783D0"/>
    <w:rsid w:val="0BF8C1F5"/>
    <w:rsid w:val="0C35C81B"/>
    <w:rsid w:val="0C64F49D"/>
    <w:rsid w:val="0C7FA895"/>
    <w:rsid w:val="0D19743A"/>
    <w:rsid w:val="0D245BB3"/>
    <w:rsid w:val="0D328EC6"/>
    <w:rsid w:val="0D8E3CEA"/>
    <w:rsid w:val="0DD7CC54"/>
    <w:rsid w:val="0DED5C55"/>
    <w:rsid w:val="0E2FAD77"/>
    <w:rsid w:val="0E837E54"/>
    <w:rsid w:val="0EA2EA7D"/>
    <w:rsid w:val="0EB64596"/>
    <w:rsid w:val="0EBEA141"/>
    <w:rsid w:val="0EE01C87"/>
    <w:rsid w:val="0EF6DF5A"/>
    <w:rsid w:val="0F8DF495"/>
    <w:rsid w:val="0F936EBB"/>
    <w:rsid w:val="0F940343"/>
    <w:rsid w:val="100B8CE4"/>
    <w:rsid w:val="105F942C"/>
    <w:rsid w:val="107B3689"/>
    <w:rsid w:val="10981DE0"/>
    <w:rsid w:val="10CC2E0B"/>
    <w:rsid w:val="11189CF7"/>
    <w:rsid w:val="11552FF6"/>
    <w:rsid w:val="1185C32C"/>
    <w:rsid w:val="11AA8650"/>
    <w:rsid w:val="11B16698"/>
    <w:rsid w:val="11E51294"/>
    <w:rsid w:val="124278D8"/>
    <w:rsid w:val="129BE163"/>
    <w:rsid w:val="12B76916"/>
    <w:rsid w:val="13393DB7"/>
    <w:rsid w:val="13544EFA"/>
    <w:rsid w:val="136AA0E2"/>
    <w:rsid w:val="13A0F493"/>
    <w:rsid w:val="13D05913"/>
    <w:rsid w:val="13D9CBBD"/>
    <w:rsid w:val="13DD30C3"/>
    <w:rsid w:val="13EB0B16"/>
    <w:rsid w:val="143CEFFE"/>
    <w:rsid w:val="144D2886"/>
    <w:rsid w:val="146A84FB"/>
    <w:rsid w:val="14756066"/>
    <w:rsid w:val="15155B5A"/>
    <w:rsid w:val="1562C43F"/>
    <w:rsid w:val="162F46CA"/>
    <w:rsid w:val="1699E0AF"/>
    <w:rsid w:val="16B61B4E"/>
    <w:rsid w:val="16BC2F8A"/>
    <w:rsid w:val="16CB467A"/>
    <w:rsid w:val="1734EB11"/>
    <w:rsid w:val="17536361"/>
    <w:rsid w:val="17A42F43"/>
    <w:rsid w:val="1882DB94"/>
    <w:rsid w:val="18919815"/>
    <w:rsid w:val="191AFE8F"/>
    <w:rsid w:val="19346E72"/>
    <w:rsid w:val="193C4B32"/>
    <w:rsid w:val="194A8E64"/>
    <w:rsid w:val="1982BB08"/>
    <w:rsid w:val="19CB743F"/>
    <w:rsid w:val="1AC7BE0B"/>
    <w:rsid w:val="1ACF9DD9"/>
    <w:rsid w:val="1B016090"/>
    <w:rsid w:val="1B516E12"/>
    <w:rsid w:val="1B6ACA86"/>
    <w:rsid w:val="1B715912"/>
    <w:rsid w:val="1B8B40F8"/>
    <w:rsid w:val="1B8B7D55"/>
    <w:rsid w:val="1BAEFAD3"/>
    <w:rsid w:val="1C34877D"/>
    <w:rsid w:val="1C37CA0D"/>
    <w:rsid w:val="1C406238"/>
    <w:rsid w:val="1C64CCEF"/>
    <w:rsid w:val="1CA0B5D7"/>
    <w:rsid w:val="1CED0D01"/>
    <w:rsid w:val="1D589051"/>
    <w:rsid w:val="1D766D24"/>
    <w:rsid w:val="1D778B6C"/>
    <w:rsid w:val="1D8FFED0"/>
    <w:rsid w:val="1DC0FEB1"/>
    <w:rsid w:val="1DC6E9DB"/>
    <w:rsid w:val="1DCED0C9"/>
    <w:rsid w:val="1E217F5E"/>
    <w:rsid w:val="1E46ED62"/>
    <w:rsid w:val="1E658B63"/>
    <w:rsid w:val="1E6819E7"/>
    <w:rsid w:val="1E7723E0"/>
    <w:rsid w:val="1E9AE7FC"/>
    <w:rsid w:val="1ED66BCB"/>
    <w:rsid w:val="1EDA0BEE"/>
    <w:rsid w:val="1F43D788"/>
    <w:rsid w:val="1F7AFD01"/>
    <w:rsid w:val="1F8BC51C"/>
    <w:rsid w:val="20006D6D"/>
    <w:rsid w:val="2001750A"/>
    <w:rsid w:val="20246068"/>
    <w:rsid w:val="20463D75"/>
    <w:rsid w:val="204EC0A9"/>
    <w:rsid w:val="207BD0C1"/>
    <w:rsid w:val="20A3A46D"/>
    <w:rsid w:val="20A66E64"/>
    <w:rsid w:val="20C166B9"/>
    <w:rsid w:val="21086521"/>
    <w:rsid w:val="2138D721"/>
    <w:rsid w:val="21FF5DC9"/>
    <w:rsid w:val="220B055B"/>
    <w:rsid w:val="2217A505"/>
    <w:rsid w:val="225BAACC"/>
    <w:rsid w:val="226B5966"/>
    <w:rsid w:val="230DCD92"/>
    <w:rsid w:val="231F0694"/>
    <w:rsid w:val="23548CEC"/>
    <w:rsid w:val="2380A9FF"/>
    <w:rsid w:val="238E03DB"/>
    <w:rsid w:val="2396D879"/>
    <w:rsid w:val="242DFC90"/>
    <w:rsid w:val="24698370"/>
    <w:rsid w:val="24A9815D"/>
    <w:rsid w:val="24AD7D2B"/>
    <w:rsid w:val="2500BA7F"/>
    <w:rsid w:val="2505AAD7"/>
    <w:rsid w:val="25373CCA"/>
    <w:rsid w:val="253C9A63"/>
    <w:rsid w:val="25696836"/>
    <w:rsid w:val="259B6F34"/>
    <w:rsid w:val="25C634DF"/>
    <w:rsid w:val="25CEE7DF"/>
    <w:rsid w:val="261D818D"/>
    <w:rsid w:val="2693C98B"/>
    <w:rsid w:val="26AE2848"/>
    <w:rsid w:val="26BB0896"/>
    <w:rsid w:val="272D1D18"/>
    <w:rsid w:val="273046CE"/>
    <w:rsid w:val="27433F34"/>
    <w:rsid w:val="2757820F"/>
    <w:rsid w:val="27877ADE"/>
    <w:rsid w:val="27B32165"/>
    <w:rsid w:val="284C7A7C"/>
    <w:rsid w:val="28813E80"/>
    <w:rsid w:val="2986EB8D"/>
    <w:rsid w:val="2A3A363D"/>
    <w:rsid w:val="2A5039B9"/>
    <w:rsid w:val="2A5E1F90"/>
    <w:rsid w:val="2A80520F"/>
    <w:rsid w:val="2A929D89"/>
    <w:rsid w:val="2B38C4A6"/>
    <w:rsid w:val="2B51721D"/>
    <w:rsid w:val="2B5A7A0F"/>
    <w:rsid w:val="2B763684"/>
    <w:rsid w:val="2BB2B80A"/>
    <w:rsid w:val="2C3BE47F"/>
    <w:rsid w:val="2C4FC729"/>
    <w:rsid w:val="2C676D48"/>
    <w:rsid w:val="2C6FBDFD"/>
    <w:rsid w:val="2C905B3E"/>
    <w:rsid w:val="2DCD20F9"/>
    <w:rsid w:val="2E024548"/>
    <w:rsid w:val="2E30D427"/>
    <w:rsid w:val="2E37E7A8"/>
    <w:rsid w:val="2E6910CE"/>
    <w:rsid w:val="2E83D167"/>
    <w:rsid w:val="2EC5319C"/>
    <w:rsid w:val="307FB432"/>
    <w:rsid w:val="3088CBE3"/>
    <w:rsid w:val="3110BB30"/>
    <w:rsid w:val="318B8583"/>
    <w:rsid w:val="3191D283"/>
    <w:rsid w:val="3192149D"/>
    <w:rsid w:val="319E2B44"/>
    <w:rsid w:val="3228C4F4"/>
    <w:rsid w:val="3279B21C"/>
    <w:rsid w:val="3283F4E6"/>
    <w:rsid w:val="32F19A85"/>
    <w:rsid w:val="332FC41C"/>
    <w:rsid w:val="3362FF92"/>
    <w:rsid w:val="33854DDC"/>
    <w:rsid w:val="338E15F2"/>
    <w:rsid w:val="33BB35E7"/>
    <w:rsid w:val="33D28C6F"/>
    <w:rsid w:val="3406CCB3"/>
    <w:rsid w:val="344BF06D"/>
    <w:rsid w:val="346D5F94"/>
    <w:rsid w:val="348AE8A0"/>
    <w:rsid w:val="34DF0546"/>
    <w:rsid w:val="352E2C2A"/>
    <w:rsid w:val="35D446DA"/>
    <w:rsid w:val="35EC3514"/>
    <w:rsid w:val="35F90F16"/>
    <w:rsid w:val="3642F6EA"/>
    <w:rsid w:val="366F3368"/>
    <w:rsid w:val="367A5A0D"/>
    <w:rsid w:val="36FE78FF"/>
    <w:rsid w:val="3723FAA9"/>
    <w:rsid w:val="373D5B02"/>
    <w:rsid w:val="37576C4A"/>
    <w:rsid w:val="37576CE0"/>
    <w:rsid w:val="37AA330A"/>
    <w:rsid w:val="37C2156E"/>
    <w:rsid w:val="37D1F981"/>
    <w:rsid w:val="3833C38B"/>
    <w:rsid w:val="383B9C68"/>
    <w:rsid w:val="383DFCF2"/>
    <w:rsid w:val="38439257"/>
    <w:rsid w:val="384D8A31"/>
    <w:rsid w:val="3852BBA3"/>
    <w:rsid w:val="385B49D9"/>
    <w:rsid w:val="385F58A2"/>
    <w:rsid w:val="389B38BF"/>
    <w:rsid w:val="38D502E9"/>
    <w:rsid w:val="38F20782"/>
    <w:rsid w:val="390109F4"/>
    <w:rsid w:val="391EEE6A"/>
    <w:rsid w:val="39D784E9"/>
    <w:rsid w:val="3A2B3738"/>
    <w:rsid w:val="3A37C63F"/>
    <w:rsid w:val="3A4D2B75"/>
    <w:rsid w:val="3A769985"/>
    <w:rsid w:val="3A8D2DF3"/>
    <w:rsid w:val="3A8EA14D"/>
    <w:rsid w:val="3ACB8D58"/>
    <w:rsid w:val="3B4D6573"/>
    <w:rsid w:val="3B522393"/>
    <w:rsid w:val="3C4E6F20"/>
    <w:rsid w:val="3C765C97"/>
    <w:rsid w:val="3CD070A8"/>
    <w:rsid w:val="3D114316"/>
    <w:rsid w:val="3D3B4967"/>
    <w:rsid w:val="3D6C6879"/>
    <w:rsid w:val="3D730983"/>
    <w:rsid w:val="3DC72906"/>
    <w:rsid w:val="3E260E40"/>
    <w:rsid w:val="3E6C4069"/>
    <w:rsid w:val="3E85DB5E"/>
    <w:rsid w:val="3E90EFF7"/>
    <w:rsid w:val="3EECE5D1"/>
    <w:rsid w:val="3FD2FCC5"/>
    <w:rsid w:val="406999AD"/>
    <w:rsid w:val="4078590D"/>
    <w:rsid w:val="40EDD4CE"/>
    <w:rsid w:val="4130659C"/>
    <w:rsid w:val="41478409"/>
    <w:rsid w:val="415E16A1"/>
    <w:rsid w:val="41CCA13A"/>
    <w:rsid w:val="41E7BA71"/>
    <w:rsid w:val="41F6789E"/>
    <w:rsid w:val="42C4EE61"/>
    <w:rsid w:val="42D83440"/>
    <w:rsid w:val="434B1CAF"/>
    <w:rsid w:val="43C0BD80"/>
    <w:rsid w:val="43C1F3DE"/>
    <w:rsid w:val="43D63F0F"/>
    <w:rsid w:val="43F43F65"/>
    <w:rsid w:val="44B0CB1A"/>
    <w:rsid w:val="44D73AF1"/>
    <w:rsid w:val="451998B8"/>
    <w:rsid w:val="453F25E9"/>
    <w:rsid w:val="4545C2A5"/>
    <w:rsid w:val="45BF21E4"/>
    <w:rsid w:val="4666934F"/>
    <w:rsid w:val="4677370A"/>
    <w:rsid w:val="467A97AD"/>
    <w:rsid w:val="468B6390"/>
    <w:rsid w:val="46E124C2"/>
    <w:rsid w:val="477AD344"/>
    <w:rsid w:val="47F59495"/>
    <w:rsid w:val="4849904F"/>
    <w:rsid w:val="488136FA"/>
    <w:rsid w:val="489547D1"/>
    <w:rsid w:val="48CDF4BA"/>
    <w:rsid w:val="49055374"/>
    <w:rsid w:val="4909305A"/>
    <w:rsid w:val="497EDD87"/>
    <w:rsid w:val="499346D3"/>
    <w:rsid w:val="49CE6E09"/>
    <w:rsid w:val="4A0B6AE2"/>
    <w:rsid w:val="4A610212"/>
    <w:rsid w:val="4ACD3E9B"/>
    <w:rsid w:val="4B1C4500"/>
    <w:rsid w:val="4B22B6AF"/>
    <w:rsid w:val="4B565891"/>
    <w:rsid w:val="4B8B9C81"/>
    <w:rsid w:val="4BB61783"/>
    <w:rsid w:val="4C2EEC24"/>
    <w:rsid w:val="4C7EFA9A"/>
    <w:rsid w:val="4CD89962"/>
    <w:rsid w:val="4CE7C6C9"/>
    <w:rsid w:val="4CEE0F12"/>
    <w:rsid w:val="4CF82720"/>
    <w:rsid w:val="4D421A4D"/>
    <w:rsid w:val="4D68CC37"/>
    <w:rsid w:val="4D72F772"/>
    <w:rsid w:val="4D997E9E"/>
    <w:rsid w:val="4DA35E13"/>
    <w:rsid w:val="4E3812ED"/>
    <w:rsid w:val="4EE89CDB"/>
    <w:rsid w:val="4EFA1CF9"/>
    <w:rsid w:val="4F7AEE8C"/>
    <w:rsid w:val="4FBBD554"/>
    <w:rsid w:val="4FCD82C3"/>
    <w:rsid w:val="4FE2929B"/>
    <w:rsid w:val="50D2927F"/>
    <w:rsid w:val="50D38574"/>
    <w:rsid w:val="50D4D30C"/>
    <w:rsid w:val="50FDEFCC"/>
    <w:rsid w:val="5135DC83"/>
    <w:rsid w:val="514F9162"/>
    <w:rsid w:val="515B4EB9"/>
    <w:rsid w:val="5162D120"/>
    <w:rsid w:val="5194545F"/>
    <w:rsid w:val="519A755D"/>
    <w:rsid w:val="51D29109"/>
    <w:rsid w:val="51E0E117"/>
    <w:rsid w:val="51F32E61"/>
    <w:rsid w:val="522CF0A7"/>
    <w:rsid w:val="526307CC"/>
    <w:rsid w:val="52771818"/>
    <w:rsid w:val="5295B20D"/>
    <w:rsid w:val="532FD49B"/>
    <w:rsid w:val="533276FC"/>
    <w:rsid w:val="53410125"/>
    <w:rsid w:val="535757C7"/>
    <w:rsid w:val="53837B03"/>
    <w:rsid w:val="538B0603"/>
    <w:rsid w:val="539942AA"/>
    <w:rsid w:val="5440AF22"/>
    <w:rsid w:val="544174B9"/>
    <w:rsid w:val="54464101"/>
    <w:rsid w:val="54DE39DA"/>
    <w:rsid w:val="5510D882"/>
    <w:rsid w:val="55245BD8"/>
    <w:rsid w:val="55358667"/>
    <w:rsid w:val="5551FD7E"/>
    <w:rsid w:val="55F01B25"/>
    <w:rsid w:val="5624F1E4"/>
    <w:rsid w:val="5669CE11"/>
    <w:rsid w:val="566A706E"/>
    <w:rsid w:val="568F6EEA"/>
    <w:rsid w:val="56C18D49"/>
    <w:rsid w:val="5747132C"/>
    <w:rsid w:val="575B4439"/>
    <w:rsid w:val="5784FF2C"/>
    <w:rsid w:val="578CB2CD"/>
    <w:rsid w:val="57969514"/>
    <w:rsid w:val="582A511C"/>
    <w:rsid w:val="5858590C"/>
    <w:rsid w:val="58628CCE"/>
    <w:rsid w:val="587929D5"/>
    <w:rsid w:val="59456C96"/>
    <w:rsid w:val="59540037"/>
    <w:rsid w:val="5A0610C5"/>
    <w:rsid w:val="5A077F70"/>
    <w:rsid w:val="5A35AA01"/>
    <w:rsid w:val="5A4094A3"/>
    <w:rsid w:val="5AA12CD6"/>
    <w:rsid w:val="5AC6580F"/>
    <w:rsid w:val="5ACAC49B"/>
    <w:rsid w:val="5AE973E1"/>
    <w:rsid w:val="5B015775"/>
    <w:rsid w:val="5B17E93E"/>
    <w:rsid w:val="5B617926"/>
    <w:rsid w:val="5B7BFAEC"/>
    <w:rsid w:val="5BDF0515"/>
    <w:rsid w:val="5C072E64"/>
    <w:rsid w:val="5D25E23B"/>
    <w:rsid w:val="5D6FD4E6"/>
    <w:rsid w:val="5D7CC6F7"/>
    <w:rsid w:val="5DA0C57F"/>
    <w:rsid w:val="5DDF9A16"/>
    <w:rsid w:val="5E245C92"/>
    <w:rsid w:val="5E66C192"/>
    <w:rsid w:val="5F277C95"/>
    <w:rsid w:val="5F64055F"/>
    <w:rsid w:val="5FB8E46C"/>
    <w:rsid w:val="603859AB"/>
    <w:rsid w:val="60507551"/>
    <w:rsid w:val="60A775A8"/>
    <w:rsid w:val="616F3A3E"/>
    <w:rsid w:val="6171A2AA"/>
    <w:rsid w:val="6192F2F1"/>
    <w:rsid w:val="61A75D7D"/>
    <w:rsid w:val="626BCBFD"/>
    <w:rsid w:val="626DA698"/>
    <w:rsid w:val="630EB640"/>
    <w:rsid w:val="6378A57C"/>
    <w:rsid w:val="639E5E7E"/>
    <w:rsid w:val="639F8C3C"/>
    <w:rsid w:val="63AB5592"/>
    <w:rsid w:val="63DB3442"/>
    <w:rsid w:val="63DBDC18"/>
    <w:rsid w:val="63F17631"/>
    <w:rsid w:val="643941E6"/>
    <w:rsid w:val="6485EAAC"/>
    <w:rsid w:val="64ED3372"/>
    <w:rsid w:val="65068352"/>
    <w:rsid w:val="6548C5CF"/>
    <w:rsid w:val="65AEE1FA"/>
    <w:rsid w:val="65BF965C"/>
    <w:rsid w:val="65E64C4F"/>
    <w:rsid w:val="660FE244"/>
    <w:rsid w:val="66233099"/>
    <w:rsid w:val="6652BC52"/>
    <w:rsid w:val="667C78B5"/>
    <w:rsid w:val="6680E73C"/>
    <w:rsid w:val="66AEA23B"/>
    <w:rsid w:val="67808FA2"/>
    <w:rsid w:val="67AE0CC5"/>
    <w:rsid w:val="67C7D959"/>
    <w:rsid w:val="67EF6E66"/>
    <w:rsid w:val="6840D614"/>
    <w:rsid w:val="6863802C"/>
    <w:rsid w:val="68D0C579"/>
    <w:rsid w:val="68EED6DE"/>
    <w:rsid w:val="68F79831"/>
    <w:rsid w:val="692F1317"/>
    <w:rsid w:val="697625BA"/>
    <w:rsid w:val="69A84096"/>
    <w:rsid w:val="69C21B51"/>
    <w:rsid w:val="69D03BCA"/>
    <w:rsid w:val="6A68B55D"/>
    <w:rsid w:val="6AD29AD1"/>
    <w:rsid w:val="6B06411E"/>
    <w:rsid w:val="6B3CF412"/>
    <w:rsid w:val="6B3FCE3B"/>
    <w:rsid w:val="6BCB5B31"/>
    <w:rsid w:val="6C21C8D0"/>
    <w:rsid w:val="6C675EEF"/>
    <w:rsid w:val="6C69E58F"/>
    <w:rsid w:val="6C7C973D"/>
    <w:rsid w:val="6CC097D2"/>
    <w:rsid w:val="6CCCF281"/>
    <w:rsid w:val="6CD0A396"/>
    <w:rsid w:val="6CD2244B"/>
    <w:rsid w:val="6CD2ABBC"/>
    <w:rsid w:val="6CD58FDB"/>
    <w:rsid w:val="6D2B6863"/>
    <w:rsid w:val="6D49B4FF"/>
    <w:rsid w:val="6D594442"/>
    <w:rsid w:val="6DC88C95"/>
    <w:rsid w:val="6DDB93A5"/>
    <w:rsid w:val="6DEBCF22"/>
    <w:rsid w:val="6E646829"/>
    <w:rsid w:val="6E918D21"/>
    <w:rsid w:val="6E95CE62"/>
    <w:rsid w:val="6EA339BB"/>
    <w:rsid w:val="6EC357E6"/>
    <w:rsid w:val="6F677319"/>
    <w:rsid w:val="6F96ED4A"/>
    <w:rsid w:val="6FB9C368"/>
    <w:rsid w:val="7015354D"/>
    <w:rsid w:val="70667C9C"/>
    <w:rsid w:val="709BAA2E"/>
    <w:rsid w:val="70AC5007"/>
    <w:rsid w:val="70EEDD46"/>
    <w:rsid w:val="70F20725"/>
    <w:rsid w:val="7118E320"/>
    <w:rsid w:val="714851CF"/>
    <w:rsid w:val="71606976"/>
    <w:rsid w:val="716A6C01"/>
    <w:rsid w:val="7175E686"/>
    <w:rsid w:val="71F269D6"/>
    <w:rsid w:val="72F74B78"/>
    <w:rsid w:val="734F9883"/>
    <w:rsid w:val="7369AD2F"/>
    <w:rsid w:val="739F251F"/>
    <w:rsid w:val="740CAAE0"/>
    <w:rsid w:val="744EC4F6"/>
    <w:rsid w:val="74EEF2DA"/>
    <w:rsid w:val="74F09674"/>
    <w:rsid w:val="750BD33D"/>
    <w:rsid w:val="750E5019"/>
    <w:rsid w:val="75BFAB10"/>
    <w:rsid w:val="75E53DA9"/>
    <w:rsid w:val="7623EB01"/>
    <w:rsid w:val="768AD686"/>
    <w:rsid w:val="768F9AED"/>
    <w:rsid w:val="76BD12E5"/>
    <w:rsid w:val="76D242B2"/>
    <w:rsid w:val="76D3E29E"/>
    <w:rsid w:val="76E0F49C"/>
    <w:rsid w:val="7701AAED"/>
    <w:rsid w:val="77881434"/>
    <w:rsid w:val="77A1B23A"/>
    <w:rsid w:val="77A4137A"/>
    <w:rsid w:val="77D8CDDA"/>
    <w:rsid w:val="77DE89DF"/>
    <w:rsid w:val="7850A238"/>
    <w:rsid w:val="786D3349"/>
    <w:rsid w:val="78A703BD"/>
    <w:rsid w:val="78B286EF"/>
    <w:rsid w:val="78C7C19E"/>
    <w:rsid w:val="7929476E"/>
    <w:rsid w:val="794D7687"/>
    <w:rsid w:val="79635576"/>
    <w:rsid w:val="79FC83C2"/>
    <w:rsid w:val="7A2C8B0F"/>
    <w:rsid w:val="7A2F71DA"/>
    <w:rsid w:val="7A412B8E"/>
    <w:rsid w:val="7ADEABC2"/>
    <w:rsid w:val="7B64E456"/>
    <w:rsid w:val="7BEB8059"/>
    <w:rsid w:val="7C11C406"/>
    <w:rsid w:val="7CA3F21D"/>
    <w:rsid w:val="7CBFAA9F"/>
    <w:rsid w:val="7CFA0D66"/>
    <w:rsid w:val="7CFDCDFD"/>
    <w:rsid w:val="7D0177EA"/>
    <w:rsid w:val="7D081E06"/>
    <w:rsid w:val="7D7000EF"/>
    <w:rsid w:val="7D810019"/>
    <w:rsid w:val="7DEBDCD0"/>
    <w:rsid w:val="7E2D1D2E"/>
    <w:rsid w:val="7EBB7E02"/>
    <w:rsid w:val="7F0B8F94"/>
    <w:rsid w:val="7F5D6AB8"/>
    <w:rsid w:val="7F7C87F5"/>
    <w:rsid w:val="7FA514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3AD0A3F0-6B4F-4A84-9706-A2E5674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54464101"/>
    <w:rPr>
      <w:lang w:val="en-GB"/>
    </w:rPr>
  </w:style>
  <w:style w:type="paragraph" w:styleId="Heading1">
    <w:name w:val="heading 1"/>
    <w:basedOn w:val="Normal"/>
    <w:next w:val="Normal"/>
    <w:uiPriority w:val="9"/>
    <w:qFormat/>
    <w:rsid w:val="54464101"/>
    <w:pPr>
      <w:keepNext/>
      <w:keepLines/>
      <w:spacing w:before="360" w:after="80"/>
      <w:outlineLvl w:val="0"/>
    </w:pPr>
    <w:rPr>
      <w:rFonts w:asciiTheme="majorHAnsi" w:eastAsiaTheme="minorEastAsia" w:hAnsiTheme="majorHAnsi" w:cstheme="majorEastAsia"/>
      <w:color w:val="2F5496" w:themeColor="accent1" w:themeShade="BF"/>
      <w:sz w:val="40"/>
      <w:szCs w:val="40"/>
    </w:rPr>
  </w:style>
  <w:style w:type="paragraph" w:styleId="Heading2">
    <w:name w:val="heading 2"/>
    <w:basedOn w:val="Normal"/>
    <w:next w:val="Normal"/>
    <w:uiPriority w:val="9"/>
    <w:unhideWhenUsed/>
    <w:qFormat/>
    <w:rsid w:val="54464101"/>
    <w:pPr>
      <w:keepNext/>
      <w:keepLines/>
      <w:spacing w:before="160" w:after="80"/>
      <w:outlineLvl w:val="1"/>
    </w:pPr>
    <w:rPr>
      <w:rFonts w:asciiTheme="majorHAnsi" w:eastAsiaTheme="minorEastAsia" w:hAnsiTheme="majorHAnsi" w:cstheme="majorEastAsia"/>
      <w:color w:val="2F5496" w:themeColor="accent1" w:themeShade="BF"/>
      <w:sz w:val="32"/>
      <w:szCs w:val="32"/>
    </w:rPr>
  </w:style>
  <w:style w:type="paragraph" w:styleId="Heading3">
    <w:name w:val="heading 3"/>
    <w:basedOn w:val="Normal"/>
    <w:next w:val="Normal"/>
    <w:uiPriority w:val="9"/>
    <w:unhideWhenUsed/>
    <w:qFormat/>
    <w:rsid w:val="54464101"/>
    <w:pPr>
      <w:keepNext/>
      <w:keepLines/>
      <w:spacing w:before="160" w:after="80"/>
      <w:outlineLvl w:val="2"/>
    </w:pPr>
    <w:rPr>
      <w:rFonts w:eastAsiaTheme="minorEastAsia" w:cstheme="majorEastAsia"/>
      <w:color w:val="2F5496" w:themeColor="accent1" w:themeShade="BF"/>
      <w:sz w:val="28"/>
      <w:szCs w:val="28"/>
    </w:rPr>
  </w:style>
  <w:style w:type="paragraph" w:styleId="Heading4">
    <w:name w:val="heading 4"/>
    <w:basedOn w:val="Normal"/>
    <w:next w:val="Normal"/>
    <w:uiPriority w:val="9"/>
    <w:unhideWhenUsed/>
    <w:qFormat/>
    <w:rsid w:val="54464101"/>
    <w:pPr>
      <w:keepNext/>
      <w:keepLines/>
      <w:spacing w:before="80" w:after="40"/>
      <w:outlineLvl w:val="3"/>
    </w:pPr>
    <w:rPr>
      <w:rFonts w:eastAsiaTheme="minorEastAsia" w:cstheme="majorEastAsia"/>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54464101"/>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54464101"/>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54464101"/>
    <w:pPr>
      <w:ind w:left="720"/>
      <w:contextualSpacing/>
    </w:pPr>
  </w:style>
  <w:style w:type="table" w:styleId="TableGridLight">
    <w:name w:val="Grid Table Light"/>
    <w:basedOn w:val="Table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54464101"/>
    <w:rPr>
      <w:color w:val="0563C1"/>
      <w:u w:val="single"/>
    </w:rPr>
  </w:style>
  <w:style w:type="paragraph" w:styleId="NoSpacing">
    <w:name w:val="No Spacing"/>
    <w:uiPriority w:val="1"/>
    <w:qFormat/>
    <w:rsid w:val="54464101"/>
    <w:pPr>
      <w:spacing w:after="0"/>
    </w:pPr>
  </w:style>
  <w:style w:type="character" w:styleId="UnresolvedMention">
    <w:name w:val="Unresolved Mention"/>
    <w:basedOn w:val="DefaultParagraphFont"/>
    <w:uiPriority w:val="99"/>
    <w:semiHidden/>
    <w:unhideWhenUsed/>
    <w:rsid w:val="00707994"/>
    <w:rPr>
      <w:color w:val="605E5C"/>
      <w:shd w:val="clear" w:color="auto" w:fill="E1DFDD"/>
    </w:rPr>
  </w:style>
  <w:style w:type="paragraph" w:styleId="NormalWeb">
    <w:name w:val="Normal (Web)"/>
    <w:basedOn w:val="Normal"/>
    <w:uiPriority w:val="99"/>
    <w:semiHidden/>
    <w:unhideWhenUsed/>
    <w:rsid w:val="007079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17554"/>
    <w:rPr>
      <w:color w:val="954F72" w:themeColor="followedHyperlink"/>
      <w:u w:val="single"/>
    </w:rPr>
  </w:style>
  <w:style w:type="character" w:styleId="Emphasis">
    <w:name w:val="Emphasis"/>
    <w:basedOn w:val="DefaultParagraphFont"/>
    <w:uiPriority w:val="20"/>
    <w:qFormat/>
    <w:rsid w:val="00A333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621112">
      <w:bodyDiv w:val="1"/>
      <w:marLeft w:val="0"/>
      <w:marRight w:val="0"/>
      <w:marTop w:val="0"/>
      <w:marBottom w:val="0"/>
      <w:divBdr>
        <w:top w:val="none" w:sz="0" w:space="0" w:color="auto"/>
        <w:left w:val="none" w:sz="0" w:space="0" w:color="auto"/>
        <w:bottom w:val="none" w:sz="0" w:space="0" w:color="auto"/>
        <w:right w:val="none" w:sz="0" w:space="0" w:color="auto"/>
      </w:divBdr>
    </w:div>
    <w:div w:id="558789975">
      <w:bodyDiv w:val="1"/>
      <w:marLeft w:val="0"/>
      <w:marRight w:val="0"/>
      <w:marTop w:val="0"/>
      <w:marBottom w:val="0"/>
      <w:divBdr>
        <w:top w:val="none" w:sz="0" w:space="0" w:color="auto"/>
        <w:left w:val="none" w:sz="0" w:space="0" w:color="auto"/>
        <w:bottom w:val="none" w:sz="0" w:space="0" w:color="auto"/>
        <w:right w:val="none" w:sz="0" w:space="0" w:color="auto"/>
      </w:divBdr>
    </w:div>
    <w:div w:id="602539918">
      <w:bodyDiv w:val="1"/>
      <w:marLeft w:val="0"/>
      <w:marRight w:val="0"/>
      <w:marTop w:val="0"/>
      <w:marBottom w:val="0"/>
      <w:divBdr>
        <w:top w:val="none" w:sz="0" w:space="0" w:color="auto"/>
        <w:left w:val="none" w:sz="0" w:space="0" w:color="auto"/>
        <w:bottom w:val="none" w:sz="0" w:space="0" w:color="auto"/>
        <w:right w:val="none" w:sz="0" w:space="0" w:color="auto"/>
      </w:divBdr>
    </w:div>
    <w:div w:id="879174759">
      <w:bodyDiv w:val="1"/>
      <w:marLeft w:val="0"/>
      <w:marRight w:val="0"/>
      <w:marTop w:val="0"/>
      <w:marBottom w:val="0"/>
      <w:divBdr>
        <w:top w:val="none" w:sz="0" w:space="0" w:color="auto"/>
        <w:left w:val="none" w:sz="0" w:space="0" w:color="auto"/>
        <w:bottom w:val="none" w:sz="0" w:space="0" w:color="auto"/>
        <w:right w:val="none" w:sz="0" w:space="0" w:color="auto"/>
      </w:divBdr>
    </w:div>
    <w:div w:id="1045787241">
      <w:bodyDiv w:val="1"/>
      <w:marLeft w:val="0"/>
      <w:marRight w:val="0"/>
      <w:marTop w:val="0"/>
      <w:marBottom w:val="0"/>
      <w:divBdr>
        <w:top w:val="none" w:sz="0" w:space="0" w:color="auto"/>
        <w:left w:val="none" w:sz="0" w:space="0" w:color="auto"/>
        <w:bottom w:val="none" w:sz="0" w:space="0" w:color="auto"/>
        <w:right w:val="none" w:sz="0" w:space="0" w:color="auto"/>
      </w:divBdr>
    </w:div>
    <w:div w:id="1091005995">
      <w:bodyDiv w:val="1"/>
      <w:marLeft w:val="0"/>
      <w:marRight w:val="0"/>
      <w:marTop w:val="0"/>
      <w:marBottom w:val="0"/>
      <w:divBdr>
        <w:top w:val="none" w:sz="0" w:space="0" w:color="auto"/>
        <w:left w:val="none" w:sz="0" w:space="0" w:color="auto"/>
        <w:bottom w:val="none" w:sz="0" w:space="0" w:color="auto"/>
        <w:right w:val="none" w:sz="0" w:space="0" w:color="auto"/>
      </w:divBdr>
    </w:div>
    <w:div w:id="1539969045">
      <w:bodyDiv w:val="1"/>
      <w:marLeft w:val="0"/>
      <w:marRight w:val="0"/>
      <w:marTop w:val="0"/>
      <w:marBottom w:val="0"/>
      <w:divBdr>
        <w:top w:val="none" w:sz="0" w:space="0" w:color="auto"/>
        <w:left w:val="none" w:sz="0" w:space="0" w:color="auto"/>
        <w:bottom w:val="none" w:sz="0" w:space="0" w:color="auto"/>
        <w:right w:val="none" w:sz="0" w:space="0" w:color="auto"/>
      </w:divBdr>
    </w:div>
    <w:div w:id="1750231382">
      <w:bodyDiv w:val="1"/>
      <w:marLeft w:val="0"/>
      <w:marRight w:val="0"/>
      <w:marTop w:val="0"/>
      <w:marBottom w:val="0"/>
      <w:divBdr>
        <w:top w:val="none" w:sz="0" w:space="0" w:color="auto"/>
        <w:left w:val="none" w:sz="0" w:space="0" w:color="auto"/>
        <w:bottom w:val="none" w:sz="0" w:space="0" w:color="auto"/>
        <w:right w:val="none" w:sz="0" w:space="0" w:color="auto"/>
      </w:divBdr>
    </w:div>
    <w:div w:id="1881822765">
      <w:bodyDiv w:val="1"/>
      <w:marLeft w:val="0"/>
      <w:marRight w:val="0"/>
      <w:marTop w:val="0"/>
      <w:marBottom w:val="0"/>
      <w:divBdr>
        <w:top w:val="none" w:sz="0" w:space="0" w:color="auto"/>
        <w:left w:val="none" w:sz="0" w:space="0" w:color="auto"/>
        <w:bottom w:val="none" w:sz="0" w:space="0" w:color="auto"/>
        <w:right w:val="none" w:sz="0" w:space="0" w:color="auto"/>
      </w:divBdr>
    </w:div>
    <w:div w:id="2059739268">
      <w:bodyDiv w:val="1"/>
      <w:marLeft w:val="0"/>
      <w:marRight w:val="0"/>
      <w:marTop w:val="0"/>
      <w:marBottom w:val="0"/>
      <w:divBdr>
        <w:top w:val="none" w:sz="0" w:space="0" w:color="auto"/>
        <w:left w:val="none" w:sz="0" w:space="0" w:color="auto"/>
        <w:bottom w:val="none" w:sz="0" w:space="0" w:color="auto"/>
        <w:right w:val="none" w:sz="0" w:space="0" w:color="auto"/>
      </w:divBdr>
    </w:div>
    <w:div w:id="2142726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einspectorate.wales/providing-a-care-service/already-registered-services/self-assessment-service-statement-sass" TargetMode="External"/><Relationship Id="rId13" Type="http://schemas.openxmlformats.org/officeDocument/2006/relationships/header" Target="header1.xml"/><Relationship Id="rId18"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gov.wales/sites/default/files/publications/2023-05/national-minimum-standards-for-regulated-childcare_0.pdf" TargetMode="External"/><Relationship Id="rId12" Type="http://schemas.openxmlformats.org/officeDocument/2006/relationships/hyperlink" Target="https://hwb.gov.wales/professional-learning/planning-and-designing-professional-learning/national-approach-to-professional-learnin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anaw/2016/2/content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legislation.gov.uk/wsi/2010/2574/contents/made" TargetMode="External"/><Relationship Id="rId4" Type="http://schemas.openxmlformats.org/officeDocument/2006/relationships/webSettings" Target="webSettings.xml"/><Relationship Id="rId9" Type="http://schemas.openxmlformats.org/officeDocument/2006/relationships/hyperlink" Target="https://www.ohchr.org/en/instruments-mechanisms/instruments/convention-rights-chil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2797</Words>
  <Characters>15948</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2</cp:revision>
  <dcterms:created xsi:type="dcterms:W3CDTF">2025-03-30T10:24:00Z</dcterms:created>
  <dcterms:modified xsi:type="dcterms:W3CDTF">2025-03-30T10:24:00Z</dcterms:modified>
</cp:coreProperties>
</file>