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FDFCCE" w14:textId="77777777" w:rsidR="00801356" w:rsidRDefault="00801356">
      <w:pPr>
        <w:spacing w:before="2000"/>
      </w:pPr>
    </w:p>
    <w:p w14:paraId="49A71481" w14:textId="77777777" w:rsidR="00B002D6" w:rsidRDefault="00B002D6">
      <w:pPr>
        <w:spacing w:after="160"/>
        <w:jc w:val="center"/>
        <w:rPr>
          <w:rFonts w:ascii="Arial" w:eastAsia="Arial" w:hAnsi="Arial" w:cs="Arial"/>
          <w:b/>
          <w:bCs/>
          <w:sz w:val="28"/>
          <w:szCs w:val="28"/>
        </w:rPr>
      </w:pPr>
    </w:p>
    <w:p w14:paraId="56C46560" w14:textId="77777777" w:rsidR="00B002D6" w:rsidRDefault="00B002D6">
      <w:pPr>
        <w:spacing w:after="160"/>
        <w:jc w:val="center"/>
        <w:rPr>
          <w:rFonts w:ascii="Arial" w:eastAsia="Arial" w:hAnsi="Arial" w:cs="Arial"/>
          <w:b/>
          <w:bCs/>
          <w:sz w:val="28"/>
          <w:szCs w:val="28"/>
        </w:rPr>
      </w:pPr>
    </w:p>
    <w:p w14:paraId="53D8407A" w14:textId="59BFFA41" w:rsidR="00801356" w:rsidRDefault="00172E8B">
      <w:pPr>
        <w:spacing w:after="160"/>
        <w:jc w:val="center"/>
      </w:pPr>
      <w:r>
        <w:rPr>
          <w:rFonts w:ascii="Arial" w:eastAsia="Arial" w:hAnsi="Arial" w:cs="Arial"/>
          <w:b/>
          <w:bCs/>
          <w:sz w:val="28"/>
          <w:szCs w:val="28"/>
        </w:rPr>
        <w:t xml:space="preserve">Esther </w:t>
      </w:r>
      <w:proofErr w:type="spellStart"/>
      <w:r>
        <w:rPr>
          <w:rFonts w:ascii="Arial" w:eastAsia="Arial" w:hAnsi="Arial" w:cs="Arial"/>
          <w:b/>
          <w:bCs/>
          <w:sz w:val="28"/>
          <w:szCs w:val="28"/>
        </w:rPr>
        <w:t>Okunuga</w:t>
      </w:r>
      <w:proofErr w:type="spellEnd"/>
      <w:r>
        <w:rPr>
          <w:rFonts w:ascii="Arial" w:eastAsia="Arial" w:hAnsi="Arial" w:cs="Arial"/>
          <w:b/>
          <w:bCs/>
          <w:sz w:val="28"/>
          <w:szCs w:val="28"/>
        </w:rPr>
        <w:t xml:space="preserve"> </w:t>
      </w:r>
    </w:p>
    <w:p w14:paraId="2A2E79C3" w14:textId="0A3A8894" w:rsidR="00801356" w:rsidRDefault="00172E8B">
      <w:pPr>
        <w:spacing w:after="160"/>
        <w:jc w:val="center"/>
      </w:pPr>
      <w:r>
        <w:rPr>
          <w:rFonts w:ascii="Arial" w:eastAsia="Arial" w:hAnsi="Arial" w:cs="Arial"/>
          <w:sz w:val="22"/>
          <w:szCs w:val="22"/>
        </w:rPr>
        <w:t>Student Number: 2509873</w:t>
      </w:r>
    </w:p>
    <w:p w14:paraId="540207D4" w14:textId="77777777" w:rsidR="00801356" w:rsidRDefault="0014026D">
      <w:pPr>
        <w:spacing w:after="160"/>
        <w:jc w:val="center"/>
      </w:pPr>
      <w:r>
        <w:rPr>
          <w:rFonts w:ascii="Arial" w:eastAsia="Arial" w:hAnsi="Arial" w:cs="Arial"/>
          <w:sz w:val="22"/>
          <w:szCs w:val="22"/>
        </w:rPr>
        <w:t>Module Code and Title: LCHS4010 – Psychology in Health and Social Care</w:t>
      </w:r>
    </w:p>
    <w:p w14:paraId="6CF32F9F" w14:textId="3B69F738" w:rsidR="00801356" w:rsidRDefault="00172E8B">
      <w:pPr>
        <w:spacing w:after="160"/>
        <w:jc w:val="center"/>
      </w:pPr>
      <w:r>
        <w:rPr>
          <w:rFonts w:ascii="Arial" w:eastAsia="Arial" w:hAnsi="Arial" w:cs="Arial"/>
          <w:sz w:val="22"/>
          <w:szCs w:val="22"/>
        </w:rPr>
        <w:t xml:space="preserve">Lecturer: Brian </w:t>
      </w:r>
      <w:proofErr w:type="spellStart"/>
      <w:r>
        <w:rPr>
          <w:rFonts w:ascii="Arial" w:eastAsia="Arial" w:hAnsi="Arial" w:cs="Arial"/>
          <w:sz w:val="22"/>
          <w:szCs w:val="22"/>
        </w:rPr>
        <w:t>Mashumba</w:t>
      </w:r>
      <w:proofErr w:type="spellEnd"/>
    </w:p>
    <w:p w14:paraId="4876DE46" w14:textId="77777777" w:rsidR="00801356" w:rsidRDefault="0014026D">
      <w:pPr>
        <w:spacing w:after="600"/>
        <w:jc w:val="center"/>
      </w:pPr>
      <w:r>
        <w:rPr>
          <w:rFonts w:ascii="Arial" w:eastAsia="Arial" w:hAnsi="Arial" w:cs="Arial"/>
          <w:sz w:val="22"/>
          <w:szCs w:val="22"/>
        </w:rPr>
        <w:t>University of Wales Trinity Saint David</w:t>
      </w:r>
    </w:p>
    <w:p w14:paraId="1339F27B" w14:textId="77777777" w:rsidR="00801356" w:rsidRDefault="0014026D">
      <w:pPr>
        <w:spacing w:after="120"/>
        <w:jc w:val="center"/>
      </w:pPr>
      <w:r>
        <w:rPr>
          <w:rFonts w:ascii="Arial" w:eastAsia="Arial" w:hAnsi="Arial" w:cs="Arial"/>
          <w:b/>
          <w:bCs/>
          <w:sz w:val="22"/>
          <w:szCs w:val="22"/>
        </w:rPr>
        <w:t>Assignment Title:</w:t>
      </w:r>
    </w:p>
    <w:p w14:paraId="3118245D" w14:textId="77777777" w:rsidR="00801356" w:rsidRDefault="0014026D">
      <w:pPr>
        <w:spacing w:after="120"/>
        <w:jc w:val="center"/>
      </w:pPr>
      <w:r>
        <w:rPr>
          <w:rFonts w:ascii="Arial" w:eastAsia="Arial" w:hAnsi="Arial" w:cs="Arial"/>
          <w:b/>
          <w:bCs/>
          <w:sz w:val="26"/>
          <w:szCs w:val="26"/>
        </w:rPr>
        <w:t>Discuss the impact of social media on mental health in adolescence</w:t>
      </w:r>
    </w:p>
    <w:p w14:paraId="251EF8C0" w14:textId="77777777" w:rsidR="00801356" w:rsidRDefault="0014026D">
      <w:r>
        <w:br w:type="page"/>
      </w:r>
    </w:p>
    <w:p w14:paraId="548C5AF4" w14:textId="0A9E727D" w:rsidR="00FB203C" w:rsidRDefault="00CC5507" w:rsidP="00FB203C">
      <w:pPr>
        <w:spacing w:after="200" w:line="360" w:lineRule="auto"/>
        <w:jc w:val="both"/>
      </w:pPr>
      <w:r>
        <w:rPr>
          <w:sz w:val="24"/>
          <w:szCs w:val="24"/>
        </w:rPr>
        <w:lastRenderedPageBreak/>
        <w:t>Adolescence is a period of rapid change in how young people see themselves, relate to others, and manage their emotions, and it is precisely at this point in life that most young people become active social media users (</w:t>
      </w:r>
      <w:proofErr w:type="spellStart"/>
      <w:r>
        <w:rPr>
          <w:sz w:val="24"/>
          <w:szCs w:val="24"/>
        </w:rPr>
        <w:t>Agyapong</w:t>
      </w:r>
      <w:proofErr w:type="spellEnd"/>
      <w:r>
        <w:rPr>
          <w:sz w:val="24"/>
          <w:szCs w:val="24"/>
        </w:rPr>
        <w:t xml:space="preserve">-Opoku et al., 2025). </w:t>
      </w:r>
      <w:bookmarkStart w:id="0" w:name="_GoBack"/>
      <w:bookmarkEnd w:id="0"/>
      <w:r w:rsidR="00FB203C">
        <w:rPr>
          <w:sz w:val="24"/>
          <w:szCs w:val="24"/>
        </w:rPr>
        <w:t>This essay considers what that timing means for adolescent mental health, drawing on two long-standing lifespan theories: Erikson's (1968) theory of psychosocial development and Bowlby's (1969) attachment theory. Its central claim is that social media does not affect every adolescent in the same way. What matters is how a given platform intersects with the developmental work a young person happens to be doing at that moment, whether that is building an identity or learning to feel secure in relationships. Framed this way, the more useful question stops being whether social media is "good" or "bad" and becomes who is affected, and under what conditions. It helps to start with what the research itself shows, before turning to theory, biology and practice.</w:t>
      </w:r>
    </w:p>
    <w:p w14:paraId="278A29F8" w14:textId="77777777" w:rsidR="00FB203C" w:rsidRDefault="00FB203C" w:rsidP="00FB203C">
      <w:pPr>
        <w:spacing w:after="200" w:line="360" w:lineRule="auto"/>
        <w:jc w:val="both"/>
      </w:pPr>
      <w:r>
        <w:rPr>
          <w:sz w:val="24"/>
          <w:szCs w:val="24"/>
        </w:rPr>
        <w:t>The evidence is considerably less alarming than much of the public conversation suggests. Umbrella reviews describe the associations between social media use and depression, anxiety and life satisfaction as generally small and inconsistent, notwithstanding individual studies that report far larger effects (</w:t>
      </w:r>
      <w:proofErr w:type="spellStart"/>
      <w:r>
        <w:rPr>
          <w:sz w:val="24"/>
          <w:szCs w:val="24"/>
        </w:rPr>
        <w:t>Valkenburg</w:t>
      </w:r>
      <w:proofErr w:type="spellEnd"/>
      <w:r>
        <w:rPr>
          <w:sz w:val="24"/>
          <w:szCs w:val="24"/>
        </w:rPr>
        <w:t xml:space="preserve"> et al., 2022). One dose-response meta-analysis found that each extra hour of daily use nudged depression risk up slightly but significantly, with a stronger effect among girls than boys (Liu et al., 2022), a pattern earlier meta-analyses pooling longitudinal and cross-sectional studies had already reached (</w:t>
      </w:r>
      <w:proofErr w:type="spellStart"/>
      <w:r>
        <w:rPr>
          <w:sz w:val="24"/>
          <w:szCs w:val="24"/>
        </w:rPr>
        <w:t>Ivie</w:t>
      </w:r>
      <w:proofErr w:type="spellEnd"/>
      <w:r>
        <w:rPr>
          <w:sz w:val="24"/>
          <w:szCs w:val="24"/>
        </w:rPr>
        <w:t xml:space="preserve"> et al., 2020; Cunningham et al., 2021). Averages of this kind, however, can flatten out a much more interesting reality underneath them. When researchers used experience-sampling methods to capture adolescents' moods in real time, a rather different picture emerged: across 2,155 measurements, 44% of adolescents reported feeling no different after passive social media use, 46% felt better, and just 10% felt worse (</w:t>
      </w:r>
      <w:proofErr w:type="spellStart"/>
      <w:r>
        <w:rPr>
          <w:sz w:val="24"/>
          <w:szCs w:val="24"/>
        </w:rPr>
        <w:t>Beyens</w:t>
      </w:r>
      <w:proofErr w:type="spellEnd"/>
      <w:r>
        <w:rPr>
          <w:sz w:val="24"/>
          <w:szCs w:val="24"/>
        </w:rPr>
        <w:t xml:space="preserve"> et al., 2020). So while headlines tend to settle on a single negative average, that figure conceals wide variation between individuals, since most adolescents come away unaffected or better off and only a minority are genuinely struggling.</w:t>
      </w:r>
    </w:p>
    <w:p w14:paraId="7A78D513" w14:textId="77777777" w:rsidR="00FB203C" w:rsidRDefault="00FB203C" w:rsidP="00FB203C">
      <w:pPr>
        <w:spacing w:after="200" w:line="360" w:lineRule="auto"/>
        <w:jc w:val="both"/>
      </w:pPr>
      <w:r>
        <w:rPr>
          <w:sz w:val="24"/>
          <w:szCs w:val="24"/>
        </w:rPr>
        <w:t xml:space="preserve">Several more specific mechanisms help explain where the harm does show up. Comparing one's appearance to others online is linked with body dissatisfaction and lower self-esteem, especially among girls exposed to idealised images (Mahon and </w:t>
      </w:r>
      <w:proofErr w:type="spellStart"/>
      <w:r>
        <w:rPr>
          <w:sz w:val="24"/>
          <w:szCs w:val="24"/>
        </w:rPr>
        <w:t>Hevey</w:t>
      </w:r>
      <w:proofErr w:type="spellEnd"/>
      <w:r>
        <w:rPr>
          <w:sz w:val="24"/>
          <w:szCs w:val="24"/>
        </w:rPr>
        <w:t xml:space="preserve">, 2021; </w:t>
      </w:r>
      <w:proofErr w:type="spellStart"/>
      <w:r>
        <w:rPr>
          <w:sz w:val="24"/>
          <w:szCs w:val="24"/>
        </w:rPr>
        <w:t>Jiotsa</w:t>
      </w:r>
      <w:proofErr w:type="spellEnd"/>
      <w:r>
        <w:rPr>
          <w:sz w:val="24"/>
          <w:szCs w:val="24"/>
        </w:rPr>
        <w:t xml:space="preserve"> et al., 2021). Periods of heavier use, such as the COVID-19 pandemic, have also coincided with poorer sleep and higher anxiety, even though some adolescents genuinely found social support online during that same period (Marciano et al., 2022). A UK longitudinal study found a similar pattern, with wellbeing tending to fall as use rose, while cautioning that correlation of this kind cannot be read as proof of causation (</w:t>
      </w:r>
      <w:proofErr w:type="spellStart"/>
      <w:r>
        <w:rPr>
          <w:sz w:val="24"/>
          <w:szCs w:val="24"/>
        </w:rPr>
        <w:t>Plackett</w:t>
      </w:r>
      <w:proofErr w:type="spellEnd"/>
      <w:r>
        <w:rPr>
          <w:sz w:val="24"/>
          <w:szCs w:val="24"/>
        </w:rPr>
        <w:t xml:space="preserve">, </w:t>
      </w:r>
      <w:proofErr w:type="spellStart"/>
      <w:r>
        <w:rPr>
          <w:sz w:val="24"/>
          <w:szCs w:val="24"/>
        </w:rPr>
        <w:t>Sheringham</w:t>
      </w:r>
      <w:proofErr w:type="spellEnd"/>
      <w:r>
        <w:rPr>
          <w:sz w:val="24"/>
          <w:szCs w:val="24"/>
        </w:rPr>
        <w:t xml:space="preserve"> and </w:t>
      </w:r>
      <w:proofErr w:type="spellStart"/>
      <w:r>
        <w:rPr>
          <w:sz w:val="24"/>
          <w:szCs w:val="24"/>
        </w:rPr>
        <w:t>Dykxhoorn</w:t>
      </w:r>
      <w:proofErr w:type="spellEnd"/>
      <w:r>
        <w:rPr>
          <w:sz w:val="24"/>
          <w:szCs w:val="24"/>
        </w:rPr>
        <w:t xml:space="preserve">, 2023). Put </w:t>
      </w:r>
      <w:r>
        <w:rPr>
          <w:sz w:val="24"/>
          <w:szCs w:val="24"/>
        </w:rPr>
        <w:lastRenderedPageBreak/>
        <w:t>together, this body of research points less towards one universal effect and more towards a tangle of risk and protective factors operating side by side, which is exactly where developmental theory earns its keep: it pushes the question beyond how many hours adolescents spend online and towards what that time is actually doing for them psychologically. It is this question that Erikson's and Bowlby's theories, in their different ways, try to answer.</w:t>
      </w:r>
    </w:p>
    <w:p w14:paraId="08932CC5" w14:textId="77777777" w:rsidR="00FB203C" w:rsidRDefault="00FB203C" w:rsidP="00FB203C">
      <w:pPr>
        <w:spacing w:after="200" w:line="360" w:lineRule="auto"/>
        <w:jc w:val="both"/>
      </w:pPr>
      <w:r>
        <w:rPr>
          <w:sz w:val="24"/>
          <w:szCs w:val="24"/>
        </w:rPr>
        <w:t xml:space="preserve">Erikson (1968) placed adolescence as the fifth of eight lifespan stages, built around the tension between identity and role confusion. During this stage, adolescents try on different values, roles and beliefs before eventually settling into something resembling a coherent sense of self. Social media has turned into one of the main places where that experimentation happens: platforms let adolescents present themselves however they choose, compare themselves against others, follow people they admire, and stay in more or less constant contact with an audience. </w:t>
      </w:r>
      <w:proofErr w:type="spellStart"/>
      <w:r>
        <w:rPr>
          <w:sz w:val="24"/>
          <w:szCs w:val="24"/>
        </w:rPr>
        <w:t>Agyapong</w:t>
      </w:r>
      <w:proofErr w:type="spellEnd"/>
      <w:r>
        <w:rPr>
          <w:sz w:val="24"/>
          <w:szCs w:val="24"/>
        </w:rPr>
        <w:t xml:space="preserve">-Opoku et al. (2025) note that this fits neatly with the identity-exploration process Erikson describes. Where it goes well, this can genuinely support healthy development, since adolescents who experiment with self-presentation or take part in </w:t>
      </w:r>
      <w:proofErr w:type="spellStart"/>
      <w:r>
        <w:rPr>
          <w:sz w:val="24"/>
          <w:szCs w:val="24"/>
        </w:rPr>
        <w:t>prosocial</w:t>
      </w:r>
      <w:proofErr w:type="spellEnd"/>
      <w:r>
        <w:rPr>
          <w:sz w:val="24"/>
          <w:szCs w:val="24"/>
        </w:rPr>
        <w:t xml:space="preserve"> behaviour online have shown positive identity outcomes (</w:t>
      </w:r>
      <w:proofErr w:type="spellStart"/>
      <w:r>
        <w:rPr>
          <w:sz w:val="24"/>
          <w:szCs w:val="24"/>
        </w:rPr>
        <w:t>Branje</w:t>
      </w:r>
      <w:proofErr w:type="spellEnd"/>
      <w:r>
        <w:rPr>
          <w:sz w:val="24"/>
          <w:szCs w:val="24"/>
        </w:rPr>
        <w:t xml:space="preserve"> et al., 2021). Seen through Erikson's framework, the constant stream of curated posts and shared content is not simply background noise to identity formation; for many adolescents, it is part of the material identity is made from.</w:t>
      </w:r>
    </w:p>
    <w:p w14:paraId="11294694" w14:textId="77777777" w:rsidR="00FB203C" w:rsidRDefault="00FB203C" w:rsidP="00FB203C">
      <w:pPr>
        <w:spacing w:after="200" w:line="360" w:lineRule="auto"/>
        <w:jc w:val="both"/>
      </w:pPr>
      <w:r>
        <w:rPr>
          <w:sz w:val="24"/>
          <w:szCs w:val="24"/>
        </w:rPr>
        <w:t>Even so, Erikson's model runs into difficulty once it meets digital life, and it is worth pausing on why. It was written long before social media existed, and it assumes something close to a straight line towards one settled, unified identity, an assumption a growing number of researchers now doubt, since identity increasingly looks like something continually renegotiated across several online and offline selves rather than something fixed once during adolescence (</w:t>
      </w:r>
      <w:proofErr w:type="spellStart"/>
      <w:r>
        <w:rPr>
          <w:sz w:val="24"/>
          <w:szCs w:val="24"/>
        </w:rPr>
        <w:t>Branje</w:t>
      </w:r>
      <w:proofErr w:type="spellEnd"/>
      <w:r>
        <w:rPr>
          <w:sz w:val="24"/>
          <w:szCs w:val="24"/>
        </w:rPr>
        <w:t xml:space="preserve"> et al., 2021). Nor does the theory explain particularly well why an identical online experience might help one adolescent grow while leaving another distressed; the individual-level findings mentioned above only partly close that gap (</w:t>
      </w:r>
      <w:proofErr w:type="spellStart"/>
      <w:r>
        <w:rPr>
          <w:sz w:val="24"/>
          <w:szCs w:val="24"/>
        </w:rPr>
        <w:t>Beyens</w:t>
      </w:r>
      <w:proofErr w:type="spellEnd"/>
      <w:r>
        <w:rPr>
          <w:sz w:val="24"/>
          <w:szCs w:val="24"/>
        </w:rPr>
        <w:t xml:space="preserve"> et al., 2020). More broadly, the theory has been criticised as reflecting a Western, individualistic view of identity that does not map neatly onto collectivist cultures or non-binary experiences of gender, a real limitation given how culturally mixed the population of global platform users actually is. A theory written for a pre-digital adolescence can sketch the general shape of the identity task, in other words, without fully explaining why the same app feels so different depending on who is using it, and where.</w:t>
      </w:r>
    </w:p>
    <w:p w14:paraId="77855A67" w14:textId="77777777" w:rsidR="00FB203C" w:rsidRDefault="00FB203C" w:rsidP="00FB203C">
      <w:pPr>
        <w:spacing w:after="200" w:line="360" w:lineRule="auto"/>
        <w:jc w:val="both"/>
      </w:pPr>
      <w:r>
        <w:rPr>
          <w:sz w:val="24"/>
          <w:szCs w:val="24"/>
        </w:rPr>
        <w:lastRenderedPageBreak/>
        <w:t>If Erikson's theory speaks to identity, Bowlby's attachment theory speaks to something closer to security, offering a complementary account of how adolescents regulate emotion and seek closeness. Bowlby (1969) argued that early experiences with caregivers produce internal working models, mental blueprints that go on shaping how people pursue closeness and cope with distress across the whole of life. Although these models take shape in infancy, they keep influencing peer relationships well into adolescence: securely attached adolescents tend to form more trusting, higher-quality relationships, while those with insecure or anxious attachment are more likely to lean on relationships, including online ones, to manage anxiety (Delgado et al., 2022). Applied to social media, this raises the possibility that anxiously attached adolescents are more vulnerable to problematic use, since checking notifications, chasing likes and keeping tabs on peers can all serve as a kind of proximity-seeking or reassurance-seeking when someone feels unsafe. Systematic evidence backs this up, linking compulsive or problematic social media use to elevated depression, anxiety and stress (Shannon et al., 2022). By contrast, adolescents who already have a secure base may find that social media simply extends the support they already have rather than replacing it, giving them one more place to turn during hard moments. What seems to matter most here is not the platform itself but the internal model an adolescent brings to it: the same notification can register as a welcome message to one teenager and as an anxious prompt to check again for another.</w:t>
      </w:r>
    </w:p>
    <w:p w14:paraId="51EA1BED" w14:textId="77777777" w:rsidR="00FB203C" w:rsidRDefault="00FB203C" w:rsidP="00FB203C">
      <w:pPr>
        <w:spacing w:after="200" w:line="360" w:lineRule="auto"/>
        <w:jc w:val="both"/>
      </w:pPr>
      <w:r>
        <w:rPr>
          <w:sz w:val="24"/>
          <w:szCs w:val="24"/>
        </w:rPr>
        <w:t>Attachment theory has its own blind spots too. It was built to describe the bond between infant and caregiver, and stretching it to cover adolescent behaviour online rests mostly on conceptual resemblance rather than direct longitudinal evidence tying specific attachment styles to specific online habits (Delgado et al., 2022). It also tends to treat attachment style as reasonably stable, yet adolescence is precisely when attachment representations can shift, as peers increasingly take on the role of attachment figures. That makes it awkward to transplant a framework built around childhood caregiving straight onto a digital peer world Bowlby never could have imagined, and it means that linking any particular adolescent's attachment style to their social media habits remains a reasonable hypothesis rather than a settled fact.</w:t>
      </w:r>
    </w:p>
    <w:p w14:paraId="1D3E2C57" w14:textId="77777777" w:rsidR="00FB203C" w:rsidRDefault="00FB203C" w:rsidP="00FB203C">
      <w:pPr>
        <w:spacing w:after="200" w:line="360" w:lineRule="auto"/>
        <w:jc w:val="both"/>
      </w:pPr>
      <w:r>
        <w:rPr>
          <w:sz w:val="24"/>
          <w:szCs w:val="24"/>
        </w:rPr>
        <w:t xml:space="preserve">What both theories share, despite their different emphases, is a near-total focus on the psychosocial, leaving the biological side of adolescence largely unaddressed, a gap the assessment brief specifically flags alongside environmental factors. Neurodevelopmental research shows that adolescence brings substantial changes to brain regions involved in reward processing and social evaluation, which leaves adolescents more attuned to peer approval and rejection than either children or adults. A large UK cohort study, drawing on more than 84,000 </w:t>
      </w:r>
      <w:r>
        <w:rPr>
          <w:sz w:val="24"/>
          <w:szCs w:val="24"/>
        </w:rPr>
        <w:lastRenderedPageBreak/>
        <w:t>participants, supports this picture: sensitivity to social media is not constant across adolescence but instead peaks within age- and sex-specific windows, roughly ages 11 to 13 for girls and 14 to 15 for boys (</w:t>
      </w:r>
      <w:proofErr w:type="spellStart"/>
      <w:r>
        <w:rPr>
          <w:sz w:val="24"/>
          <w:szCs w:val="24"/>
        </w:rPr>
        <w:t>Orben</w:t>
      </w:r>
      <w:proofErr w:type="spellEnd"/>
      <w:r>
        <w:rPr>
          <w:sz w:val="24"/>
          <w:szCs w:val="24"/>
        </w:rPr>
        <w:t xml:space="preserve"> et al., 2022). This points to timing mattering as much as content, since the same platform, or even the same feature within it, can carry different weight depending on where an adolescent happens to sit within this biological window, a nuance neither Erikson's nor Bowlby's theory was built to capture.</w:t>
      </w:r>
    </w:p>
    <w:p w14:paraId="7537C5E4" w14:textId="77777777" w:rsidR="00FB203C" w:rsidRDefault="00FB203C" w:rsidP="00FB203C">
      <w:pPr>
        <w:spacing w:after="200" w:line="360" w:lineRule="auto"/>
        <w:jc w:val="both"/>
      </w:pPr>
      <w:r>
        <w:rPr>
          <w:sz w:val="24"/>
          <w:szCs w:val="24"/>
        </w:rPr>
        <w:t xml:space="preserve">These theoretical debates are increasingly showing up in policy, in the UK and in London specifically. The Online Safety Act 2023 already obliges platforms to carry out children's risk assessments and put age assurance in place, and since those duties took effect in July 2025, Ofcom has opened dozens of investigations and handed down its first fines to non-compliant platforms (Osborne Clarke, 2026). More recently, the Children's Wellbeing and Schools Act 2026 gave the Secretary of State the power to restrict children's access to social media, and in June 2026 the Government confirmed plans to bar platforms such as Instagram, </w:t>
      </w:r>
      <w:proofErr w:type="spellStart"/>
      <w:r>
        <w:rPr>
          <w:sz w:val="24"/>
          <w:szCs w:val="24"/>
        </w:rPr>
        <w:t>TikTok</w:t>
      </w:r>
      <w:proofErr w:type="spellEnd"/>
      <w:r>
        <w:rPr>
          <w:sz w:val="24"/>
          <w:szCs w:val="24"/>
        </w:rPr>
        <w:t xml:space="preserve">, </w:t>
      </w:r>
      <w:proofErr w:type="spellStart"/>
      <w:r>
        <w:rPr>
          <w:sz w:val="24"/>
          <w:szCs w:val="24"/>
        </w:rPr>
        <w:t>Snapchat</w:t>
      </w:r>
      <w:proofErr w:type="spellEnd"/>
      <w:r>
        <w:rPr>
          <w:sz w:val="24"/>
          <w:szCs w:val="24"/>
        </w:rPr>
        <w:t xml:space="preserve"> and YouTube to under-16s, alongside new restrictions on </w:t>
      </w:r>
      <w:proofErr w:type="spellStart"/>
      <w:r>
        <w:rPr>
          <w:sz w:val="24"/>
          <w:szCs w:val="24"/>
        </w:rPr>
        <w:t>livestreaming</w:t>
      </w:r>
      <w:proofErr w:type="spellEnd"/>
      <w:r>
        <w:rPr>
          <w:sz w:val="24"/>
          <w:szCs w:val="24"/>
        </w:rPr>
        <w:t xml:space="preserve"> and contact from strangers, with the ban due to take effect by spring 2027 (Department for Science, Innovation and Technology, 2026; House of Commons Library, 2026). That national direction is echoed locally. The Mayor, </w:t>
      </w:r>
      <w:proofErr w:type="spellStart"/>
      <w:r>
        <w:rPr>
          <w:sz w:val="24"/>
          <w:szCs w:val="24"/>
        </w:rPr>
        <w:t>Sadiq</w:t>
      </w:r>
      <w:proofErr w:type="spellEnd"/>
      <w:r>
        <w:rPr>
          <w:sz w:val="24"/>
          <w:szCs w:val="24"/>
        </w:rPr>
        <w:t xml:space="preserve"> Khan, has put £810,000 into a Mental Health in Schools programme delivered with the charity Anna Freud, reaching roughly 15,000 young people across secondary schools in nine boroughs through wellbeing weeks, peer-support groups and staff training, rather than leaning on restricting access alone (Greater London Authority, 2025). Some London boroughs have gone further still, moving ahead of national legislation on their own terms: over 100 schools in Barnet, along with seventeen secondary schools in Southwark, have introduced smartphone-free school days, and the Mayor's office says it is watching how these local efforts play out (Barnet Post, 2025). Taken together, these national and local measures point in much the same direction as the theory and evidence discussed above, towards a combination of regulation, targeted restriction and relational or educational support, rather than reliance on any one approach alone.</w:t>
      </w:r>
    </w:p>
    <w:p w14:paraId="77AFB62F" w14:textId="77777777" w:rsidR="00FB203C" w:rsidRDefault="00FB203C" w:rsidP="00FB203C">
      <w:pPr>
        <w:spacing w:after="200" w:line="360" w:lineRule="auto"/>
        <w:jc w:val="both"/>
      </w:pPr>
      <w:r>
        <w:rPr>
          <w:sz w:val="24"/>
          <w:szCs w:val="24"/>
        </w:rPr>
        <w:t xml:space="preserve">All of this carries fairly direct implications for practice. Schools and Child and Adolescent Mental Health Services (CAMHS) could build digital literacy and identity-focused </w:t>
      </w:r>
      <w:proofErr w:type="spellStart"/>
      <w:r>
        <w:rPr>
          <w:sz w:val="24"/>
          <w:szCs w:val="24"/>
        </w:rPr>
        <w:t>psychoeducation</w:t>
      </w:r>
      <w:proofErr w:type="spellEnd"/>
      <w:r>
        <w:rPr>
          <w:sz w:val="24"/>
          <w:szCs w:val="24"/>
        </w:rPr>
        <w:t xml:space="preserve"> into their pastoral and therapeutic work, helping adolescents think more critically about social comparison instead of simply absorbing it (</w:t>
      </w:r>
      <w:proofErr w:type="spellStart"/>
      <w:r>
        <w:rPr>
          <w:sz w:val="24"/>
          <w:szCs w:val="24"/>
        </w:rPr>
        <w:t>Agyapong</w:t>
      </w:r>
      <w:proofErr w:type="spellEnd"/>
      <w:r>
        <w:rPr>
          <w:sz w:val="24"/>
          <w:szCs w:val="24"/>
        </w:rPr>
        <w:t xml:space="preserve">-Opoku et al., 2025). Given how much attachment insecurity seems to contribute to problematic use, social workers and family therapists working with vulnerable young people might do well to pay </w:t>
      </w:r>
      <w:r>
        <w:rPr>
          <w:sz w:val="24"/>
          <w:szCs w:val="24"/>
        </w:rPr>
        <w:lastRenderedPageBreak/>
        <w:t>attention to the quality of family attachment alongside digital habits, since interventions that strengthen family relationships may reduce a young person's reliance on social media for reassurance more effectively than restricting access ever could (Delgado et al., 2022; Shannon et al., 2022). Practitioners should also keep the developmental windows identified through neurodevelopmental research in mind, directing extra support towards the age groups shown to be most vulnerable (</w:t>
      </w:r>
      <w:proofErr w:type="spellStart"/>
      <w:r>
        <w:rPr>
          <w:sz w:val="24"/>
          <w:szCs w:val="24"/>
        </w:rPr>
        <w:t>Orben</w:t>
      </w:r>
      <w:proofErr w:type="spellEnd"/>
      <w:r>
        <w:rPr>
          <w:sz w:val="24"/>
          <w:szCs w:val="24"/>
        </w:rPr>
        <w:t xml:space="preserve"> et al., 2022). Put simply, practice needs to move away from blanket screen-time limits and towards support that is timed to development, grounded in relationships, and woven across education, health and social care. In practical terms, that might look like a pastoral team treating a pupil's constant posting or checking as an opening for a conversation about identity or attachment, rather than simply something to shut down.</w:t>
      </w:r>
    </w:p>
    <w:p w14:paraId="2AED1ABE" w14:textId="77777777" w:rsidR="00FB203C" w:rsidRDefault="00FB203C" w:rsidP="00FB203C">
      <w:pPr>
        <w:spacing w:after="200" w:line="360" w:lineRule="auto"/>
        <w:jc w:val="both"/>
      </w:pPr>
      <w:r>
        <w:rPr>
          <w:sz w:val="24"/>
          <w:szCs w:val="24"/>
        </w:rPr>
        <w:t>Bringing these strands together, social media's effect on adolescent mental health resists any tidy verdict of good or bad. Erikson's theory helps explain how social media has become entwined with identity formation, offering both room for healthy exploration and social comparison and the risk of role confusion, while Bowlby's attachment theory shows how existing attachment security shapes online reassurance-seeking and the risk of problematic use. Both frameworks, though, predate the digital world they are now being asked to explain, and neither fully accounts for the biological sensitivities that neurodevelopmental research is only beginning to map out. Reducing the harms associated with social media probably calls for less reliance on any single theory, and less faith in blanket bans, and more investment in support that is timed to development, rooted in relationships, and delivered across schools, CAMHS and family services, support that stays alert to identity, attachment and biological vulnerability all at once. Seen this way, the more useful question is rarely whether social media is harmful in general, but which adolescent, at which point in their development, is using which platform, and for what underlying need.</w:t>
      </w:r>
    </w:p>
    <w:p w14:paraId="0DCAED47" w14:textId="77777777" w:rsidR="00801356" w:rsidRDefault="0014026D">
      <w:r>
        <w:br w:type="page"/>
      </w:r>
    </w:p>
    <w:p w14:paraId="3CFD804E" w14:textId="0B3080D9" w:rsidR="00801356" w:rsidRDefault="0014026D" w:rsidP="00E55CD2">
      <w:pPr>
        <w:spacing w:after="240"/>
        <w:jc w:val="both"/>
      </w:pPr>
      <w:r>
        <w:rPr>
          <w:rFonts w:ascii="Arial" w:eastAsia="Arial" w:hAnsi="Arial" w:cs="Arial"/>
          <w:b/>
          <w:bCs/>
          <w:sz w:val="26"/>
          <w:szCs w:val="26"/>
        </w:rPr>
        <w:lastRenderedPageBreak/>
        <w:t>References</w:t>
      </w:r>
    </w:p>
    <w:p w14:paraId="7CEB5E11"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Agyapong</w:t>
      </w:r>
      <w:proofErr w:type="spellEnd"/>
      <w:r>
        <w:rPr>
          <w:rFonts w:ascii="Arial" w:hAnsi="Arial" w:cs="Arial"/>
          <w:sz w:val="22"/>
          <w:szCs w:val="22"/>
        </w:rPr>
        <w:t xml:space="preserve">-Opoku, N., </w:t>
      </w:r>
      <w:proofErr w:type="spellStart"/>
      <w:r>
        <w:rPr>
          <w:rFonts w:ascii="Arial" w:hAnsi="Arial" w:cs="Arial"/>
          <w:sz w:val="22"/>
          <w:szCs w:val="22"/>
        </w:rPr>
        <w:t>Agyapong</w:t>
      </w:r>
      <w:proofErr w:type="spellEnd"/>
      <w:r>
        <w:rPr>
          <w:rFonts w:ascii="Arial" w:hAnsi="Arial" w:cs="Arial"/>
          <w:sz w:val="22"/>
          <w:szCs w:val="22"/>
        </w:rPr>
        <w:t xml:space="preserve">-Opoku, F. and </w:t>
      </w:r>
      <w:proofErr w:type="spellStart"/>
      <w:r>
        <w:rPr>
          <w:rFonts w:ascii="Arial" w:hAnsi="Arial" w:cs="Arial"/>
          <w:sz w:val="22"/>
          <w:szCs w:val="22"/>
        </w:rPr>
        <w:t>Greenshaw</w:t>
      </w:r>
      <w:proofErr w:type="spellEnd"/>
      <w:r>
        <w:rPr>
          <w:rFonts w:ascii="Arial" w:hAnsi="Arial" w:cs="Arial"/>
          <w:sz w:val="22"/>
          <w:szCs w:val="22"/>
        </w:rPr>
        <w:t xml:space="preserve">, A.J. (2025) Effects of social media use on youth and adolescent mental health: a scoping review of reviews. </w:t>
      </w:r>
      <w:proofErr w:type="spellStart"/>
      <w:r>
        <w:rPr>
          <w:rFonts w:ascii="Arial" w:hAnsi="Arial" w:cs="Arial"/>
          <w:i/>
          <w:iCs/>
          <w:sz w:val="22"/>
          <w:szCs w:val="22"/>
        </w:rPr>
        <w:t>Behavioral</w:t>
      </w:r>
      <w:proofErr w:type="spellEnd"/>
      <w:r>
        <w:rPr>
          <w:rFonts w:ascii="Arial" w:hAnsi="Arial" w:cs="Arial"/>
          <w:i/>
          <w:iCs/>
          <w:sz w:val="22"/>
          <w:szCs w:val="22"/>
        </w:rPr>
        <w:t xml:space="preserve"> Sciences</w:t>
      </w:r>
      <w:r>
        <w:rPr>
          <w:rFonts w:ascii="Arial" w:hAnsi="Arial" w:cs="Arial"/>
          <w:sz w:val="22"/>
          <w:szCs w:val="22"/>
        </w:rPr>
        <w:t xml:space="preserve">, 15(5), p. 574. </w:t>
      </w:r>
      <w:hyperlink r:id="rId7" w:tgtFrame="_new" w:history="1">
        <w:r>
          <w:rPr>
            <w:rStyle w:val="Hyperlink"/>
            <w:rFonts w:ascii="Arial" w:hAnsi="Arial" w:cs="Arial"/>
            <w:sz w:val="22"/>
            <w:szCs w:val="22"/>
          </w:rPr>
          <w:t>https://doi.org/10.3390/bs15050574</w:t>
        </w:r>
      </w:hyperlink>
      <w:r>
        <w:rPr>
          <w:rFonts w:ascii="Arial" w:hAnsi="Arial" w:cs="Arial"/>
          <w:sz w:val="22"/>
          <w:szCs w:val="22"/>
        </w:rPr>
        <w:t xml:space="preserve"> (Accessed: 17 July 2026).</w:t>
      </w:r>
    </w:p>
    <w:p w14:paraId="10000001"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Barnet Post (2025) Primary schools in Barnet agree to go 'smartphone free'. Available at: </w:t>
      </w:r>
      <w:hyperlink r:id="rId8" w:tgtFrame="_new" w:history="1">
        <w:r>
          <w:rPr>
            <w:rStyle w:val="Hyperlink"/>
            <w:rFonts w:ascii="Arial" w:hAnsi="Arial" w:cs="Arial"/>
            <w:sz w:val="22"/>
            <w:szCs w:val="22"/>
          </w:rPr>
          <w:t>https://barnetpost.co.uk/2025/02/18/schools-in-barnet-agree-to-go-smartphone-free/</w:t>
        </w:r>
      </w:hyperlink>
      <w:r>
        <w:rPr>
          <w:rFonts w:ascii="Arial" w:hAnsi="Arial" w:cs="Arial"/>
          <w:sz w:val="22"/>
          <w:szCs w:val="22"/>
        </w:rPr>
        <w:t xml:space="preserve"> (Accessed: 4 August 2026).</w:t>
      </w:r>
    </w:p>
    <w:p w14:paraId="6C84B958"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Beyens</w:t>
      </w:r>
      <w:proofErr w:type="spellEnd"/>
      <w:r>
        <w:rPr>
          <w:rFonts w:ascii="Arial" w:hAnsi="Arial" w:cs="Arial"/>
          <w:sz w:val="22"/>
          <w:szCs w:val="22"/>
        </w:rPr>
        <w:t xml:space="preserve">, I., </w:t>
      </w:r>
      <w:proofErr w:type="spellStart"/>
      <w:r>
        <w:rPr>
          <w:rFonts w:ascii="Arial" w:hAnsi="Arial" w:cs="Arial"/>
          <w:sz w:val="22"/>
          <w:szCs w:val="22"/>
        </w:rPr>
        <w:t>Pouwels</w:t>
      </w:r>
      <w:proofErr w:type="spellEnd"/>
      <w:r>
        <w:rPr>
          <w:rFonts w:ascii="Arial" w:hAnsi="Arial" w:cs="Arial"/>
          <w:sz w:val="22"/>
          <w:szCs w:val="22"/>
        </w:rPr>
        <w:t xml:space="preserve">, J.L., van </w:t>
      </w:r>
      <w:proofErr w:type="spellStart"/>
      <w:r>
        <w:rPr>
          <w:rFonts w:ascii="Arial" w:hAnsi="Arial" w:cs="Arial"/>
          <w:sz w:val="22"/>
          <w:szCs w:val="22"/>
        </w:rPr>
        <w:t>Driel</w:t>
      </w:r>
      <w:proofErr w:type="spellEnd"/>
      <w:r>
        <w:rPr>
          <w:rFonts w:ascii="Arial" w:hAnsi="Arial" w:cs="Arial"/>
          <w:sz w:val="22"/>
          <w:szCs w:val="22"/>
        </w:rPr>
        <w:t xml:space="preserve">, I.I., </w:t>
      </w:r>
      <w:proofErr w:type="spellStart"/>
      <w:r>
        <w:rPr>
          <w:rFonts w:ascii="Arial" w:hAnsi="Arial" w:cs="Arial"/>
          <w:sz w:val="22"/>
          <w:szCs w:val="22"/>
        </w:rPr>
        <w:t>Keijsers</w:t>
      </w:r>
      <w:proofErr w:type="spellEnd"/>
      <w:r>
        <w:rPr>
          <w:rFonts w:ascii="Arial" w:hAnsi="Arial" w:cs="Arial"/>
          <w:sz w:val="22"/>
          <w:szCs w:val="22"/>
        </w:rPr>
        <w:t xml:space="preserve">, L. and </w:t>
      </w:r>
      <w:proofErr w:type="spellStart"/>
      <w:r>
        <w:rPr>
          <w:rFonts w:ascii="Arial" w:hAnsi="Arial" w:cs="Arial"/>
          <w:sz w:val="22"/>
          <w:szCs w:val="22"/>
        </w:rPr>
        <w:t>Valkenburg</w:t>
      </w:r>
      <w:proofErr w:type="spellEnd"/>
      <w:r>
        <w:rPr>
          <w:rFonts w:ascii="Arial" w:hAnsi="Arial" w:cs="Arial"/>
          <w:sz w:val="22"/>
          <w:szCs w:val="22"/>
        </w:rPr>
        <w:t xml:space="preserve">, P.M. (2020) </w:t>
      </w:r>
      <w:proofErr w:type="gramStart"/>
      <w:r>
        <w:rPr>
          <w:rFonts w:ascii="Arial" w:hAnsi="Arial" w:cs="Arial"/>
          <w:sz w:val="22"/>
          <w:szCs w:val="22"/>
        </w:rPr>
        <w:t>The</w:t>
      </w:r>
      <w:proofErr w:type="gramEnd"/>
      <w:r>
        <w:rPr>
          <w:rFonts w:ascii="Arial" w:hAnsi="Arial" w:cs="Arial"/>
          <w:sz w:val="22"/>
          <w:szCs w:val="22"/>
        </w:rPr>
        <w:t xml:space="preserve"> effect of social media on well-being differs from adolescent to adolescent. </w:t>
      </w:r>
      <w:r>
        <w:rPr>
          <w:rFonts w:ascii="Arial" w:hAnsi="Arial" w:cs="Arial"/>
          <w:i/>
          <w:iCs/>
          <w:sz w:val="22"/>
          <w:szCs w:val="22"/>
        </w:rPr>
        <w:t>Scientific Reports</w:t>
      </w:r>
      <w:r>
        <w:rPr>
          <w:rFonts w:ascii="Arial" w:hAnsi="Arial" w:cs="Arial"/>
          <w:sz w:val="22"/>
          <w:szCs w:val="22"/>
        </w:rPr>
        <w:t xml:space="preserve">, 10(1), p. 10763. </w:t>
      </w:r>
      <w:hyperlink r:id="rId9" w:tgtFrame="_new" w:history="1">
        <w:r>
          <w:rPr>
            <w:rStyle w:val="Hyperlink"/>
            <w:rFonts w:ascii="Arial" w:hAnsi="Arial" w:cs="Arial"/>
            <w:sz w:val="22"/>
            <w:szCs w:val="22"/>
          </w:rPr>
          <w:t>https://doi.org/10.1038/s41598-020-67727-7</w:t>
        </w:r>
      </w:hyperlink>
      <w:r>
        <w:rPr>
          <w:rFonts w:ascii="Arial" w:hAnsi="Arial" w:cs="Arial"/>
          <w:sz w:val="22"/>
          <w:szCs w:val="22"/>
        </w:rPr>
        <w:t xml:space="preserve"> (Accessed: 17 July 2026).</w:t>
      </w:r>
    </w:p>
    <w:p w14:paraId="3AC758E2"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Bowlby, J. (1969) </w:t>
      </w:r>
      <w:r>
        <w:rPr>
          <w:rFonts w:ascii="Arial" w:hAnsi="Arial" w:cs="Arial"/>
          <w:i/>
          <w:iCs/>
          <w:sz w:val="22"/>
          <w:szCs w:val="22"/>
        </w:rPr>
        <w:t>Attachment and Loss. Vol. 1: Attachment</w:t>
      </w:r>
      <w:r>
        <w:rPr>
          <w:rFonts w:ascii="Arial" w:hAnsi="Arial" w:cs="Arial"/>
          <w:sz w:val="22"/>
          <w:szCs w:val="22"/>
        </w:rPr>
        <w:t>. London: Hogarth Press.</w:t>
      </w:r>
    </w:p>
    <w:p w14:paraId="0CA9AFF2"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Branje</w:t>
      </w:r>
      <w:proofErr w:type="spellEnd"/>
      <w:r>
        <w:rPr>
          <w:rFonts w:ascii="Arial" w:hAnsi="Arial" w:cs="Arial"/>
          <w:sz w:val="22"/>
          <w:szCs w:val="22"/>
        </w:rPr>
        <w:t xml:space="preserve">, S., de Moor, E.L., Spitzer, J. and </w:t>
      </w:r>
      <w:proofErr w:type="spellStart"/>
      <w:r>
        <w:rPr>
          <w:rFonts w:ascii="Arial" w:hAnsi="Arial" w:cs="Arial"/>
          <w:sz w:val="22"/>
          <w:szCs w:val="22"/>
        </w:rPr>
        <w:t>Becht</w:t>
      </w:r>
      <w:proofErr w:type="spellEnd"/>
      <w:r>
        <w:rPr>
          <w:rFonts w:ascii="Arial" w:hAnsi="Arial" w:cs="Arial"/>
          <w:sz w:val="22"/>
          <w:szCs w:val="22"/>
        </w:rPr>
        <w:t xml:space="preserve">, A.I. (2021) Dynamics of identity development in adolescence: a decade in review. </w:t>
      </w:r>
      <w:r>
        <w:rPr>
          <w:rFonts w:ascii="Arial" w:hAnsi="Arial" w:cs="Arial"/>
          <w:i/>
          <w:iCs/>
          <w:sz w:val="22"/>
          <w:szCs w:val="22"/>
        </w:rPr>
        <w:t>Journal of Research on Adolescence</w:t>
      </w:r>
      <w:r>
        <w:rPr>
          <w:rFonts w:ascii="Arial" w:hAnsi="Arial" w:cs="Arial"/>
          <w:sz w:val="22"/>
          <w:szCs w:val="22"/>
        </w:rPr>
        <w:t xml:space="preserve">, 31(4), pp. 908–927. </w:t>
      </w:r>
      <w:hyperlink r:id="rId10" w:tgtFrame="_new" w:history="1">
        <w:r>
          <w:rPr>
            <w:rStyle w:val="Hyperlink"/>
            <w:rFonts w:ascii="Arial" w:hAnsi="Arial" w:cs="Arial"/>
            <w:sz w:val="22"/>
            <w:szCs w:val="22"/>
          </w:rPr>
          <w:t>https://doi.org/10.1111/jora.12678</w:t>
        </w:r>
      </w:hyperlink>
      <w:r>
        <w:rPr>
          <w:rFonts w:ascii="Arial" w:hAnsi="Arial" w:cs="Arial"/>
          <w:sz w:val="22"/>
          <w:szCs w:val="22"/>
        </w:rPr>
        <w:t xml:space="preserve"> (Accessed: 17 July 2026).</w:t>
      </w:r>
    </w:p>
    <w:p w14:paraId="64CF8238"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Cunningham, S., Hudson, C.C. and </w:t>
      </w:r>
      <w:proofErr w:type="spellStart"/>
      <w:r>
        <w:rPr>
          <w:rFonts w:ascii="Arial" w:hAnsi="Arial" w:cs="Arial"/>
          <w:sz w:val="22"/>
          <w:szCs w:val="22"/>
        </w:rPr>
        <w:t>Harkness</w:t>
      </w:r>
      <w:proofErr w:type="spellEnd"/>
      <w:r>
        <w:rPr>
          <w:rFonts w:ascii="Arial" w:hAnsi="Arial" w:cs="Arial"/>
          <w:sz w:val="22"/>
          <w:szCs w:val="22"/>
        </w:rPr>
        <w:t xml:space="preserve">, K. (2021) Social media and depression symptoms: a meta-analysis. </w:t>
      </w:r>
      <w:r>
        <w:rPr>
          <w:rFonts w:ascii="Arial" w:hAnsi="Arial" w:cs="Arial"/>
          <w:i/>
          <w:iCs/>
          <w:sz w:val="22"/>
          <w:szCs w:val="22"/>
        </w:rPr>
        <w:t>Research on Child and Adolescent Psychopathology</w:t>
      </w:r>
      <w:r>
        <w:rPr>
          <w:rFonts w:ascii="Arial" w:hAnsi="Arial" w:cs="Arial"/>
          <w:sz w:val="22"/>
          <w:szCs w:val="22"/>
        </w:rPr>
        <w:t xml:space="preserve">, 49(2), pp. 241–253. </w:t>
      </w:r>
      <w:hyperlink r:id="rId11" w:tgtFrame="_new" w:history="1">
        <w:r>
          <w:rPr>
            <w:rStyle w:val="Hyperlink"/>
            <w:rFonts w:ascii="Arial" w:hAnsi="Arial" w:cs="Arial"/>
            <w:sz w:val="22"/>
            <w:szCs w:val="22"/>
          </w:rPr>
          <w:t>https://doi.org/10.1007/s10802-020-00715-7</w:t>
        </w:r>
      </w:hyperlink>
      <w:r>
        <w:rPr>
          <w:rFonts w:ascii="Arial" w:hAnsi="Arial" w:cs="Arial"/>
          <w:sz w:val="22"/>
          <w:szCs w:val="22"/>
        </w:rPr>
        <w:t xml:space="preserve"> (Accessed: 17 July 2026).</w:t>
      </w:r>
    </w:p>
    <w:p w14:paraId="07C39E1A"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Delgado, E., Serna, C., </w:t>
      </w:r>
      <w:proofErr w:type="spellStart"/>
      <w:r>
        <w:rPr>
          <w:rFonts w:ascii="Arial" w:hAnsi="Arial" w:cs="Arial"/>
          <w:sz w:val="22"/>
          <w:szCs w:val="22"/>
        </w:rPr>
        <w:t>Martínez</w:t>
      </w:r>
      <w:proofErr w:type="spellEnd"/>
      <w:r>
        <w:rPr>
          <w:rFonts w:ascii="Arial" w:hAnsi="Arial" w:cs="Arial"/>
          <w:sz w:val="22"/>
          <w:szCs w:val="22"/>
        </w:rPr>
        <w:t xml:space="preserve">, I. and Cruise, E. (2022) Parental attachment and peer relationships in adolescence: a systematic review. </w:t>
      </w:r>
      <w:r>
        <w:rPr>
          <w:rFonts w:ascii="Arial" w:hAnsi="Arial" w:cs="Arial"/>
          <w:i/>
          <w:iCs/>
          <w:sz w:val="22"/>
          <w:szCs w:val="22"/>
        </w:rPr>
        <w:t>International Journal of Environmental Research and Public Health</w:t>
      </w:r>
      <w:r>
        <w:rPr>
          <w:rFonts w:ascii="Arial" w:hAnsi="Arial" w:cs="Arial"/>
          <w:sz w:val="22"/>
          <w:szCs w:val="22"/>
        </w:rPr>
        <w:t xml:space="preserve">, 19(3), p. 1064. </w:t>
      </w:r>
      <w:hyperlink r:id="rId12" w:tgtFrame="_new" w:history="1">
        <w:r>
          <w:rPr>
            <w:rStyle w:val="Hyperlink"/>
            <w:rFonts w:ascii="Arial" w:hAnsi="Arial" w:cs="Arial"/>
            <w:sz w:val="22"/>
            <w:szCs w:val="22"/>
          </w:rPr>
          <w:t>https://doi.org/10.3390/ijerph19031064</w:t>
        </w:r>
      </w:hyperlink>
      <w:r>
        <w:rPr>
          <w:rFonts w:ascii="Arial" w:hAnsi="Arial" w:cs="Arial"/>
          <w:sz w:val="22"/>
          <w:szCs w:val="22"/>
        </w:rPr>
        <w:t xml:space="preserve"> (Accessed: 17 July 2026).</w:t>
      </w:r>
    </w:p>
    <w:p w14:paraId="10000002"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Department for Science, Innovation and Technology (2026) Fact sheet: new rules to protect children online. GOV.UK. Available at: </w:t>
      </w:r>
      <w:hyperlink r:id="rId13" w:tgtFrame="_new" w:history="1">
        <w:r>
          <w:rPr>
            <w:rStyle w:val="Hyperlink"/>
            <w:rFonts w:ascii="Arial" w:hAnsi="Arial" w:cs="Arial"/>
            <w:sz w:val="22"/>
            <w:szCs w:val="22"/>
          </w:rPr>
          <w:t>https://www.gov.uk/government/publications/fact-sheet-new-rules-to-protect-children-online/fact-sheet-new-rules-to-protect-children-online</w:t>
        </w:r>
      </w:hyperlink>
      <w:r>
        <w:rPr>
          <w:rFonts w:ascii="Arial" w:hAnsi="Arial" w:cs="Arial"/>
          <w:sz w:val="22"/>
          <w:szCs w:val="22"/>
        </w:rPr>
        <w:t xml:space="preserve"> (Accessed: 4 August 2026).</w:t>
      </w:r>
    </w:p>
    <w:p w14:paraId="7694F34E"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Erikson, E.H. (1968) </w:t>
      </w:r>
      <w:r>
        <w:rPr>
          <w:rFonts w:ascii="Arial" w:hAnsi="Arial" w:cs="Arial"/>
          <w:i/>
          <w:iCs/>
          <w:sz w:val="22"/>
          <w:szCs w:val="22"/>
        </w:rPr>
        <w:t>Identity: Youth and Crisis</w:t>
      </w:r>
      <w:r>
        <w:rPr>
          <w:rFonts w:ascii="Arial" w:hAnsi="Arial" w:cs="Arial"/>
          <w:sz w:val="22"/>
          <w:szCs w:val="22"/>
        </w:rPr>
        <w:t>. New York: W.W. Norton.</w:t>
      </w:r>
    </w:p>
    <w:p w14:paraId="10000003"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Greater London Authority (2025) Pioneering London leads the way as Mayor invests new £810,000 to boost mental health support in schools. London City Hall. Available at: </w:t>
      </w:r>
      <w:hyperlink r:id="rId14" w:tgtFrame="_new" w:history="1">
        <w:r>
          <w:rPr>
            <w:rStyle w:val="Hyperlink"/>
            <w:rFonts w:ascii="Arial" w:hAnsi="Arial" w:cs="Arial"/>
            <w:sz w:val="22"/>
            <w:szCs w:val="22"/>
          </w:rPr>
          <w:t>https://www.london.gov.uk/media-centre/mayors-press-releases/pioneering-london-leads-way-mayor-invests-new-ps810000-boost-mental-health-support-schools</w:t>
        </w:r>
      </w:hyperlink>
      <w:r>
        <w:rPr>
          <w:rFonts w:ascii="Arial" w:hAnsi="Arial" w:cs="Arial"/>
          <w:sz w:val="22"/>
          <w:szCs w:val="22"/>
        </w:rPr>
        <w:t xml:space="preserve"> (Accessed: 4 August 2026).</w:t>
      </w:r>
    </w:p>
    <w:p w14:paraId="10000004"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lastRenderedPageBreak/>
        <w:t xml:space="preserve">House of Commons Library (2026) Proposals to ban social media for children. Available at: </w:t>
      </w:r>
      <w:hyperlink r:id="rId15" w:tgtFrame="_new" w:history="1">
        <w:r>
          <w:rPr>
            <w:rStyle w:val="Hyperlink"/>
            <w:rFonts w:ascii="Arial" w:hAnsi="Arial" w:cs="Arial"/>
            <w:sz w:val="22"/>
            <w:szCs w:val="22"/>
          </w:rPr>
          <w:t>https://commonslibrary.parliament.uk/research-briefings/cbp-10468/</w:t>
        </w:r>
      </w:hyperlink>
      <w:r>
        <w:rPr>
          <w:rFonts w:ascii="Arial" w:hAnsi="Arial" w:cs="Arial"/>
          <w:sz w:val="22"/>
          <w:szCs w:val="22"/>
        </w:rPr>
        <w:t xml:space="preserve"> (Accessed: 4 August 2026).</w:t>
      </w:r>
    </w:p>
    <w:p w14:paraId="4B46E974"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Ivie</w:t>
      </w:r>
      <w:proofErr w:type="spellEnd"/>
      <w:r>
        <w:rPr>
          <w:rFonts w:ascii="Arial" w:hAnsi="Arial" w:cs="Arial"/>
          <w:sz w:val="22"/>
          <w:szCs w:val="22"/>
        </w:rPr>
        <w:t xml:space="preserve">, E.J., </w:t>
      </w:r>
      <w:proofErr w:type="spellStart"/>
      <w:r>
        <w:rPr>
          <w:rFonts w:ascii="Arial" w:hAnsi="Arial" w:cs="Arial"/>
          <w:sz w:val="22"/>
          <w:szCs w:val="22"/>
        </w:rPr>
        <w:t>Pettitt</w:t>
      </w:r>
      <w:proofErr w:type="spellEnd"/>
      <w:r>
        <w:rPr>
          <w:rFonts w:ascii="Arial" w:hAnsi="Arial" w:cs="Arial"/>
          <w:sz w:val="22"/>
          <w:szCs w:val="22"/>
        </w:rPr>
        <w:t xml:space="preserve">, A., Moses, L.J. and Allen, N.B. (2020) </w:t>
      </w:r>
      <w:proofErr w:type="gramStart"/>
      <w:r>
        <w:rPr>
          <w:rFonts w:ascii="Arial" w:hAnsi="Arial" w:cs="Arial"/>
          <w:sz w:val="22"/>
          <w:szCs w:val="22"/>
        </w:rPr>
        <w:t>A</w:t>
      </w:r>
      <w:proofErr w:type="gramEnd"/>
      <w:r>
        <w:rPr>
          <w:rFonts w:ascii="Arial" w:hAnsi="Arial" w:cs="Arial"/>
          <w:sz w:val="22"/>
          <w:szCs w:val="22"/>
        </w:rPr>
        <w:t xml:space="preserve"> meta-analysis of the association between adolescent social media use and depressive symptoms. </w:t>
      </w:r>
      <w:r>
        <w:rPr>
          <w:rFonts w:ascii="Arial" w:hAnsi="Arial" w:cs="Arial"/>
          <w:i/>
          <w:iCs/>
          <w:sz w:val="22"/>
          <w:szCs w:val="22"/>
        </w:rPr>
        <w:t>Journal of Affective Disorders</w:t>
      </w:r>
      <w:r>
        <w:rPr>
          <w:rFonts w:ascii="Arial" w:hAnsi="Arial" w:cs="Arial"/>
          <w:sz w:val="22"/>
          <w:szCs w:val="22"/>
        </w:rPr>
        <w:t xml:space="preserve">, 275, pp. 165–174. </w:t>
      </w:r>
      <w:hyperlink r:id="rId16" w:tgtFrame="_new" w:history="1">
        <w:r>
          <w:rPr>
            <w:rStyle w:val="Hyperlink"/>
            <w:rFonts w:ascii="Arial" w:hAnsi="Arial" w:cs="Arial"/>
            <w:sz w:val="22"/>
            <w:szCs w:val="22"/>
          </w:rPr>
          <w:t>https://doi.org/10.1016/j.jad.2020.06.014</w:t>
        </w:r>
      </w:hyperlink>
      <w:r>
        <w:rPr>
          <w:rFonts w:ascii="Arial" w:hAnsi="Arial" w:cs="Arial"/>
          <w:sz w:val="22"/>
          <w:szCs w:val="22"/>
        </w:rPr>
        <w:t xml:space="preserve"> (Accessed: 17 July 2026).</w:t>
      </w:r>
    </w:p>
    <w:p w14:paraId="7A76D331"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Jiotsa</w:t>
      </w:r>
      <w:proofErr w:type="spellEnd"/>
      <w:r>
        <w:rPr>
          <w:rFonts w:ascii="Arial" w:hAnsi="Arial" w:cs="Arial"/>
          <w:sz w:val="22"/>
          <w:szCs w:val="22"/>
        </w:rPr>
        <w:t xml:space="preserve">, B., </w:t>
      </w:r>
      <w:proofErr w:type="spellStart"/>
      <w:r>
        <w:rPr>
          <w:rFonts w:ascii="Arial" w:hAnsi="Arial" w:cs="Arial"/>
          <w:sz w:val="22"/>
          <w:szCs w:val="22"/>
        </w:rPr>
        <w:t>Naccache</w:t>
      </w:r>
      <w:proofErr w:type="spellEnd"/>
      <w:r>
        <w:rPr>
          <w:rFonts w:ascii="Arial" w:hAnsi="Arial" w:cs="Arial"/>
          <w:sz w:val="22"/>
          <w:szCs w:val="22"/>
        </w:rPr>
        <w:t xml:space="preserve">, B., Duval, M., </w:t>
      </w:r>
      <w:proofErr w:type="spellStart"/>
      <w:r>
        <w:rPr>
          <w:rFonts w:ascii="Arial" w:hAnsi="Arial" w:cs="Arial"/>
          <w:sz w:val="22"/>
          <w:szCs w:val="22"/>
        </w:rPr>
        <w:t>Rocher</w:t>
      </w:r>
      <w:proofErr w:type="spellEnd"/>
      <w:r>
        <w:rPr>
          <w:rFonts w:ascii="Arial" w:hAnsi="Arial" w:cs="Arial"/>
          <w:sz w:val="22"/>
          <w:szCs w:val="22"/>
        </w:rPr>
        <w:t xml:space="preserve">, B. and </w:t>
      </w:r>
      <w:proofErr w:type="spellStart"/>
      <w:r>
        <w:rPr>
          <w:rFonts w:ascii="Arial" w:hAnsi="Arial" w:cs="Arial"/>
          <w:sz w:val="22"/>
          <w:szCs w:val="22"/>
        </w:rPr>
        <w:t>Grall-Bronnec</w:t>
      </w:r>
      <w:proofErr w:type="spellEnd"/>
      <w:r>
        <w:rPr>
          <w:rFonts w:ascii="Arial" w:hAnsi="Arial" w:cs="Arial"/>
          <w:sz w:val="22"/>
          <w:szCs w:val="22"/>
        </w:rPr>
        <w:t xml:space="preserve">, M. (2021) Social media use and body image disorders: association between frequency of comparing one's own physical appearance to that of people being followed on social media and body dissatisfaction and drive for thinness. </w:t>
      </w:r>
      <w:r>
        <w:rPr>
          <w:rFonts w:ascii="Arial" w:hAnsi="Arial" w:cs="Arial"/>
          <w:i/>
          <w:iCs/>
          <w:sz w:val="22"/>
          <w:szCs w:val="22"/>
        </w:rPr>
        <w:t>International Journal of Environmental Research and Public Health</w:t>
      </w:r>
      <w:r>
        <w:rPr>
          <w:rFonts w:ascii="Arial" w:hAnsi="Arial" w:cs="Arial"/>
          <w:sz w:val="22"/>
          <w:szCs w:val="22"/>
        </w:rPr>
        <w:t xml:space="preserve">, 18(6), p. 2880. </w:t>
      </w:r>
      <w:hyperlink r:id="rId17" w:tgtFrame="_new" w:history="1">
        <w:r>
          <w:rPr>
            <w:rStyle w:val="Hyperlink"/>
            <w:rFonts w:ascii="Arial" w:hAnsi="Arial" w:cs="Arial"/>
            <w:sz w:val="22"/>
            <w:szCs w:val="22"/>
          </w:rPr>
          <w:t>https://doi.org/10.3390/ijerph18062880</w:t>
        </w:r>
      </w:hyperlink>
      <w:r>
        <w:rPr>
          <w:rFonts w:ascii="Arial" w:hAnsi="Arial" w:cs="Arial"/>
          <w:sz w:val="22"/>
          <w:szCs w:val="22"/>
        </w:rPr>
        <w:t xml:space="preserve"> (Accessed: 17 July 2026).</w:t>
      </w:r>
    </w:p>
    <w:p w14:paraId="3B90E6A7"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Keles</w:t>
      </w:r>
      <w:proofErr w:type="spellEnd"/>
      <w:r>
        <w:rPr>
          <w:rFonts w:ascii="Arial" w:hAnsi="Arial" w:cs="Arial"/>
          <w:sz w:val="22"/>
          <w:szCs w:val="22"/>
        </w:rPr>
        <w:t xml:space="preserve">, B., McCrae, N. and </w:t>
      </w:r>
      <w:proofErr w:type="spellStart"/>
      <w:r>
        <w:rPr>
          <w:rFonts w:ascii="Arial" w:hAnsi="Arial" w:cs="Arial"/>
          <w:sz w:val="22"/>
          <w:szCs w:val="22"/>
        </w:rPr>
        <w:t>Grealish</w:t>
      </w:r>
      <w:proofErr w:type="spellEnd"/>
      <w:r>
        <w:rPr>
          <w:rFonts w:ascii="Arial" w:hAnsi="Arial" w:cs="Arial"/>
          <w:sz w:val="22"/>
          <w:szCs w:val="22"/>
        </w:rPr>
        <w:t xml:space="preserve">, A. (2020) </w:t>
      </w:r>
      <w:proofErr w:type="gramStart"/>
      <w:r>
        <w:rPr>
          <w:rFonts w:ascii="Arial" w:hAnsi="Arial" w:cs="Arial"/>
          <w:sz w:val="22"/>
          <w:szCs w:val="22"/>
        </w:rPr>
        <w:t>A</w:t>
      </w:r>
      <w:proofErr w:type="gramEnd"/>
      <w:r>
        <w:rPr>
          <w:rFonts w:ascii="Arial" w:hAnsi="Arial" w:cs="Arial"/>
          <w:sz w:val="22"/>
          <w:szCs w:val="22"/>
        </w:rPr>
        <w:t xml:space="preserve"> systematic review: the influence of social media on depression, anxiety and psychological distress in adolescents. </w:t>
      </w:r>
      <w:r>
        <w:rPr>
          <w:rFonts w:ascii="Arial" w:hAnsi="Arial" w:cs="Arial"/>
          <w:i/>
          <w:iCs/>
          <w:sz w:val="22"/>
          <w:szCs w:val="22"/>
        </w:rPr>
        <w:t>International Journal of Adolescence and Youth</w:t>
      </w:r>
      <w:r>
        <w:rPr>
          <w:rFonts w:ascii="Arial" w:hAnsi="Arial" w:cs="Arial"/>
          <w:sz w:val="22"/>
          <w:szCs w:val="22"/>
        </w:rPr>
        <w:t xml:space="preserve">, 25(1), pp. 79–93. </w:t>
      </w:r>
      <w:hyperlink r:id="rId18" w:tgtFrame="_new" w:history="1">
        <w:r>
          <w:rPr>
            <w:rStyle w:val="Hyperlink"/>
            <w:rFonts w:ascii="Arial" w:hAnsi="Arial" w:cs="Arial"/>
            <w:sz w:val="22"/>
            <w:szCs w:val="22"/>
          </w:rPr>
          <w:t>https://doi.org/10.1080/02673843.2019.1590851</w:t>
        </w:r>
      </w:hyperlink>
      <w:r>
        <w:rPr>
          <w:rFonts w:ascii="Arial" w:hAnsi="Arial" w:cs="Arial"/>
          <w:sz w:val="22"/>
          <w:szCs w:val="22"/>
        </w:rPr>
        <w:t xml:space="preserve"> (Accessed: 17 July 2026).</w:t>
      </w:r>
    </w:p>
    <w:p w14:paraId="40ED6537"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Liu, M., </w:t>
      </w:r>
      <w:proofErr w:type="spellStart"/>
      <w:r>
        <w:rPr>
          <w:rFonts w:ascii="Arial" w:hAnsi="Arial" w:cs="Arial"/>
          <w:sz w:val="22"/>
          <w:szCs w:val="22"/>
        </w:rPr>
        <w:t>Kamper</w:t>
      </w:r>
      <w:proofErr w:type="spellEnd"/>
      <w:r>
        <w:rPr>
          <w:rFonts w:ascii="Arial" w:hAnsi="Arial" w:cs="Arial"/>
          <w:sz w:val="22"/>
          <w:szCs w:val="22"/>
        </w:rPr>
        <w:t xml:space="preserve">-DeMarco, K.E., Zhang, J., Xiao, J., Dong, D. and </w:t>
      </w:r>
      <w:proofErr w:type="spellStart"/>
      <w:r>
        <w:rPr>
          <w:rFonts w:ascii="Arial" w:hAnsi="Arial" w:cs="Arial"/>
          <w:sz w:val="22"/>
          <w:szCs w:val="22"/>
        </w:rPr>
        <w:t>Xue</w:t>
      </w:r>
      <w:proofErr w:type="spellEnd"/>
      <w:r>
        <w:rPr>
          <w:rFonts w:ascii="Arial" w:hAnsi="Arial" w:cs="Arial"/>
          <w:sz w:val="22"/>
          <w:szCs w:val="22"/>
        </w:rPr>
        <w:t xml:space="preserve">, P. (2022) Time spent on social media and risk of depression in adolescents: a dose-response meta-analysis. </w:t>
      </w:r>
      <w:r>
        <w:rPr>
          <w:rFonts w:ascii="Arial" w:hAnsi="Arial" w:cs="Arial"/>
          <w:i/>
          <w:iCs/>
          <w:sz w:val="22"/>
          <w:szCs w:val="22"/>
        </w:rPr>
        <w:t>International Journal of Environmental Research and Public Health</w:t>
      </w:r>
      <w:r>
        <w:rPr>
          <w:rFonts w:ascii="Arial" w:hAnsi="Arial" w:cs="Arial"/>
          <w:sz w:val="22"/>
          <w:szCs w:val="22"/>
        </w:rPr>
        <w:t xml:space="preserve">, 19(9), p. 5164. </w:t>
      </w:r>
      <w:hyperlink r:id="rId19" w:tgtFrame="_new" w:history="1">
        <w:r>
          <w:rPr>
            <w:rStyle w:val="Hyperlink"/>
            <w:rFonts w:ascii="Arial" w:hAnsi="Arial" w:cs="Arial"/>
            <w:sz w:val="22"/>
            <w:szCs w:val="22"/>
          </w:rPr>
          <w:t>https://doi.org/10.3390/ijerph19095164</w:t>
        </w:r>
      </w:hyperlink>
      <w:r>
        <w:rPr>
          <w:rFonts w:ascii="Arial" w:hAnsi="Arial" w:cs="Arial"/>
          <w:sz w:val="22"/>
          <w:szCs w:val="22"/>
        </w:rPr>
        <w:t xml:space="preserve"> (Accessed: 17 July 2026).</w:t>
      </w:r>
    </w:p>
    <w:p w14:paraId="6E50D2EF"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Mahon, C. and </w:t>
      </w:r>
      <w:proofErr w:type="spellStart"/>
      <w:r>
        <w:rPr>
          <w:rFonts w:ascii="Arial" w:hAnsi="Arial" w:cs="Arial"/>
          <w:sz w:val="22"/>
          <w:szCs w:val="22"/>
        </w:rPr>
        <w:t>Hevey</w:t>
      </w:r>
      <w:proofErr w:type="spellEnd"/>
      <w:r>
        <w:rPr>
          <w:rFonts w:ascii="Arial" w:hAnsi="Arial" w:cs="Arial"/>
          <w:sz w:val="22"/>
          <w:szCs w:val="22"/>
        </w:rPr>
        <w:t xml:space="preserve">, D. (2021) Processing body image on social media: gender differences in adolescent boys' and girls' agency and active coping. </w:t>
      </w:r>
      <w:r>
        <w:rPr>
          <w:rFonts w:ascii="Arial" w:hAnsi="Arial" w:cs="Arial"/>
          <w:i/>
          <w:iCs/>
          <w:sz w:val="22"/>
          <w:szCs w:val="22"/>
        </w:rPr>
        <w:t>Frontiers in Psychology</w:t>
      </w:r>
      <w:r>
        <w:rPr>
          <w:rFonts w:ascii="Arial" w:hAnsi="Arial" w:cs="Arial"/>
          <w:sz w:val="22"/>
          <w:szCs w:val="22"/>
        </w:rPr>
        <w:t xml:space="preserve">, 12, p. 626763. </w:t>
      </w:r>
      <w:hyperlink r:id="rId20" w:tgtFrame="_new" w:history="1">
        <w:r>
          <w:rPr>
            <w:rStyle w:val="Hyperlink"/>
            <w:rFonts w:ascii="Arial" w:hAnsi="Arial" w:cs="Arial"/>
            <w:sz w:val="22"/>
            <w:szCs w:val="22"/>
          </w:rPr>
          <w:t>https://doi.org/10.3389/fpsyg.2021.626763</w:t>
        </w:r>
      </w:hyperlink>
      <w:r>
        <w:rPr>
          <w:rFonts w:ascii="Arial" w:hAnsi="Arial" w:cs="Arial"/>
          <w:sz w:val="22"/>
          <w:szCs w:val="22"/>
        </w:rPr>
        <w:t xml:space="preserve"> (Accessed: 17 July 2026).</w:t>
      </w:r>
    </w:p>
    <w:p w14:paraId="2DB90081"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Marciano, L., </w:t>
      </w:r>
      <w:proofErr w:type="spellStart"/>
      <w:r>
        <w:rPr>
          <w:rFonts w:ascii="Arial" w:hAnsi="Arial" w:cs="Arial"/>
          <w:sz w:val="22"/>
          <w:szCs w:val="22"/>
        </w:rPr>
        <w:t>Ostroumova</w:t>
      </w:r>
      <w:proofErr w:type="spellEnd"/>
      <w:r>
        <w:rPr>
          <w:rFonts w:ascii="Arial" w:hAnsi="Arial" w:cs="Arial"/>
          <w:sz w:val="22"/>
          <w:szCs w:val="22"/>
        </w:rPr>
        <w:t xml:space="preserve">, M., Schulz, P.J. and </w:t>
      </w:r>
      <w:proofErr w:type="spellStart"/>
      <w:r>
        <w:rPr>
          <w:rFonts w:ascii="Arial" w:hAnsi="Arial" w:cs="Arial"/>
          <w:sz w:val="22"/>
          <w:szCs w:val="22"/>
        </w:rPr>
        <w:t>Camerini</w:t>
      </w:r>
      <w:proofErr w:type="spellEnd"/>
      <w:r>
        <w:rPr>
          <w:rFonts w:ascii="Arial" w:hAnsi="Arial" w:cs="Arial"/>
          <w:sz w:val="22"/>
          <w:szCs w:val="22"/>
        </w:rPr>
        <w:t xml:space="preserve">, A.-L. (2022) Digital media use and adolescents' mental health during the COVID-19 pandemic: a systematic review and meta-analysis. </w:t>
      </w:r>
      <w:r>
        <w:rPr>
          <w:rFonts w:ascii="Arial" w:hAnsi="Arial" w:cs="Arial"/>
          <w:i/>
          <w:iCs/>
          <w:sz w:val="22"/>
          <w:szCs w:val="22"/>
        </w:rPr>
        <w:t>Frontiers in Public Health</w:t>
      </w:r>
      <w:r>
        <w:rPr>
          <w:rFonts w:ascii="Arial" w:hAnsi="Arial" w:cs="Arial"/>
          <w:sz w:val="22"/>
          <w:szCs w:val="22"/>
        </w:rPr>
        <w:t xml:space="preserve">, 9, p. 793868. </w:t>
      </w:r>
      <w:hyperlink r:id="rId21" w:tgtFrame="_new" w:history="1">
        <w:r>
          <w:rPr>
            <w:rStyle w:val="Hyperlink"/>
            <w:rFonts w:ascii="Arial" w:hAnsi="Arial" w:cs="Arial"/>
            <w:sz w:val="22"/>
            <w:szCs w:val="22"/>
          </w:rPr>
          <w:t>https://doi.org/10.3389/fpubh.2021.793868</w:t>
        </w:r>
      </w:hyperlink>
      <w:r>
        <w:rPr>
          <w:rFonts w:ascii="Arial" w:hAnsi="Arial" w:cs="Arial"/>
          <w:sz w:val="22"/>
          <w:szCs w:val="22"/>
        </w:rPr>
        <w:t xml:space="preserve"> (Accessed: 17 July 2026).</w:t>
      </w:r>
    </w:p>
    <w:p w14:paraId="2D551B13"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McCrory</w:t>
      </w:r>
      <w:proofErr w:type="spellEnd"/>
      <w:r>
        <w:rPr>
          <w:rFonts w:ascii="Arial" w:hAnsi="Arial" w:cs="Arial"/>
          <w:sz w:val="22"/>
          <w:szCs w:val="22"/>
        </w:rPr>
        <w:t xml:space="preserve">, A., Best, P. and </w:t>
      </w:r>
      <w:proofErr w:type="spellStart"/>
      <w:r>
        <w:rPr>
          <w:rFonts w:ascii="Arial" w:hAnsi="Arial" w:cs="Arial"/>
          <w:sz w:val="22"/>
          <w:szCs w:val="22"/>
        </w:rPr>
        <w:t>Maddock</w:t>
      </w:r>
      <w:proofErr w:type="spellEnd"/>
      <w:r>
        <w:rPr>
          <w:rFonts w:ascii="Arial" w:hAnsi="Arial" w:cs="Arial"/>
          <w:sz w:val="22"/>
          <w:szCs w:val="22"/>
        </w:rPr>
        <w:t xml:space="preserve">, A. (2020) </w:t>
      </w:r>
      <w:proofErr w:type="gramStart"/>
      <w:r>
        <w:rPr>
          <w:rFonts w:ascii="Arial" w:hAnsi="Arial" w:cs="Arial"/>
          <w:sz w:val="22"/>
          <w:szCs w:val="22"/>
        </w:rPr>
        <w:t>The</w:t>
      </w:r>
      <w:proofErr w:type="gramEnd"/>
      <w:r>
        <w:rPr>
          <w:rFonts w:ascii="Arial" w:hAnsi="Arial" w:cs="Arial"/>
          <w:sz w:val="22"/>
          <w:szCs w:val="22"/>
        </w:rPr>
        <w:t xml:space="preserve"> relationship between highly visual social media and young people's mental health: a scoping review. </w:t>
      </w:r>
      <w:r>
        <w:rPr>
          <w:rFonts w:ascii="Arial" w:hAnsi="Arial" w:cs="Arial"/>
          <w:i/>
          <w:iCs/>
          <w:sz w:val="22"/>
          <w:szCs w:val="22"/>
        </w:rPr>
        <w:t>Children and Youth Services Review</w:t>
      </w:r>
      <w:r>
        <w:rPr>
          <w:rFonts w:ascii="Arial" w:hAnsi="Arial" w:cs="Arial"/>
          <w:sz w:val="22"/>
          <w:szCs w:val="22"/>
        </w:rPr>
        <w:t xml:space="preserve">, 115, p. 105053. </w:t>
      </w:r>
      <w:hyperlink r:id="rId22" w:tgtFrame="_new" w:history="1">
        <w:r>
          <w:rPr>
            <w:rStyle w:val="Hyperlink"/>
            <w:rFonts w:ascii="Arial" w:hAnsi="Arial" w:cs="Arial"/>
            <w:sz w:val="22"/>
            <w:szCs w:val="22"/>
          </w:rPr>
          <w:t>https://doi.org/10.1016/j.childyouth.2020.105053</w:t>
        </w:r>
      </w:hyperlink>
      <w:r>
        <w:rPr>
          <w:rFonts w:ascii="Arial" w:hAnsi="Arial" w:cs="Arial"/>
          <w:sz w:val="22"/>
          <w:szCs w:val="22"/>
        </w:rPr>
        <w:t xml:space="preserve"> (Accessed: 17 July 2026).</w:t>
      </w:r>
    </w:p>
    <w:p w14:paraId="34FC62F2"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lastRenderedPageBreak/>
        <w:t>Orben</w:t>
      </w:r>
      <w:proofErr w:type="spellEnd"/>
      <w:r>
        <w:rPr>
          <w:rFonts w:ascii="Arial" w:hAnsi="Arial" w:cs="Arial"/>
          <w:sz w:val="22"/>
          <w:szCs w:val="22"/>
        </w:rPr>
        <w:t xml:space="preserve">, A., </w:t>
      </w:r>
      <w:proofErr w:type="spellStart"/>
      <w:r>
        <w:rPr>
          <w:rFonts w:ascii="Arial" w:hAnsi="Arial" w:cs="Arial"/>
          <w:sz w:val="22"/>
          <w:szCs w:val="22"/>
        </w:rPr>
        <w:t>Przybylski</w:t>
      </w:r>
      <w:proofErr w:type="spellEnd"/>
      <w:r>
        <w:rPr>
          <w:rFonts w:ascii="Arial" w:hAnsi="Arial" w:cs="Arial"/>
          <w:sz w:val="22"/>
          <w:szCs w:val="22"/>
        </w:rPr>
        <w:t xml:space="preserve">, A.K., Blakemore, S.-J. </w:t>
      </w:r>
      <w:proofErr w:type="gramStart"/>
      <w:r>
        <w:rPr>
          <w:rFonts w:ascii="Arial" w:hAnsi="Arial" w:cs="Arial"/>
          <w:sz w:val="22"/>
          <w:szCs w:val="22"/>
        </w:rPr>
        <w:t>and</w:t>
      </w:r>
      <w:proofErr w:type="gramEnd"/>
      <w:r>
        <w:rPr>
          <w:rFonts w:ascii="Arial" w:hAnsi="Arial" w:cs="Arial"/>
          <w:sz w:val="22"/>
          <w:szCs w:val="22"/>
        </w:rPr>
        <w:t xml:space="preserve"> </w:t>
      </w:r>
      <w:proofErr w:type="spellStart"/>
      <w:r>
        <w:rPr>
          <w:rFonts w:ascii="Arial" w:hAnsi="Arial" w:cs="Arial"/>
          <w:sz w:val="22"/>
          <w:szCs w:val="22"/>
        </w:rPr>
        <w:t>Kievit</w:t>
      </w:r>
      <w:proofErr w:type="spellEnd"/>
      <w:r>
        <w:rPr>
          <w:rFonts w:ascii="Arial" w:hAnsi="Arial" w:cs="Arial"/>
          <w:sz w:val="22"/>
          <w:szCs w:val="22"/>
        </w:rPr>
        <w:t xml:space="preserve">, R.A. (2022) Windows of developmental sensitivity to social media. </w:t>
      </w:r>
      <w:r>
        <w:rPr>
          <w:rFonts w:ascii="Arial" w:hAnsi="Arial" w:cs="Arial"/>
          <w:i/>
          <w:iCs/>
          <w:sz w:val="22"/>
          <w:szCs w:val="22"/>
        </w:rPr>
        <w:t>Nature Communications</w:t>
      </w:r>
      <w:r>
        <w:rPr>
          <w:rFonts w:ascii="Arial" w:hAnsi="Arial" w:cs="Arial"/>
          <w:sz w:val="22"/>
          <w:szCs w:val="22"/>
        </w:rPr>
        <w:t xml:space="preserve">, 13(1), p. 1649. </w:t>
      </w:r>
      <w:hyperlink r:id="rId23" w:tgtFrame="_new" w:history="1">
        <w:r>
          <w:rPr>
            <w:rStyle w:val="Hyperlink"/>
            <w:rFonts w:ascii="Arial" w:hAnsi="Arial" w:cs="Arial"/>
            <w:sz w:val="22"/>
            <w:szCs w:val="22"/>
          </w:rPr>
          <w:t>https://doi.org/10.1038/s41467-022-29296-3</w:t>
        </w:r>
      </w:hyperlink>
      <w:r>
        <w:rPr>
          <w:rFonts w:ascii="Arial" w:hAnsi="Arial" w:cs="Arial"/>
          <w:sz w:val="22"/>
          <w:szCs w:val="22"/>
        </w:rPr>
        <w:t xml:space="preserve"> (Accessed: 17 July 2026).</w:t>
      </w:r>
    </w:p>
    <w:p w14:paraId="10000005"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Osborne Clarke (2026) Digital regulation. UK Regulatory Outlook February 2026. Available at: </w:t>
      </w:r>
      <w:hyperlink r:id="rId24" w:tgtFrame="_new" w:history="1">
        <w:r>
          <w:rPr>
            <w:rStyle w:val="Hyperlink"/>
            <w:rFonts w:ascii="Arial" w:hAnsi="Arial" w:cs="Arial"/>
            <w:sz w:val="22"/>
            <w:szCs w:val="22"/>
          </w:rPr>
          <w:t>https://www.osborneclarke.com/insights/regulatory-outlook-february-2026-digital-regulation</w:t>
        </w:r>
      </w:hyperlink>
      <w:r>
        <w:rPr>
          <w:rFonts w:ascii="Arial" w:hAnsi="Arial" w:cs="Arial"/>
          <w:sz w:val="22"/>
          <w:szCs w:val="22"/>
        </w:rPr>
        <w:t xml:space="preserve"> (Accessed: 4 August 2026).</w:t>
      </w:r>
    </w:p>
    <w:p w14:paraId="516CBCD9"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Plackett</w:t>
      </w:r>
      <w:proofErr w:type="spellEnd"/>
      <w:r>
        <w:rPr>
          <w:rFonts w:ascii="Arial" w:hAnsi="Arial" w:cs="Arial"/>
          <w:sz w:val="22"/>
          <w:szCs w:val="22"/>
        </w:rPr>
        <w:t xml:space="preserve">, R., </w:t>
      </w:r>
      <w:proofErr w:type="spellStart"/>
      <w:r>
        <w:rPr>
          <w:rFonts w:ascii="Arial" w:hAnsi="Arial" w:cs="Arial"/>
          <w:sz w:val="22"/>
          <w:szCs w:val="22"/>
        </w:rPr>
        <w:t>Sheringham</w:t>
      </w:r>
      <w:proofErr w:type="spellEnd"/>
      <w:r>
        <w:rPr>
          <w:rFonts w:ascii="Arial" w:hAnsi="Arial" w:cs="Arial"/>
          <w:sz w:val="22"/>
          <w:szCs w:val="22"/>
        </w:rPr>
        <w:t xml:space="preserve">, J. and </w:t>
      </w:r>
      <w:proofErr w:type="spellStart"/>
      <w:r>
        <w:rPr>
          <w:rFonts w:ascii="Arial" w:hAnsi="Arial" w:cs="Arial"/>
          <w:sz w:val="22"/>
          <w:szCs w:val="22"/>
        </w:rPr>
        <w:t>Dykxhoorn</w:t>
      </w:r>
      <w:proofErr w:type="spellEnd"/>
      <w:r>
        <w:rPr>
          <w:rFonts w:ascii="Arial" w:hAnsi="Arial" w:cs="Arial"/>
          <w:sz w:val="22"/>
          <w:szCs w:val="22"/>
        </w:rPr>
        <w:t xml:space="preserve">, J. (2023) </w:t>
      </w:r>
      <w:proofErr w:type="gramStart"/>
      <w:r>
        <w:rPr>
          <w:rFonts w:ascii="Arial" w:hAnsi="Arial" w:cs="Arial"/>
          <w:sz w:val="22"/>
          <w:szCs w:val="22"/>
        </w:rPr>
        <w:t>The</w:t>
      </w:r>
      <w:proofErr w:type="gramEnd"/>
      <w:r>
        <w:rPr>
          <w:rFonts w:ascii="Arial" w:hAnsi="Arial" w:cs="Arial"/>
          <w:sz w:val="22"/>
          <w:szCs w:val="22"/>
        </w:rPr>
        <w:t xml:space="preserve"> longitudinal impact of social media use on UK adolescents' mental health: longitudinal observational study. </w:t>
      </w:r>
      <w:r>
        <w:rPr>
          <w:rFonts w:ascii="Arial" w:hAnsi="Arial" w:cs="Arial"/>
          <w:i/>
          <w:iCs/>
          <w:sz w:val="22"/>
          <w:szCs w:val="22"/>
        </w:rPr>
        <w:t>Journal of Medical Internet Research</w:t>
      </w:r>
      <w:r>
        <w:rPr>
          <w:rFonts w:ascii="Arial" w:hAnsi="Arial" w:cs="Arial"/>
          <w:sz w:val="22"/>
          <w:szCs w:val="22"/>
        </w:rPr>
        <w:t xml:space="preserve">, 25, e43213. </w:t>
      </w:r>
      <w:hyperlink r:id="rId25" w:tgtFrame="_new" w:history="1">
        <w:r>
          <w:rPr>
            <w:rStyle w:val="Hyperlink"/>
            <w:rFonts w:ascii="Arial" w:hAnsi="Arial" w:cs="Arial"/>
            <w:sz w:val="22"/>
            <w:szCs w:val="22"/>
          </w:rPr>
          <w:t>https://doi.org/10.2196/43213</w:t>
        </w:r>
      </w:hyperlink>
      <w:r>
        <w:rPr>
          <w:rFonts w:ascii="Arial" w:hAnsi="Arial" w:cs="Arial"/>
          <w:sz w:val="22"/>
          <w:szCs w:val="22"/>
        </w:rPr>
        <w:t xml:space="preserve"> (Accessed: 17 July 2026).</w:t>
      </w:r>
    </w:p>
    <w:p w14:paraId="5395AFFD"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Shannon, H., Bush, K., Villeneuve, P.J., </w:t>
      </w:r>
      <w:proofErr w:type="spellStart"/>
      <w:r>
        <w:rPr>
          <w:rFonts w:ascii="Arial" w:hAnsi="Arial" w:cs="Arial"/>
          <w:sz w:val="22"/>
          <w:szCs w:val="22"/>
        </w:rPr>
        <w:t>Hellemans</w:t>
      </w:r>
      <w:proofErr w:type="spellEnd"/>
      <w:r>
        <w:rPr>
          <w:rFonts w:ascii="Arial" w:hAnsi="Arial" w:cs="Arial"/>
          <w:sz w:val="22"/>
          <w:szCs w:val="22"/>
        </w:rPr>
        <w:t xml:space="preserve">, K.G.C. and </w:t>
      </w:r>
      <w:proofErr w:type="spellStart"/>
      <w:r>
        <w:rPr>
          <w:rFonts w:ascii="Arial" w:hAnsi="Arial" w:cs="Arial"/>
          <w:sz w:val="22"/>
          <w:szCs w:val="22"/>
        </w:rPr>
        <w:t>Guimond</w:t>
      </w:r>
      <w:proofErr w:type="spellEnd"/>
      <w:r>
        <w:rPr>
          <w:rFonts w:ascii="Arial" w:hAnsi="Arial" w:cs="Arial"/>
          <w:sz w:val="22"/>
          <w:szCs w:val="22"/>
        </w:rPr>
        <w:t xml:space="preserve">, S. (2022) Problematic social media use in adolescents and young adults: systematic review and meta-analysis. </w:t>
      </w:r>
      <w:r>
        <w:rPr>
          <w:rFonts w:ascii="Arial" w:hAnsi="Arial" w:cs="Arial"/>
          <w:i/>
          <w:iCs/>
          <w:sz w:val="22"/>
          <w:szCs w:val="22"/>
        </w:rPr>
        <w:t>JMIR Mental Health</w:t>
      </w:r>
      <w:r>
        <w:rPr>
          <w:rFonts w:ascii="Arial" w:hAnsi="Arial" w:cs="Arial"/>
          <w:sz w:val="22"/>
          <w:szCs w:val="22"/>
        </w:rPr>
        <w:t xml:space="preserve">, 9(4), e33450. </w:t>
      </w:r>
      <w:hyperlink r:id="rId26" w:tgtFrame="_new" w:history="1">
        <w:r>
          <w:rPr>
            <w:rStyle w:val="Hyperlink"/>
            <w:rFonts w:ascii="Arial" w:hAnsi="Arial" w:cs="Arial"/>
            <w:sz w:val="22"/>
            <w:szCs w:val="22"/>
          </w:rPr>
          <w:t>https://doi.org/10.2196/33450</w:t>
        </w:r>
      </w:hyperlink>
      <w:r>
        <w:rPr>
          <w:rFonts w:ascii="Arial" w:hAnsi="Arial" w:cs="Arial"/>
          <w:sz w:val="22"/>
          <w:szCs w:val="22"/>
        </w:rPr>
        <w:t xml:space="preserve"> (Accessed: 17 July 2026).</w:t>
      </w:r>
    </w:p>
    <w:p w14:paraId="308D70FA"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Valkenburg</w:t>
      </w:r>
      <w:proofErr w:type="spellEnd"/>
      <w:r>
        <w:rPr>
          <w:rFonts w:ascii="Arial" w:hAnsi="Arial" w:cs="Arial"/>
          <w:sz w:val="22"/>
          <w:szCs w:val="22"/>
        </w:rPr>
        <w:t xml:space="preserve">, P.M., Meier, A. and </w:t>
      </w:r>
      <w:proofErr w:type="spellStart"/>
      <w:r>
        <w:rPr>
          <w:rFonts w:ascii="Arial" w:hAnsi="Arial" w:cs="Arial"/>
          <w:sz w:val="22"/>
          <w:szCs w:val="22"/>
        </w:rPr>
        <w:t>Beyens</w:t>
      </w:r>
      <w:proofErr w:type="spellEnd"/>
      <w:r>
        <w:rPr>
          <w:rFonts w:ascii="Arial" w:hAnsi="Arial" w:cs="Arial"/>
          <w:sz w:val="22"/>
          <w:szCs w:val="22"/>
        </w:rPr>
        <w:t xml:space="preserve">, I. (2022) Social media use and its impact on adolescent mental health: an umbrella review of the evidence. </w:t>
      </w:r>
      <w:r>
        <w:rPr>
          <w:rFonts w:ascii="Arial" w:hAnsi="Arial" w:cs="Arial"/>
          <w:i/>
          <w:iCs/>
          <w:sz w:val="22"/>
          <w:szCs w:val="22"/>
        </w:rPr>
        <w:t>Current Opinion in Psychology</w:t>
      </w:r>
      <w:r>
        <w:rPr>
          <w:rFonts w:ascii="Arial" w:hAnsi="Arial" w:cs="Arial"/>
          <w:sz w:val="22"/>
          <w:szCs w:val="22"/>
        </w:rPr>
        <w:t xml:space="preserve">, 44, pp. 58–68. </w:t>
      </w:r>
      <w:hyperlink r:id="rId27" w:tgtFrame="_new" w:history="1">
        <w:r>
          <w:rPr>
            <w:rStyle w:val="Hyperlink"/>
            <w:rFonts w:ascii="Arial" w:hAnsi="Arial" w:cs="Arial"/>
            <w:sz w:val="22"/>
            <w:szCs w:val="22"/>
          </w:rPr>
          <w:t>https://doi.org/10.1016/j.copsyc.2021.08.017</w:t>
        </w:r>
      </w:hyperlink>
      <w:r>
        <w:rPr>
          <w:rFonts w:ascii="Arial" w:hAnsi="Arial" w:cs="Arial"/>
          <w:sz w:val="22"/>
          <w:szCs w:val="22"/>
        </w:rPr>
        <w:t xml:space="preserve"> (Accessed: 17 July 2026).</w:t>
      </w:r>
    </w:p>
    <w:p w14:paraId="1C63A59F" w14:textId="5ECBB5C3" w:rsidR="00801356" w:rsidRPr="00517D57" w:rsidRDefault="00801356" w:rsidP="00517D57">
      <w:pPr>
        <w:spacing w:before="240"/>
        <w:rPr>
          <w:rFonts w:ascii="Arial" w:hAnsi="Arial" w:cs="Arial"/>
          <w:sz w:val="22"/>
          <w:szCs w:val="22"/>
        </w:rPr>
      </w:pPr>
    </w:p>
    <w:sectPr w:rsidR="00801356" w:rsidRPr="00517D57">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577DC0" w14:textId="77777777" w:rsidR="008E5E54" w:rsidRDefault="008E5E54">
      <w:r>
        <w:separator/>
      </w:r>
    </w:p>
  </w:endnote>
  <w:endnote w:type="continuationSeparator" w:id="0">
    <w:p w14:paraId="73A03F83" w14:textId="77777777" w:rsidR="008E5E54" w:rsidRDefault="008E5E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4CE650" w14:textId="77777777" w:rsidR="00801356" w:rsidRDefault="0014026D">
    <w:pPr>
      <w:jc w:val="cente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CC5507">
      <w:rPr>
        <w:rFonts w:ascii="Arial" w:eastAsia="Arial" w:hAnsi="Arial" w:cs="Arial"/>
        <w:noProof/>
        <w:sz w:val="22"/>
        <w:szCs w:val="22"/>
      </w:rPr>
      <w:t>9</w:t>
    </w:r>
    <w:r>
      <w:rPr>
        <w:rFonts w:ascii="Arial" w:eastAsia="Arial" w:hAnsi="Arial" w:cs="Arial"/>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F2F6FA" w14:textId="77777777" w:rsidR="008E5E54" w:rsidRDefault="008E5E54">
      <w:r>
        <w:separator/>
      </w:r>
    </w:p>
  </w:footnote>
  <w:footnote w:type="continuationSeparator" w:id="0">
    <w:p w14:paraId="4AC0F65F" w14:textId="77777777" w:rsidR="008E5E54" w:rsidRDefault="008E5E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C310B4" w14:textId="77777777" w:rsidR="00801356" w:rsidRDefault="00801356"/>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A015315"/>
    <w:multiLevelType w:val="hybridMultilevel"/>
    <w:tmpl w:val="381E6888"/>
    <w:lvl w:ilvl="0" w:tplc="9064BC1E">
      <w:start w:val="1"/>
      <w:numFmt w:val="bullet"/>
      <w:lvlText w:val="●"/>
      <w:lvlJc w:val="left"/>
      <w:pPr>
        <w:ind w:left="720" w:hanging="360"/>
      </w:pPr>
    </w:lvl>
    <w:lvl w:ilvl="1" w:tplc="6B6EEE96">
      <w:start w:val="1"/>
      <w:numFmt w:val="bullet"/>
      <w:lvlText w:val="○"/>
      <w:lvlJc w:val="left"/>
      <w:pPr>
        <w:ind w:left="1440" w:hanging="360"/>
      </w:pPr>
    </w:lvl>
    <w:lvl w:ilvl="2" w:tplc="A5264276">
      <w:start w:val="1"/>
      <w:numFmt w:val="bullet"/>
      <w:lvlText w:val="■"/>
      <w:lvlJc w:val="left"/>
      <w:pPr>
        <w:ind w:left="2160" w:hanging="360"/>
      </w:pPr>
    </w:lvl>
    <w:lvl w:ilvl="3" w:tplc="290E82B4">
      <w:start w:val="1"/>
      <w:numFmt w:val="bullet"/>
      <w:lvlText w:val="●"/>
      <w:lvlJc w:val="left"/>
      <w:pPr>
        <w:ind w:left="2880" w:hanging="360"/>
      </w:pPr>
    </w:lvl>
    <w:lvl w:ilvl="4" w:tplc="AB4E826E">
      <w:start w:val="1"/>
      <w:numFmt w:val="bullet"/>
      <w:lvlText w:val="○"/>
      <w:lvlJc w:val="left"/>
      <w:pPr>
        <w:ind w:left="3600" w:hanging="360"/>
      </w:pPr>
    </w:lvl>
    <w:lvl w:ilvl="5" w:tplc="56D0C6F8">
      <w:start w:val="1"/>
      <w:numFmt w:val="bullet"/>
      <w:lvlText w:val="■"/>
      <w:lvlJc w:val="left"/>
      <w:pPr>
        <w:ind w:left="4320" w:hanging="360"/>
      </w:pPr>
    </w:lvl>
    <w:lvl w:ilvl="6" w:tplc="8FAE81EA">
      <w:start w:val="1"/>
      <w:numFmt w:val="bullet"/>
      <w:lvlText w:val="●"/>
      <w:lvlJc w:val="left"/>
      <w:pPr>
        <w:ind w:left="5040" w:hanging="360"/>
      </w:pPr>
    </w:lvl>
    <w:lvl w:ilvl="7" w:tplc="5464E718">
      <w:start w:val="1"/>
      <w:numFmt w:val="bullet"/>
      <w:lvlText w:val="●"/>
      <w:lvlJc w:val="left"/>
      <w:pPr>
        <w:ind w:left="5760" w:hanging="360"/>
      </w:pPr>
    </w:lvl>
    <w:lvl w:ilvl="8" w:tplc="2C48277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356"/>
    <w:rsid w:val="00060E18"/>
    <w:rsid w:val="0014026D"/>
    <w:rsid w:val="00172E8B"/>
    <w:rsid w:val="0017722F"/>
    <w:rsid w:val="001908AF"/>
    <w:rsid w:val="002964D7"/>
    <w:rsid w:val="003E783A"/>
    <w:rsid w:val="00517D57"/>
    <w:rsid w:val="005F0D28"/>
    <w:rsid w:val="007A4BE4"/>
    <w:rsid w:val="00801356"/>
    <w:rsid w:val="008E5E54"/>
    <w:rsid w:val="008E72E2"/>
    <w:rsid w:val="00A52B9A"/>
    <w:rsid w:val="00A54F14"/>
    <w:rsid w:val="00AE0894"/>
    <w:rsid w:val="00B002D6"/>
    <w:rsid w:val="00CC5507"/>
    <w:rsid w:val="00CD6DE2"/>
    <w:rsid w:val="00DE2BAB"/>
    <w:rsid w:val="00DE5FCE"/>
    <w:rsid w:val="00E2068A"/>
    <w:rsid w:val="00E55CD2"/>
    <w:rsid w:val="00F216B9"/>
    <w:rsid w:val="00FB2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C7B99"/>
  <w15:docId w15:val="{DE998234-0B31-43BB-A730-868C28F80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UnresolvedMention">
    <w:name w:val="Unresolved Mention"/>
    <w:basedOn w:val="DefaultParagraphFont"/>
    <w:uiPriority w:val="99"/>
    <w:semiHidden/>
    <w:unhideWhenUsed/>
    <w:rsid w:val="00517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barnetpost.co.uk/2025/02/18/schools-in-barnet-agree-to-go-smartphone-free/" TargetMode="External"/><Relationship Id="rId13" Type="http://schemas.openxmlformats.org/officeDocument/2006/relationships/hyperlink" Target="https://www.gov.uk/government/publications/fact-sheet-new-rules-to-protect-children-online/fact-sheet-new-rules-to-protect-children-online" TargetMode="External"/><Relationship Id="rId18" Type="http://schemas.openxmlformats.org/officeDocument/2006/relationships/hyperlink" Target="https://doi.org/10.1080/02673843.2019.1590851" TargetMode="External"/><Relationship Id="rId26" Type="http://schemas.openxmlformats.org/officeDocument/2006/relationships/hyperlink" Target="https://doi.org/10.2196/33450" TargetMode="External"/><Relationship Id="rId3" Type="http://schemas.openxmlformats.org/officeDocument/2006/relationships/settings" Target="settings.xml"/><Relationship Id="rId21" Type="http://schemas.openxmlformats.org/officeDocument/2006/relationships/hyperlink" Target="https://doi.org/10.3389/fpubh.2021.793868" TargetMode="External"/><Relationship Id="rId7" Type="http://schemas.openxmlformats.org/officeDocument/2006/relationships/hyperlink" Target="https://doi.org/10.3390/bs15050574" TargetMode="External"/><Relationship Id="rId12" Type="http://schemas.openxmlformats.org/officeDocument/2006/relationships/hyperlink" Target="https://doi.org/10.3390/ijerph19031064" TargetMode="External"/><Relationship Id="rId17" Type="http://schemas.openxmlformats.org/officeDocument/2006/relationships/hyperlink" Target="https://doi.org/10.3390/ijerph18062880" TargetMode="External"/><Relationship Id="rId25" Type="http://schemas.openxmlformats.org/officeDocument/2006/relationships/hyperlink" Target="https://doi.org/10.2196/43213" TargetMode="External"/><Relationship Id="rId2" Type="http://schemas.openxmlformats.org/officeDocument/2006/relationships/styles" Target="styles.xml"/><Relationship Id="rId16" Type="http://schemas.openxmlformats.org/officeDocument/2006/relationships/hyperlink" Target="https://doi.org/10.1016/j.jad.2020.06.014" TargetMode="External"/><Relationship Id="rId20" Type="http://schemas.openxmlformats.org/officeDocument/2006/relationships/hyperlink" Target="https://doi.org/10.3389/fpsyg.2021.626763"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0802-020-00715-7" TargetMode="External"/><Relationship Id="rId24" Type="http://schemas.openxmlformats.org/officeDocument/2006/relationships/hyperlink" Target="https://www.osborneclarke.com/insights/regulatory-outlook-february-2026-digital-regulation" TargetMode="External"/><Relationship Id="rId5" Type="http://schemas.openxmlformats.org/officeDocument/2006/relationships/footnotes" Target="footnotes.xml"/><Relationship Id="rId15" Type="http://schemas.openxmlformats.org/officeDocument/2006/relationships/hyperlink" Target="https://commonslibrary.parliament.uk/research-briefings/cbp-10468/" TargetMode="External"/><Relationship Id="rId23" Type="http://schemas.openxmlformats.org/officeDocument/2006/relationships/hyperlink" Target="https://doi.org/10.1038/s41467-022-29296-3" TargetMode="External"/><Relationship Id="rId28" Type="http://schemas.openxmlformats.org/officeDocument/2006/relationships/header" Target="header1.xml"/><Relationship Id="rId10" Type="http://schemas.openxmlformats.org/officeDocument/2006/relationships/hyperlink" Target="https://doi.org/10.1111/jora.12678" TargetMode="External"/><Relationship Id="rId19" Type="http://schemas.openxmlformats.org/officeDocument/2006/relationships/hyperlink" Target="https://doi.org/10.3390/ijerph1909516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8/s41598-020-67727-7" TargetMode="External"/><Relationship Id="rId14" Type="http://schemas.openxmlformats.org/officeDocument/2006/relationships/hyperlink" Target="https://www.london.gov.uk/media-centre/mayors-press-releases/pioneering-london-leads-way-mayor-invests-new-ps810000-boost-mental-health-support-schools" TargetMode="External"/><Relationship Id="rId22" Type="http://schemas.openxmlformats.org/officeDocument/2006/relationships/hyperlink" Target="https://doi.org/10.1016/j.childyouth.2020.105053" TargetMode="External"/><Relationship Id="rId27" Type="http://schemas.openxmlformats.org/officeDocument/2006/relationships/hyperlink" Target="https://doi.org/10.1016/j.copsyc.2021.08.01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3265</Words>
  <Characters>18613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Kwame</dc:creator>
  <cp:lastModifiedBy>Kwame</cp:lastModifiedBy>
  <cp:revision>6</cp:revision>
  <dcterms:created xsi:type="dcterms:W3CDTF">2026-08-14T10:44:00Z</dcterms:created>
  <dcterms:modified xsi:type="dcterms:W3CDTF">2026-08-17T13:50:00Z</dcterms:modified>
</cp:coreProperties>
</file>