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AF8A0D" w14:textId="77777777" w:rsidR="00353981" w:rsidRPr="00003A82" w:rsidRDefault="00353981" w:rsidP="00353981">
      <w:pPr>
        <w:spacing w:line="360" w:lineRule="auto"/>
        <w:rPr>
          <w:rStyle w:val="Strong"/>
          <w:b w:val="0"/>
          <w:bCs w:val="0"/>
          <w:sz w:val="22"/>
        </w:rPr>
      </w:pPr>
      <w:r w:rsidRPr="00003A82">
        <w:rPr>
          <w:noProof/>
          <w:sz w:val="22"/>
          <w:lang w:val="en-GB" w:eastAsia="en-GB"/>
        </w:rPr>
        <w:drawing>
          <wp:inline distT="0" distB="0" distL="0" distR="0" wp14:anchorId="1E3E074D" wp14:editId="4CAAD45D">
            <wp:extent cx="3343275" cy="1343025"/>
            <wp:effectExtent l="19050" t="0" r="9525"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srcRect/>
                    <a:stretch>
                      <a:fillRect/>
                    </a:stretch>
                  </pic:blipFill>
                  <pic:spPr bwMode="auto">
                    <a:xfrm>
                      <a:off x="0" y="0"/>
                      <a:ext cx="3343275" cy="1343025"/>
                    </a:xfrm>
                    <a:prstGeom prst="rect">
                      <a:avLst/>
                    </a:prstGeom>
                    <a:noFill/>
                    <a:ln w="9525">
                      <a:noFill/>
                      <a:miter lim="800000"/>
                      <a:headEnd/>
                      <a:tailEnd/>
                    </a:ln>
                  </pic:spPr>
                </pic:pic>
              </a:graphicData>
            </a:graphic>
          </wp:inline>
        </w:drawing>
      </w:r>
    </w:p>
    <w:p w14:paraId="7E4FD3BC" w14:textId="77777777" w:rsidR="00353981" w:rsidRDefault="00353981" w:rsidP="00353981">
      <w:pPr>
        <w:spacing w:line="360" w:lineRule="auto"/>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77ACA48" w14:textId="77777777" w:rsidR="00353981" w:rsidRDefault="00353981" w:rsidP="00353981">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CAF1715" w14:textId="77777777" w:rsidR="00353981" w:rsidRDefault="00353981" w:rsidP="00353981">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04153BD4" w14:textId="77777777" w:rsidR="00353981" w:rsidRDefault="00353981" w:rsidP="00353981">
      <w:pPr>
        <w:spacing w:line="360" w:lineRule="auto"/>
        <w:rPr>
          <w:rStyle w:val="Strong"/>
          <w:rFonts w:ascii="Arial" w:hAnsi="Arial" w:cs="Arial"/>
          <w:color w:val="1D2125"/>
          <w:sz w:val="32"/>
          <w:szCs w:val="32"/>
        </w:rPr>
      </w:pPr>
    </w:p>
    <w:p w14:paraId="3DA4D429" w14:textId="1A824635" w:rsidR="00353981" w:rsidRDefault="00353981" w:rsidP="00353981">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A86CA2">
        <w:rPr>
          <w:rStyle w:val="Strong"/>
          <w:rFonts w:ascii="Arial" w:hAnsi="Arial" w:cs="Arial"/>
          <w:color w:val="1D2125"/>
          <w:sz w:val="32"/>
          <w:szCs w:val="32"/>
        </w:rPr>
        <w:t xml:space="preserve"> Osman Kamara</w:t>
      </w:r>
    </w:p>
    <w:p w14:paraId="776BFFCF" w14:textId="0E73323C" w:rsidR="00353981" w:rsidRDefault="00353981" w:rsidP="00353981">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003A82">
        <w:rPr>
          <w:rStyle w:val="Strong"/>
          <w:rFonts w:ascii="Arial" w:hAnsi="Arial" w:cs="Arial"/>
          <w:color w:val="1D2125"/>
          <w:sz w:val="32"/>
          <w:szCs w:val="32"/>
        </w:rPr>
        <w:t>2324742</w:t>
      </w:r>
    </w:p>
    <w:p w14:paraId="05419D04" w14:textId="766F8E79" w:rsidR="00353981" w:rsidRDefault="00353981" w:rsidP="00353981">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807DC4">
        <w:rPr>
          <w:rStyle w:val="Strong"/>
          <w:rFonts w:ascii="Arial" w:hAnsi="Arial" w:cs="Arial"/>
          <w:color w:val="1D2125"/>
          <w:sz w:val="32"/>
          <w:szCs w:val="32"/>
        </w:rPr>
        <w:t xml:space="preserve"> Bianca </w:t>
      </w:r>
      <w:r w:rsidR="009B05B3">
        <w:rPr>
          <w:rStyle w:val="Strong"/>
          <w:rFonts w:ascii="Arial" w:hAnsi="Arial" w:cs="Arial"/>
          <w:color w:val="1D2125"/>
          <w:sz w:val="32"/>
          <w:szCs w:val="32"/>
        </w:rPr>
        <w:t>Sanfilippo</w:t>
      </w:r>
    </w:p>
    <w:p w14:paraId="41315CD3" w14:textId="77777777" w:rsidR="00353981" w:rsidRDefault="00353981">
      <w:pPr>
        <w:rPr>
          <w:b/>
          <w:bCs/>
        </w:rPr>
      </w:pPr>
    </w:p>
    <w:p w14:paraId="1DC2D13D" w14:textId="77777777" w:rsidR="00353981" w:rsidRDefault="00353981">
      <w:pPr>
        <w:rPr>
          <w:b/>
          <w:bCs/>
        </w:rPr>
      </w:pPr>
    </w:p>
    <w:p w14:paraId="55E1C8AE" w14:textId="77777777" w:rsidR="00353981" w:rsidRDefault="00353981">
      <w:pPr>
        <w:rPr>
          <w:b/>
          <w:bCs/>
        </w:rPr>
      </w:pPr>
    </w:p>
    <w:p w14:paraId="51DCABE7" w14:textId="77777777" w:rsidR="00353981" w:rsidRDefault="00353981">
      <w:pPr>
        <w:rPr>
          <w:b/>
          <w:bCs/>
        </w:rPr>
      </w:pPr>
    </w:p>
    <w:p w14:paraId="19BB9DF4" w14:textId="77777777" w:rsidR="00353981" w:rsidRDefault="00353981">
      <w:pPr>
        <w:rPr>
          <w:b/>
          <w:bCs/>
        </w:rPr>
      </w:pPr>
    </w:p>
    <w:p w14:paraId="4DA755BC" w14:textId="77777777" w:rsidR="00353981" w:rsidRDefault="00353981">
      <w:pPr>
        <w:rPr>
          <w:b/>
          <w:bCs/>
        </w:rPr>
      </w:pPr>
    </w:p>
    <w:p w14:paraId="2790DAB3" w14:textId="77777777" w:rsidR="00353981" w:rsidRDefault="00353981">
      <w:pPr>
        <w:rPr>
          <w:b/>
          <w:bCs/>
        </w:rPr>
      </w:pPr>
    </w:p>
    <w:p w14:paraId="7B22D0DA" w14:textId="77777777" w:rsidR="00287001" w:rsidRDefault="00287001">
      <w:pPr>
        <w:rPr>
          <w:b/>
          <w:bCs/>
        </w:rPr>
      </w:pPr>
      <w:r>
        <w:rPr>
          <w:b/>
          <w:bCs/>
        </w:rPr>
        <w:lastRenderedPageBreak/>
        <w:t>Table of Contents.</w:t>
      </w:r>
    </w:p>
    <w:p w14:paraId="01B33482" w14:textId="77777777" w:rsidR="00287001" w:rsidRDefault="00287001">
      <w:pPr>
        <w:rPr>
          <w:b/>
          <w:bCs/>
        </w:rPr>
      </w:pPr>
      <w:r>
        <w:rPr>
          <w:b/>
          <w:bCs/>
        </w:rPr>
        <w:t>Task 1- Defining Key Concepts in practice………………………………………Page 3</w:t>
      </w:r>
    </w:p>
    <w:p w14:paraId="52F215B3" w14:textId="77777777" w:rsidR="00287001" w:rsidRDefault="00287001">
      <w:pPr>
        <w:rPr>
          <w:b/>
          <w:bCs/>
        </w:rPr>
      </w:pPr>
      <w:r>
        <w:rPr>
          <w:b/>
          <w:bCs/>
        </w:rPr>
        <w:t>Task  2 –Mind Map………………………………………………………………..Page 6</w:t>
      </w:r>
    </w:p>
    <w:p w14:paraId="2C374FE5" w14:textId="77777777" w:rsidR="00287001" w:rsidRDefault="00287001">
      <w:pPr>
        <w:rPr>
          <w:b/>
          <w:bCs/>
        </w:rPr>
      </w:pPr>
      <w:r>
        <w:rPr>
          <w:b/>
          <w:bCs/>
        </w:rPr>
        <w:t>Task 3- Self Reflection of Group Activity………………………………………..Page7</w:t>
      </w:r>
    </w:p>
    <w:p w14:paraId="6100C2D4" w14:textId="77777777" w:rsidR="00287001" w:rsidRDefault="00287001" w:rsidP="00287001">
      <w:pPr>
        <w:rPr>
          <w:b/>
          <w:bCs/>
        </w:rPr>
      </w:pPr>
      <w:r>
        <w:rPr>
          <w:b/>
          <w:bCs/>
        </w:rPr>
        <w:t>Task 4-</w:t>
      </w:r>
      <w:r w:rsidRPr="00287001">
        <w:rPr>
          <w:b/>
          <w:bCs/>
        </w:rPr>
        <w:t xml:space="preserve"> </w:t>
      </w:r>
      <w:r w:rsidRPr="00A33014">
        <w:rPr>
          <w:b/>
          <w:bCs/>
        </w:rPr>
        <w:t>Case Study Analysis of a UK Innovation</w:t>
      </w:r>
      <w:r>
        <w:rPr>
          <w:b/>
          <w:bCs/>
        </w:rPr>
        <w:t>………………………………...Page 7</w:t>
      </w:r>
    </w:p>
    <w:p w14:paraId="753F3985" w14:textId="77777777" w:rsidR="00287001" w:rsidRDefault="00287001" w:rsidP="00287001">
      <w:pPr>
        <w:rPr>
          <w:b/>
          <w:bCs/>
        </w:rPr>
      </w:pPr>
      <w:r w:rsidRPr="00A33014">
        <w:rPr>
          <w:b/>
          <w:bCs/>
        </w:rPr>
        <w:t>Task 5 – Research Task</w:t>
      </w:r>
      <w:r>
        <w:rPr>
          <w:b/>
          <w:bCs/>
        </w:rPr>
        <w:t>…………………………………………………………….Page 8</w:t>
      </w:r>
    </w:p>
    <w:p w14:paraId="158EA2D9" w14:textId="77777777" w:rsidR="00287001" w:rsidRDefault="00287001" w:rsidP="00287001">
      <w:pPr>
        <w:rPr>
          <w:b/>
          <w:bCs/>
        </w:rPr>
      </w:pPr>
      <w:r w:rsidRPr="00A33014">
        <w:rPr>
          <w:b/>
          <w:bCs/>
        </w:rPr>
        <w:t>Task 6 – Exploring Digital Innovation in Health and Social Care</w:t>
      </w:r>
      <w:r>
        <w:rPr>
          <w:b/>
          <w:bCs/>
        </w:rPr>
        <w:t>……………...Page 9</w:t>
      </w:r>
    </w:p>
    <w:p w14:paraId="1C0A184E" w14:textId="77777777" w:rsidR="00287001" w:rsidRDefault="00287001" w:rsidP="00287001">
      <w:pPr>
        <w:rPr>
          <w:b/>
          <w:bCs/>
        </w:rPr>
      </w:pPr>
      <w:r w:rsidRPr="00A33014">
        <w:rPr>
          <w:b/>
          <w:bCs/>
        </w:rPr>
        <w:t>Task 7 – Understanding the NHS Leadership Framework</w:t>
      </w:r>
      <w:r>
        <w:rPr>
          <w:b/>
          <w:bCs/>
        </w:rPr>
        <w:t>……………………..Page11</w:t>
      </w:r>
    </w:p>
    <w:p w14:paraId="4A532806" w14:textId="77777777" w:rsidR="00287001" w:rsidRPr="00A33014" w:rsidRDefault="00287001" w:rsidP="00287001">
      <w:pPr>
        <w:rPr>
          <w:b/>
          <w:bCs/>
        </w:rPr>
      </w:pPr>
      <w:r>
        <w:rPr>
          <w:b/>
          <w:bCs/>
        </w:rPr>
        <w:t>References…………………………………………………………………………Page 14</w:t>
      </w:r>
    </w:p>
    <w:p w14:paraId="73335727" w14:textId="77777777" w:rsidR="00287001" w:rsidRPr="00A33014" w:rsidRDefault="00287001" w:rsidP="00287001">
      <w:pPr>
        <w:rPr>
          <w:b/>
          <w:bCs/>
        </w:rPr>
      </w:pPr>
    </w:p>
    <w:p w14:paraId="13A35F5E" w14:textId="77777777" w:rsidR="00287001" w:rsidRPr="00A33014" w:rsidRDefault="00287001" w:rsidP="00287001">
      <w:pPr>
        <w:rPr>
          <w:b/>
          <w:bCs/>
        </w:rPr>
      </w:pPr>
    </w:p>
    <w:p w14:paraId="7D8E57B6" w14:textId="77777777" w:rsidR="00287001" w:rsidRPr="00A33014" w:rsidRDefault="00287001" w:rsidP="00287001">
      <w:pPr>
        <w:rPr>
          <w:b/>
          <w:bCs/>
        </w:rPr>
      </w:pPr>
    </w:p>
    <w:p w14:paraId="58C7D4A8" w14:textId="77777777" w:rsidR="00287001" w:rsidRDefault="00287001">
      <w:pPr>
        <w:rPr>
          <w:b/>
          <w:bCs/>
        </w:rPr>
      </w:pPr>
    </w:p>
    <w:p w14:paraId="05360E79" w14:textId="77777777" w:rsidR="00287001" w:rsidRDefault="00287001">
      <w:pPr>
        <w:rPr>
          <w:b/>
          <w:bCs/>
        </w:rPr>
      </w:pPr>
    </w:p>
    <w:p w14:paraId="05D5D87B" w14:textId="77777777" w:rsidR="00287001" w:rsidRDefault="00287001">
      <w:pPr>
        <w:rPr>
          <w:b/>
          <w:bCs/>
        </w:rPr>
      </w:pPr>
    </w:p>
    <w:p w14:paraId="77DE93B6" w14:textId="77777777" w:rsidR="00287001" w:rsidRDefault="00287001">
      <w:pPr>
        <w:rPr>
          <w:b/>
          <w:bCs/>
        </w:rPr>
      </w:pPr>
    </w:p>
    <w:p w14:paraId="30D5B3B1" w14:textId="77777777" w:rsidR="00287001" w:rsidRDefault="00287001">
      <w:pPr>
        <w:rPr>
          <w:b/>
          <w:bCs/>
        </w:rPr>
      </w:pPr>
    </w:p>
    <w:p w14:paraId="115B4979" w14:textId="77777777" w:rsidR="00486AB2" w:rsidRPr="00003A82" w:rsidRDefault="00CC7A86">
      <w:pPr>
        <w:rPr>
          <w:b/>
          <w:bCs/>
          <w:sz w:val="22"/>
        </w:rPr>
      </w:pPr>
      <w:r w:rsidRPr="00003A82">
        <w:rPr>
          <w:b/>
          <w:bCs/>
          <w:sz w:val="22"/>
        </w:rPr>
        <w:lastRenderedPageBreak/>
        <w:t>Introduction</w:t>
      </w:r>
    </w:p>
    <w:p w14:paraId="761E54F6" w14:textId="77777777" w:rsidR="00A850CA" w:rsidRPr="00003A82" w:rsidRDefault="00A850CA">
      <w:pPr>
        <w:rPr>
          <w:b/>
          <w:bCs/>
          <w:sz w:val="22"/>
        </w:rPr>
      </w:pPr>
      <w:r w:rsidRPr="00003A82">
        <w:rPr>
          <w:b/>
          <w:bCs/>
          <w:sz w:val="22"/>
        </w:rPr>
        <w:t>Task 1 – Defining Key Concepts in Practice</w:t>
      </w:r>
    </w:p>
    <w:p w14:paraId="04AE4F71" w14:textId="77777777" w:rsidR="00287001" w:rsidRPr="00003A82" w:rsidRDefault="00393ED7">
      <w:pPr>
        <w:rPr>
          <w:sz w:val="22"/>
        </w:rPr>
      </w:pPr>
      <w:r w:rsidRPr="00003A82">
        <w:rPr>
          <w:sz w:val="22"/>
        </w:rPr>
        <w:t xml:space="preserve">Innovation is defined as systems, policies, technologies, ideas, and products that are designed to </w:t>
      </w:r>
      <w:r w:rsidR="00F629E4" w:rsidRPr="00003A82">
        <w:rPr>
          <w:sz w:val="22"/>
        </w:rPr>
        <w:t>produce beneficial outcomes. It involves turning a novel idea into a practical improvement within an organization or system</w:t>
      </w:r>
      <w:sdt>
        <w:sdtPr>
          <w:rPr>
            <w:sz w:val="22"/>
          </w:rPr>
          <w:id w:val="-393512424"/>
          <w:citation/>
        </w:sdtPr>
        <w:sdtEndPr/>
        <w:sdtContent>
          <w:r w:rsidR="00BD2C3A" w:rsidRPr="00003A82">
            <w:rPr>
              <w:sz w:val="22"/>
            </w:rPr>
            <w:fldChar w:fldCharType="begin"/>
          </w:r>
          <w:r w:rsidR="005E33ED" w:rsidRPr="00003A82">
            <w:rPr>
              <w:sz w:val="22"/>
            </w:rPr>
            <w:instrText xml:space="preserve"> CITATION Kim17 \l 1033 </w:instrText>
          </w:r>
          <w:r w:rsidR="00BD2C3A" w:rsidRPr="00003A82">
            <w:rPr>
              <w:sz w:val="22"/>
            </w:rPr>
            <w:fldChar w:fldCharType="separate"/>
          </w:r>
          <w:r w:rsidR="005E33ED" w:rsidRPr="00003A82">
            <w:rPr>
              <w:sz w:val="22"/>
            </w:rPr>
            <w:t xml:space="preserve"> (Kimble &amp; Massoud, 2017)</w:t>
          </w:r>
          <w:r w:rsidR="00BD2C3A" w:rsidRPr="00003A82">
            <w:rPr>
              <w:sz w:val="22"/>
            </w:rPr>
            <w:fldChar w:fldCharType="end"/>
          </w:r>
        </w:sdtContent>
      </w:sdt>
      <w:r w:rsidR="00F629E4" w:rsidRPr="00003A82">
        <w:rPr>
          <w:sz w:val="22"/>
        </w:rPr>
        <w:t xml:space="preserve">. In health and social care, innovation is also important. </w:t>
      </w:r>
    </w:p>
    <w:p w14:paraId="2E2A4F16" w14:textId="77777777" w:rsidR="00105278" w:rsidRPr="00003A82" w:rsidRDefault="00F629E4">
      <w:pPr>
        <w:rPr>
          <w:sz w:val="22"/>
        </w:rPr>
      </w:pPr>
      <w:r w:rsidRPr="00003A82">
        <w:rPr>
          <w:sz w:val="22"/>
        </w:rPr>
        <w:t xml:space="preserve">According to </w:t>
      </w:r>
      <w:r w:rsidR="005E33ED" w:rsidRPr="00003A82">
        <w:rPr>
          <w:sz w:val="22"/>
        </w:rPr>
        <w:t>Flessa&amp; Huebner (2021)</w:t>
      </w:r>
      <w:r w:rsidR="00B66446" w:rsidRPr="00003A82">
        <w:rPr>
          <w:sz w:val="22"/>
        </w:rPr>
        <w:t>, innovation helps improve the quality, efficiency, and safety of services through the adoption of digital tools and new models of care and redesign of workflows.</w:t>
      </w:r>
      <w:r w:rsidR="00320671" w:rsidRPr="00003A82">
        <w:rPr>
          <w:sz w:val="22"/>
        </w:rPr>
        <w:t xml:space="preserve"> Innovation has enabled organizations to adapt rapidly in crisis situations</w:t>
      </w:r>
      <w:r w:rsidR="00105278" w:rsidRPr="00003A82">
        <w:rPr>
          <w:sz w:val="22"/>
        </w:rPr>
        <w:t>, as seen during the COVID-19 pandemic when remote consultations became essential</w:t>
      </w:r>
      <w:sdt>
        <w:sdtPr>
          <w:rPr>
            <w:sz w:val="22"/>
          </w:rPr>
          <w:id w:val="-1907137570"/>
          <w:citation/>
        </w:sdtPr>
        <w:sdtEndPr/>
        <w:sdtContent>
          <w:r w:rsidR="00BD2C3A" w:rsidRPr="00003A82">
            <w:rPr>
              <w:sz w:val="22"/>
            </w:rPr>
            <w:fldChar w:fldCharType="begin"/>
          </w:r>
          <w:r w:rsidR="00DA4CBA" w:rsidRPr="00003A82">
            <w:rPr>
              <w:sz w:val="22"/>
            </w:rPr>
            <w:instrText xml:space="preserve"> CITATION Sha22 \l 1033 </w:instrText>
          </w:r>
          <w:r w:rsidR="00BD2C3A" w:rsidRPr="00003A82">
            <w:rPr>
              <w:sz w:val="22"/>
            </w:rPr>
            <w:fldChar w:fldCharType="separate"/>
          </w:r>
          <w:r w:rsidR="00DA4CBA" w:rsidRPr="00003A82">
            <w:rPr>
              <w:sz w:val="22"/>
            </w:rPr>
            <w:t xml:space="preserve"> (Shaver, 2022)</w:t>
          </w:r>
          <w:r w:rsidR="00BD2C3A" w:rsidRPr="00003A82">
            <w:rPr>
              <w:sz w:val="22"/>
            </w:rPr>
            <w:fldChar w:fldCharType="end"/>
          </w:r>
        </w:sdtContent>
      </w:sdt>
      <w:r w:rsidR="00105278" w:rsidRPr="00003A82">
        <w:rPr>
          <w:sz w:val="22"/>
        </w:rPr>
        <w:t xml:space="preserve">. In relation, a good example is the introduction </w:t>
      </w:r>
      <w:proofErr w:type="spellStart"/>
      <w:r w:rsidR="00105278" w:rsidRPr="00003A82">
        <w:rPr>
          <w:sz w:val="22"/>
        </w:rPr>
        <w:t>fo</w:t>
      </w:r>
      <w:proofErr w:type="spellEnd"/>
      <w:r w:rsidR="00105278" w:rsidRPr="00003A82">
        <w:rPr>
          <w:sz w:val="22"/>
        </w:rPr>
        <w:t xml:space="preserve"> telehealth services in community care settings. What started as a supplementary service became a central method of delivering follow-up consultations for chronic disease patients</w:t>
      </w:r>
      <w:sdt>
        <w:sdtPr>
          <w:rPr>
            <w:sz w:val="22"/>
          </w:rPr>
          <w:id w:val="-1902980520"/>
          <w:citation/>
        </w:sdtPr>
        <w:sdtEndPr/>
        <w:sdtContent>
          <w:r w:rsidR="00BD2C3A" w:rsidRPr="00003A82">
            <w:rPr>
              <w:sz w:val="22"/>
            </w:rPr>
            <w:fldChar w:fldCharType="begin"/>
          </w:r>
          <w:r w:rsidR="001F74B2" w:rsidRPr="00003A82">
            <w:rPr>
              <w:sz w:val="22"/>
            </w:rPr>
            <w:instrText xml:space="preserve"> CITATION But21 \l 1033 </w:instrText>
          </w:r>
          <w:r w:rsidR="00BD2C3A" w:rsidRPr="00003A82">
            <w:rPr>
              <w:sz w:val="22"/>
            </w:rPr>
            <w:fldChar w:fldCharType="separate"/>
          </w:r>
          <w:r w:rsidR="001F74B2" w:rsidRPr="00003A82">
            <w:rPr>
              <w:sz w:val="22"/>
            </w:rPr>
            <w:t xml:space="preserve"> (Butzner &amp; Cuffee, 2021)</w:t>
          </w:r>
          <w:r w:rsidR="00BD2C3A" w:rsidRPr="00003A82">
            <w:rPr>
              <w:sz w:val="22"/>
            </w:rPr>
            <w:fldChar w:fldCharType="end"/>
          </w:r>
        </w:sdtContent>
      </w:sdt>
      <w:r w:rsidR="00105278" w:rsidRPr="00003A82">
        <w:rPr>
          <w:sz w:val="22"/>
        </w:rPr>
        <w:t>. Nurses now use virtual home visits to monitor patients’ blood glucose or blood pressure, reducing unnecessary hospital attendance while improving continuity of care.</w:t>
      </w:r>
    </w:p>
    <w:p w14:paraId="2828B8D7" w14:textId="77777777" w:rsidR="001F74B2" w:rsidRPr="00003A82" w:rsidRDefault="001F74B2">
      <w:pPr>
        <w:rPr>
          <w:sz w:val="22"/>
        </w:rPr>
      </w:pPr>
      <w:r w:rsidRPr="00003A82">
        <w:rPr>
          <w:sz w:val="22"/>
        </w:rPr>
        <w:t>Creativity, as what de Barros, et al., (2025) indicated, is the ability to produce novel and useful ideas or solutions with the use of imagination and divergent thinking. In health and social care, creativity is crucial for professionals when tailoring interventions for individuals with unique physical, psychological, or social challenges. Creative thinking also encourages teams to question outdated routines and explore alternative approaches that better support patient dignity and autonomy</w:t>
      </w:r>
      <w:sdt>
        <w:sdtPr>
          <w:rPr>
            <w:sz w:val="22"/>
          </w:rPr>
          <w:id w:val="2044165460"/>
          <w:citation/>
        </w:sdtPr>
        <w:sdtEndPr/>
        <w:sdtContent>
          <w:r w:rsidR="00BD2C3A" w:rsidRPr="00003A82">
            <w:rPr>
              <w:sz w:val="22"/>
            </w:rPr>
            <w:fldChar w:fldCharType="begin"/>
          </w:r>
          <w:r w:rsidR="00242299" w:rsidRPr="00003A82">
            <w:rPr>
              <w:sz w:val="22"/>
            </w:rPr>
            <w:instrText xml:space="preserve"> CITATION Che21 \l 1033 </w:instrText>
          </w:r>
          <w:r w:rsidR="00BD2C3A" w:rsidRPr="00003A82">
            <w:rPr>
              <w:sz w:val="22"/>
            </w:rPr>
            <w:fldChar w:fldCharType="separate"/>
          </w:r>
          <w:r w:rsidR="00242299" w:rsidRPr="00003A82">
            <w:rPr>
              <w:sz w:val="22"/>
            </w:rPr>
            <w:t xml:space="preserve"> (Cheraghi, et al., 2021)</w:t>
          </w:r>
          <w:r w:rsidR="00BD2C3A" w:rsidRPr="00003A82">
            <w:rPr>
              <w:sz w:val="22"/>
            </w:rPr>
            <w:fldChar w:fldCharType="end"/>
          </w:r>
        </w:sdtContent>
      </w:sdt>
      <w:r w:rsidRPr="00003A82">
        <w:rPr>
          <w:sz w:val="22"/>
        </w:rPr>
        <w:t>.</w:t>
      </w:r>
      <w:r w:rsidR="00242299" w:rsidRPr="00003A82">
        <w:rPr>
          <w:sz w:val="22"/>
        </w:rPr>
        <w:t xml:space="preserve"> One example is the development of sensory-friendly environments in dementia care </w:t>
      </w:r>
      <w:proofErr w:type="spellStart"/>
      <w:r w:rsidR="00242299" w:rsidRPr="00003A82">
        <w:rPr>
          <w:sz w:val="22"/>
        </w:rPr>
        <w:t>homes.By</w:t>
      </w:r>
      <w:proofErr w:type="spellEnd"/>
      <w:r w:rsidR="00242299" w:rsidRPr="00003A82">
        <w:rPr>
          <w:sz w:val="22"/>
        </w:rPr>
        <w:t xml:space="preserve"> creatively adjusting lighting, introducing calming music, and modifying the timing of activities, they reduced agitation and improved residents' willingness to participate in personal care</w:t>
      </w:r>
      <w:sdt>
        <w:sdtPr>
          <w:rPr>
            <w:sz w:val="22"/>
          </w:rPr>
          <w:id w:val="991755240"/>
          <w:citation/>
        </w:sdtPr>
        <w:sdtEndPr/>
        <w:sdtContent>
          <w:r w:rsidR="00BD2C3A" w:rsidRPr="00003A82">
            <w:rPr>
              <w:sz w:val="22"/>
            </w:rPr>
            <w:fldChar w:fldCharType="begin"/>
          </w:r>
          <w:r w:rsidR="00242299" w:rsidRPr="00003A82">
            <w:rPr>
              <w:sz w:val="22"/>
            </w:rPr>
            <w:instrText xml:space="preserve"> CITATION Jak17 \l 1033 </w:instrText>
          </w:r>
          <w:r w:rsidR="00BD2C3A" w:rsidRPr="00003A82">
            <w:rPr>
              <w:sz w:val="22"/>
            </w:rPr>
            <w:fldChar w:fldCharType="separate"/>
          </w:r>
          <w:r w:rsidR="00242299" w:rsidRPr="00003A82">
            <w:rPr>
              <w:sz w:val="22"/>
            </w:rPr>
            <w:t xml:space="preserve"> (Jakob &amp; Collier, 2017)</w:t>
          </w:r>
          <w:r w:rsidR="00BD2C3A" w:rsidRPr="00003A82">
            <w:rPr>
              <w:sz w:val="22"/>
            </w:rPr>
            <w:fldChar w:fldCharType="end"/>
          </w:r>
        </w:sdtContent>
      </w:sdt>
      <w:r w:rsidR="00242299" w:rsidRPr="00003A82">
        <w:rPr>
          <w:sz w:val="22"/>
        </w:rPr>
        <w:t>.</w:t>
      </w:r>
    </w:p>
    <w:p w14:paraId="3D47CC46" w14:textId="77777777" w:rsidR="00CE6D77" w:rsidRPr="00003A82" w:rsidRDefault="00242299">
      <w:pPr>
        <w:rPr>
          <w:sz w:val="22"/>
        </w:rPr>
      </w:pPr>
      <w:r w:rsidRPr="00003A82">
        <w:rPr>
          <w:sz w:val="22"/>
        </w:rPr>
        <w:lastRenderedPageBreak/>
        <w:t>Value creation refers to the process of producing benefits that have significance or worth for stakeholders</w:t>
      </w:r>
      <w:sdt>
        <w:sdtPr>
          <w:rPr>
            <w:sz w:val="22"/>
          </w:rPr>
          <w:id w:val="245839"/>
          <w:citation/>
        </w:sdtPr>
        <w:sdtEndPr/>
        <w:sdtContent>
          <w:r w:rsidR="00BD2C3A" w:rsidRPr="00003A82">
            <w:rPr>
              <w:sz w:val="22"/>
            </w:rPr>
            <w:fldChar w:fldCharType="begin"/>
          </w:r>
          <w:r w:rsidRPr="00003A82">
            <w:rPr>
              <w:sz w:val="22"/>
            </w:rPr>
            <w:instrText xml:space="preserve"> CITATION Cli211 \l 1033 </w:instrText>
          </w:r>
          <w:r w:rsidR="00BD2C3A" w:rsidRPr="00003A82">
            <w:rPr>
              <w:sz w:val="22"/>
            </w:rPr>
            <w:fldChar w:fldCharType="separate"/>
          </w:r>
          <w:r w:rsidRPr="00003A82">
            <w:rPr>
              <w:sz w:val="22"/>
            </w:rPr>
            <w:t xml:space="preserve"> (Climent &amp; Haftor, 2021)</w:t>
          </w:r>
          <w:r w:rsidR="00BD2C3A" w:rsidRPr="00003A82">
            <w:rPr>
              <w:sz w:val="22"/>
            </w:rPr>
            <w:fldChar w:fldCharType="end"/>
          </w:r>
        </w:sdtContent>
      </w:sdt>
      <w:r w:rsidRPr="00003A82">
        <w:rPr>
          <w:sz w:val="22"/>
        </w:rPr>
        <w:t>.</w:t>
      </w:r>
      <w:r w:rsidR="00CA2AB4" w:rsidRPr="00003A82">
        <w:rPr>
          <w:sz w:val="22"/>
        </w:rPr>
        <w:t>The focus on value in health and social care organizations ensures that decisions are not only clinically sound but also cost-effective and sustainable</w:t>
      </w:r>
      <w:sdt>
        <w:sdtPr>
          <w:rPr>
            <w:sz w:val="22"/>
          </w:rPr>
          <w:id w:val="1797253117"/>
          <w:citation/>
        </w:sdtPr>
        <w:sdtEndPr/>
        <w:sdtContent>
          <w:r w:rsidR="00BD2C3A" w:rsidRPr="00003A82">
            <w:rPr>
              <w:sz w:val="22"/>
            </w:rPr>
            <w:fldChar w:fldCharType="begin"/>
          </w:r>
          <w:r w:rsidR="00CE6D77" w:rsidRPr="00003A82">
            <w:rPr>
              <w:sz w:val="22"/>
            </w:rPr>
            <w:instrText xml:space="preserve"> CITATION Rot24 \l 1033 </w:instrText>
          </w:r>
          <w:r w:rsidR="00BD2C3A" w:rsidRPr="00003A82">
            <w:rPr>
              <w:sz w:val="22"/>
            </w:rPr>
            <w:fldChar w:fldCharType="separate"/>
          </w:r>
          <w:r w:rsidR="00CE6D77" w:rsidRPr="00003A82">
            <w:rPr>
              <w:sz w:val="22"/>
            </w:rPr>
            <w:t xml:space="preserve"> (Roth, et al., 2024)</w:t>
          </w:r>
          <w:r w:rsidR="00BD2C3A" w:rsidRPr="00003A82">
            <w:rPr>
              <w:sz w:val="22"/>
            </w:rPr>
            <w:fldChar w:fldCharType="end"/>
          </w:r>
        </w:sdtContent>
      </w:sdt>
      <w:r w:rsidR="00CA2AB4" w:rsidRPr="00003A82">
        <w:rPr>
          <w:sz w:val="22"/>
        </w:rPr>
        <w:t xml:space="preserve">. It supports long-term system resilience and aligns services with what matters most to patients—improved health, independence, and quality of </w:t>
      </w:r>
      <w:proofErr w:type="spellStart"/>
      <w:r w:rsidR="00CA2AB4" w:rsidRPr="00003A82">
        <w:rPr>
          <w:sz w:val="22"/>
        </w:rPr>
        <w:t>life.</w:t>
      </w:r>
      <w:r w:rsidR="00CE6D77" w:rsidRPr="00003A82">
        <w:rPr>
          <w:sz w:val="22"/>
        </w:rPr>
        <w:t>An</w:t>
      </w:r>
      <w:proofErr w:type="spellEnd"/>
      <w:r w:rsidR="00CE6D77" w:rsidRPr="00003A82">
        <w:rPr>
          <w:sz w:val="22"/>
        </w:rPr>
        <w:t xml:space="preserve"> example of value creation is the shift from hospital-based care to integrated community-based rehabilitation for stroke survivors. By delivering physiotherapy and occupational therapy at home, services reduce hospital readmissions, support faster recovery, and lower system costs—all while improving patient satisfaction</w:t>
      </w:r>
      <w:sdt>
        <w:sdtPr>
          <w:rPr>
            <w:sz w:val="22"/>
          </w:rPr>
          <w:id w:val="1847826765"/>
          <w:citation/>
        </w:sdtPr>
        <w:sdtEndPr/>
        <w:sdtContent>
          <w:r w:rsidR="00BD2C3A" w:rsidRPr="00003A82">
            <w:rPr>
              <w:sz w:val="22"/>
            </w:rPr>
            <w:fldChar w:fldCharType="begin"/>
          </w:r>
          <w:r w:rsidR="00CE6D77" w:rsidRPr="00003A82">
            <w:rPr>
              <w:sz w:val="22"/>
            </w:rPr>
            <w:instrText xml:space="preserve"> CITATION Mag20 \l 1033 </w:instrText>
          </w:r>
          <w:r w:rsidR="00BD2C3A" w:rsidRPr="00003A82">
            <w:rPr>
              <w:sz w:val="22"/>
            </w:rPr>
            <w:fldChar w:fldCharType="separate"/>
          </w:r>
          <w:r w:rsidR="00CE6D77" w:rsidRPr="00003A82">
            <w:rPr>
              <w:sz w:val="22"/>
            </w:rPr>
            <w:t xml:space="preserve"> (Magwood, et al., 2020)</w:t>
          </w:r>
          <w:r w:rsidR="00BD2C3A" w:rsidRPr="00003A82">
            <w:rPr>
              <w:sz w:val="22"/>
            </w:rPr>
            <w:fldChar w:fldCharType="end"/>
          </w:r>
        </w:sdtContent>
      </w:sdt>
      <w:r w:rsidR="00CE6D77" w:rsidRPr="00003A82">
        <w:rPr>
          <w:sz w:val="22"/>
        </w:rPr>
        <w:t>.</w:t>
      </w:r>
    </w:p>
    <w:p w14:paraId="06746DCE" w14:textId="77777777" w:rsidR="002A5815" w:rsidRPr="00003A82" w:rsidRDefault="009834D2">
      <w:pPr>
        <w:rPr>
          <w:sz w:val="22"/>
        </w:rPr>
      </w:pPr>
      <w:r w:rsidRPr="00003A82">
        <w:rPr>
          <w:sz w:val="22"/>
        </w:rPr>
        <w:t xml:space="preserve">According to Shaikh (2020), change is the process through which an organization or system moves from its current state to a desired future state. In health and social care, change is inevitable due to rapid advancements in medical knowledge, evolving patient demographics, and regulatory </w:t>
      </w:r>
      <w:proofErr w:type="spellStart"/>
      <w:r w:rsidRPr="00003A82">
        <w:rPr>
          <w:sz w:val="22"/>
        </w:rPr>
        <w:t>requirements.Effective</w:t>
      </w:r>
      <w:proofErr w:type="spellEnd"/>
      <w:r w:rsidRPr="00003A82">
        <w:rPr>
          <w:sz w:val="22"/>
        </w:rPr>
        <w:t xml:space="preserve"> change enables organizations to remain safe, compliant, and responsive. Poorly managed change, on the other hand, can lead to staff resistance, disrupted workflows, and compromised quality of care</w:t>
      </w:r>
      <w:sdt>
        <w:sdtPr>
          <w:rPr>
            <w:sz w:val="22"/>
          </w:rPr>
          <w:id w:val="-343782840"/>
          <w:citation/>
        </w:sdtPr>
        <w:sdtEndPr/>
        <w:sdtContent>
          <w:r w:rsidR="00BD2C3A" w:rsidRPr="00003A82">
            <w:rPr>
              <w:sz w:val="22"/>
            </w:rPr>
            <w:fldChar w:fldCharType="begin"/>
          </w:r>
          <w:r w:rsidRPr="00003A82">
            <w:rPr>
              <w:sz w:val="22"/>
            </w:rPr>
            <w:instrText xml:space="preserve"> CITATION Dah25 \l 1033 </w:instrText>
          </w:r>
          <w:r w:rsidR="00BD2C3A" w:rsidRPr="00003A82">
            <w:rPr>
              <w:sz w:val="22"/>
            </w:rPr>
            <w:fldChar w:fldCharType="separate"/>
          </w:r>
          <w:r w:rsidRPr="00003A82">
            <w:rPr>
              <w:sz w:val="22"/>
            </w:rPr>
            <w:t xml:space="preserve"> (Dahlia, et al., 2025)</w:t>
          </w:r>
          <w:r w:rsidR="00BD2C3A" w:rsidRPr="00003A82">
            <w:rPr>
              <w:sz w:val="22"/>
            </w:rPr>
            <w:fldChar w:fldCharType="end"/>
          </w:r>
        </w:sdtContent>
      </w:sdt>
      <w:r w:rsidRPr="00003A82">
        <w:rPr>
          <w:sz w:val="22"/>
        </w:rPr>
        <w:t>.A practical example is the transition from paper-based records to electronic health records (EHRs). This change required training, workflow redesign, and ongoing support. Although initially challenging, the shift improved information accuracy, reduced duplication, and strengthened multidisciplinary communication</w:t>
      </w:r>
      <w:sdt>
        <w:sdtPr>
          <w:rPr>
            <w:sz w:val="22"/>
          </w:rPr>
          <w:id w:val="-162629086"/>
          <w:citation/>
        </w:sdtPr>
        <w:sdtEndPr/>
        <w:sdtContent>
          <w:r w:rsidR="00BD2C3A" w:rsidRPr="00003A82">
            <w:rPr>
              <w:sz w:val="22"/>
            </w:rPr>
            <w:fldChar w:fldCharType="begin"/>
          </w:r>
          <w:r w:rsidRPr="00003A82">
            <w:rPr>
              <w:sz w:val="22"/>
            </w:rPr>
            <w:instrText xml:space="preserve"> CITATION Ban23 \l 1033 </w:instrText>
          </w:r>
          <w:r w:rsidR="00BD2C3A" w:rsidRPr="00003A82">
            <w:rPr>
              <w:sz w:val="22"/>
            </w:rPr>
            <w:fldChar w:fldCharType="separate"/>
          </w:r>
          <w:r w:rsidRPr="00003A82">
            <w:rPr>
              <w:sz w:val="22"/>
            </w:rPr>
            <w:t xml:space="preserve"> (Baniulyte, et al., 2023)</w:t>
          </w:r>
          <w:r w:rsidR="00BD2C3A" w:rsidRPr="00003A82">
            <w:rPr>
              <w:sz w:val="22"/>
            </w:rPr>
            <w:fldChar w:fldCharType="end"/>
          </w:r>
        </w:sdtContent>
      </w:sdt>
      <w:r w:rsidRPr="00003A82">
        <w:rPr>
          <w:sz w:val="22"/>
        </w:rPr>
        <w:t>.</w:t>
      </w:r>
    </w:p>
    <w:p w14:paraId="3BA5192E" w14:textId="77777777" w:rsidR="009834D2" w:rsidRPr="00003A82" w:rsidRDefault="009834D2">
      <w:pPr>
        <w:rPr>
          <w:b/>
          <w:bCs/>
          <w:sz w:val="22"/>
        </w:rPr>
        <w:sectPr w:rsidR="009834D2" w:rsidRPr="00003A82" w:rsidSect="00722CF8">
          <w:footerReference w:type="default" r:id="rId8"/>
          <w:pgSz w:w="12240" w:h="15840"/>
          <w:pgMar w:top="1440" w:right="1797" w:bottom="1440" w:left="1797" w:header="709" w:footer="709" w:gutter="0"/>
          <w:cols w:space="708"/>
          <w:docGrid w:linePitch="360"/>
        </w:sectPr>
      </w:pPr>
    </w:p>
    <w:p w14:paraId="47C3CD08" w14:textId="77777777" w:rsidR="00CE6D77" w:rsidRPr="00003A82" w:rsidRDefault="00A850CA">
      <w:pPr>
        <w:rPr>
          <w:b/>
          <w:bCs/>
          <w:sz w:val="22"/>
        </w:rPr>
      </w:pPr>
      <w:r w:rsidRPr="00003A82">
        <w:rPr>
          <w:b/>
          <w:bCs/>
          <w:sz w:val="22"/>
        </w:rPr>
        <w:lastRenderedPageBreak/>
        <w:t>Task 2 – Mind Map</w:t>
      </w:r>
    </w:p>
    <w:p w14:paraId="3D9D8525" w14:textId="77777777" w:rsidR="00536B19" w:rsidRPr="00003A82" w:rsidRDefault="00536B19" w:rsidP="00536B19">
      <w:pPr>
        <w:rPr>
          <w:b/>
          <w:bCs/>
          <w:sz w:val="22"/>
        </w:rPr>
      </w:pPr>
      <w:r w:rsidRPr="00003A82">
        <w:rPr>
          <w:b/>
          <w:bCs/>
          <w:noProof/>
          <w:sz w:val="22"/>
          <w:lang w:val="en-GB" w:eastAsia="en-GB"/>
        </w:rPr>
        <w:drawing>
          <wp:inline distT="0" distB="0" distL="0" distR="0" wp14:anchorId="50A1C0E3" wp14:editId="5DCC68CC">
            <wp:extent cx="8134350" cy="4813935"/>
            <wp:effectExtent l="0" t="0" r="0" b="5715"/>
            <wp:docPr id="17792465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145216" cy="4820366"/>
                    </a:xfrm>
                    <a:prstGeom prst="rect">
                      <a:avLst/>
                    </a:prstGeom>
                    <a:noFill/>
                    <a:ln>
                      <a:noFill/>
                    </a:ln>
                  </pic:spPr>
                </pic:pic>
              </a:graphicData>
            </a:graphic>
          </wp:inline>
        </w:drawing>
      </w:r>
    </w:p>
    <w:p w14:paraId="5F09C317" w14:textId="77777777" w:rsidR="009834D2" w:rsidRPr="00003A82" w:rsidRDefault="009834D2">
      <w:pPr>
        <w:rPr>
          <w:b/>
          <w:bCs/>
          <w:sz w:val="22"/>
        </w:rPr>
        <w:sectPr w:rsidR="009834D2" w:rsidRPr="00003A82" w:rsidSect="009834D2">
          <w:pgSz w:w="15840" w:h="12240" w:orient="landscape"/>
          <w:pgMar w:top="1797" w:right="1440" w:bottom="1797" w:left="1440" w:header="709" w:footer="709" w:gutter="0"/>
          <w:cols w:space="708"/>
          <w:docGrid w:linePitch="360"/>
        </w:sectPr>
      </w:pPr>
    </w:p>
    <w:p w14:paraId="148E43B7" w14:textId="77777777" w:rsidR="00A850CA" w:rsidRPr="00003A82" w:rsidRDefault="00A850CA">
      <w:pPr>
        <w:rPr>
          <w:b/>
          <w:bCs/>
          <w:sz w:val="22"/>
        </w:rPr>
      </w:pPr>
      <w:r w:rsidRPr="00003A82">
        <w:rPr>
          <w:b/>
          <w:bCs/>
          <w:sz w:val="22"/>
        </w:rPr>
        <w:lastRenderedPageBreak/>
        <w:t>Task 3 – Self-Reflection of group Activity</w:t>
      </w:r>
    </w:p>
    <w:p w14:paraId="30C88EB6" w14:textId="77777777" w:rsidR="002A5815" w:rsidRPr="00003A82" w:rsidRDefault="002A5815" w:rsidP="002A5815">
      <w:pPr>
        <w:rPr>
          <w:sz w:val="22"/>
        </w:rPr>
      </w:pPr>
      <w:r w:rsidRPr="00003A82">
        <w:rPr>
          <w:sz w:val="22"/>
        </w:rPr>
        <w:t>Using Gibbs’ Reflective Cycle helped me reflect more clearly on the class activity involving divergent and convergent thinking. Divergent thinking encourages generating many ideas without judgment, while convergent thinking focuses on narrowing options and selecting the most appropriate solution</w:t>
      </w:r>
      <w:sdt>
        <w:sdtPr>
          <w:rPr>
            <w:sz w:val="22"/>
          </w:rPr>
          <w:id w:val="-959192593"/>
          <w:citation/>
        </w:sdtPr>
        <w:sdtEndPr/>
        <w:sdtContent>
          <w:r w:rsidR="00BD2C3A" w:rsidRPr="00003A82">
            <w:rPr>
              <w:sz w:val="22"/>
            </w:rPr>
            <w:fldChar w:fldCharType="begin"/>
          </w:r>
          <w:r w:rsidRPr="00003A82">
            <w:rPr>
              <w:sz w:val="22"/>
            </w:rPr>
            <w:instrText xml:space="preserve"> CITATION Raw25 \l 1033 </w:instrText>
          </w:r>
          <w:r w:rsidR="00BD2C3A" w:rsidRPr="00003A82">
            <w:rPr>
              <w:sz w:val="22"/>
            </w:rPr>
            <w:fldChar w:fldCharType="separate"/>
          </w:r>
          <w:r w:rsidRPr="00003A82">
            <w:rPr>
              <w:sz w:val="22"/>
            </w:rPr>
            <w:t xml:space="preserve"> (Rawlings, et al., 2025)</w:t>
          </w:r>
          <w:r w:rsidR="00BD2C3A" w:rsidRPr="00003A82">
            <w:rPr>
              <w:sz w:val="22"/>
            </w:rPr>
            <w:fldChar w:fldCharType="end"/>
          </w:r>
        </w:sdtContent>
      </w:sdt>
      <w:r w:rsidRPr="00003A82">
        <w:rPr>
          <w:sz w:val="22"/>
        </w:rPr>
        <w:t>. During the activity, our group initially used divergent thinking by freely suggesting different approaches to improving patient communication. I noticed that I was comfortable sharing ideas when the atmosphere felt open and non-critical. This stage helped us explore possibilities we might not have considered individually.</w:t>
      </w:r>
    </w:p>
    <w:p w14:paraId="19179DAF" w14:textId="77777777" w:rsidR="002A5815" w:rsidRPr="00003A82" w:rsidRDefault="002A5815">
      <w:pPr>
        <w:rPr>
          <w:sz w:val="22"/>
        </w:rPr>
      </w:pPr>
      <w:r w:rsidRPr="00003A82">
        <w:rPr>
          <w:sz w:val="22"/>
        </w:rPr>
        <w:t>When we shifted to convergent thinking, I became more analytical. I helped compare our ideas by identifying which ones were realistic and aligned with professional practice. I realized that I naturally move between both styles depending on what the group needs. One key insight was that effective teamwork often relies on balancing creativity with structure. I learned that I can contribute more confidently when I actively listen and build on others’ suggestions rather than trying to refine ideas too early. Going forward, I want to strengthen my divergent thinking skills by being less self-critical and allowing more space for imaginative solutions, especially in problem-solving situations in health and social care.</w:t>
      </w:r>
    </w:p>
    <w:p w14:paraId="3A08F394" w14:textId="77777777" w:rsidR="00A850CA" w:rsidRPr="00003A82" w:rsidRDefault="00A850CA">
      <w:pPr>
        <w:rPr>
          <w:b/>
          <w:bCs/>
          <w:sz w:val="22"/>
        </w:rPr>
      </w:pPr>
      <w:r w:rsidRPr="00003A82">
        <w:rPr>
          <w:b/>
          <w:bCs/>
          <w:sz w:val="22"/>
        </w:rPr>
        <w:t>Task 4 – Case Study Analysis of a UK Innovation</w:t>
      </w:r>
    </w:p>
    <w:p w14:paraId="047546AB" w14:textId="77777777" w:rsidR="00C15215" w:rsidRPr="00003A82" w:rsidRDefault="00C15215" w:rsidP="00C15215">
      <w:pPr>
        <w:rPr>
          <w:sz w:val="22"/>
        </w:rPr>
      </w:pPr>
      <w:r w:rsidRPr="00003A82">
        <w:rPr>
          <w:sz w:val="22"/>
        </w:rPr>
        <w:t>The introduction of virtual wards in the NHS represents a significant digital innovation designed to support patients at home while receiving hospital-level oversight</w:t>
      </w:r>
      <w:sdt>
        <w:sdtPr>
          <w:rPr>
            <w:sz w:val="22"/>
          </w:rPr>
          <w:id w:val="-718510365"/>
          <w:citation/>
        </w:sdtPr>
        <w:sdtEndPr/>
        <w:sdtContent>
          <w:r w:rsidR="00BD2C3A" w:rsidRPr="00003A82">
            <w:rPr>
              <w:sz w:val="22"/>
            </w:rPr>
            <w:fldChar w:fldCharType="begin"/>
          </w:r>
          <w:r w:rsidRPr="00003A82">
            <w:rPr>
              <w:sz w:val="22"/>
            </w:rPr>
            <w:instrText xml:space="preserve"> CITATION Yah25 \l 1033 </w:instrText>
          </w:r>
          <w:r w:rsidR="00BD2C3A" w:rsidRPr="00003A82">
            <w:rPr>
              <w:sz w:val="22"/>
            </w:rPr>
            <w:fldChar w:fldCharType="separate"/>
          </w:r>
          <w:r w:rsidRPr="00003A82">
            <w:rPr>
              <w:sz w:val="22"/>
            </w:rPr>
            <w:t xml:space="preserve"> (Yahya, et al., 2025)</w:t>
          </w:r>
          <w:r w:rsidR="00BD2C3A" w:rsidRPr="00003A82">
            <w:rPr>
              <w:sz w:val="22"/>
            </w:rPr>
            <w:fldChar w:fldCharType="end"/>
          </w:r>
        </w:sdtContent>
      </w:sdt>
      <w:r w:rsidRPr="00003A82">
        <w:rPr>
          <w:sz w:val="22"/>
        </w:rPr>
        <w:t xml:space="preserve">. Creativity was crucial in shaping this model, as clinicians and service designers had to rethink traditional inpatient care. Instead of relying on physical beds, the model uses remote monitoring </w:t>
      </w:r>
      <w:proofErr w:type="spellStart"/>
      <w:r w:rsidRPr="00003A82">
        <w:rPr>
          <w:sz w:val="22"/>
        </w:rPr>
        <w:t>toolssuch</w:t>
      </w:r>
      <w:proofErr w:type="spellEnd"/>
      <w:r w:rsidRPr="00003A82">
        <w:rPr>
          <w:sz w:val="22"/>
        </w:rPr>
        <w:t xml:space="preserve"> as pulse oximeters, digital symptom trackers, and scheduled video check-</w:t>
      </w:r>
      <w:proofErr w:type="spellStart"/>
      <w:r w:rsidRPr="00003A82">
        <w:rPr>
          <w:sz w:val="22"/>
        </w:rPr>
        <w:t>ins</w:t>
      </w:r>
      <w:r w:rsidR="00B61A42" w:rsidRPr="00003A82">
        <w:rPr>
          <w:sz w:val="22"/>
        </w:rPr>
        <w:t>in</w:t>
      </w:r>
      <w:proofErr w:type="spellEnd"/>
      <w:r w:rsidR="00B61A42" w:rsidRPr="00003A82">
        <w:rPr>
          <w:sz w:val="22"/>
        </w:rPr>
        <w:t xml:space="preserve"> order </w:t>
      </w:r>
      <w:r w:rsidRPr="00003A82">
        <w:rPr>
          <w:sz w:val="22"/>
        </w:rPr>
        <w:t>to maintain regular clinical supervision</w:t>
      </w:r>
      <w:sdt>
        <w:sdtPr>
          <w:rPr>
            <w:sz w:val="22"/>
          </w:rPr>
          <w:id w:val="958540184"/>
          <w:citation/>
        </w:sdtPr>
        <w:sdtEndPr/>
        <w:sdtContent>
          <w:r w:rsidR="00BD2C3A" w:rsidRPr="00003A82">
            <w:rPr>
              <w:sz w:val="22"/>
            </w:rPr>
            <w:fldChar w:fldCharType="begin"/>
          </w:r>
          <w:r w:rsidR="00B61A42" w:rsidRPr="00003A82">
            <w:rPr>
              <w:sz w:val="22"/>
            </w:rPr>
            <w:instrText xml:space="preserve"> CITATION McG24 \l 1033 </w:instrText>
          </w:r>
          <w:r w:rsidR="00BD2C3A" w:rsidRPr="00003A82">
            <w:rPr>
              <w:sz w:val="22"/>
            </w:rPr>
            <w:fldChar w:fldCharType="separate"/>
          </w:r>
          <w:r w:rsidR="00B61A42" w:rsidRPr="00003A82">
            <w:rPr>
              <w:sz w:val="22"/>
            </w:rPr>
            <w:t xml:space="preserve"> (McGowan, et al., 2024)</w:t>
          </w:r>
          <w:r w:rsidR="00BD2C3A" w:rsidRPr="00003A82">
            <w:rPr>
              <w:sz w:val="22"/>
            </w:rPr>
            <w:fldChar w:fldCharType="end"/>
          </w:r>
        </w:sdtContent>
      </w:sdt>
      <w:r w:rsidRPr="00003A82">
        <w:rPr>
          <w:sz w:val="22"/>
        </w:rPr>
        <w:t xml:space="preserve">. This required creative </w:t>
      </w:r>
      <w:r w:rsidRPr="00003A82">
        <w:rPr>
          <w:sz w:val="22"/>
        </w:rPr>
        <w:lastRenderedPageBreak/>
        <w:t>collaboration between digital teams, community nurses, and acute care specialists to redesign workflows that would keep patients safe outside hospital settings.</w:t>
      </w:r>
    </w:p>
    <w:p w14:paraId="2224AFB1" w14:textId="77777777" w:rsidR="002A5815" w:rsidRPr="00003A82" w:rsidRDefault="00C15215">
      <w:pPr>
        <w:rPr>
          <w:sz w:val="22"/>
        </w:rPr>
      </w:pPr>
      <w:r w:rsidRPr="00003A82">
        <w:rPr>
          <w:sz w:val="22"/>
        </w:rPr>
        <w:t>The main problem the innovation sought to address was hospital overcrowding and the high demand for inpatient beds, especially during winter pressures and COVID-19 surges. Many patients with conditions like respiratory infections or heart failure needed observation but not necessarily continuous in-person care</w:t>
      </w:r>
      <w:sdt>
        <w:sdtPr>
          <w:rPr>
            <w:sz w:val="22"/>
          </w:rPr>
          <w:id w:val="-586072064"/>
          <w:citation/>
        </w:sdtPr>
        <w:sdtEndPr/>
        <w:sdtContent>
          <w:r w:rsidR="00BD2C3A" w:rsidRPr="00003A82">
            <w:rPr>
              <w:sz w:val="22"/>
            </w:rPr>
            <w:fldChar w:fldCharType="begin"/>
          </w:r>
          <w:r w:rsidR="00B61A42" w:rsidRPr="00003A82">
            <w:rPr>
              <w:sz w:val="22"/>
            </w:rPr>
            <w:instrText xml:space="preserve"> CITATION Daw25 \l 1033 </w:instrText>
          </w:r>
          <w:r w:rsidR="00BD2C3A" w:rsidRPr="00003A82">
            <w:rPr>
              <w:sz w:val="22"/>
            </w:rPr>
            <w:fldChar w:fldCharType="separate"/>
          </w:r>
          <w:r w:rsidR="00B61A42" w:rsidRPr="00003A82">
            <w:rPr>
              <w:sz w:val="22"/>
            </w:rPr>
            <w:t xml:space="preserve"> (Dawson, et al., 2025)</w:t>
          </w:r>
          <w:r w:rsidR="00BD2C3A" w:rsidRPr="00003A82">
            <w:rPr>
              <w:sz w:val="22"/>
            </w:rPr>
            <w:fldChar w:fldCharType="end"/>
          </w:r>
        </w:sdtContent>
      </w:sdt>
      <w:r w:rsidRPr="00003A82">
        <w:rPr>
          <w:sz w:val="22"/>
        </w:rPr>
        <w:t>.The value created has been significant. Patients benefit from recovering in the comfort of their homes while remaining closely monitored, which often improves satisfaction and reduces anxiety. For the NHS, virtual wards free up physical beds, reduce costs, and lower the risk of hospital-acquired infections. Early evaluations reported reduced admission rates and shorter lengths of stay, demonstrating improved service efficiency and patient outcomes</w:t>
      </w:r>
      <w:sdt>
        <w:sdtPr>
          <w:rPr>
            <w:sz w:val="22"/>
          </w:rPr>
          <w:id w:val="-488719449"/>
          <w:citation/>
        </w:sdtPr>
        <w:sdtEndPr/>
        <w:sdtContent>
          <w:r w:rsidR="00BD2C3A" w:rsidRPr="00003A82">
            <w:rPr>
              <w:sz w:val="22"/>
            </w:rPr>
            <w:fldChar w:fldCharType="begin"/>
          </w:r>
          <w:r w:rsidR="00955412" w:rsidRPr="00003A82">
            <w:rPr>
              <w:sz w:val="22"/>
            </w:rPr>
            <w:instrText xml:space="preserve"> CITATION Wel24 \l 1033 </w:instrText>
          </w:r>
          <w:r w:rsidR="00BD2C3A" w:rsidRPr="00003A82">
            <w:rPr>
              <w:sz w:val="22"/>
            </w:rPr>
            <w:fldChar w:fldCharType="separate"/>
          </w:r>
          <w:r w:rsidR="00955412" w:rsidRPr="00003A82">
            <w:rPr>
              <w:sz w:val="22"/>
            </w:rPr>
            <w:t xml:space="preserve"> (Wells &amp; Gatfield, 2024)</w:t>
          </w:r>
          <w:r w:rsidR="00BD2C3A" w:rsidRPr="00003A82">
            <w:rPr>
              <w:sz w:val="22"/>
            </w:rPr>
            <w:fldChar w:fldCharType="end"/>
          </w:r>
        </w:sdtContent>
      </w:sdt>
      <w:r w:rsidRPr="00003A82">
        <w:rPr>
          <w:sz w:val="22"/>
        </w:rPr>
        <w:t>.</w:t>
      </w:r>
    </w:p>
    <w:p w14:paraId="7474DB29" w14:textId="77777777" w:rsidR="00A850CA" w:rsidRPr="00003A82" w:rsidRDefault="00A850CA">
      <w:pPr>
        <w:rPr>
          <w:b/>
          <w:bCs/>
          <w:sz w:val="22"/>
        </w:rPr>
      </w:pPr>
      <w:r w:rsidRPr="00003A82">
        <w:rPr>
          <w:b/>
          <w:bCs/>
          <w:sz w:val="22"/>
        </w:rPr>
        <w:t>Task 5 – Research Task</w:t>
      </w:r>
    </w:p>
    <w:p w14:paraId="4208A722" w14:textId="77777777" w:rsidR="002F08C5" w:rsidRPr="00003A82" w:rsidRDefault="002F08C5" w:rsidP="002F08C5">
      <w:pPr>
        <w:rPr>
          <w:sz w:val="22"/>
        </w:rPr>
      </w:pPr>
      <w:r w:rsidRPr="00003A82">
        <w:rPr>
          <w:sz w:val="22"/>
        </w:rPr>
        <w:t xml:space="preserve">Burnout has become a major challenge in the health and social care sector, affecting staff wellbeing and the quality of care </w:t>
      </w:r>
      <w:proofErr w:type="spellStart"/>
      <w:r w:rsidRPr="00003A82">
        <w:rPr>
          <w:sz w:val="22"/>
        </w:rPr>
        <w:t>delivered.One</w:t>
      </w:r>
      <w:proofErr w:type="spellEnd"/>
      <w:r w:rsidRPr="00003A82">
        <w:rPr>
          <w:sz w:val="22"/>
        </w:rPr>
        <w:t xml:space="preserve"> study by </w:t>
      </w:r>
      <w:r w:rsidR="00A33014" w:rsidRPr="00003A82">
        <w:rPr>
          <w:noProof/>
          <w:sz w:val="22"/>
          <w:lang w:val="en-US"/>
        </w:rPr>
        <w:t>de Lima Garcia, et al. (2019)</w:t>
      </w:r>
      <w:r w:rsidRPr="00003A82">
        <w:rPr>
          <w:sz w:val="22"/>
        </w:rPr>
        <w:t>explained that burnout is strongly linked to chronic workforce pressures, including understaffing, rising patient demand, and emotional strain from continuous exposure to distressing situations. The authors argued that when staff consistently work beyond their capacity, their ability to deliver compassionate and safe care decreases. Their findings highlighted that burnout is not simply an individual issue but a symptom of systemic organizational stress.</w:t>
      </w:r>
    </w:p>
    <w:p w14:paraId="6100AB47" w14:textId="77777777" w:rsidR="002F08C5" w:rsidRPr="00003A82" w:rsidRDefault="002F08C5">
      <w:pPr>
        <w:rPr>
          <w:sz w:val="22"/>
        </w:rPr>
      </w:pPr>
      <w:r w:rsidRPr="00003A82">
        <w:rPr>
          <w:sz w:val="22"/>
        </w:rPr>
        <w:t xml:space="preserve">Another study by </w:t>
      </w:r>
      <w:r w:rsidR="00A33014" w:rsidRPr="00003A82">
        <w:rPr>
          <w:noProof/>
          <w:sz w:val="22"/>
          <w:lang w:val="en-US"/>
        </w:rPr>
        <w:t>Batanda (2024)</w:t>
      </w:r>
      <w:r w:rsidRPr="00003A82">
        <w:rPr>
          <w:sz w:val="22"/>
        </w:rPr>
        <w:t xml:space="preserve">also found that burnout develops when healthcare workers experience prolonged emotional exhaustion without appropriate organizational support. Their research showed that limited autonomy, lack of recognition, and insufficient recovery time contribute to a cycle of fatigue and reduced job satisfaction. The authors emphasized that burnout directly affects performance, increasing the risk of clinical errors and reducing the overall quality </w:t>
      </w:r>
      <w:r w:rsidRPr="00003A82">
        <w:rPr>
          <w:sz w:val="22"/>
        </w:rPr>
        <w:lastRenderedPageBreak/>
        <w:t>of patient interactions. Both articles suggest that addressing burnout requires investment in supportive leadership, manageable workloads, and workplace cultures that prioritize staff wellbeing.</w:t>
      </w:r>
    </w:p>
    <w:p w14:paraId="71B79A28" w14:textId="77777777" w:rsidR="00A850CA" w:rsidRPr="00003A82" w:rsidRDefault="00A850CA">
      <w:pPr>
        <w:rPr>
          <w:b/>
          <w:bCs/>
          <w:sz w:val="22"/>
        </w:rPr>
      </w:pPr>
      <w:r w:rsidRPr="00003A82">
        <w:rPr>
          <w:b/>
          <w:bCs/>
          <w:sz w:val="22"/>
        </w:rPr>
        <w:t>Task 6 – Exploring Digital Innovation in Health and Social Care</w:t>
      </w:r>
    </w:p>
    <w:p w14:paraId="2BA1E8CB" w14:textId="77777777" w:rsidR="002F08C5" w:rsidRPr="00003A82" w:rsidRDefault="002F08C5">
      <w:pPr>
        <w:rPr>
          <w:b/>
          <w:bCs/>
          <w:i/>
          <w:iCs/>
          <w:sz w:val="22"/>
        </w:rPr>
      </w:pPr>
      <w:r w:rsidRPr="00003A82">
        <w:rPr>
          <w:b/>
          <w:bCs/>
          <w:i/>
          <w:iCs/>
          <w:sz w:val="22"/>
        </w:rPr>
        <w:t>Benefit of Wearable Health Technologies</w:t>
      </w:r>
    </w:p>
    <w:p w14:paraId="7D6C7BC0" w14:textId="77777777" w:rsidR="002F08C5" w:rsidRPr="00003A82" w:rsidRDefault="002F08C5">
      <w:pPr>
        <w:rPr>
          <w:sz w:val="22"/>
        </w:rPr>
      </w:pPr>
      <w:r w:rsidRPr="00003A82">
        <w:rPr>
          <w:sz w:val="22"/>
        </w:rPr>
        <w:t>Wearable health technologies, such as smartwatches and fitness trackers, offer significant benefits for managing chronic conditions because they provide real-time monitoring that supports early intervention</w:t>
      </w:r>
      <w:sdt>
        <w:sdtPr>
          <w:rPr>
            <w:sz w:val="22"/>
          </w:rPr>
          <w:id w:val="-1984610421"/>
          <w:citation/>
        </w:sdtPr>
        <w:sdtEndPr/>
        <w:sdtContent>
          <w:r w:rsidR="00BD2C3A" w:rsidRPr="00003A82">
            <w:rPr>
              <w:sz w:val="22"/>
            </w:rPr>
            <w:fldChar w:fldCharType="begin"/>
          </w:r>
          <w:r w:rsidR="00A254C4" w:rsidRPr="00003A82">
            <w:rPr>
              <w:sz w:val="22"/>
              <w:lang w:val="en-US"/>
            </w:rPr>
            <w:instrText xml:space="preserve"> CITATION DeS24 \l 1033 </w:instrText>
          </w:r>
          <w:r w:rsidR="00BD2C3A" w:rsidRPr="00003A82">
            <w:rPr>
              <w:sz w:val="22"/>
            </w:rPr>
            <w:fldChar w:fldCharType="separate"/>
          </w:r>
          <w:r w:rsidR="00A254C4" w:rsidRPr="00003A82">
            <w:rPr>
              <w:noProof/>
              <w:sz w:val="22"/>
              <w:lang w:val="en-US"/>
            </w:rPr>
            <w:t>(De Sario Velasquez, et al., 2024)</w:t>
          </w:r>
          <w:r w:rsidR="00BD2C3A" w:rsidRPr="00003A82">
            <w:rPr>
              <w:sz w:val="22"/>
            </w:rPr>
            <w:fldChar w:fldCharType="end"/>
          </w:r>
        </w:sdtContent>
      </w:sdt>
      <w:r w:rsidRPr="00003A82">
        <w:rPr>
          <w:sz w:val="22"/>
        </w:rPr>
        <w:t>. One advantage is that they allow patients to track key indicators—such as heart rate, activity levels, sleep quality, or blood glucose—outside of clinical settings. This continuous flow of information helps patients become more engaged in their own health, while also giving healthcare professionals access to more accurate data during reviews</w:t>
      </w:r>
      <w:sdt>
        <w:sdtPr>
          <w:rPr>
            <w:sz w:val="22"/>
          </w:rPr>
          <w:id w:val="639538148"/>
          <w:citation/>
        </w:sdtPr>
        <w:sdtEndPr/>
        <w:sdtContent>
          <w:r w:rsidR="00BD2C3A" w:rsidRPr="00003A82">
            <w:rPr>
              <w:sz w:val="22"/>
            </w:rPr>
            <w:fldChar w:fldCharType="begin"/>
          </w:r>
          <w:r w:rsidR="00A254C4" w:rsidRPr="00003A82">
            <w:rPr>
              <w:sz w:val="22"/>
              <w:lang w:val="en-US"/>
            </w:rPr>
            <w:instrText xml:space="preserve"> CITATION Sun25 \l 1033 </w:instrText>
          </w:r>
          <w:r w:rsidR="00BD2C3A" w:rsidRPr="00003A82">
            <w:rPr>
              <w:sz w:val="22"/>
            </w:rPr>
            <w:fldChar w:fldCharType="separate"/>
          </w:r>
          <w:r w:rsidR="00A254C4" w:rsidRPr="00003A82">
            <w:rPr>
              <w:noProof/>
              <w:sz w:val="22"/>
              <w:lang w:val="en-US"/>
            </w:rPr>
            <w:t>(Sun, et al., 2025)</w:t>
          </w:r>
          <w:r w:rsidR="00BD2C3A" w:rsidRPr="00003A82">
            <w:rPr>
              <w:sz w:val="22"/>
            </w:rPr>
            <w:fldChar w:fldCharType="end"/>
          </w:r>
        </w:sdtContent>
      </w:sdt>
      <w:r w:rsidRPr="00003A82">
        <w:rPr>
          <w:sz w:val="22"/>
        </w:rPr>
        <w:t xml:space="preserve">. For example, people with hypertension or cardiac conditions can use wearables to detect unusual patterns, prompting faster clinical attention if needed. Research shows that wearable devices can improve self-management </w:t>
      </w:r>
      <w:r w:rsidR="00A254C4" w:rsidRPr="00003A82">
        <w:rPr>
          <w:sz w:val="22"/>
        </w:rPr>
        <w:t>behaviors</w:t>
      </w:r>
      <w:r w:rsidRPr="00003A82">
        <w:rPr>
          <w:sz w:val="22"/>
        </w:rPr>
        <w:t xml:space="preserve"> and support more </w:t>
      </w:r>
      <w:r w:rsidR="00A254C4" w:rsidRPr="00003A82">
        <w:rPr>
          <w:sz w:val="22"/>
        </w:rPr>
        <w:t>personalized</w:t>
      </w:r>
      <w:r w:rsidRPr="00003A82">
        <w:rPr>
          <w:sz w:val="22"/>
        </w:rPr>
        <w:t xml:space="preserve"> treatment plans</w:t>
      </w:r>
      <w:sdt>
        <w:sdtPr>
          <w:rPr>
            <w:sz w:val="22"/>
          </w:rPr>
          <w:id w:val="-144354801"/>
          <w:citation/>
        </w:sdtPr>
        <w:sdtEndPr/>
        <w:sdtContent>
          <w:r w:rsidR="00BD2C3A" w:rsidRPr="00003A82">
            <w:rPr>
              <w:sz w:val="22"/>
            </w:rPr>
            <w:fldChar w:fldCharType="begin"/>
          </w:r>
          <w:r w:rsidR="008B12DD" w:rsidRPr="00003A82">
            <w:rPr>
              <w:sz w:val="22"/>
              <w:lang w:val="en-US"/>
            </w:rPr>
            <w:instrText xml:space="preserve"> CITATION Kan22 \l 1033  \m Bov19</w:instrText>
          </w:r>
          <w:r w:rsidR="00BD2C3A" w:rsidRPr="00003A82">
            <w:rPr>
              <w:sz w:val="22"/>
            </w:rPr>
            <w:fldChar w:fldCharType="separate"/>
          </w:r>
          <w:r w:rsidR="008B12DD" w:rsidRPr="00003A82">
            <w:rPr>
              <w:noProof/>
              <w:sz w:val="22"/>
              <w:lang w:val="en-US"/>
            </w:rPr>
            <w:t>(Kang &amp; Exworthy, 2022; Bove, 2019)</w:t>
          </w:r>
          <w:r w:rsidR="00BD2C3A" w:rsidRPr="00003A82">
            <w:rPr>
              <w:sz w:val="22"/>
            </w:rPr>
            <w:fldChar w:fldCharType="end"/>
          </w:r>
        </w:sdtContent>
      </w:sdt>
      <w:r w:rsidRPr="00003A82">
        <w:rPr>
          <w:sz w:val="22"/>
        </w:rPr>
        <w:t>. By giving both patients and clinicians timely information, wearables reduce avoidable hospital visits and help maintain stability in long-term condition management.</w:t>
      </w:r>
    </w:p>
    <w:p w14:paraId="45D463F2" w14:textId="77777777" w:rsidR="002F08C5" w:rsidRPr="00003A82" w:rsidRDefault="002F08C5">
      <w:pPr>
        <w:rPr>
          <w:b/>
          <w:bCs/>
          <w:i/>
          <w:iCs/>
          <w:sz w:val="22"/>
        </w:rPr>
      </w:pPr>
      <w:r w:rsidRPr="00003A82">
        <w:rPr>
          <w:b/>
          <w:bCs/>
          <w:i/>
          <w:iCs/>
          <w:sz w:val="22"/>
        </w:rPr>
        <w:t>How Electronic Health Records Improve Communication</w:t>
      </w:r>
    </w:p>
    <w:p w14:paraId="000B03AC" w14:textId="77777777" w:rsidR="002F08C5" w:rsidRPr="00003A82" w:rsidRDefault="002F08C5">
      <w:pPr>
        <w:rPr>
          <w:sz w:val="22"/>
        </w:rPr>
      </w:pPr>
      <w:r w:rsidRPr="00003A82">
        <w:rPr>
          <w:sz w:val="22"/>
        </w:rPr>
        <w:t>Electronic Health Records (EHRs) strengthen communication and collaboration by making patient information instantly accessible to all professionals involved in care</w:t>
      </w:r>
      <w:sdt>
        <w:sdtPr>
          <w:rPr>
            <w:sz w:val="22"/>
          </w:rPr>
          <w:id w:val="1670140385"/>
          <w:citation/>
        </w:sdtPr>
        <w:sdtEndPr/>
        <w:sdtContent>
          <w:r w:rsidR="00BD2C3A" w:rsidRPr="00003A82">
            <w:rPr>
              <w:sz w:val="22"/>
            </w:rPr>
            <w:fldChar w:fldCharType="begin"/>
          </w:r>
          <w:r w:rsidR="008B12DD" w:rsidRPr="00003A82">
            <w:rPr>
              <w:sz w:val="22"/>
              <w:lang w:val="en-US"/>
            </w:rPr>
            <w:instrText xml:space="preserve"> CITATION Ele25 \l 1033 </w:instrText>
          </w:r>
          <w:r w:rsidR="00BD2C3A" w:rsidRPr="00003A82">
            <w:rPr>
              <w:sz w:val="22"/>
            </w:rPr>
            <w:fldChar w:fldCharType="separate"/>
          </w:r>
          <w:r w:rsidR="008B12DD" w:rsidRPr="00003A82">
            <w:rPr>
              <w:noProof/>
              <w:sz w:val="22"/>
              <w:lang w:val="en-US"/>
            </w:rPr>
            <w:t>(Elepaño, et al., 2025)</w:t>
          </w:r>
          <w:r w:rsidR="00BD2C3A" w:rsidRPr="00003A82">
            <w:rPr>
              <w:sz w:val="22"/>
            </w:rPr>
            <w:fldChar w:fldCharType="end"/>
          </w:r>
        </w:sdtContent>
      </w:sdt>
      <w:r w:rsidRPr="00003A82">
        <w:rPr>
          <w:sz w:val="22"/>
        </w:rPr>
        <w:t>. Instead of relying on paper documents that can be misplaced or incomplete, EHRs bring together medical histories, test results, medication lists and care plans in one central system. This helps clinicians share information more efficiently and reduces delays in decision-making</w:t>
      </w:r>
      <w:sdt>
        <w:sdtPr>
          <w:rPr>
            <w:sz w:val="22"/>
          </w:rPr>
          <w:id w:val="-67655364"/>
          <w:citation/>
        </w:sdtPr>
        <w:sdtEndPr/>
        <w:sdtContent>
          <w:r w:rsidR="00BD2C3A" w:rsidRPr="00003A82">
            <w:rPr>
              <w:sz w:val="22"/>
            </w:rPr>
            <w:fldChar w:fldCharType="begin"/>
          </w:r>
          <w:r w:rsidR="008B12DD" w:rsidRPr="00003A82">
            <w:rPr>
              <w:sz w:val="22"/>
              <w:lang w:val="en-US"/>
            </w:rPr>
            <w:instrText xml:space="preserve"> CITATION Upa22 \l 1033 </w:instrText>
          </w:r>
          <w:r w:rsidR="00BD2C3A" w:rsidRPr="00003A82">
            <w:rPr>
              <w:sz w:val="22"/>
            </w:rPr>
            <w:fldChar w:fldCharType="separate"/>
          </w:r>
          <w:r w:rsidR="008B12DD" w:rsidRPr="00003A82">
            <w:rPr>
              <w:noProof/>
              <w:sz w:val="22"/>
              <w:lang w:val="en-US"/>
            </w:rPr>
            <w:t>(Upadhyay &amp; Hu, 2022)</w:t>
          </w:r>
          <w:r w:rsidR="00BD2C3A" w:rsidRPr="00003A82">
            <w:rPr>
              <w:sz w:val="22"/>
            </w:rPr>
            <w:fldChar w:fldCharType="end"/>
          </w:r>
        </w:sdtContent>
      </w:sdt>
      <w:r w:rsidRPr="00003A82">
        <w:rPr>
          <w:sz w:val="22"/>
        </w:rPr>
        <w:t xml:space="preserve">. For example, when a patient moves from hospital to community </w:t>
      </w:r>
      <w:r w:rsidRPr="00003A82">
        <w:rPr>
          <w:sz w:val="22"/>
        </w:rPr>
        <w:lastRenderedPageBreak/>
        <w:t>care, their updated records can be viewed by GPs, nurses and pharmacists, ensuring continuity and reducing the risk of duplicated tests or medication errors. Studies highlight that EHRs support safer, more coordinated care by improving information accuracy and team communication</w:t>
      </w:r>
      <w:sdt>
        <w:sdtPr>
          <w:rPr>
            <w:sz w:val="22"/>
          </w:rPr>
          <w:id w:val="-615600861"/>
          <w:citation/>
        </w:sdtPr>
        <w:sdtEndPr/>
        <w:sdtContent>
          <w:r w:rsidR="00BD2C3A" w:rsidRPr="00003A82">
            <w:rPr>
              <w:sz w:val="22"/>
            </w:rPr>
            <w:fldChar w:fldCharType="begin"/>
          </w:r>
          <w:r w:rsidR="002D3FE5" w:rsidRPr="00003A82">
            <w:rPr>
              <w:sz w:val="22"/>
              <w:lang w:val="en-US"/>
            </w:rPr>
            <w:instrText xml:space="preserve"> CITATION Alh25 \l 1033 </w:instrText>
          </w:r>
          <w:r w:rsidR="00BD2C3A" w:rsidRPr="00003A82">
            <w:rPr>
              <w:sz w:val="22"/>
            </w:rPr>
            <w:fldChar w:fldCharType="separate"/>
          </w:r>
          <w:r w:rsidR="002D3FE5" w:rsidRPr="00003A82">
            <w:rPr>
              <w:noProof/>
              <w:sz w:val="22"/>
              <w:lang w:val="en-US"/>
            </w:rPr>
            <w:t>(Alharbi, 2025)</w:t>
          </w:r>
          <w:r w:rsidR="00BD2C3A" w:rsidRPr="00003A82">
            <w:rPr>
              <w:sz w:val="22"/>
            </w:rPr>
            <w:fldChar w:fldCharType="end"/>
          </w:r>
        </w:sdtContent>
      </w:sdt>
      <w:r w:rsidRPr="00003A82">
        <w:rPr>
          <w:sz w:val="22"/>
        </w:rPr>
        <w:t>. Overall, EHRs help different services work as one joined-up team, which is crucial in complex health and social care environments.</w:t>
      </w:r>
    </w:p>
    <w:p w14:paraId="41989F46" w14:textId="77777777" w:rsidR="002F08C5" w:rsidRPr="00003A82" w:rsidRDefault="002F08C5">
      <w:pPr>
        <w:rPr>
          <w:b/>
          <w:bCs/>
          <w:i/>
          <w:iCs/>
          <w:sz w:val="22"/>
        </w:rPr>
      </w:pPr>
      <w:r w:rsidRPr="00003A82">
        <w:rPr>
          <w:b/>
          <w:bCs/>
          <w:i/>
          <w:iCs/>
          <w:sz w:val="22"/>
        </w:rPr>
        <w:t>Digital Technology for Preventative Care and Health Promotion</w:t>
      </w:r>
    </w:p>
    <w:p w14:paraId="17230658" w14:textId="77777777" w:rsidR="002F08C5" w:rsidRPr="00003A82" w:rsidRDefault="002F08C5">
      <w:pPr>
        <w:rPr>
          <w:sz w:val="22"/>
        </w:rPr>
      </w:pPr>
      <w:r w:rsidRPr="00003A82">
        <w:rPr>
          <w:sz w:val="22"/>
        </w:rPr>
        <w:t xml:space="preserve">Digital technology plays a major role in preventative care by helping people make healthier choices and by identifying risks earlier. One example is mobile health apps that encourage lifestyle improvements such as increased physical activity, healthier eating or smoking reduction. These apps often include goal-tracking features, reminders and </w:t>
      </w:r>
      <w:r w:rsidR="002D3FE5" w:rsidRPr="00003A82">
        <w:rPr>
          <w:sz w:val="22"/>
        </w:rPr>
        <w:t>personalized</w:t>
      </w:r>
      <w:r w:rsidRPr="00003A82">
        <w:rPr>
          <w:sz w:val="22"/>
        </w:rPr>
        <w:t xml:space="preserve"> feedback, which can motivate users to build long-term habits</w:t>
      </w:r>
      <w:sdt>
        <w:sdtPr>
          <w:rPr>
            <w:sz w:val="22"/>
          </w:rPr>
          <w:id w:val="-1080982115"/>
          <w:citation/>
        </w:sdtPr>
        <w:sdtEndPr/>
        <w:sdtContent>
          <w:r w:rsidR="00BD2C3A" w:rsidRPr="00003A82">
            <w:rPr>
              <w:sz w:val="22"/>
            </w:rPr>
            <w:fldChar w:fldCharType="begin"/>
          </w:r>
          <w:r w:rsidR="00836082" w:rsidRPr="00003A82">
            <w:rPr>
              <w:sz w:val="22"/>
              <w:lang w:val="en-US"/>
            </w:rPr>
            <w:instrText xml:space="preserve"> CITATION McK19 \l 1033 </w:instrText>
          </w:r>
          <w:r w:rsidR="00BD2C3A" w:rsidRPr="00003A82">
            <w:rPr>
              <w:sz w:val="22"/>
            </w:rPr>
            <w:fldChar w:fldCharType="separate"/>
          </w:r>
          <w:r w:rsidR="00836082" w:rsidRPr="00003A82">
            <w:rPr>
              <w:noProof/>
              <w:sz w:val="22"/>
              <w:lang w:val="en-US"/>
            </w:rPr>
            <w:t>(McKay, et al., 2019)</w:t>
          </w:r>
          <w:r w:rsidR="00BD2C3A" w:rsidRPr="00003A82">
            <w:rPr>
              <w:sz w:val="22"/>
            </w:rPr>
            <w:fldChar w:fldCharType="end"/>
          </w:r>
        </w:sdtContent>
      </w:sdt>
      <w:r w:rsidRPr="00003A82">
        <w:rPr>
          <w:sz w:val="22"/>
        </w:rPr>
        <w:t xml:space="preserve">. Digital tools can also flag emerging health risks; for instance, diabetes-risk calculators or blood pressure monitoring apps can alert users when readings become concerning. Public health campaigns increasingly use social media to spread reliable health information to wider audiences at low cost. Evidence shows that digital interventions can strengthen preventative </w:t>
      </w:r>
      <w:r w:rsidR="002D3FE5" w:rsidRPr="00003A82">
        <w:rPr>
          <w:sz w:val="22"/>
        </w:rPr>
        <w:t>behaviors</w:t>
      </w:r>
      <w:r w:rsidRPr="00003A82">
        <w:rPr>
          <w:sz w:val="22"/>
        </w:rPr>
        <w:t xml:space="preserve"> and improve early detection of health issues</w:t>
      </w:r>
      <w:sdt>
        <w:sdtPr>
          <w:rPr>
            <w:sz w:val="22"/>
          </w:rPr>
          <w:id w:val="-559400673"/>
          <w:citation/>
        </w:sdtPr>
        <w:sdtEndPr/>
        <w:sdtContent>
          <w:r w:rsidR="00BD2C3A" w:rsidRPr="00003A82">
            <w:rPr>
              <w:sz w:val="22"/>
            </w:rPr>
            <w:fldChar w:fldCharType="begin"/>
          </w:r>
          <w:r w:rsidR="00836082" w:rsidRPr="00003A82">
            <w:rPr>
              <w:sz w:val="22"/>
              <w:lang w:val="en-US"/>
            </w:rPr>
            <w:instrText xml:space="preserve"> CITATION Cha211 \l 1033  \m Sha252</w:instrText>
          </w:r>
          <w:r w:rsidR="00BD2C3A" w:rsidRPr="00003A82">
            <w:rPr>
              <w:sz w:val="22"/>
            </w:rPr>
            <w:fldChar w:fldCharType="separate"/>
          </w:r>
          <w:r w:rsidR="00836082" w:rsidRPr="00003A82">
            <w:rPr>
              <w:noProof/>
              <w:sz w:val="22"/>
              <w:lang w:val="en-US"/>
            </w:rPr>
            <w:t>(Chatterjee, et al., 2021; Shaluhiyah, et al., 2025)</w:t>
          </w:r>
          <w:r w:rsidR="00BD2C3A" w:rsidRPr="00003A82">
            <w:rPr>
              <w:sz w:val="22"/>
            </w:rPr>
            <w:fldChar w:fldCharType="end"/>
          </w:r>
        </w:sdtContent>
      </w:sdt>
      <w:r w:rsidRPr="00003A82">
        <w:rPr>
          <w:sz w:val="22"/>
        </w:rPr>
        <w:t>. By supporting people to take action earlier, digital tools reduce future demand on health and social care services.</w:t>
      </w:r>
    </w:p>
    <w:p w14:paraId="35B70AC7" w14:textId="77777777" w:rsidR="00A850CA" w:rsidRPr="00003A82" w:rsidRDefault="00A850CA">
      <w:pPr>
        <w:rPr>
          <w:b/>
          <w:bCs/>
          <w:sz w:val="22"/>
        </w:rPr>
      </w:pPr>
      <w:r w:rsidRPr="00003A82">
        <w:rPr>
          <w:b/>
          <w:bCs/>
          <w:sz w:val="22"/>
        </w:rPr>
        <w:t>Task 7 – Understanding the NHS Leadership Framework</w:t>
      </w:r>
    </w:p>
    <w:p w14:paraId="4A253F98" w14:textId="77777777" w:rsidR="00CC7A86" w:rsidRPr="00003A82" w:rsidRDefault="00337B3B">
      <w:pPr>
        <w:rPr>
          <w:b/>
          <w:bCs/>
          <w:i/>
          <w:iCs/>
          <w:sz w:val="22"/>
        </w:rPr>
      </w:pPr>
      <w:r w:rsidRPr="00003A82">
        <w:rPr>
          <w:b/>
          <w:bCs/>
          <w:i/>
          <w:iCs/>
          <w:sz w:val="22"/>
        </w:rPr>
        <w:t>Summary of the NHS Leadership Framework</w:t>
      </w:r>
    </w:p>
    <w:p w14:paraId="1205991E" w14:textId="77777777" w:rsidR="00337B3B" w:rsidRPr="00003A82" w:rsidRDefault="00337B3B">
      <w:pPr>
        <w:rPr>
          <w:sz w:val="22"/>
        </w:rPr>
      </w:pPr>
      <w:r w:rsidRPr="00003A82">
        <w:rPr>
          <w:sz w:val="22"/>
        </w:rPr>
        <w:t xml:space="preserve">The NHS Leadership Framework provides a structured way of understanding the </w:t>
      </w:r>
      <w:r w:rsidR="002D3FE5" w:rsidRPr="00003A82">
        <w:rPr>
          <w:sz w:val="22"/>
        </w:rPr>
        <w:t>behaviors</w:t>
      </w:r>
      <w:r w:rsidRPr="00003A82">
        <w:rPr>
          <w:sz w:val="22"/>
        </w:rPr>
        <w:t xml:space="preserve">, values, and capabilities expected of leaders across all levels of the NHS. It </w:t>
      </w:r>
      <w:r w:rsidR="002D3FE5" w:rsidRPr="00003A82">
        <w:rPr>
          <w:sz w:val="22"/>
        </w:rPr>
        <w:t>emphasizes</w:t>
      </w:r>
      <w:r w:rsidRPr="00003A82">
        <w:rPr>
          <w:sz w:val="22"/>
        </w:rPr>
        <w:t xml:space="preserve"> that leadership is not limited to formal managerial roles; instead, it is a shared responsibility that supports high-quality, compassionate, and innovative care. The framework is built around </w:t>
      </w:r>
      <w:r w:rsidR="00D6359F" w:rsidRPr="00003A82">
        <w:rPr>
          <w:sz w:val="22"/>
        </w:rPr>
        <w:t xml:space="preserve">five core domains, including demonstrating personal qualities, working with others, managing </w:t>
      </w:r>
      <w:r w:rsidR="00D6359F" w:rsidRPr="00003A82">
        <w:rPr>
          <w:sz w:val="22"/>
        </w:rPr>
        <w:lastRenderedPageBreak/>
        <w:t>services, improving services, and setting direction</w:t>
      </w:r>
      <w:sdt>
        <w:sdtPr>
          <w:rPr>
            <w:sz w:val="22"/>
          </w:rPr>
          <w:id w:val="-1840683624"/>
          <w:citation/>
        </w:sdtPr>
        <w:sdtEndPr/>
        <w:sdtContent>
          <w:r w:rsidR="00BD2C3A" w:rsidRPr="00003A82">
            <w:rPr>
              <w:sz w:val="22"/>
            </w:rPr>
            <w:fldChar w:fldCharType="begin"/>
          </w:r>
          <w:r w:rsidR="00D6359F" w:rsidRPr="00003A82">
            <w:rPr>
              <w:sz w:val="22"/>
              <w:lang w:val="en-US"/>
            </w:rPr>
            <w:instrText xml:space="preserve"> CITATION NHS11 \l 1033 </w:instrText>
          </w:r>
          <w:r w:rsidR="00BD2C3A" w:rsidRPr="00003A82">
            <w:rPr>
              <w:sz w:val="22"/>
            </w:rPr>
            <w:fldChar w:fldCharType="separate"/>
          </w:r>
          <w:r w:rsidR="00D6359F" w:rsidRPr="00003A82">
            <w:rPr>
              <w:noProof/>
              <w:sz w:val="22"/>
              <w:lang w:val="en-US"/>
            </w:rPr>
            <w:t>(NHS Leadership Academy, 2011)</w:t>
          </w:r>
          <w:r w:rsidR="00BD2C3A" w:rsidRPr="00003A82">
            <w:rPr>
              <w:sz w:val="22"/>
            </w:rPr>
            <w:fldChar w:fldCharType="end"/>
          </w:r>
        </w:sdtContent>
      </w:sdt>
      <w:r w:rsidRPr="00003A82">
        <w:rPr>
          <w:sz w:val="22"/>
        </w:rPr>
        <w:t xml:space="preserve">. Together, these </w:t>
      </w:r>
      <w:r w:rsidR="002D3FE5" w:rsidRPr="00003A82">
        <w:rPr>
          <w:sz w:val="22"/>
        </w:rPr>
        <w:t>behaviors</w:t>
      </w:r>
      <w:r w:rsidRPr="00003A82">
        <w:rPr>
          <w:sz w:val="22"/>
        </w:rPr>
        <w:t xml:space="preserve"> encourage leaders to act ethically, collaborate effectively, and make evidence-based decisions. Its importance lies in promoting consistency across the NHS, ensuring that leaders model </w:t>
      </w:r>
      <w:r w:rsidR="002D3FE5" w:rsidRPr="00003A82">
        <w:rPr>
          <w:sz w:val="22"/>
        </w:rPr>
        <w:t>behaviors</w:t>
      </w:r>
      <w:r w:rsidRPr="00003A82">
        <w:rPr>
          <w:sz w:val="22"/>
        </w:rPr>
        <w:t xml:space="preserve"> that support staff wellbeing, patient safety, and continuous improvement. By setting clear expectations, the framework helps shape </w:t>
      </w:r>
      <w:r w:rsidR="002D3FE5" w:rsidRPr="00003A82">
        <w:rPr>
          <w:sz w:val="22"/>
        </w:rPr>
        <w:t>organizational</w:t>
      </w:r>
      <w:r w:rsidRPr="00003A82">
        <w:rPr>
          <w:sz w:val="22"/>
        </w:rPr>
        <w:t xml:space="preserve"> cultures where staff feel valued, motivated, and able to contribute creatively to service improvements</w:t>
      </w:r>
      <w:sdt>
        <w:sdtPr>
          <w:rPr>
            <w:sz w:val="22"/>
          </w:rPr>
          <w:id w:val="-345240689"/>
          <w:citation/>
        </w:sdtPr>
        <w:sdtEndPr/>
        <w:sdtContent>
          <w:r w:rsidR="00BD2C3A" w:rsidRPr="00003A82">
            <w:rPr>
              <w:sz w:val="22"/>
            </w:rPr>
            <w:fldChar w:fldCharType="begin"/>
          </w:r>
          <w:r w:rsidR="00D6359F" w:rsidRPr="00003A82">
            <w:rPr>
              <w:sz w:val="22"/>
              <w:lang w:val="en-US"/>
            </w:rPr>
            <w:instrText xml:space="preserve"> CITATION NHS11 \l 1033 </w:instrText>
          </w:r>
          <w:r w:rsidR="00BD2C3A" w:rsidRPr="00003A82">
            <w:rPr>
              <w:sz w:val="22"/>
            </w:rPr>
            <w:fldChar w:fldCharType="separate"/>
          </w:r>
          <w:r w:rsidR="00D6359F" w:rsidRPr="00003A82">
            <w:rPr>
              <w:noProof/>
              <w:sz w:val="22"/>
              <w:lang w:val="en-US"/>
            </w:rPr>
            <w:t>(NHS Leadership Academy, 2011)</w:t>
          </w:r>
          <w:r w:rsidR="00BD2C3A" w:rsidRPr="00003A82">
            <w:rPr>
              <w:sz w:val="22"/>
            </w:rPr>
            <w:fldChar w:fldCharType="end"/>
          </w:r>
        </w:sdtContent>
      </w:sdt>
      <w:r w:rsidRPr="00003A82">
        <w:rPr>
          <w:sz w:val="22"/>
        </w:rPr>
        <w:t>.</w:t>
      </w:r>
    </w:p>
    <w:p w14:paraId="7BCFC0C7" w14:textId="77777777" w:rsidR="00D6359F" w:rsidRPr="00003A82" w:rsidRDefault="00D6359F">
      <w:pPr>
        <w:rPr>
          <w:b/>
          <w:bCs/>
          <w:i/>
          <w:iCs/>
          <w:sz w:val="22"/>
        </w:rPr>
      </w:pPr>
    </w:p>
    <w:p w14:paraId="6C238AED" w14:textId="77777777" w:rsidR="00337B3B" w:rsidRPr="00003A82" w:rsidRDefault="00337B3B">
      <w:pPr>
        <w:rPr>
          <w:b/>
          <w:bCs/>
          <w:i/>
          <w:iCs/>
          <w:sz w:val="22"/>
        </w:rPr>
      </w:pPr>
      <w:r w:rsidRPr="00003A82">
        <w:rPr>
          <w:b/>
          <w:bCs/>
          <w:i/>
          <w:iCs/>
          <w:sz w:val="22"/>
        </w:rPr>
        <w:t>Leadership Behavior: Inspiring Shared Purpose</w:t>
      </w:r>
    </w:p>
    <w:p w14:paraId="2A959106" w14:textId="77777777" w:rsidR="00337B3B" w:rsidRPr="00003A82" w:rsidRDefault="00337B3B">
      <w:pPr>
        <w:rPr>
          <w:sz w:val="22"/>
        </w:rPr>
      </w:pPr>
      <w:r w:rsidRPr="00003A82">
        <w:rPr>
          <w:sz w:val="22"/>
        </w:rPr>
        <w:t>A leader who demonstrates inspiring shared purpose can significantly encourage creativity and improve patient care</w:t>
      </w:r>
      <w:sdt>
        <w:sdtPr>
          <w:rPr>
            <w:sz w:val="22"/>
          </w:rPr>
          <w:id w:val="-1856484070"/>
          <w:citation/>
        </w:sdtPr>
        <w:sdtEndPr/>
        <w:sdtContent>
          <w:r w:rsidR="00BD2C3A" w:rsidRPr="00003A82">
            <w:rPr>
              <w:sz w:val="22"/>
            </w:rPr>
            <w:fldChar w:fldCharType="begin"/>
          </w:r>
          <w:r w:rsidR="00D6359F" w:rsidRPr="00003A82">
            <w:rPr>
              <w:sz w:val="22"/>
              <w:lang w:val="en-US"/>
            </w:rPr>
            <w:instrText xml:space="preserve"> CITATION Yst23 \l 1033 </w:instrText>
          </w:r>
          <w:r w:rsidR="00BD2C3A" w:rsidRPr="00003A82">
            <w:rPr>
              <w:sz w:val="22"/>
            </w:rPr>
            <w:fldChar w:fldCharType="separate"/>
          </w:r>
          <w:r w:rsidR="00D6359F" w:rsidRPr="00003A82">
            <w:rPr>
              <w:noProof/>
              <w:sz w:val="22"/>
              <w:lang w:val="en-US"/>
            </w:rPr>
            <w:t>(Ystaas, et al., 2023)</w:t>
          </w:r>
          <w:r w:rsidR="00BD2C3A" w:rsidRPr="00003A82">
            <w:rPr>
              <w:sz w:val="22"/>
            </w:rPr>
            <w:fldChar w:fldCharType="end"/>
          </w:r>
        </w:sdtContent>
      </w:sdt>
      <w:r w:rsidRPr="00003A82">
        <w:rPr>
          <w:sz w:val="22"/>
        </w:rPr>
        <w:t xml:space="preserve">. By clearly communicating why change is needed and linking it to patient outcomes, leaders can help staff feel emotionally connected to the </w:t>
      </w:r>
      <w:r w:rsidR="002D3FE5" w:rsidRPr="00003A82">
        <w:rPr>
          <w:sz w:val="22"/>
        </w:rPr>
        <w:t>organization’s</w:t>
      </w:r>
      <w:r w:rsidRPr="00003A82">
        <w:rPr>
          <w:sz w:val="22"/>
        </w:rPr>
        <w:t xml:space="preserve"> goals. When people understand the purpose behind their work, they are more willing to propose new ideas and challenge outdated practices</w:t>
      </w:r>
      <w:sdt>
        <w:sdtPr>
          <w:rPr>
            <w:sz w:val="22"/>
          </w:rPr>
          <w:id w:val="1996840086"/>
          <w:citation/>
        </w:sdtPr>
        <w:sdtEndPr/>
        <w:sdtContent>
          <w:r w:rsidR="00BD2C3A" w:rsidRPr="00003A82">
            <w:rPr>
              <w:sz w:val="22"/>
            </w:rPr>
            <w:fldChar w:fldCharType="begin"/>
          </w:r>
          <w:r w:rsidR="00D6359F" w:rsidRPr="00003A82">
            <w:rPr>
              <w:sz w:val="22"/>
              <w:lang w:val="en-US"/>
            </w:rPr>
            <w:instrText xml:space="preserve"> CITATION Mar14 \l 1033 </w:instrText>
          </w:r>
          <w:r w:rsidR="00BD2C3A" w:rsidRPr="00003A82">
            <w:rPr>
              <w:sz w:val="22"/>
            </w:rPr>
            <w:fldChar w:fldCharType="separate"/>
          </w:r>
          <w:r w:rsidR="00D6359F" w:rsidRPr="00003A82">
            <w:rPr>
              <w:noProof/>
              <w:sz w:val="22"/>
              <w:lang w:val="en-US"/>
            </w:rPr>
            <w:t>(Martin, et al., 2014)</w:t>
          </w:r>
          <w:r w:rsidR="00BD2C3A" w:rsidRPr="00003A82">
            <w:rPr>
              <w:sz w:val="22"/>
            </w:rPr>
            <w:fldChar w:fldCharType="end"/>
          </w:r>
        </w:sdtContent>
      </w:sdt>
      <w:r w:rsidRPr="00003A82">
        <w:rPr>
          <w:sz w:val="22"/>
        </w:rPr>
        <w:t xml:space="preserve">. For example, during quality-improvement initiatives, a leader might involve staff in co-design sessions, allowing them to shape solutions based on frontline experience. This </w:t>
      </w:r>
      <w:r w:rsidR="002D3FE5" w:rsidRPr="00003A82">
        <w:rPr>
          <w:sz w:val="22"/>
        </w:rPr>
        <w:t>behavior</w:t>
      </w:r>
      <w:r w:rsidRPr="00003A82">
        <w:rPr>
          <w:sz w:val="22"/>
        </w:rPr>
        <w:t xml:space="preserve"> builds trust, increases engagement, and creates a culture where creative thinking is viewed as essential to excellent care.</w:t>
      </w:r>
    </w:p>
    <w:p w14:paraId="46E94E73" w14:textId="77777777" w:rsidR="00337B3B" w:rsidRPr="00003A82" w:rsidRDefault="00337B3B">
      <w:pPr>
        <w:rPr>
          <w:b/>
          <w:bCs/>
          <w:i/>
          <w:iCs/>
          <w:sz w:val="22"/>
        </w:rPr>
      </w:pPr>
      <w:r w:rsidRPr="00003A82">
        <w:rPr>
          <w:b/>
          <w:bCs/>
          <w:i/>
          <w:iCs/>
          <w:sz w:val="22"/>
        </w:rPr>
        <w:t>Reflective Journal Entry</w:t>
      </w:r>
    </w:p>
    <w:p w14:paraId="7F735F40" w14:textId="77777777" w:rsidR="00D6359F" w:rsidRPr="00003A82" w:rsidRDefault="00337B3B">
      <w:pPr>
        <w:rPr>
          <w:sz w:val="22"/>
        </w:rPr>
      </w:pPr>
      <w:r w:rsidRPr="00003A82">
        <w:rPr>
          <w:sz w:val="22"/>
        </w:rPr>
        <w:t xml:space="preserve">Throughout this module, my understanding of creativity and value creation in health and social care has developed significantly. At the beginning, I saw creativity mainly as generating ideas, but I now </w:t>
      </w:r>
      <w:r w:rsidR="002D3FE5" w:rsidRPr="00003A82">
        <w:rPr>
          <w:sz w:val="22"/>
        </w:rPr>
        <w:t>recognize</w:t>
      </w:r>
      <w:r w:rsidRPr="00003A82">
        <w:rPr>
          <w:sz w:val="22"/>
        </w:rPr>
        <w:t xml:space="preserve"> it as a structured process that helps solve real problems and improve experiences for patients and staff. Activities such as the mind-mapping task and the divergent/convergent thinking exercise helped me appreciate how creativity links to teamwork and decision-making. </w:t>
      </w:r>
      <w:r w:rsidRPr="00003A82">
        <w:rPr>
          <w:sz w:val="22"/>
        </w:rPr>
        <w:lastRenderedPageBreak/>
        <w:t>Learning about value creation also shifted my perspective; I now understand how small improvements can create meaningful impact. This learning will influence my future practice by motivating me to approach challenges with curiosity, openness, and a willingness to innovate.</w:t>
      </w:r>
    </w:p>
    <w:p w14:paraId="081A136A" w14:textId="77777777" w:rsidR="00D6359F" w:rsidRPr="00003A82" w:rsidRDefault="00D6359F">
      <w:pPr>
        <w:rPr>
          <w:sz w:val="22"/>
        </w:rPr>
      </w:pPr>
      <w:r w:rsidRPr="00003A82">
        <w:rPr>
          <w:sz w:val="22"/>
        </w:rPr>
        <w:br w:type="page"/>
      </w:r>
    </w:p>
    <w:sdt>
      <w:sdtPr>
        <w:rPr>
          <w:rFonts w:ascii="Times New Roman" w:eastAsiaTheme="minorHAnsi" w:hAnsi="Times New Roman" w:cstheme="minorBidi"/>
          <w:color w:val="auto"/>
          <w:sz w:val="22"/>
          <w:szCs w:val="22"/>
        </w:rPr>
        <w:id w:val="-621604577"/>
        <w:docPartObj>
          <w:docPartGallery w:val="Bibliographies"/>
          <w:docPartUnique/>
        </w:docPartObj>
      </w:sdtPr>
      <w:sdtEndPr/>
      <w:sdtContent>
        <w:p w14:paraId="6B67720B" w14:textId="77777777" w:rsidR="00D6359F" w:rsidRPr="00003A82" w:rsidRDefault="00D6359F">
          <w:pPr>
            <w:pStyle w:val="Heading1"/>
            <w:rPr>
              <w:rFonts w:ascii="Times New Roman" w:hAnsi="Times New Roman" w:cs="Times New Roman"/>
              <w:b/>
              <w:bCs/>
              <w:color w:val="auto"/>
              <w:sz w:val="22"/>
              <w:szCs w:val="22"/>
            </w:rPr>
          </w:pPr>
          <w:r w:rsidRPr="00003A82">
            <w:rPr>
              <w:rFonts w:ascii="Times New Roman" w:hAnsi="Times New Roman" w:cs="Times New Roman"/>
              <w:b/>
              <w:bCs/>
              <w:color w:val="auto"/>
              <w:sz w:val="22"/>
              <w:szCs w:val="22"/>
            </w:rPr>
            <w:t>References</w:t>
          </w:r>
        </w:p>
        <w:sdt>
          <w:sdtPr>
            <w:rPr>
              <w:sz w:val="22"/>
            </w:rPr>
            <w:id w:val="-573587230"/>
            <w:bibliography/>
          </w:sdtPr>
          <w:sdtEndPr/>
          <w:sdtContent>
            <w:p w14:paraId="7A8EF419" w14:textId="77777777" w:rsidR="00D6359F" w:rsidRPr="00003A82" w:rsidRDefault="00BD2C3A" w:rsidP="00D6359F">
              <w:pPr>
                <w:pStyle w:val="Bibliography"/>
                <w:rPr>
                  <w:noProof/>
                  <w:kern w:val="0"/>
                  <w:sz w:val="22"/>
                </w:rPr>
              </w:pPr>
              <w:r w:rsidRPr="00003A82">
                <w:rPr>
                  <w:sz w:val="22"/>
                </w:rPr>
                <w:fldChar w:fldCharType="begin"/>
              </w:r>
              <w:r w:rsidR="00D6359F" w:rsidRPr="00003A82">
                <w:rPr>
                  <w:sz w:val="22"/>
                </w:rPr>
                <w:instrText xml:space="preserve"> BIBLIOGRAPHY </w:instrText>
              </w:r>
              <w:r w:rsidRPr="00003A82">
                <w:rPr>
                  <w:sz w:val="22"/>
                </w:rPr>
                <w:fldChar w:fldCharType="separate"/>
              </w:r>
              <w:r w:rsidR="00D6359F" w:rsidRPr="00003A82">
                <w:rPr>
                  <w:noProof/>
                  <w:sz w:val="22"/>
                </w:rPr>
                <w:t xml:space="preserve">Alharbi, M. F., 2025. Does Electronic Health Record Implementation Enhance Hospital Efficiency and Patient Outcomes? A Comprehensive Systematic Review. </w:t>
              </w:r>
              <w:r w:rsidR="00D6359F" w:rsidRPr="00003A82">
                <w:rPr>
                  <w:i/>
                  <w:iCs/>
                  <w:noProof/>
                  <w:sz w:val="22"/>
                </w:rPr>
                <w:t xml:space="preserve">SAGE Open, </w:t>
              </w:r>
              <w:r w:rsidR="00D6359F" w:rsidRPr="00003A82">
                <w:rPr>
                  <w:noProof/>
                  <w:sz w:val="22"/>
                </w:rPr>
                <w:t>15(3), pp. 1-20.</w:t>
              </w:r>
            </w:p>
            <w:p w14:paraId="593756B2" w14:textId="77777777" w:rsidR="00D6359F" w:rsidRPr="00003A82" w:rsidRDefault="00D6359F" w:rsidP="00D6359F">
              <w:pPr>
                <w:pStyle w:val="Bibliography"/>
                <w:rPr>
                  <w:noProof/>
                  <w:sz w:val="22"/>
                </w:rPr>
              </w:pPr>
              <w:r w:rsidRPr="00003A82">
                <w:rPr>
                  <w:noProof/>
                  <w:sz w:val="22"/>
                </w:rPr>
                <w:t xml:space="preserve">Baniulyte, G., Rogerson, N. &amp; Bowden, J., 2023. Evolution – removing paper and digitising the hospital. </w:t>
              </w:r>
              <w:r w:rsidRPr="00003A82">
                <w:rPr>
                  <w:i/>
                  <w:iCs/>
                  <w:noProof/>
                  <w:sz w:val="22"/>
                </w:rPr>
                <w:t xml:space="preserve">Health and Technology, </w:t>
              </w:r>
              <w:r w:rsidRPr="00003A82">
                <w:rPr>
                  <w:noProof/>
                  <w:sz w:val="22"/>
                </w:rPr>
                <w:t>13(2), pp. 263-271.</w:t>
              </w:r>
            </w:p>
            <w:p w14:paraId="3B05CEFE" w14:textId="77777777" w:rsidR="00D6359F" w:rsidRPr="00003A82" w:rsidRDefault="00D6359F" w:rsidP="00D6359F">
              <w:pPr>
                <w:pStyle w:val="Bibliography"/>
                <w:rPr>
                  <w:noProof/>
                  <w:sz w:val="22"/>
                </w:rPr>
              </w:pPr>
              <w:r w:rsidRPr="00003A82">
                <w:rPr>
                  <w:noProof/>
                  <w:sz w:val="22"/>
                </w:rPr>
                <w:t xml:space="preserve">Batanda, I., 2024. Prevalence of burnout among healthcare professionals: a survey at fort portal regional referral hospital. </w:t>
              </w:r>
              <w:r w:rsidRPr="00003A82">
                <w:rPr>
                  <w:i/>
                  <w:iCs/>
                  <w:noProof/>
                  <w:sz w:val="22"/>
                </w:rPr>
                <w:t xml:space="preserve">npj Mental Health Research, </w:t>
              </w:r>
              <w:r w:rsidRPr="00003A82">
                <w:rPr>
                  <w:noProof/>
                  <w:sz w:val="22"/>
                </w:rPr>
                <w:t>3(16), pp. 1-10.</w:t>
              </w:r>
            </w:p>
            <w:p w14:paraId="68E2C86D" w14:textId="77777777" w:rsidR="00D6359F" w:rsidRPr="00003A82" w:rsidRDefault="00D6359F" w:rsidP="00D6359F">
              <w:pPr>
                <w:pStyle w:val="Bibliography"/>
                <w:rPr>
                  <w:noProof/>
                  <w:sz w:val="22"/>
                </w:rPr>
              </w:pPr>
              <w:r w:rsidRPr="00003A82">
                <w:rPr>
                  <w:noProof/>
                  <w:sz w:val="22"/>
                </w:rPr>
                <w:t xml:space="preserve">Bove, L. A., 2019. Increasing Patient Engagement Through the Use of Wearable Technology. </w:t>
              </w:r>
              <w:r w:rsidRPr="00003A82">
                <w:rPr>
                  <w:i/>
                  <w:iCs/>
                  <w:noProof/>
                  <w:sz w:val="22"/>
                </w:rPr>
                <w:t xml:space="preserve">The Journal for Nurse Practitioners, </w:t>
              </w:r>
              <w:r w:rsidRPr="00003A82">
                <w:rPr>
                  <w:noProof/>
                  <w:sz w:val="22"/>
                </w:rPr>
                <w:t>15(8), pp. 535-539.</w:t>
              </w:r>
            </w:p>
            <w:p w14:paraId="5F2FFBDA" w14:textId="77777777" w:rsidR="00D6359F" w:rsidRPr="00003A82" w:rsidRDefault="00D6359F" w:rsidP="00D6359F">
              <w:pPr>
                <w:pStyle w:val="Bibliography"/>
                <w:rPr>
                  <w:noProof/>
                  <w:sz w:val="22"/>
                </w:rPr>
              </w:pPr>
              <w:r w:rsidRPr="00003A82">
                <w:rPr>
                  <w:noProof/>
                  <w:sz w:val="22"/>
                </w:rPr>
                <w:t xml:space="preserve">Butzner, M. &amp; Cuffee, Y., 2021. Telehealth Interventions and Outcomes Across Rural Communities in the United States: Narrative Review. </w:t>
              </w:r>
              <w:r w:rsidRPr="00003A82">
                <w:rPr>
                  <w:i/>
                  <w:iCs/>
                  <w:noProof/>
                  <w:sz w:val="22"/>
                </w:rPr>
                <w:t xml:space="preserve">Journal of Medical Internet Research, </w:t>
              </w:r>
              <w:r w:rsidRPr="00003A82">
                <w:rPr>
                  <w:noProof/>
                  <w:sz w:val="22"/>
                </w:rPr>
                <w:t>23(8), pp. 1-9.</w:t>
              </w:r>
            </w:p>
            <w:p w14:paraId="4EDDB682" w14:textId="77777777" w:rsidR="00D6359F" w:rsidRPr="00003A82" w:rsidRDefault="00D6359F" w:rsidP="00D6359F">
              <w:pPr>
                <w:pStyle w:val="Bibliography"/>
                <w:rPr>
                  <w:noProof/>
                  <w:sz w:val="22"/>
                </w:rPr>
              </w:pPr>
              <w:r w:rsidRPr="00003A82">
                <w:rPr>
                  <w:noProof/>
                  <w:sz w:val="22"/>
                </w:rPr>
                <w:t xml:space="preserve">Chatterjee, A., Prinz, A., Gerdes, M. &amp; Martinez, S., 2021. Digital Interventions on Healthy Lifestyle Management: Systematic Review. </w:t>
              </w:r>
              <w:r w:rsidRPr="00003A82">
                <w:rPr>
                  <w:i/>
                  <w:iCs/>
                  <w:noProof/>
                  <w:sz w:val="22"/>
                </w:rPr>
                <w:t xml:space="preserve">Journal of Medical Internet Research, </w:t>
              </w:r>
              <w:r w:rsidRPr="00003A82">
                <w:rPr>
                  <w:noProof/>
                  <w:sz w:val="22"/>
                </w:rPr>
                <w:t>23(11), pp. 1-20.</w:t>
              </w:r>
            </w:p>
            <w:p w14:paraId="2AAF6AAD" w14:textId="77777777" w:rsidR="00D6359F" w:rsidRPr="00003A82" w:rsidRDefault="00D6359F" w:rsidP="00D6359F">
              <w:pPr>
                <w:pStyle w:val="Bibliography"/>
                <w:rPr>
                  <w:noProof/>
                  <w:sz w:val="22"/>
                </w:rPr>
              </w:pPr>
              <w:r w:rsidRPr="00003A82">
                <w:rPr>
                  <w:noProof/>
                  <w:sz w:val="22"/>
                </w:rPr>
                <w:t xml:space="preserve">Cheraghi, M. A., Pashaeypoor, S., Dehkordi , L. M. &amp; Khoshkesht, S., 2021. Creativity in Nursing Care: A Concept Analysis. </w:t>
              </w:r>
              <w:r w:rsidRPr="00003A82">
                <w:rPr>
                  <w:i/>
                  <w:iCs/>
                  <w:noProof/>
                  <w:sz w:val="22"/>
                </w:rPr>
                <w:t xml:space="preserve">Florence Nightingale Journal of Nursing, </w:t>
              </w:r>
              <w:r w:rsidRPr="00003A82">
                <w:rPr>
                  <w:noProof/>
                  <w:sz w:val="22"/>
                </w:rPr>
                <w:t>29(3), pp. 389-396.</w:t>
              </w:r>
            </w:p>
            <w:p w14:paraId="269C3356" w14:textId="77777777" w:rsidR="00D6359F" w:rsidRPr="00003A82" w:rsidRDefault="00D6359F" w:rsidP="00D6359F">
              <w:pPr>
                <w:pStyle w:val="Bibliography"/>
                <w:rPr>
                  <w:noProof/>
                  <w:sz w:val="22"/>
                </w:rPr>
              </w:pPr>
              <w:r w:rsidRPr="00003A82">
                <w:rPr>
                  <w:noProof/>
                  <w:sz w:val="22"/>
                </w:rPr>
                <w:t xml:space="preserve">Climent, R. C. &amp; Haftor, D. M., 2021. Value creation through the evolution of business model themes. </w:t>
              </w:r>
              <w:r w:rsidRPr="00003A82">
                <w:rPr>
                  <w:i/>
                  <w:iCs/>
                  <w:noProof/>
                  <w:sz w:val="22"/>
                </w:rPr>
                <w:t xml:space="preserve">Journal of Business Research, </w:t>
              </w:r>
              <w:r w:rsidRPr="00003A82">
                <w:rPr>
                  <w:noProof/>
                  <w:sz w:val="22"/>
                </w:rPr>
                <w:t>Volume 122, pp. 353-361.</w:t>
              </w:r>
            </w:p>
            <w:p w14:paraId="516A1E77" w14:textId="77777777" w:rsidR="00D6359F" w:rsidRPr="00003A82" w:rsidRDefault="00D6359F" w:rsidP="00D6359F">
              <w:pPr>
                <w:pStyle w:val="Bibliography"/>
                <w:rPr>
                  <w:noProof/>
                  <w:sz w:val="22"/>
                </w:rPr>
              </w:pPr>
              <w:r w:rsidRPr="00003A82">
                <w:rPr>
                  <w:noProof/>
                  <w:sz w:val="22"/>
                </w:rPr>
                <w:lastRenderedPageBreak/>
                <w:t xml:space="preserve">Dahlia, D., Nurkholis, N., Andayani, W. &amp; Prihatiningtias, Y. W., 2025. Transforming healthcare management: the role of organizational change, service quality, and information technology in improving managerial performance. </w:t>
              </w:r>
              <w:r w:rsidRPr="00003A82">
                <w:rPr>
                  <w:i/>
                  <w:iCs/>
                  <w:noProof/>
                  <w:sz w:val="22"/>
                </w:rPr>
                <w:t xml:space="preserve">Cogent Business &amp; Management, </w:t>
              </w:r>
              <w:r w:rsidRPr="00003A82">
                <w:rPr>
                  <w:noProof/>
                  <w:sz w:val="22"/>
                </w:rPr>
                <w:t>12(1), pp. 1-24.</w:t>
              </w:r>
            </w:p>
            <w:p w14:paraId="6F1FAC38" w14:textId="77777777" w:rsidR="00D6359F" w:rsidRPr="00003A82" w:rsidRDefault="00D6359F" w:rsidP="00D6359F">
              <w:pPr>
                <w:pStyle w:val="Bibliography"/>
                <w:rPr>
                  <w:noProof/>
                  <w:sz w:val="22"/>
                </w:rPr>
              </w:pPr>
              <w:r w:rsidRPr="00003A82">
                <w:rPr>
                  <w:noProof/>
                  <w:sz w:val="22"/>
                </w:rPr>
                <w:t xml:space="preserve">Dawson, C. et al., 2025. A novel acute medicine virtual ward managing multiple acute medical pathologies: a pilot study in the district general hospital setting. </w:t>
              </w:r>
              <w:r w:rsidRPr="00003A82">
                <w:rPr>
                  <w:i/>
                  <w:iCs/>
                  <w:noProof/>
                  <w:sz w:val="22"/>
                </w:rPr>
                <w:t xml:space="preserve">Future Healthcare Journal, </w:t>
              </w:r>
              <w:r w:rsidRPr="00003A82">
                <w:rPr>
                  <w:noProof/>
                  <w:sz w:val="22"/>
                </w:rPr>
                <w:t>12(2), pp. 1-4.</w:t>
              </w:r>
            </w:p>
            <w:p w14:paraId="2D1EDD40" w14:textId="77777777" w:rsidR="00D6359F" w:rsidRPr="00003A82" w:rsidRDefault="00D6359F" w:rsidP="00D6359F">
              <w:pPr>
                <w:pStyle w:val="Bibliography"/>
                <w:rPr>
                  <w:noProof/>
                  <w:sz w:val="22"/>
                </w:rPr>
              </w:pPr>
              <w:r w:rsidRPr="00003A82">
                <w:rPr>
                  <w:noProof/>
                  <w:sz w:val="22"/>
                </w:rPr>
                <w:t xml:space="preserve">de Barros, R., Resende, L. M. &amp; Pontes, J., 2025. Exploring creativity and innovation in organizational contexts: A systematic review and bibliometric analysis of key models and emerging opportunities. </w:t>
              </w:r>
              <w:r w:rsidRPr="00003A82">
                <w:rPr>
                  <w:i/>
                  <w:iCs/>
                  <w:noProof/>
                  <w:sz w:val="22"/>
                </w:rPr>
                <w:t xml:space="preserve">Journal of Open Innovation: Technology, Market, and Complexity, </w:t>
              </w:r>
              <w:r w:rsidRPr="00003A82">
                <w:rPr>
                  <w:noProof/>
                  <w:sz w:val="22"/>
                </w:rPr>
                <w:t>11(2), pp. 1-15.</w:t>
              </w:r>
            </w:p>
            <w:p w14:paraId="141AB24D" w14:textId="77777777" w:rsidR="00D6359F" w:rsidRPr="00003A82" w:rsidRDefault="00D6359F" w:rsidP="00D6359F">
              <w:pPr>
                <w:pStyle w:val="Bibliography"/>
                <w:rPr>
                  <w:noProof/>
                  <w:sz w:val="22"/>
                </w:rPr>
              </w:pPr>
              <w:r w:rsidRPr="00003A82">
                <w:rPr>
                  <w:noProof/>
                  <w:sz w:val="22"/>
                </w:rPr>
                <w:t xml:space="preserve">de Lima Garcia, C. et al., 2019. Influence of Burnout on Patient Safety: Systematic Review and Meta-Analysis. </w:t>
              </w:r>
              <w:r w:rsidRPr="00003A82">
                <w:rPr>
                  <w:i/>
                  <w:iCs/>
                  <w:noProof/>
                  <w:sz w:val="22"/>
                </w:rPr>
                <w:t xml:space="preserve">Medicina, </w:t>
              </w:r>
              <w:r w:rsidRPr="00003A82">
                <w:rPr>
                  <w:noProof/>
                  <w:sz w:val="22"/>
                </w:rPr>
                <w:t>55(9), pp. 1-13.</w:t>
              </w:r>
            </w:p>
            <w:p w14:paraId="5F36E37A" w14:textId="77777777" w:rsidR="00D6359F" w:rsidRPr="00003A82" w:rsidRDefault="00D6359F" w:rsidP="00D6359F">
              <w:pPr>
                <w:pStyle w:val="Bibliography"/>
                <w:rPr>
                  <w:noProof/>
                  <w:sz w:val="22"/>
                </w:rPr>
              </w:pPr>
              <w:r w:rsidRPr="00003A82">
                <w:rPr>
                  <w:noProof/>
                  <w:sz w:val="22"/>
                </w:rPr>
                <w:t xml:space="preserve">De Sario Velasquez, G. D. et al., 2024. Economic Perspective of the Use of Wearables in Health Care: A Systematic Review. </w:t>
              </w:r>
              <w:r w:rsidRPr="00003A82">
                <w:rPr>
                  <w:i/>
                  <w:iCs/>
                  <w:noProof/>
                  <w:sz w:val="22"/>
                </w:rPr>
                <w:t xml:space="preserve">Mayo Clinic Proceedings: Digital Health, </w:t>
              </w:r>
              <w:r w:rsidRPr="00003A82">
                <w:rPr>
                  <w:noProof/>
                  <w:sz w:val="22"/>
                </w:rPr>
                <w:t>2(3), pp. 299-317.</w:t>
              </w:r>
            </w:p>
            <w:p w14:paraId="57C19F4D" w14:textId="77777777" w:rsidR="00D6359F" w:rsidRPr="00003A82" w:rsidRDefault="00D6359F" w:rsidP="00D6359F">
              <w:pPr>
                <w:pStyle w:val="Bibliography"/>
                <w:rPr>
                  <w:noProof/>
                  <w:sz w:val="22"/>
                </w:rPr>
              </w:pPr>
              <w:r w:rsidRPr="00003A82">
                <w:rPr>
                  <w:noProof/>
                  <w:sz w:val="22"/>
                </w:rPr>
                <w:t xml:space="preserve">Elepaño, A. et al., 2025. Implementing Electronic Health Records in Philippine Primary Care Settings: Mixed-Methods Pilot Study. </w:t>
              </w:r>
              <w:r w:rsidRPr="00003A82">
                <w:rPr>
                  <w:i/>
                  <w:iCs/>
                  <w:noProof/>
                  <w:sz w:val="22"/>
                </w:rPr>
                <w:t xml:space="preserve">JMIR Medical Informatics, </w:t>
              </w:r>
              <w:r w:rsidRPr="00003A82">
                <w:rPr>
                  <w:noProof/>
                  <w:sz w:val="22"/>
                </w:rPr>
                <w:t>13(e63036), pp. 1-9.</w:t>
              </w:r>
            </w:p>
            <w:p w14:paraId="3A0940F6" w14:textId="77777777" w:rsidR="00D6359F" w:rsidRPr="00003A82" w:rsidRDefault="00D6359F" w:rsidP="00D6359F">
              <w:pPr>
                <w:pStyle w:val="Bibliography"/>
                <w:rPr>
                  <w:noProof/>
                  <w:sz w:val="22"/>
                </w:rPr>
              </w:pPr>
              <w:r w:rsidRPr="00003A82">
                <w:rPr>
                  <w:noProof/>
                  <w:sz w:val="22"/>
                </w:rPr>
                <w:t xml:space="preserve">Flessa, S. &amp; Huebner, C., 2021. Innovations in Health Care—A Conceptual Framework. </w:t>
              </w:r>
              <w:r w:rsidRPr="00003A82">
                <w:rPr>
                  <w:i/>
                  <w:iCs/>
                  <w:noProof/>
                  <w:sz w:val="22"/>
                </w:rPr>
                <w:t xml:space="preserve">International Journal of Environmental Research and Public Health, </w:t>
              </w:r>
              <w:r w:rsidRPr="00003A82">
                <w:rPr>
                  <w:noProof/>
                  <w:sz w:val="22"/>
                </w:rPr>
                <w:t>18(19), pp. 1-19.</w:t>
              </w:r>
            </w:p>
            <w:p w14:paraId="100DFE1A" w14:textId="77777777" w:rsidR="00D6359F" w:rsidRPr="00003A82" w:rsidRDefault="00D6359F" w:rsidP="00D6359F">
              <w:pPr>
                <w:pStyle w:val="Bibliography"/>
                <w:rPr>
                  <w:noProof/>
                  <w:sz w:val="22"/>
                </w:rPr>
              </w:pPr>
              <w:r w:rsidRPr="00003A82">
                <w:rPr>
                  <w:noProof/>
                  <w:sz w:val="22"/>
                </w:rPr>
                <w:t xml:space="preserve">Jakob, A. &amp; Collier, L., 2017. Sensory enrichment for people living with dementia: increasing the benefits of multisensory environments in dementia care through design. </w:t>
              </w:r>
              <w:r w:rsidRPr="00003A82">
                <w:rPr>
                  <w:i/>
                  <w:iCs/>
                  <w:noProof/>
                  <w:sz w:val="22"/>
                </w:rPr>
                <w:t xml:space="preserve">Design for Health, </w:t>
              </w:r>
              <w:r w:rsidRPr="00003A82">
                <w:rPr>
                  <w:noProof/>
                  <w:sz w:val="22"/>
                </w:rPr>
                <w:t>1(1), pp. 115-133.</w:t>
              </w:r>
            </w:p>
            <w:p w14:paraId="03D9F208" w14:textId="77777777" w:rsidR="00D6359F" w:rsidRPr="00003A82" w:rsidRDefault="00D6359F" w:rsidP="00D6359F">
              <w:pPr>
                <w:pStyle w:val="Bibliography"/>
                <w:rPr>
                  <w:noProof/>
                  <w:sz w:val="22"/>
                </w:rPr>
              </w:pPr>
              <w:r w:rsidRPr="00003A82">
                <w:rPr>
                  <w:noProof/>
                  <w:sz w:val="22"/>
                </w:rPr>
                <w:lastRenderedPageBreak/>
                <w:t xml:space="preserve">Kang, H. S. &amp; Exworthy, M., 2022. Wearing the Future—Wearables to Empower Users to Take Greater Responsibility for Their Health and Care: Scoping Review. </w:t>
              </w:r>
              <w:r w:rsidRPr="00003A82">
                <w:rPr>
                  <w:i/>
                  <w:iCs/>
                  <w:noProof/>
                  <w:sz w:val="22"/>
                </w:rPr>
                <w:t xml:space="preserve">JMIR mHealth and uHealth, </w:t>
              </w:r>
              <w:r w:rsidRPr="00003A82">
                <w:rPr>
                  <w:noProof/>
                  <w:sz w:val="22"/>
                </w:rPr>
                <w:t>10(7), pp. 1-16.</w:t>
              </w:r>
            </w:p>
            <w:p w14:paraId="5B26D46D" w14:textId="77777777" w:rsidR="00D6359F" w:rsidRPr="00003A82" w:rsidRDefault="00D6359F" w:rsidP="00D6359F">
              <w:pPr>
                <w:pStyle w:val="Bibliography"/>
                <w:rPr>
                  <w:noProof/>
                  <w:sz w:val="22"/>
                </w:rPr>
              </w:pPr>
              <w:r w:rsidRPr="00003A82">
                <w:rPr>
                  <w:noProof/>
                  <w:sz w:val="22"/>
                </w:rPr>
                <w:t xml:space="preserve">Kimble, L. &amp; Massoud, M. R., 2017. WHAT DO WE MEAN BY INNOVATION IN HEALTHCARE?. </w:t>
              </w:r>
              <w:r w:rsidRPr="00003A82">
                <w:rPr>
                  <w:i/>
                  <w:iCs/>
                  <w:noProof/>
                  <w:sz w:val="22"/>
                </w:rPr>
                <w:t xml:space="preserve">European Medical Journal, </w:t>
              </w:r>
              <w:r w:rsidRPr="00003A82">
                <w:rPr>
                  <w:noProof/>
                  <w:sz w:val="22"/>
                </w:rPr>
                <w:t>1(1), pp. 89-91.</w:t>
              </w:r>
            </w:p>
            <w:p w14:paraId="7BB04A49" w14:textId="77777777" w:rsidR="00D6359F" w:rsidRPr="00003A82" w:rsidRDefault="00D6359F" w:rsidP="00D6359F">
              <w:pPr>
                <w:pStyle w:val="Bibliography"/>
                <w:rPr>
                  <w:noProof/>
                  <w:sz w:val="22"/>
                </w:rPr>
              </w:pPr>
              <w:r w:rsidRPr="00003A82">
                <w:rPr>
                  <w:noProof/>
                  <w:sz w:val="22"/>
                </w:rPr>
                <w:t xml:space="preserve">Magwood, G. S. et al., 2020. Community-Based Interventions for Stroke Provided by Nurses and Community Health Workers: A Review of the Literature. </w:t>
              </w:r>
              <w:r w:rsidRPr="00003A82">
                <w:rPr>
                  <w:i/>
                  <w:iCs/>
                  <w:noProof/>
                  <w:sz w:val="22"/>
                </w:rPr>
                <w:t xml:space="preserve">Journal of Neuroscience Nursing, </w:t>
              </w:r>
              <w:r w:rsidRPr="00003A82">
                <w:rPr>
                  <w:noProof/>
                  <w:sz w:val="22"/>
                </w:rPr>
                <w:t>52(4), pp. 152-159.</w:t>
              </w:r>
            </w:p>
            <w:p w14:paraId="351ED9EA" w14:textId="77777777" w:rsidR="00D6359F" w:rsidRPr="00003A82" w:rsidRDefault="00D6359F" w:rsidP="00D6359F">
              <w:pPr>
                <w:pStyle w:val="Bibliography"/>
                <w:rPr>
                  <w:noProof/>
                  <w:sz w:val="22"/>
                </w:rPr>
              </w:pPr>
              <w:r w:rsidRPr="00003A82">
                <w:rPr>
                  <w:noProof/>
                  <w:sz w:val="22"/>
                </w:rPr>
                <w:t xml:space="preserve">Martin, J., McCormack, B., Fitzsimons, D. &amp; Spirig, R., 2014. The importance of inspiring a shared vision. </w:t>
              </w:r>
              <w:r w:rsidRPr="00003A82">
                <w:rPr>
                  <w:i/>
                  <w:iCs/>
                  <w:noProof/>
                  <w:sz w:val="22"/>
                </w:rPr>
                <w:t xml:space="preserve">International Practice Development Journal, </w:t>
              </w:r>
              <w:r w:rsidRPr="00003A82">
                <w:rPr>
                  <w:noProof/>
                  <w:sz w:val="22"/>
                </w:rPr>
                <w:t>4(2), pp. 1-15.</w:t>
              </w:r>
            </w:p>
            <w:p w14:paraId="7B9AC889" w14:textId="77777777" w:rsidR="00D6359F" w:rsidRPr="00003A82" w:rsidRDefault="00D6359F" w:rsidP="00D6359F">
              <w:pPr>
                <w:pStyle w:val="Bibliography"/>
                <w:rPr>
                  <w:noProof/>
                  <w:sz w:val="22"/>
                </w:rPr>
              </w:pPr>
              <w:r w:rsidRPr="00003A82">
                <w:rPr>
                  <w:noProof/>
                  <w:sz w:val="22"/>
                </w:rPr>
                <w:t xml:space="preserve">McGowan, L. J. et al., 2024. The Views and Experiences of Integrated Care System Commissioners About the Adoption and Implementation of Virtual Wards in England: Qualitative Exploration Study. </w:t>
              </w:r>
              <w:r w:rsidRPr="00003A82">
                <w:rPr>
                  <w:i/>
                  <w:iCs/>
                  <w:noProof/>
                  <w:sz w:val="22"/>
                </w:rPr>
                <w:t xml:space="preserve">Journal of Medical Internet Research, </w:t>
              </w:r>
              <w:r w:rsidRPr="00003A82">
                <w:rPr>
                  <w:noProof/>
                  <w:sz w:val="22"/>
                </w:rPr>
                <w:t>26(e56494), pp. 1-16.</w:t>
              </w:r>
            </w:p>
            <w:p w14:paraId="7C0C2A80" w14:textId="77777777" w:rsidR="00D6359F" w:rsidRPr="00003A82" w:rsidRDefault="00D6359F" w:rsidP="00D6359F">
              <w:pPr>
                <w:pStyle w:val="Bibliography"/>
                <w:rPr>
                  <w:noProof/>
                  <w:sz w:val="22"/>
                </w:rPr>
              </w:pPr>
              <w:r w:rsidRPr="00003A82">
                <w:rPr>
                  <w:noProof/>
                  <w:sz w:val="22"/>
                </w:rPr>
                <w:t xml:space="preserve">McKay, F. H. et al., 2019. Using Health and Well-Being Apps for Behavior Change: A Systematic Search and Rating of Apps. </w:t>
              </w:r>
              <w:r w:rsidRPr="00003A82">
                <w:rPr>
                  <w:i/>
                  <w:iCs/>
                  <w:noProof/>
                  <w:sz w:val="22"/>
                </w:rPr>
                <w:t xml:space="preserve">JMIR mHealth and uHealth, </w:t>
              </w:r>
              <w:r w:rsidRPr="00003A82">
                <w:rPr>
                  <w:noProof/>
                  <w:sz w:val="22"/>
                </w:rPr>
                <w:t>7(7), pp. 1-11.</w:t>
              </w:r>
            </w:p>
            <w:p w14:paraId="79C75EB7" w14:textId="77777777" w:rsidR="00D6359F" w:rsidRPr="00003A82" w:rsidRDefault="00D6359F" w:rsidP="00D6359F">
              <w:pPr>
                <w:pStyle w:val="Bibliography"/>
                <w:rPr>
                  <w:noProof/>
                  <w:sz w:val="22"/>
                </w:rPr>
              </w:pPr>
              <w:r w:rsidRPr="00003A82">
                <w:rPr>
                  <w:noProof/>
                  <w:sz w:val="22"/>
                </w:rPr>
                <w:t xml:space="preserve">NHS Leadership Academy, 2011. </w:t>
              </w:r>
              <w:r w:rsidRPr="00003A82">
                <w:rPr>
                  <w:i/>
                  <w:iCs/>
                  <w:noProof/>
                  <w:sz w:val="22"/>
                </w:rPr>
                <w:t xml:space="preserve">Leadership Framework, </w:t>
              </w:r>
              <w:r w:rsidRPr="00003A82">
                <w:rPr>
                  <w:noProof/>
                  <w:sz w:val="22"/>
                </w:rPr>
                <w:t>Coventry: NHS Institute for Innovation and Improvement.</w:t>
              </w:r>
            </w:p>
            <w:p w14:paraId="70899A2C" w14:textId="77777777" w:rsidR="00D6359F" w:rsidRPr="00003A82" w:rsidRDefault="00D6359F" w:rsidP="00D6359F">
              <w:pPr>
                <w:pStyle w:val="Bibliography"/>
                <w:rPr>
                  <w:noProof/>
                  <w:sz w:val="22"/>
                </w:rPr>
              </w:pPr>
              <w:r w:rsidRPr="00003A82">
                <w:rPr>
                  <w:noProof/>
                  <w:sz w:val="22"/>
                </w:rPr>
                <w:t xml:space="preserve">Rawlings, B. S. et al., 2025. Divergent thinking is linked with convergent thinking; implications for models of creativity. </w:t>
              </w:r>
              <w:r w:rsidRPr="00003A82">
                <w:rPr>
                  <w:i/>
                  <w:iCs/>
                  <w:noProof/>
                  <w:sz w:val="22"/>
                </w:rPr>
                <w:t xml:space="preserve">Thinking &amp; Reasoning, </w:t>
              </w:r>
              <w:r w:rsidRPr="00003A82">
                <w:rPr>
                  <w:noProof/>
                  <w:sz w:val="22"/>
                </w:rPr>
                <w:t>31(4), pp. 586-608.</w:t>
              </w:r>
            </w:p>
            <w:p w14:paraId="69EC8863" w14:textId="77777777" w:rsidR="00D6359F" w:rsidRPr="00003A82" w:rsidRDefault="00D6359F" w:rsidP="00D6359F">
              <w:pPr>
                <w:pStyle w:val="Bibliography"/>
                <w:rPr>
                  <w:noProof/>
                  <w:sz w:val="22"/>
                </w:rPr>
              </w:pPr>
              <w:r w:rsidRPr="00003A82">
                <w:rPr>
                  <w:noProof/>
                  <w:sz w:val="22"/>
                </w:rPr>
                <w:t xml:space="preserve">Roth, M., Vakkuri, J. &amp; Johanson , J.-E., 2024. Value creation mechanisms in a social and health care innovation ecosystem – an institutional perspective. </w:t>
              </w:r>
              <w:r w:rsidRPr="00003A82">
                <w:rPr>
                  <w:i/>
                  <w:iCs/>
                  <w:noProof/>
                  <w:sz w:val="22"/>
                </w:rPr>
                <w:t xml:space="preserve">Journal of Management and Governance, </w:t>
              </w:r>
              <w:r w:rsidRPr="00003A82">
                <w:rPr>
                  <w:noProof/>
                  <w:sz w:val="22"/>
                </w:rPr>
                <w:t>Volume 28, pp. 1017-1048.</w:t>
              </w:r>
            </w:p>
            <w:p w14:paraId="3239284A" w14:textId="77777777" w:rsidR="00D6359F" w:rsidRPr="00003A82" w:rsidRDefault="00D6359F" w:rsidP="00D6359F">
              <w:pPr>
                <w:pStyle w:val="Bibliography"/>
                <w:rPr>
                  <w:noProof/>
                  <w:sz w:val="22"/>
                </w:rPr>
              </w:pPr>
              <w:r w:rsidRPr="00003A82">
                <w:rPr>
                  <w:noProof/>
                  <w:sz w:val="22"/>
                </w:rPr>
                <w:lastRenderedPageBreak/>
                <w:t xml:space="preserve">Shaluhiyah, Z., Qatrannada, S. A., Kusumawati, A. &amp; Miah, M. S., 2025. The effect of digital health intervention in promoting healthy behavior: A systematic scoping review on strategies to prevent non-communicable diseases. </w:t>
              </w:r>
              <w:r w:rsidRPr="00003A82">
                <w:rPr>
                  <w:i/>
                  <w:iCs/>
                  <w:noProof/>
                  <w:sz w:val="22"/>
                </w:rPr>
                <w:t xml:space="preserve">Dialogues in Health, </w:t>
              </w:r>
              <w:r w:rsidRPr="00003A82">
                <w:rPr>
                  <w:noProof/>
                  <w:sz w:val="22"/>
                </w:rPr>
                <w:t>7(100258), pp. 1-12.</w:t>
              </w:r>
            </w:p>
            <w:p w14:paraId="55CB6F0E" w14:textId="77777777" w:rsidR="00D6359F" w:rsidRPr="00003A82" w:rsidRDefault="00D6359F" w:rsidP="00D6359F">
              <w:pPr>
                <w:pStyle w:val="Bibliography"/>
                <w:rPr>
                  <w:noProof/>
                  <w:sz w:val="22"/>
                </w:rPr>
              </w:pPr>
              <w:r w:rsidRPr="00003A82">
                <w:rPr>
                  <w:noProof/>
                  <w:sz w:val="22"/>
                </w:rPr>
                <w:t xml:space="preserve">Shaver, J., 2022. The State of Telehealth Before and After the COVID-19 Pandemic. </w:t>
              </w:r>
              <w:r w:rsidRPr="00003A82">
                <w:rPr>
                  <w:i/>
                  <w:iCs/>
                  <w:noProof/>
                  <w:sz w:val="22"/>
                </w:rPr>
                <w:t xml:space="preserve">Primary Care Clinics in Office Practice, </w:t>
              </w:r>
              <w:r w:rsidRPr="00003A82">
                <w:rPr>
                  <w:noProof/>
                  <w:sz w:val="22"/>
                </w:rPr>
                <w:t>49(4), pp. 517-530.</w:t>
              </w:r>
            </w:p>
            <w:p w14:paraId="7870538F" w14:textId="77777777" w:rsidR="00D6359F" w:rsidRPr="00003A82" w:rsidRDefault="00D6359F" w:rsidP="00D6359F">
              <w:pPr>
                <w:pStyle w:val="Bibliography"/>
                <w:rPr>
                  <w:noProof/>
                  <w:sz w:val="22"/>
                </w:rPr>
              </w:pPr>
              <w:r w:rsidRPr="00003A82">
                <w:rPr>
                  <w:noProof/>
                  <w:sz w:val="22"/>
                </w:rPr>
                <w:t xml:space="preserve">Sun, Y., Chen, J., Ji, M. &amp; Li, X., 2025. Wearable Technologies for Health Promotion and Disease Prevention in Older Adults: Systematic Scoping Review and Evidence Map. </w:t>
              </w:r>
              <w:r w:rsidRPr="00003A82">
                <w:rPr>
                  <w:i/>
                  <w:iCs/>
                  <w:noProof/>
                  <w:sz w:val="22"/>
                </w:rPr>
                <w:t xml:space="preserve">Journal of Medical Internet Research, </w:t>
              </w:r>
              <w:r w:rsidRPr="00003A82">
                <w:rPr>
                  <w:noProof/>
                  <w:sz w:val="22"/>
                </w:rPr>
                <w:t>27(e69077), pp. 1-22.</w:t>
              </w:r>
            </w:p>
            <w:p w14:paraId="08428F3C" w14:textId="77777777" w:rsidR="00D6359F" w:rsidRPr="00003A82" w:rsidRDefault="00D6359F" w:rsidP="00D6359F">
              <w:pPr>
                <w:pStyle w:val="Bibliography"/>
                <w:rPr>
                  <w:noProof/>
                  <w:sz w:val="22"/>
                </w:rPr>
              </w:pPr>
              <w:r w:rsidRPr="00003A82">
                <w:rPr>
                  <w:noProof/>
                  <w:sz w:val="22"/>
                </w:rPr>
                <w:t xml:space="preserve">Upadhyay, S. &amp; Hu, H.-f., 2022. A Qualitative Analysis of the Impact of Electronic Health Records (EHR) on Healthcare Quality and Safety: Clinicians’ Lived Experiences. </w:t>
              </w:r>
              <w:r w:rsidRPr="00003A82">
                <w:rPr>
                  <w:i/>
                  <w:iCs/>
                  <w:noProof/>
                  <w:sz w:val="22"/>
                </w:rPr>
                <w:t xml:space="preserve">Health Services Insights, </w:t>
              </w:r>
              <w:r w:rsidRPr="00003A82">
                <w:rPr>
                  <w:noProof/>
                  <w:sz w:val="22"/>
                </w:rPr>
                <w:t>Volume 15, pp. 1-7.</w:t>
              </w:r>
            </w:p>
            <w:p w14:paraId="7C7DB50E" w14:textId="77777777" w:rsidR="00D6359F" w:rsidRPr="00003A82" w:rsidRDefault="00D6359F" w:rsidP="00D6359F">
              <w:pPr>
                <w:pStyle w:val="Bibliography"/>
                <w:rPr>
                  <w:noProof/>
                  <w:sz w:val="22"/>
                </w:rPr>
              </w:pPr>
              <w:r w:rsidRPr="00003A82">
                <w:rPr>
                  <w:noProof/>
                  <w:sz w:val="22"/>
                </w:rPr>
                <w:t xml:space="preserve">Wells, E. &amp; Gatfield, T., 2024. Virtual wards: benefits, challenges and required skills. </w:t>
              </w:r>
              <w:r w:rsidRPr="00003A82">
                <w:rPr>
                  <w:i/>
                  <w:iCs/>
                  <w:noProof/>
                  <w:sz w:val="22"/>
                </w:rPr>
                <w:t xml:space="preserve">Nursing Times, </w:t>
              </w:r>
              <w:r w:rsidRPr="00003A82">
                <w:rPr>
                  <w:noProof/>
                  <w:sz w:val="22"/>
                </w:rPr>
                <w:t>120(10), pp. 18-21.</w:t>
              </w:r>
            </w:p>
            <w:p w14:paraId="7D97C621" w14:textId="77777777" w:rsidR="00D6359F" w:rsidRPr="00003A82" w:rsidRDefault="00D6359F" w:rsidP="00D6359F">
              <w:pPr>
                <w:pStyle w:val="Bibliography"/>
                <w:rPr>
                  <w:noProof/>
                  <w:sz w:val="22"/>
                </w:rPr>
              </w:pPr>
              <w:r w:rsidRPr="00003A82">
                <w:rPr>
                  <w:noProof/>
                  <w:sz w:val="22"/>
                </w:rPr>
                <w:t xml:space="preserve">Yahya, F., Cooper, M. &amp; Nazar, H., 2025. Hospital at home (virtual wards): developing a logic model and dark logic model. </w:t>
              </w:r>
              <w:r w:rsidRPr="00003A82">
                <w:rPr>
                  <w:i/>
                  <w:iCs/>
                  <w:noProof/>
                  <w:sz w:val="22"/>
                </w:rPr>
                <w:t xml:space="preserve">BMC Health Services Research, </w:t>
              </w:r>
              <w:r w:rsidRPr="00003A82">
                <w:rPr>
                  <w:noProof/>
                  <w:sz w:val="22"/>
                </w:rPr>
                <w:t>25(714), pp. 1-11.</w:t>
              </w:r>
            </w:p>
            <w:p w14:paraId="4298DD7E" w14:textId="77777777" w:rsidR="00D6359F" w:rsidRPr="00003A82" w:rsidRDefault="00D6359F" w:rsidP="00D6359F">
              <w:pPr>
                <w:pStyle w:val="Bibliography"/>
                <w:rPr>
                  <w:noProof/>
                  <w:sz w:val="22"/>
                </w:rPr>
              </w:pPr>
              <w:r w:rsidRPr="00003A82">
                <w:rPr>
                  <w:noProof/>
                  <w:sz w:val="22"/>
                </w:rPr>
                <w:t xml:space="preserve">Ystaas, L. M. K. et al., 2023. The Impact of Transformational Leadership in the Nursing Work Environment and Patients’ Outcomes: A Systematic Review. </w:t>
              </w:r>
              <w:r w:rsidRPr="00003A82">
                <w:rPr>
                  <w:i/>
                  <w:iCs/>
                  <w:noProof/>
                  <w:sz w:val="22"/>
                </w:rPr>
                <w:t xml:space="preserve">Nursing Reports, </w:t>
              </w:r>
              <w:r w:rsidRPr="00003A82">
                <w:rPr>
                  <w:noProof/>
                  <w:sz w:val="22"/>
                </w:rPr>
                <w:t>13(3), pp. 1271-1290.</w:t>
              </w:r>
            </w:p>
            <w:p w14:paraId="7D760E33" w14:textId="77777777" w:rsidR="00D6359F" w:rsidRPr="00003A82" w:rsidRDefault="00BD2C3A" w:rsidP="00D6359F">
              <w:pPr>
                <w:rPr>
                  <w:sz w:val="22"/>
                </w:rPr>
              </w:pPr>
              <w:r w:rsidRPr="00003A82">
                <w:rPr>
                  <w:b/>
                  <w:bCs/>
                  <w:noProof/>
                  <w:sz w:val="22"/>
                </w:rPr>
                <w:fldChar w:fldCharType="end"/>
              </w:r>
            </w:p>
          </w:sdtContent>
        </w:sdt>
      </w:sdtContent>
    </w:sdt>
    <w:p w14:paraId="350BBC27" w14:textId="77777777" w:rsidR="00337B3B" w:rsidRPr="00003A82" w:rsidRDefault="00337B3B">
      <w:pPr>
        <w:rPr>
          <w:b/>
          <w:bCs/>
          <w:sz w:val="22"/>
          <w:lang w:val="en-US"/>
        </w:rPr>
      </w:pPr>
    </w:p>
    <w:sectPr w:rsidR="00337B3B" w:rsidRPr="00003A82" w:rsidSect="00722CF8">
      <w:pgSz w:w="12240" w:h="15840"/>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5F8C3C" w14:textId="77777777" w:rsidR="00D238CC" w:rsidRDefault="00D238CC" w:rsidP="00287001">
      <w:pPr>
        <w:spacing w:after="0" w:line="240" w:lineRule="auto"/>
      </w:pPr>
      <w:r>
        <w:separator/>
      </w:r>
    </w:p>
  </w:endnote>
  <w:endnote w:type="continuationSeparator" w:id="0">
    <w:p w14:paraId="6C89B60E" w14:textId="77777777" w:rsidR="00D238CC" w:rsidRDefault="00D238CC" w:rsidP="00287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066706"/>
      <w:docPartObj>
        <w:docPartGallery w:val="Page Numbers (Bottom of Page)"/>
        <w:docPartUnique/>
      </w:docPartObj>
    </w:sdtPr>
    <w:sdtEndPr/>
    <w:sdtContent>
      <w:p w14:paraId="08AA556F" w14:textId="77777777" w:rsidR="00287001" w:rsidRDefault="00AA16CA">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99C40FE" w14:textId="77777777" w:rsidR="00287001" w:rsidRDefault="00287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59982" w14:textId="77777777" w:rsidR="00D238CC" w:rsidRDefault="00D238CC" w:rsidP="00287001">
      <w:pPr>
        <w:spacing w:after="0" w:line="240" w:lineRule="auto"/>
      </w:pPr>
      <w:r>
        <w:separator/>
      </w:r>
    </w:p>
  </w:footnote>
  <w:footnote w:type="continuationSeparator" w:id="0">
    <w:p w14:paraId="6AD63A7D" w14:textId="77777777" w:rsidR="00D238CC" w:rsidRDefault="00D238CC" w:rsidP="002870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C7A86"/>
    <w:rsid w:val="00003A82"/>
    <w:rsid w:val="00082C2D"/>
    <w:rsid w:val="0009490A"/>
    <w:rsid w:val="000E3290"/>
    <w:rsid w:val="00105278"/>
    <w:rsid w:val="001761ED"/>
    <w:rsid w:val="00192E93"/>
    <w:rsid w:val="001F74B2"/>
    <w:rsid w:val="00242299"/>
    <w:rsid w:val="00287001"/>
    <w:rsid w:val="002A5815"/>
    <w:rsid w:val="002D3FE5"/>
    <w:rsid w:val="002D6FF1"/>
    <w:rsid w:val="002F08C5"/>
    <w:rsid w:val="00305541"/>
    <w:rsid w:val="00307299"/>
    <w:rsid w:val="00320671"/>
    <w:rsid w:val="00337B3B"/>
    <w:rsid w:val="00353981"/>
    <w:rsid w:val="00393ED7"/>
    <w:rsid w:val="003F76FF"/>
    <w:rsid w:val="00486AB2"/>
    <w:rsid w:val="004B3C7C"/>
    <w:rsid w:val="00536B19"/>
    <w:rsid w:val="00552BB9"/>
    <w:rsid w:val="00563A1D"/>
    <w:rsid w:val="005E33ED"/>
    <w:rsid w:val="006004C2"/>
    <w:rsid w:val="00635D07"/>
    <w:rsid w:val="00722CF8"/>
    <w:rsid w:val="0080149A"/>
    <w:rsid w:val="00807DC4"/>
    <w:rsid w:val="00836082"/>
    <w:rsid w:val="008B12DD"/>
    <w:rsid w:val="0091789A"/>
    <w:rsid w:val="00954CD8"/>
    <w:rsid w:val="00955412"/>
    <w:rsid w:val="009834D2"/>
    <w:rsid w:val="009B05B3"/>
    <w:rsid w:val="009E6ABF"/>
    <w:rsid w:val="00A254C4"/>
    <w:rsid w:val="00A33014"/>
    <w:rsid w:val="00A850CA"/>
    <w:rsid w:val="00A86CA2"/>
    <w:rsid w:val="00AA16CA"/>
    <w:rsid w:val="00B61A42"/>
    <w:rsid w:val="00B66446"/>
    <w:rsid w:val="00BA4218"/>
    <w:rsid w:val="00BD2C3A"/>
    <w:rsid w:val="00C15215"/>
    <w:rsid w:val="00C224AA"/>
    <w:rsid w:val="00C32B77"/>
    <w:rsid w:val="00CA2AB4"/>
    <w:rsid w:val="00CC7A86"/>
    <w:rsid w:val="00CE6D77"/>
    <w:rsid w:val="00D238CC"/>
    <w:rsid w:val="00D6359F"/>
    <w:rsid w:val="00D8634F"/>
    <w:rsid w:val="00DA4CBA"/>
    <w:rsid w:val="00DD79A0"/>
    <w:rsid w:val="00E71EDC"/>
    <w:rsid w:val="00E73859"/>
    <w:rsid w:val="00F1474D"/>
    <w:rsid w:val="00F30BB8"/>
    <w:rsid w:val="00F629E4"/>
    <w:rsid w:val="00F90F9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BF13E"/>
  <w15:docId w15:val="{96B26358-7F80-4CA0-9954-C660A631B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2"/>
        <w:lang w:val="en-PH" w:eastAsia="en-US"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2C3A"/>
  </w:style>
  <w:style w:type="paragraph" w:styleId="Heading1">
    <w:name w:val="heading 1"/>
    <w:basedOn w:val="Normal"/>
    <w:next w:val="Normal"/>
    <w:link w:val="Heading1Char"/>
    <w:uiPriority w:val="9"/>
    <w:qFormat/>
    <w:rsid w:val="00CC7A8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C7A8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C7A86"/>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C7A8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7A8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C7A8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C7A8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C7A8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C7A8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7A86"/>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CC7A8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CC7A86"/>
    <w:rPr>
      <w:rFonts w:asciiTheme="minorHAnsi" w:eastAsiaTheme="majorEastAsia"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CC7A86"/>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C7A86"/>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CC7A86"/>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C7A86"/>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CC7A86"/>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C7A86"/>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CC7A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7A8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C7A8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7A86"/>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C7A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C7A86"/>
    <w:rPr>
      <w:i/>
      <w:iCs/>
      <w:color w:val="404040" w:themeColor="text1" w:themeTint="BF"/>
      <w:lang w:val="en-GB"/>
    </w:rPr>
  </w:style>
  <w:style w:type="paragraph" w:styleId="ListParagraph">
    <w:name w:val="List Paragraph"/>
    <w:basedOn w:val="Normal"/>
    <w:uiPriority w:val="34"/>
    <w:qFormat/>
    <w:rsid w:val="00CC7A86"/>
    <w:pPr>
      <w:ind w:left="720"/>
      <w:contextualSpacing/>
    </w:pPr>
  </w:style>
  <w:style w:type="character" w:styleId="IntenseEmphasis">
    <w:name w:val="Intense Emphasis"/>
    <w:basedOn w:val="DefaultParagraphFont"/>
    <w:uiPriority w:val="21"/>
    <w:qFormat/>
    <w:rsid w:val="00CC7A86"/>
    <w:rPr>
      <w:i/>
      <w:iCs/>
      <w:color w:val="2F5496" w:themeColor="accent1" w:themeShade="BF"/>
    </w:rPr>
  </w:style>
  <w:style w:type="paragraph" w:styleId="IntenseQuote">
    <w:name w:val="Intense Quote"/>
    <w:basedOn w:val="Normal"/>
    <w:next w:val="Normal"/>
    <w:link w:val="IntenseQuoteChar"/>
    <w:uiPriority w:val="30"/>
    <w:qFormat/>
    <w:rsid w:val="00CC7A8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7A86"/>
    <w:rPr>
      <w:i/>
      <w:iCs/>
      <w:color w:val="2F5496" w:themeColor="accent1" w:themeShade="BF"/>
      <w:lang w:val="en-GB"/>
    </w:rPr>
  </w:style>
  <w:style w:type="character" w:styleId="IntenseReference">
    <w:name w:val="Intense Reference"/>
    <w:basedOn w:val="DefaultParagraphFont"/>
    <w:uiPriority w:val="32"/>
    <w:qFormat/>
    <w:rsid w:val="00CC7A86"/>
    <w:rPr>
      <w:b/>
      <w:bCs/>
      <w:smallCaps/>
      <w:color w:val="2F5496" w:themeColor="accent1" w:themeShade="BF"/>
      <w:spacing w:val="5"/>
    </w:rPr>
  </w:style>
  <w:style w:type="paragraph" w:styleId="NormalWeb">
    <w:name w:val="Normal (Web)"/>
    <w:basedOn w:val="Normal"/>
    <w:uiPriority w:val="99"/>
    <w:semiHidden/>
    <w:unhideWhenUsed/>
    <w:rsid w:val="002A5815"/>
    <w:rPr>
      <w:rFonts w:cs="Times New Roman"/>
      <w:szCs w:val="24"/>
    </w:rPr>
  </w:style>
  <w:style w:type="paragraph" w:styleId="Bibliography">
    <w:name w:val="Bibliography"/>
    <w:basedOn w:val="Normal"/>
    <w:next w:val="Normal"/>
    <w:uiPriority w:val="37"/>
    <w:unhideWhenUsed/>
    <w:rsid w:val="00D6359F"/>
  </w:style>
  <w:style w:type="paragraph" w:styleId="BalloonText">
    <w:name w:val="Balloon Text"/>
    <w:basedOn w:val="Normal"/>
    <w:link w:val="BalloonTextChar"/>
    <w:uiPriority w:val="99"/>
    <w:semiHidden/>
    <w:unhideWhenUsed/>
    <w:rsid w:val="003539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981"/>
    <w:rPr>
      <w:rFonts w:ascii="Tahoma" w:hAnsi="Tahoma" w:cs="Tahoma"/>
      <w:sz w:val="16"/>
      <w:szCs w:val="16"/>
    </w:rPr>
  </w:style>
  <w:style w:type="character" w:styleId="Strong">
    <w:name w:val="Strong"/>
    <w:uiPriority w:val="22"/>
    <w:qFormat/>
    <w:rsid w:val="00353981"/>
    <w:rPr>
      <w:b/>
      <w:bCs/>
    </w:rPr>
  </w:style>
  <w:style w:type="paragraph" w:styleId="Header">
    <w:name w:val="header"/>
    <w:basedOn w:val="Normal"/>
    <w:link w:val="HeaderChar"/>
    <w:uiPriority w:val="99"/>
    <w:semiHidden/>
    <w:unhideWhenUsed/>
    <w:rsid w:val="0028700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87001"/>
  </w:style>
  <w:style w:type="paragraph" w:styleId="Footer">
    <w:name w:val="footer"/>
    <w:basedOn w:val="Normal"/>
    <w:link w:val="FooterChar"/>
    <w:uiPriority w:val="99"/>
    <w:unhideWhenUsed/>
    <w:rsid w:val="00287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0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10428">
      <w:bodyDiv w:val="1"/>
      <w:marLeft w:val="0"/>
      <w:marRight w:val="0"/>
      <w:marTop w:val="0"/>
      <w:marBottom w:val="0"/>
      <w:divBdr>
        <w:top w:val="none" w:sz="0" w:space="0" w:color="auto"/>
        <w:left w:val="none" w:sz="0" w:space="0" w:color="auto"/>
        <w:bottom w:val="none" w:sz="0" w:space="0" w:color="auto"/>
        <w:right w:val="none" w:sz="0" w:space="0" w:color="auto"/>
      </w:divBdr>
    </w:div>
    <w:div w:id="17199337">
      <w:bodyDiv w:val="1"/>
      <w:marLeft w:val="0"/>
      <w:marRight w:val="0"/>
      <w:marTop w:val="0"/>
      <w:marBottom w:val="0"/>
      <w:divBdr>
        <w:top w:val="none" w:sz="0" w:space="0" w:color="auto"/>
        <w:left w:val="none" w:sz="0" w:space="0" w:color="auto"/>
        <w:bottom w:val="none" w:sz="0" w:space="0" w:color="auto"/>
        <w:right w:val="none" w:sz="0" w:space="0" w:color="auto"/>
      </w:divBdr>
    </w:div>
    <w:div w:id="106701652">
      <w:bodyDiv w:val="1"/>
      <w:marLeft w:val="0"/>
      <w:marRight w:val="0"/>
      <w:marTop w:val="0"/>
      <w:marBottom w:val="0"/>
      <w:divBdr>
        <w:top w:val="none" w:sz="0" w:space="0" w:color="auto"/>
        <w:left w:val="none" w:sz="0" w:space="0" w:color="auto"/>
        <w:bottom w:val="none" w:sz="0" w:space="0" w:color="auto"/>
        <w:right w:val="none" w:sz="0" w:space="0" w:color="auto"/>
      </w:divBdr>
    </w:div>
    <w:div w:id="134639078">
      <w:bodyDiv w:val="1"/>
      <w:marLeft w:val="0"/>
      <w:marRight w:val="0"/>
      <w:marTop w:val="0"/>
      <w:marBottom w:val="0"/>
      <w:divBdr>
        <w:top w:val="none" w:sz="0" w:space="0" w:color="auto"/>
        <w:left w:val="none" w:sz="0" w:space="0" w:color="auto"/>
        <w:bottom w:val="none" w:sz="0" w:space="0" w:color="auto"/>
        <w:right w:val="none" w:sz="0" w:space="0" w:color="auto"/>
      </w:divBdr>
    </w:div>
    <w:div w:id="186675426">
      <w:bodyDiv w:val="1"/>
      <w:marLeft w:val="0"/>
      <w:marRight w:val="0"/>
      <w:marTop w:val="0"/>
      <w:marBottom w:val="0"/>
      <w:divBdr>
        <w:top w:val="none" w:sz="0" w:space="0" w:color="auto"/>
        <w:left w:val="none" w:sz="0" w:space="0" w:color="auto"/>
        <w:bottom w:val="none" w:sz="0" w:space="0" w:color="auto"/>
        <w:right w:val="none" w:sz="0" w:space="0" w:color="auto"/>
      </w:divBdr>
    </w:div>
    <w:div w:id="239218771">
      <w:bodyDiv w:val="1"/>
      <w:marLeft w:val="0"/>
      <w:marRight w:val="0"/>
      <w:marTop w:val="0"/>
      <w:marBottom w:val="0"/>
      <w:divBdr>
        <w:top w:val="none" w:sz="0" w:space="0" w:color="auto"/>
        <w:left w:val="none" w:sz="0" w:space="0" w:color="auto"/>
        <w:bottom w:val="none" w:sz="0" w:space="0" w:color="auto"/>
        <w:right w:val="none" w:sz="0" w:space="0" w:color="auto"/>
      </w:divBdr>
    </w:div>
    <w:div w:id="260920252">
      <w:bodyDiv w:val="1"/>
      <w:marLeft w:val="0"/>
      <w:marRight w:val="0"/>
      <w:marTop w:val="0"/>
      <w:marBottom w:val="0"/>
      <w:divBdr>
        <w:top w:val="none" w:sz="0" w:space="0" w:color="auto"/>
        <w:left w:val="none" w:sz="0" w:space="0" w:color="auto"/>
        <w:bottom w:val="none" w:sz="0" w:space="0" w:color="auto"/>
        <w:right w:val="none" w:sz="0" w:space="0" w:color="auto"/>
      </w:divBdr>
    </w:div>
    <w:div w:id="332077406">
      <w:bodyDiv w:val="1"/>
      <w:marLeft w:val="0"/>
      <w:marRight w:val="0"/>
      <w:marTop w:val="0"/>
      <w:marBottom w:val="0"/>
      <w:divBdr>
        <w:top w:val="none" w:sz="0" w:space="0" w:color="auto"/>
        <w:left w:val="none" w:sz="0" w:space="0" w:color="auto"/>
        <w:bottom w:val="none" w:sz="0" w:space="0" w:color="auto"/>
        <w:right w:val="none" w:sz="0" w:space="0" w:color="auto"/>
      </w:divBdr>
    </w:div>
    <w:div w:id="366805510">
      <w:bodyDiv w:val="1"/>
      <w:marLeft w:val="0"/>
      <w:marRight w:val="0"/>
      <w:marTop w:val="0"/>
      <w:marBottom w:val="0"/>
      <w:divBdr>
        <w:top w:val="none" w:sz="0" w:space="0" w:color="auto"/>
        <w:left w:val="none" w:sz="0" w:space="0" w:color="auto"/>
        <w:bottom w:val="none" w:sz="0" w:space="0" w:color="auto"/>
        <w:right w:val="none" w:sz="0" w:space="0" w:color="auto"/>
      </w:divBdr>
    </w:div>
    <w:div w:id="388774274">
      <w:bodyDiv w:val="1"/>
      <w:marLeft w:val="0"/>
      <w:marRight w:val="0"/>
      <w:marTop w:val="0"/>
      <w:marBottom w:val="0"/>
      <w:divBdr>
        <w:top w:val="none" w:sz="0" w:space="0" w:color="auto"/>
        <w:left w:val="none" w:sz="0" w:space="0" w:color="auto"/>
        <w:bottom w:val="none" w:sz="0" w:space="0" w:color="auto"/>
        <w:right w:val="none" w:sz="0" w:space="0" w:color="auto"/>
      </w:divBdr>
    </w:div>
    <w:div w:id="423840746">
      <w:bodyDiv w:val="1"/>
      <w:marLeft w:val="0"/>
      <w:marRight w:val="0"/>
      <w:marTop w:val="0"/>
      <w:marBottom w:val="0"/>
      <w:divBdr>
        <w:top w:val="none" w:sz="0" w:space="0" w:color="auto"/>
        <w:left w:val="none" w:sz="0" w:space="0" w:color="auto"/>
        <w:bottom w:val="none" w:sz="0" w:space="0" w:color="auto"/>
        <w:right w:val="none" w:sz="0" w:space="0" w:color="auto"/>
      </w:divBdr>
    </w:div>
    <w:div w:id="524252743">
      <w:bodyDiv w:val="1"/>
      <w:marLeft w:val="0"/>
      <w:marRight w:val="0"/>
      <w:marTop w:val="0"/>
      <w:marBottom w:val="0"/>
      <w:divBdr>
        <w:top w:val="none" w:sz="0" w:space="0" w:color="auto"/>
        <w:left w:val="none" w:sz="0" w:space="0" w:color="auto"/>
        <w:bottom w:val="none" w:sz="0" w:space="0" w:color="auto"/>
        <w:right w:val="none" w:sz="0" w:space="0" w:color="auto"/>
      </w:divBdr>
    </w:div>
    <w:div w:id="549270024">
      <w:bodyDiv w:val="1"/>
      <w:marLeft w:val="0"/>
      <w:marRight w:val="0"/>
      <w:marTop w:val="0"/>
      <w:marBottom w:val="0"/>
      <w:divBdr>
        <w:top w:val="none" w:sz="0" w:space="0" w:color="auto"/>
        <w:left w:val="none" w:sz="0" w:space="0" w:color="auto"/>
        <w:bottom w:val="none" w:sz="0" w:space="0" w:color="auto"/>
        <w:right w:val="none" w:sz="0" w:space="0" w:color="auto"/>
      </w:divBdr>
    </w:div>
    <w:div w:id="579867908">
      <w:bodyDiv w:val="1"/>
      <w:marLeft w:val="0"/>
      <w:marRight w:val="0"/>
      <w:marTop w:val="0"/>
      <w:marBottom w:val="0"/>
      <w:divBdr>
        <w:top w:val="none" w:sz="0" w:space="0" w:color="auto"/>
        <w:left w:val="none" w:sz="0" w:space="0" w:color="auto"/>
        <w:bottom w:val="none" w:sz="0" w:space="0" w:color="auto"/>
        <w:right w:val="none" w:sz="0" w:space="0" w:color="auto"/>
      </w:divBdr>
    </w:div>
    <w:div w:id="678197658">
      <w:bodyDiv w:val="1"/>
      <w:marLeft w:val="0"/>
      <w:marRight w:val="0"/>
      <w:marTop w:val="0"/>
      <w:marBottom w:val="0"/>
      <w:divBdr>
        <w:top w:val="none" w:sz="0" w:space="0" w:color="auto"/>
        <w:left w:val="none" w:sz="0" w:space="0" w:color="auto"/>
        <w:bottom w:val="none" w:sz="0" w:space="0" w:color="auto"/>
        <w:right w:val="none" w:sz="0" w:space="0" w:color="auto"/>
      </w:divBdr>
    </w:div>
    <w:div w:id="699016894">
      <w:bodyDiv w:val="1"/>
      <w:marLeft w:val="0"/>
      <w:marRight w:val="0"/>
      <w:marTop w:val="0"/>
      <w:marBottom w:val="0"/>
      <w:divBdr>
        <w:top w:val="none" w:sz="0" w:space="0" w:color="auto"/>
        <w:left w:val="none" w:sz="0" w:space="0" w:color="auto"/>
        <w:bottom w:val="none" w:sz="0" w:space="0" w:color="auto"/>
        <w:right w:val="none" w:sz="0" w:space="0" w:color="auto"/>
      </w:divBdr>
    </w:div>
    <w:div w:id="709259015">
      <w:bodyDiv w:val="1"/>
      <w:marLeft w:val="0"/>
      <w:marRight w:val="0"/>
      <w:marTop w:val="0"/>
      <w:marBottom w:val="0"/>
      <w:divBdr>
        <w:top w:val="none" w:sz="0" w:space="0" w:color="auto"/>
        <w:left w:val="none" w:sz="0" w:space="0" w:color="auto"/>
        <w:bottom w:val="none" w:sz="0" w:space="0" w:color="auto"/>
        <w:right w:val="none" w:sz="0" w:space="0" w:color="auto"/>
      </w:divBdr>
    </w:div>
    <w:div w:id="818154340">
      <w:bodyDiv w:val="1"/>
      <w:marLeft w:val="0"/>
      <w:marRight w:val="0"/>
      <w:marTop w:val="0"/>
      <w:marBottom w:val="0"/>
      <w:divBdr>
        <w:top w:val="none" w:sz="0" w:space="0" w:color="auto"/>
        <w:left w:val="none" w:sz="0" w:space="0" w:color="auto"/>
        <w:bottom w:val="none" w:sz="0" w:space="0" w:color="auto"/>
        <w:right w:val="none" w:sz="0" w:space="0" w:color="auto"/>
      </w:divBdr>
    </w:div>
    <w:div w:id="883518238">
      <w:bodyDiv w:val="1"/>
      <w:marLeft w:val="0"/>
      <w:marRight w:val="0"/>
      <w:marTop w:val="0"/>
      <w:marBottom w:val="0"/>
      <w:divBdr>
        <w:top w:val="none" w:sz="0" w:space="0" w:color="auto"/>
        <w:left w:val="none" w:sz="0" w:space="0" w:color="auto"/>
        <w:bottom w:val="none" w:sz="0" w:space="0" w:color="auto"/>
        <w:right w:val="none" w:sz="0" w:space="0" w:color="auto"/>
      </w:divBdr>
    </w:div>
    <w:div w:id="951060884">
      <w:bodyDiv w:val="1"/>
      <w:marLeft w:val="0"/>
      <w:marRight w:val="0"/>
      <w:marTop w:val="0"/>
      <w:marBottom w:val="0"/>
      <w:divBdr>
        <w:top w:val="none" w:sz="0" w:space="0" w:color="auto"/>
        <w:left w:val="none" w:sz="0" w:space="0" w:color="auto"/>
        <w:bottom w:val="none" w:sz="0" w:space="0" w:color="auto"/>
        <w:right w:val="none" w:sz="0" w:space="0" w:color="auto"/>
      </w:divBdr>
    </w:div>
    <w:div w:id="977757830">
      <w:bodyDiv w:val="1"/>
      <w:marLeft w:val="0"/>
      <w:marRight w:val="0"/>
      <w:marTop w:val="0"/>
      <w:marBottom w:val="0"/>
      <w:divBdr>
        <w:top w:val="none" w:sz="0" w:space="0" w:color="auto"/>
        <w:left w:val="none" w:sz="0" w:space="0" w:color="auto"/>
        <w:bottom w:val="none" w:sz="0" w:space="0" w:color="auto"/>
        <w:right w:val="none" w:sz="0" w:space="0" w:color="auto"/>
      </w:divBdr>
    </w:div>
    <w:div w:id="1025399406">
      <w:bodyDiv w:val="1"/>
      <w:marLeft w:val="0"/>
      <w:marRight w:val="0"/>
      <w:marTop w:val="0"/>
      <w:marBottom w:val="0"/>
      <w:divBdr>
        <w:top w:val="none" w:sz="0" w:space="0" w:color="auto"/>
        <w:left w:val="none" w:sz="0" w:space="0" w:color="auto"/>
        <w:bottom w:val="none" w:sz="0" w:space="0" w:color="auto"/>
        <w:right w:val="none" w:sz="0" w:space="0" w:color="auto"/>
      </w:divBdr>
    </w:div>
    <w:div w:id="1033270296">
      <w:bodyDiv w:val="1"/>
      <w:marLeft w:val="0"/>
      <w:marRight w:val="0"/>
      <w:marTop w:val="0"/>
      <w:marBottom w:val="0"/>
      <w:divBdr>
        <w:top w:val="none" w:sz="0" w:space="0" w:color="auto"/>
        <w:left w:val="none" w:sz="0" w:space="0" w:color="auto"/>
        <w:bottom w:val="none" w:sz="0" w:space="0" w:color="auto"/>
        <w:right w:val="none" w:sz="0" w:space="0" w:color="auto"/>
      </w:divBdr>
    </w:div>
    <w:div w:id="1184396201">
      <w:bodyDiv w:val="1"/>
      <w:marLeft w:val="0"/>
      <w:marRight w:val="0"/>
      <w:marTop w:val="0"/>
      <w:marBottom w:val="0"/>
      <w:divBdr>
        <w:top w:val="none" w:sz="0" w:space="0" w:color="auto"/>
        <w:left w:val="none" w:sz="0" w:space="0" w:color="auto"/>
        <w:bottom w:val="none" w:sz="0" w:space="0" w:color="auto"/>
        <w:right w:val="none" w:sz="0" w:space="0" w:color="auto"/>
      </w:divBdr>
    </w:div>
    <w:div w:id="1202129538">
      <w:bodyDiv w:val="1"/>
      <w:marLeft w:val="0"/>
      <w:marRight w:val="0"/>
      <w:marTop w:val="0"/>
      <w:marBottom w:val="0"/>
      <w:divBdr>
        <w:top w:val="none" w:sz="0" w:space="0" w:color="auto"/>
        <w:left w:val="none" w:sz="0" w:space="0" w:color="auto"/>
        <w:bottom w:val="none" w:sz="0" w:space="0" w:color="auto"/>
        <w:right w:val="none" w:sz="0" w:space="0" w:color="auto"/>
      </w:divBdr>
    </w:div>
    <w:div w:id="1284846591">
      <w:bodyDiv w:val="1"/>
      <w:marLeft w:val="0"/>
      <w:marRight w:val="0"/>
      <w:marTop w:val="0"/>
      <w:marBottom w:val="0"/>
      <w:divBdr>
        <w:top w:val="none" w:sz="0" w:space="0" w:color="auto"/>
        <w:left w:val="none" w:sz="0" w:space="0" w:color="auto"/>
        <w:bottom w:val="none" w:sz="0" w:space="0" w:color="auto"/>
        <w:right w:val="none" w:sz="0" w:space="0" w:color="auto"/>
      </w:divBdr>
    </w:div>
    <w:div w:id="1445539718">
      <w:bodyDiv w:val="1"/>
      <w:marLeft w:val="0"/>
      <w:marRight w:val="0"/>
      <w:marTop w:val="0"/>
      <w:marBottom w:val="0"/>
      <w:divBdr>
        <w:top w:val="none" w:sz="0" w:space="0" w:color="auto"/>
        <w:left w:val="none" w:sz="0" w:space="0" w:color="auto"/>
        <w:bottom w:val="none" w:sz="0" w:space="0" w:color="auto"/>
        <w:right w:val="none" w:sz="0" w:space="0" w:color="auto"/>
      </w:divBdr>
    </w:div>
    <w:div w:id="1455101697">
      <w:bodyDiv w:val="1"/>
      <w:marLeft w:val="0"/>
      <w:marRight w:val="0"/>
      <w:marTop w:val="0"/>
      <w:marBottom w:val="0"/>
      <w:divBdr>
        <w:top w:val="none" w:sz="0" w:space="0" w:color="auto"/>
        <w:left w:val="none" w:sz="0" w:space="0" w:color="auto"/>
        <w:bottom w:val="none" w:sz="0" w:space="0" w:color="auto"/>
        <w:right w:val="none" w:sz="0" w:space="0" w:color="auto"/>
      </w:divBdr>
    </w:div>
    <w:div w:id="1495220313">
      <w:bodyDiv w:val="1"/>
      <w:marLeft w:val="0"/>
      <w:marRight w:val="0"/>
      <w:marTop w:val="0"/>
      <w:marBottom w:val="0"/>
      <w:divBdr>
        <w:top w:val="none" w:sz="0" w:space="0" w:color="auto"/>
        <w:left w:val="none" w:sz="0" w:space="0" w:color="auto"/>
        <w:bottom w:val="none" w:sz="0" w:space="0" w:color="auto"/>
        <w:right w:val="none" w:sz="0" w:space="0" w:color="auto"/>
      </w:divBdr>
    </w:div>
    <w:div w:id="1495416715">
      <w:bodyDiv w:val="1"/>
      <w:marLeft w:val="0"/>
      <w:marRight w:val="0"/>
      <w:marTop w:val="0"/>
      <w:marBottom w:val="0"/>
      <w:divBdr>
        <w:top w:val="none" w:sz="0" w:space="0" w:color="auto"/>
        <w:left w:val="none" w:sz="0" w:space="0" w:color="auto"/>
        <w:bottom w:val="none" w:sz="0" w:space="0" w:color="auto"/>
        <w:right w:val="none" w:sz="0" w:space="0" w:color="auto"/>
      </w:divBdr>
    </w:div>
    <w:div w:id="1673216307">
      <w:bodyDiv w:val="1"/>
      <w:marLeft w:val="0"/>
      <w:marRight w:val="0"/>
      <w:marTop w:val="0"/>
      <w:marBottom w:val="0"/>
      <w:divBdr>
        <w:top w:val="none" w:sz="0" w:space="0" w:color="auto"/>
        <w:left w:val="none" w:sz="0" w:space="0" w:color="auto"/>
        <w:bottom w:val="none" w:sz="0" w:space="0" w:color="auto"/>
        <w:right w:val="none" w:sz="0" w:space="0" w:color="auto"/>
      </w:divBdr>
    </w:div>
    <w:div w:id="1803234326">
      <w:bodyDiv w:val="1"/>
      <w:marLeft w:val="0"/>
      <w:marRight w:val="0"/>
      <w:marTop w:val="0"/>
      <w:marBottom w:val="0"/>
      <w:divBdr>
        <w:top w:val="none" w:sz="0" w:space="0" w:color="auto"/>
        <w:left w:val="none" w:sz="0" w:space="0" w:color="auto"/>
        <w:bottom w:val="none" w:sz="0" w:space="0" w:color="auto"/>
        <w:right w:val="none" w:sz="0" w:space="0" w:color="auto"/>
      </w:divBdr>
    </w:div>
    <w:div w:id="1813911979">
      <w:bodyDiv w:val="1"/>
      <w:marLeft w:val="0"/>
      <w:marRight w:val="0"/>
      <w:marTop w:val="0"/>
      <w:marBottom w:val="0"/>
      <w:divBdr>
        <w:top w:val="none" w:sz="0" w:space="0" w:color="auto"/>
        <w:left w:val="none" w:sz="0" w:space="0" w:color="auto"/>
        <w:bottom w:val="none" w:sz="0" w:space="0" w:color="auto"/>
        <w:right w:val="none" w:sz="0" w:space="0" w:color="auto"/>
      </w:divBdr>
    </w:div>
    <w:div w:id="1871140527">
      <w:bodyDiv w:val="1"/>
      <w:marLeft w:val="0"/>
      <w:marRight w:val="0"/>
      <w:marTop w:val="0"/>
      <w:marBottom w:val="0"/>
      <w:divBdr>
        <w:top w:val="none" w:sz="0" w:space="0" w:color="auto"/>
        <w:left w:val="none" w:sz="0" w:space="0" w:color="auto"/>
        <w:bottom w:val="none" w:sz="0" w:space="0" w:color="auto"/>
        <w:right w:val="none" w:sz="0" w:space="0" w:color="auto"/>
      </w:divBdr>
    </w:div>
    <w:div w:id="1908879151">
      <w:bodyDiv w:val="1"/>
      <w:marLeft w:val="0"/>
      <w:marRight w:val="0"/>
      <w:marTop w:val="0"/>
      <w:marBottom w:val="0"/>
      <w:divBdr>
        <w:top w:val="none" w:sz="0" w:space="0" w:color="auto"/>
        <w:left w:val="none" w:sz="0" w:space="0" w:color="auto"/>
        <w:bottom w:val="none" w:sz="0" w:space="0" w:color="auto"/>
        <w:right w:val="none" w:sz="0" w:space="0" w:color="auto"/>
      </w:divBdr>
    </w:div>
    <w:div w:id="1939096804">
      <w:bodyDiv w:val="1"/>
      <w:marLeft w:val="0"/>
      <w:marRight w:val="0"/>
      <w:marTop w:val="0"/>
      <w:marBottom w:val="0"/>
      <w:divBdr>
        <w:top w:val="none" w:sz="0" w:space="0" w:color="auto"/>
        <w:left w:val="none" w:sz="0" w:space="0" w:color="auto"/>
        <w:bottom w:val="none" w:sz="0" w:space="0" w:color="auto"/>
        <w:right w:val="none" w:sz="0" w:space="0" w:color="auto"/>
      </w:divBdr>
    </w:div>
    <w:div w:id="1963267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Kim17</b:Tag>
    <b:SourceType>JournalArticle</b:SourceType>
    <b:Guid>{EA2D9359-E833-4643-8A07-E084800A2CC4}</b:Guid>
    <b:Title>WHAT DO WE MEAN BY INNOVATION IN HEALTHCARE?</b:Title>
    <b:JournalName>European Medical Journal</b:JournalName>
    <b:Year>2017</b:Year>
    <b:Pages>89-91</b:Pages>
    <b:Volume>1</b:Volume>
    <b:Issue>1</b:Issue>
    <b:Author>
      <b:Author>
        <b:NameList>
          <b:Person>
            <b:Last>Kimble</b:Last>
            <b:First>Leighann</b:First>
          </b:Person>
          <b:Person>
            <b:Last>Massoud</b:Last>
            <b:First>M. Rashad</b:First>
          </b:Person>
        </b:NameList>
      </b:Author>
    </b:Author>
    <b:RefOrder>1</b:RefOrder>
  </b:Source>
  <b:Source>
    <b:Tag>Fle21</b:Tag>
    <b:SourceType>JournalArticle</b:SourceType>
    <b:Guid>{DF654C38-D99B-42AD-9252-AF24181A4D3D}</b:Guid>
    <b:Title>Innovations in Health Care—A Conceptual Framework</b:Title>
    <b:JournalName>International Journal of Environmental Research and Public Health</b:JournalName>
    <b:Year>2021</b:Year>
    <b:Pages>1-19</b:Pages>
    <b:Volume>18</b:Volume>
    <b:Issue>19</b:Issue>
    <b:Author>
      <b:Author>
        <b:NameList>
          <b:Person>
            <b:Last>Flessa</b:Last>
            <b:First>Steffen</b:First>
          </b:Person>
          <b:Person>
            <b:Last>Huebner</b:Last>
            <b:First>Claudia</b:First>
          </b:Person>
        </b:NameList>
      </b:Author>
    </b:Author>
    <b:RefOrder>29</b:RefOrder>
  </b:Source>
  <b:Source>
    <b:Tag>Sha22</b:Tag>
    <b:SourceType>JournalArticle</b:SourceType>
    <b:Guid>{DD0F556A-FF40-4FE2-9AC9-11FB61E7BC0C}</b:Guid>
    <b:Title>The State of Telehealth Before and After the COVID-19 Pandemic</b:Title>
    <b:JournalName>Primary Care Clinics in Office Practice</b:JournalName>
    <b:Year>2022</b:Year>
    <b:Pages>517-530</b:Pages>
    <b:Volume>49</b:Volume>
    <b:Issue>4</b:Issue>
    <b:Author>
      <b:Author>
        <b:NameList>
          <b:Person>
            <b:Last>Shaver</b:Last>
            <b:First>Julia</b:First>
          </b:Person>
        </b:NameList>
      </b:Author>
    </b:Author>
    <b:RefOrder>2</b:RefOrder>
  </b:Source>
  <b:Source>
    <b:Tag>But21</b:Tag>
    <b:SourceType>JournalArticle</b:SourceType>
    <b:Guid>{1B95D9E1-795B-463F-8CFE-F5FF510186D9}</b:Guid>
    <b:Title>Telehealth Interventions and Outcomes Across Rural Communities in the United States: Narrative Review</b:Title>
    <b:JournalName>Journal of Medical Internet Research</b:JournalName>
    <b:Year>2021</b:Year>
    <b:Pages>1-9</b:Pages>
    <b:Volume>23</b:Volume>
    <b:Issue>8</b:Issue>
    <b:Author>
      <b:Author>
        <b:NameList>
          <b:Person>
            <b:Last>Butzner</b:Last>
            <b:First>Michael</b:First>
          </b:Person>
          <b:Person>
            <b:Last>Cuffee</b:Last>
            <b:First>Yendelela</b:First>
          </b:Person>
        </b:NameList>
      </b:Author>
    </b:Author>
    <b:RefOrder>3</b:RefOrder>
  </b:Source>
  <b:Source>
    <b:Tag>deB25</b:Tag>
    <b:SourceType>JournalArticle</b:SourceType>
    <b:Guid>{FDE7C8F8-6C57-41F0-9891-943613BD3592}</b:Guid>
    <b:Title>Exploring creativity and innovation in organizational contexts: A systematic review and bibliometric analysis of key models and emerging opportunities</b:Title>
    <b:JournalName>Journal of Open Innovation: Technology, Market, and Complexity</b:JournalName>
    <b:Year>2025</b:Year>
    <b:Pages>1-15</b:Pages>
    <b:Volume>11</b:Volume>
    <b:Issue>2</b:Issue>
    <b:Author>
      <b:Author>
        <b:NameList>
          <b:Person>
            <b:Last>de Barros</b:Last>
            <b:First>Rodrigo</b:First>
          </b:Person>
          <b:Person>
            <b:Last>Resende</b:Last>
            <b:First>Luis Mauricio</b:First>
          </b:Person>
          <b:Person>
            <b:Last>Pontes</b:Last>
            <b:First>Joseane</b:First>
          </b:Person>
        </b:NameList>
      </b:Author>
    </b:Author>
    <b:RefOrder>30</b:RefOrder>
  </b:Source>
  <b:Source>
    <b:Tag>Che21</b:Tag>
    <b:SourceType>JournalArticle</b:SourceType>
    <b:Guid>{1CAD30F3-C267-4501-918D-5001F23A1BB1}</b:Guid>
    <b:Title>Creativity in Nursing Care: A Concept Analysis</b:Title>
    <b:JournalName>Florence Nightingale Journal of Nursing</b:JournalName>
    <b:Year>2021</b:Year>
    <b:Pages>389-396</b:Pages>
    <b:Volume>29</b:Volume>
    <b:Issue>3</b:Issue>
    <b:Author>
      <b:Author>
        <b:NameList>
          <b:Person>
            <b:Last>Cheraghi</b:Last>
            <b:First>Mohammad Ali</b:First>
          </b:Person>
          <b:Person>
            <b:Last>Pashaeypoor</b:Last>
            <b:First>Shahzad</b:First>
          </b:Person>
          <b:Person>
            <b:Last>Dehkordi </b:Last>
            <b:First>Leila Mardanian</b:First>
          </b:Person>
          <b:Person>
            <b:Last>Khoshkesht</b:Last>
            <b:First>Sahar</b:First>
          </b:Person>
        </b:NameList>
      </b:Author>
    </b:Author>
    <b:RefOrder>4</b:RefOrder>
  </b:Source>
  <b:Source>
    <b:Tag>Jak17</b:Tag>
    <b:SourceType>JournalArticle</b:SourceType>
    <b:Guid>{B5D50623-DA69-46C3-882F-CD0443DE1243}</b:Guid>
    <b:Title>Sensory enrichment for people living with dementia: increasing the benefits of multisensory environments in dementia care through design</b:Title>
    <b:JournalName>Design for Health</b:JournalName>
    <b:Year>2017</b:Year>
    <b:Pages>115-133</b:Pages>
    <b:Volume>1</b:Volume>
    <b:Issue>1</b:Issue>
    <b:Author>
      <b:Author>
        <b:NameList>
          <b:Person>
            <b:Last>Jakob</b:Last>
            <b:First>Anke</b:First>
          </b:Person>
          <b:Person>
            <b:Last>Collier</b:Last>
            <b:First>Lesley</b:First>
          </b:Person>
        </b:NameList>
      </b:Author>
    </b:Author>
    <b:RefOrder>5</b:RefOrder>
  </b:Source>
  <b:Source>
    <b:Tag>Cli211</b:Tag>
    <b:SourceType>JournalArticle</b:SourceType>
    <b:Guid>{63E313BC-AC85-440C-BFE2-E23DD0790551}</b:Guid>
    <b:Title>Value creation through the evolution of business model themes</b:Title>
    <b:JournalName>Journal of Business Research</b:JournalName>
    <b:Year>2021</b:Year>
    <b:Pages>353-361</b:Pages>
    <b:Volume>122</b:Volume>
    <b:Author>
      <b:Author>
        <b:NameList>
          <b:Person>
            <b:Last>Climent</b:Last>
            <b:First>Ricardo</b:First>
            <b:Middle>Costa</b:Middle>
          </b:Person>
          <b:Person>
            <b:Last>Haftor</b:Last>
            <b:First>Darek</b:First>
            <b:Middle>M.</b:Middle>
          </b:Person>
        </b:NameList>
      </b:Author>
    </b:Author>
    <b:RefOrder>6</b:RefOrder>
  </b:Source>
  <b:Source>
    <b:Tag>Rot24</b:Tag>
    <b:SourceType>JournalArticle</b:SourceType>
    <b:Guid>{6C90BA8B-E0A2-4A71-AFCE-999C45105668}</b:Guid>
    <b:Title>Value creation mechanisms in a social and health care innovation ecosystem – an institutional perspective</b:Title>
    <b:JournalName> Journal of Management and Governance</b:JournalName>
    <b:Year>2024</b:Year>
    <b:Pages>1017-1048</b:Pages>
    <b:Volume>28</b:Volume>
    <b:Author>
      <b:Author>
        <b:NameList>
          <b:Person>
            <b:Last>Roth</b:Last>
            <b:First>Marco</b:First>
          </b:Person>
          <b:Person>
            <b:Last>Vakkuri</b:Last>
            <b:First>Jarmo</b:First>
          </b:Person>
          <b:Person>
            <b:Last>Johanson </b:Last>
            <b:First>Jan-Erik</b:First>
          </b:Person>
        </b:NameList>
      </b:Author>
    </b:Author>
    <b:RefOrder>7</b:RefOrder>
  </b:Source>
  <b:Source>
    <b:Tag>Mag20</b:Tag>
    <b:SourceType>JournalArticle</b:SourceType>
    <b:Guid>{A3D73B33-56D7-4C59-8697-345FF61DC12A}</b:Guid>
    <b:Title>Community-Based Interventions for Stroke Provided by Nurses and Community Health Workers: A Review of the Literature</b:Title>
    <b:JournalName>Journal of Neuroscience Nursing</b:JournalName>
    <b:Year>2020</b:Year>
    <b:Pages>152-159</b:Pages>
    <b:Volume>52</b:Volume>
    <b:Issue>4</b:Issue>
    <b:Author>
      <b:Author>
        <b:NameList>
          <b:Person>
            <b:Last>Magwood</b:Last>
            <b:First>Gayenell S</b:First>
          </b:Person>
          <b:Person>
            <b:Last>Nichols</b:Last>
            <b:First>Michelle</b:First>
          </b:Person>
          <b:Person>
            <b:Last>Jenkins</b:Last>
            <b:First>Carolyn</b:First>
          </b:Person>
          <b:Person>
            <b:Last>Logan</b:Last>
            <b:First>Ayaba</b:First>
          </b:Person>
          <b:Person>
            <b:Last>Qunango</b:Last>
            <b:First>Suparna</b:First>
          </b:Person>
          <b:Person>
            <b:Last>Zigbuo-Wenzler</b:Last>
            <b:First>Enia</b:First>
          </b:Person>
          <b:Person>
            <b:Last>Ellis Jr</b:Last>
            <b:First>Charles</b:First>
          </b:Person>
        </b:NameList>
      </b:Author>
    </b:Author>
    <b:RefOrder>8</b:RefOrder>
  </b:Source>
  <b:Source>
    <b:Tag>Raw25</b:Tag>
    <b:SourceType>JournalArticle</b:SourceType>
    <b:Guid>{5D01969F-57D1-4258-A267-1CEF6E80E40F}</b:Guid>
    <b:Title>Divergent thinking is linked with convergent thinking; implications for models of creativity</b:Title>
    <b:JournalName>Thinking &amp; Reasoning</b:JournalName>
    <b:Year>2025</b:Year>
    <b:Pages>586-608</b:Pages>
    <b:Volume>31</b:Volume>
    <b:Issue>4</b:Issue>
    <b:Author>
      <b:Author>
        <b:NameList>
          <b:Person>
            <b:Last>Rawlings</b:Last>
            <b:First>Bruce S.</b:First>
          </b:Person>
          <b:Person>
            <b:Last>Chetwynd-Talbot</b:Last>
            <b:First>Daisy</b:First>
          </b:Person>
          <b:Person>
            <b:Last>Husband</b:Last>
            <b:First>Erin</b:First>
          </b:Person>
          <b:Person>
            <b:Last>Nuttall</b:Last>
            <b:First>Aisling</b:First>
          </b:Person>
          <b:Person>
            <b:Last>Quinn</b:Last>
            <b:First>Elissa</b:First>
          </b:Person>
          <b:Person>
            <b:Last>Taggart</b:Last>
            <b:First>Rosie</b:First>
          </b:Person>
          <b:Person>
            <b:Last>Roome</b:Last>
            <b:First>Hannah E.</b:First>
          </b:Person>
        </b:NameList>
      </b:Author>
    </b:Author>
    <b:RefOrder>11</b:RefOrder>
  </b:Source>
  <b:Source>
    <b:Tag>Dah25</b:Tag>
    <b:SourceType>JournalArticle</b:SourceType>
    <b:Guid>{278F65F8-1BAB-450B-88EA-FBA160627F61}</b:Guid>
    <b:Title>Transforming healthcare management: the role of organizational change, service quality, and information technology in improving managerial performance</b:Title>
    <b:JournalName>Cogent Business &amp; Management</b:JournalName>
    <b:Year>2025</b:Year>
    <b:Pages>1-24</b:Pages>
    <b:Volume>12</b:Volume>
    <b:Issue>1</b:Issue>
    <b:Author>
      <b:Author>
        <b:NameList>
          <b:Person>
            <b:Last>Dahlia</b:Last>
            <b:First>Dahlia</b:First>
          </b:Person>
          <b:Person>
            <b:Last>Nurkholis</b:Last>
            <b:First>Nurkholis</b:First>
          </b:Person>
          <b:Person>
            <b:Last>Andayani</b:Last>
            <b:First>Wuryan</b:First>
          </b:Person>
          <b:Person>
            <b:Last>Prihatiningtias</b:Last>
            <b:First>Yeney Widya</b:First>
          </b:Person>
        </b:NameList>
      </b:Author>
    </b:Author>
    <b:RefOrder>9</b:RefOrder>
  </b:Source>
  <b:Source>
    <b:Tag>Ban23</b:Tag>
    <b:SourceType>JournalArticle</b:SourceType>
    <b:Guid>{799689DC-93C8-4132-B78C-520C5E963488}</b:Guid>
    <b:Title>Evolution – removing paper and digitising the hospital</b:Title>
    <b:JournalName>Health and Technology</b:JournalName>
    <b:Year>2023</b:Year>
    <b:Pages>263-271</b:Pages>
    <b:Volume>13</b:Volume>
    <b:Issue>2</b:Issue>
    <b:Author>
      <b:Author>
        <b:NameList>
          <b:Person>
            <b:Last>Baniulyte</b:Last>
            <b:First>G.</b:First>
          </b:Person>
          <b:Person>
            <b:Last>Rogerson</b:Last>
            <b:First>N.</b:First>
          </b:Person>
          <b:Person>
            <b:Last>Bowden</b:Last>
            <b:First>J.</b:First>
          </b:Person>
        </b:NameList>
      </b:Author>
    </b:Author>
    <b:RefOrder>10</b:RefOrder>
  </b:Source>
  <b:Source>
    <b:Tag>Yah25</b:Tag>
    <b:SourceType>JournalArticle</b:SourceType>
    <b:Guid>{6E07E8BD-F586-42A5-A12E-8CF13CF8D7AF}</b:Guid>
    <b:Title>Hospital at home (virtual wards): developing a logic model and dark logic model</b:Title>
    <b:JournalName>BMC Health Services Research</b:JournalName>
    <b:Year>2025</b:Year>
    <b:Pages>1-11</b:Pages>
    <b:Volume>25</b:Volume>
    <b:Issue>714</b:Issue>
    <b:Author>
      <b:Author>
        <b:NameList>
          <b:Person>
            <b:Last>Yahya</b:Last>
            <b:First>Faiza</b:First>
          </b:Person>
          <b:Person>
            <b:Last>Cooper</b:Last>
            <b:First>Matthew</b:First>
          </b:Person>
          <b:Person>
            <b:Last>Nazar</b:Last>
            <b:First>Hamde</b:First>
          </b:Person>
        </b:NameList>
      </b:Author>
    </b:Author>
    <b:RefOrder>12</b:RefOrder>
  </b:Source>
  <b:Source>
    <b:Tag>McG24</b:Tag>
    <b:SourceType>JournalArticle</b:SourceType>
    <b:Guid>{28A79F7F-AA00-492D-ABA8-1B06BE883660}</b:Guid>
    <b:Title>The Views and Experiences of Integrated Care System Commissioners About the Adoption and Implementation of Virtual Wards in England: Qualitative Exploration Study</b:Title>
    <b:JournalName>Journal of Medical Internet Research</b:JournalName>
    <b:Year>2024</b:Year>
    <b:Pages>1-16</b:Pages>
    <b:Volume>26</b:Volume>
    <b:Issue>e56494</b:Issue>
    <b:Author>
      <b:Author>
        <b:NameList>
          <b:Person>
            <b:Last>McGowan</b:Last>
            <b:Middle>J.</b:Middle>
            <b:First>Laura</b:First>
          </b:Person>
          <b:Person>
            <b:Last>Graham</b:Last>
            <b:First>FIona</b:First>
          </b:Person>
          <b:Person>
            <b:Last>Lecouturier</b:Last>
            <b:First>Jan</b:First>
          </b:Person>
          <b:Person>
            <b:Last>Goffe</b:Last>
            <b:First>Louis</b:First>
          </b:Person>
          <b:Person>
            <b:Last>Echevarria</b:Last>
            <b:First>Carlos</b:First>
          </b:Person>
          <b:Person>
            <b:Last>Kelly</b:Last>
            <b:Middle>P.</b:Middle>
            <b:First>Michael</b:First>
          </b:Person>
          <b:Person>
            <b:Last>Sniehotta</b:Last>
            <b:First>Falko F</b:First>
          </b:Person>
        </b:NameList>
      </b:Author>
    </b:Author>
    <b:RefOrder>13</b:RefOrder>
  </b:Source>
  <b:Source>
    <b:Tag>Daw25</b:Tag>
    <b:SourceType>JournalArticle</b:SourceType>
    <b:Guid>{E4C2E8C1-508A-4CF1-9911-9EBD01DB0436}</b:Guid>
    <b:Title>A novel acute medicine virtual ward managing multiple acute medical pathologies: a pilot study in the district general hospital setting</b:Title>
    <b:JournalName>Future Healthcare Journal</b:JournalName>
    <b:Year>2025</b:Year>
    <b:Pages>1-4</b:Pages>
    <b:Volume>12</b:Volume>
    <b:Issue>2</b:Issue>
    <b:Author>
      <b:Author>
        <b:NameList>
          <b:Person>
            <b:Last>Dawson</b:Last>
            <b:First>Caroline</b:First>
          </b:Person>
          <b:Person>
            <b:Last>Sethi</b:Last>
            <b:First>Rahul</b:First>
          </b:Person>
          <b:Person>
            <b:Last>Ho</b:Last>
            <b:First>Rosemary</b:First>
          </b:Person>
          <b:Person>
            <b:Last>Ahmed</b:Last>
            <b:First>Usman</b:First>
          </b:Person>
          <b:Person>
            <b:Last>Adnan</b:Last>
            <b:First>Tahira</b:First>
          </b:Person>
        </b:NameList>
      </b:Author>
    </b:Author>
    <b:RefOrder>14</b:RefOrder>
  </b:Source>
  <b:Source>
    <b:Tag>Wel24</b:Tag>
    <b:SourceType>JournalArticle</b:SourceType>
    <b:Guid>{AE48AB02-78BD-4C94-9413-C404ACCEFF2A}</b:Guid>
    <b:Title>Virtual wards: benefits, challenges and required skills</b:Title>
    <b:JournalName>Nursing Times</b:JournalName>
    <b:Year>2024</b:Year>
    <b:Pages>18-21</b:Pages>
    <b:Volume>120</b:Volume>
    <b:Issue>10</b:Issue>
    <b:Author>
      <b:Author>
        <b:NameList>
          <b:Person>
            <b:Last>Wells</b:Last>
            <b:First>Emily</b:First>
          </b:Person>
          <b:Person>
            <b:Last>Gatfield</b:Last>
            <b:First>Theresa</b:First>
          </b:Person>
        </b:NameList>
      </b:Author>
    </b:Author>
    <b:RefOrder>15</b:RefOrder>
  </b:Source>
  <b:Source>
    <b:Tag>deL19</b:Tag>
    <b:SourceType>JournalArticle</b:SourceType>
    <b:Guid>{31048D7D-B65F-4E09-ADD7-64909EA60B32}</b:Guid>
    <b:Title>Influence of Burnout on Patient Safety: Systematic Review and Meta-Analysis</b:Title>
    <b:JournalName>Medicina</b:JournalName>
    <b:Year>2019</b:Year>
    <b:Pages>1-13</b:Pages>
    <b:Volume>55</b:Volume>
    <b:Issue>9</b:Issue>
    <b:Author>
      <b:Author>
        <b:NameList>
          <b:Person>
            <b:Last>de Lima Garcia</b:Last>
            <b:First>Cíntia</b:First>
          </b:Person>
          <b:Person>
            <b:Last>de Abreu</b:Last>
            <b:First>Luiz Carlos</b:First>
          </b:Person>
          <b:Person>
            <b:Last>Ramos</b:Last>
            <b:First>José Lucas Souza</b:First>
          </b:Person>
          <b:Person>
            <b:Last>de Castro</b:Last>
            <b:First>Caroline Feitosa Dibai</b:First>
          </b:Person>
          <b:Person>
            <b:Last>Smiderle</b:Last>
            <b:First>Fabiana Rosa Neves</b:First>
          </b:Person>
          <b:Person>
            <b:Last>dos Santos</b:Last>
            <b:First>Jaçamar Aldenora</b:First>
          </b:Person>
          <b:Person>
            <b:Last>Bezerra</b:Last>
            <b:First> Italla Maria Pinheiro</b:First>
          </b:Person>
        </b:NameList>
      </b:Author>
    </b:Author>
    <b:RefOrder>31</b:RefOrder>
  </b:Source>
  <b:Source>
    <b:Tag>Bat24</b:Tag>
    <b:SourceType>JournalArticle</b:SourceType>
    <b:Guid>{2E87D0C2-1835-4A50-B94F-92DD72770084}</b:Guid>
    <b:Title>Prevalence of burnout among healthcare professionals: a survey at fort portal regional referral hospital</b:Title>
    <b:JournalName>npj Mental Health Research</b:JournalName>
    <b:Year>2024</b:Year>
    <b:Pages>1-10</b:Pages>
    <b:Volume>3</b:Volume>
    <b:Issue>16</b:Issue>
    <b:Author>
      <b:Author>
        <b:NameList>
          <b:Person>
            <b:Last>Batanda</b:Last>
            <b:First>Ian</b:First>
          </b:Person>
        </b:NameList>
      </b:Author>
    </b:Author>
    <b:RefOrder>32</b:RefOrder>
  </b:Source>
  <b:Source>
    <b:Tag>DeS24</b:Tag>
    <b:SourceType>JournalArticle</b:SourceType>
    <b:Guid>{10366D2C-1EF3-4838-BC28-1BE8C494E6CC}</b:Guid>
    <b:Title>Economic Perspective of the Use of Wearables in Health Care: A Systematic Review</b:Title>
    <b:JournalName>Mayo Clinic Proceedings: Digital Health</b:JournalName>
    <b:Year>2024</b:Year>
    <b:Pages>299-317</b:Pages>
    <b:Volume>2</b:Volume>
    <b:Issue>3</b:Issue>
    <b:Author>
      <b:Author>
        <b:NameList>
          <b:Person>
            <b:Last>De Sario Velasquez</b:Last>
            <b:First>Gioacchino D.</b:First>
          </b:Person>
          <b:Person>
            <b:Last>Borna</b:Last>
            <b:First>Sahar</b:First>
          </b:Person>
          <b:Person>
            <b:Last>Maniaci</b:Last>
            <b:First>Michael J.</b:First>
          </b:Person>
          <b:Person>
            <b:Last>Coffey</b:Last>
            <b:First>Jordan D.</b:First>
          </b:Person>
          <b:Person>
            <b:Last>Haider</b:Last>
            <b:First>Clifton R.</b:First>
          </b:Person>
          <b:Person>
            <b:Last>Demaerschalk</b:Last>
            <b:First>Bart M.</b:First>
          </b:Person>
          <b:Person>
            <b:Last>Jorge Forte</b:Last>
            <b:First>Antonio</b:First>
          </b:Person>
        </b:NameList>
      </b:Author>
    </b:Author>
    <b:RefOrder>16</b:RefOrder>
  </b:Source>
  <b:Source>
    <b:Tag>Sun25</b:Tag>
    <b:SourceType>JournalArticle</b:SourceType>
    <b:Guid>{1D37AE54-4939-4D6E-89BC-96C4012B1C0D}</b:Guid>
    <b:Title>Wearable Technologies for Health Promotion and Disease Prevention in Older Adults: Systematic Scoping Review and Evidence Map</b:Title>
    <b:JournalName>Journal of Medical Internet Research</b:JournalName>
    <b:Year>2025</b:Year>
    <b:Pages>1-22</b:Pages>
    <b:Volume>27</b:Volume>
    <b:Issue>e69077</b:Issue>
    <b:Author>
      <b:Author>
        <b:NameList>
          <b:Person>
            <b:Last>Sun</b:Last>
            <b:First>Yue</b:First>
          </b:Person>
          <b:Person>
            <b:Last>Chen</b:Last>
            <b:First>Ji</b:First>
          </b:Person>
          <b:Person>
            <b:Last>Ji</b:Last>
            <b:First>Mengmeng</b:First>
          </b:Person>
          <b:Person>
            <b:Last>Li</b:Last>
            <b:First>Xiaomei</b:First>
          </b:Person>
        </b:NameList>
      </b:Author>
    </b:Author>
    <b:RefOrder>17</b:RefOrder>
  </b:Source>
  <b:Source>
    <b:Tag>Kan22</b:Tag>
    <b:SourceType>JournalArticle</b:SourceType>
    <b:Guid>{E0391336-F9FF-4529-9943-16BEC6C15EDD}</b:Guid>
    <b:Title>Wearing the Future—Wearables to Empower Users to Take Greater Responsibility for Their Health and Care: Scoping Review</b:Title>
    <b:JournalName>JMIR mHealth and uHealth</b:JournalName>
    <b:Year>2022</b:Year>
    <b:Pages>1-16</b:Pages>
    <b:Volume>10</b:Volume>
    <b:Issue>7</b:Issue>
    <b:Author>
      <b:Author>
        <b:NameList>
          <b:Person>
            <b:Last>Kang</b:Last>
            <b:First>Harjeevan Singh</b:First>
          </b:Person>
          <b:Person>
            <b:Last>Exworthy</b:Last>
            <b:First>Mark</b:First>
          </b:Person>
        </b:NameList>
      </b:Author>
    </b:Author>
    <b:RefOrder>18</b:RefOrder>
  </b:Source>
  <b:Source>
    <b:Tag>Bov19</b:Tag>
    <b:SourceType>JournalArticle</b:SourceType>
    <b:Guid>{35659FCB-7962-467D-9DE4-C38E7FA95905}</b:Guid>
    <b:Title>Increasing Patient Engagement Through the Use of Wearable Technology</b:Title>
    <b:JournalName>The Journal for Nurse Practitioners</b:JournalName>
    <b:Year>2019</b:Year>
    <b:Pages>535-539</b:Pages>
    <b:Volume>15</b:Volume>
    <b:Issue>8</b:Issue>
    <b:Author>
      <b:Author>
        <b:NameList>
          <b:Person>
            <b:Last>Bove</b:Last>
            <b:First>Lisa Anne</b:First>
          </b:Person>
        </b:NameList>
      </b:Author>
    </b:Author>
    <b:RefOrder>19</b:RefOrder>
  </b:Source>
  <b:Source>
    <b:Tag>Upa22</b:Tag>
    <b:SourceType>JournalArticle</b:SourceType>
    <b:Guid>{2E61D372-710F-4052-BBCD-A8E4195100D1}</b:Guid>
    <b:Title>A Qualitative Analysis of the Impact of Electronic Health Records (EHR) on Healthcare Quality and Safety: Clinicians’ Lived Experiences</b:Title>
    <b:JournalName>Health Services Insights</b:JournalName>
    <b:Year>2022</b:Year>
    <b:Pages>1-7</b:Pages>
    <b:Volume>15</b:Volume>
    <b:Author>
      <b:Author>
        <b:NameList>
          <b:Person>
            <b:Last>Upadhyay</b:Last>
            <b:First>Soumya</b:First>
          </b:Person>
          <b:Person>
            <b:Last>Hu</b:Last>
            <b:First>Han-fen</b:First>
          </b:Person>
        </b:NameList>
      </b:Author>
    </b:Author>
    <b:RefOrder>21</b:RefOrder>
  </b:Source>
  <b:Source>
    <b:Tag>Ele25</b:Tag>
    <b:SourceType>JournalArticle</b:SourceType>
    <b:Guid>{ADE600D6-0597-47BE-9A42-053D459C6CFA}</b:Guid>
    <b:Title>Implementing Electronic Health Records in Philippine Primary Care Settings: Mixed-Methods Pilot Study</b:Title>
    <b:JournalName>JMIR Medical Informatics</b:JournalName>
    <b:Year>2025</b:Year>
    <b:Pages>1-9</b:Pages>
    <b:Volume>13</b:Volume>
    <b:Issue>e63036</b:Issue>
    <b:Author>
      <b:Author>
        <b:NameList>
          <b:Person>
            <b:Last>Elepaño</b:Last>
            <b:First>Anton</b:First>
          </b:Person>
          <b:Person>
            <b:Last>Tan-Lim</b:Last>
            <b:First>Carol Stephanie</b:First>
          </b:Person>
          <b:Person>
            <b:Last>Javelosa</b:Last>
            <b:First>Mark Anthony</b:First>
          </b:Person>
          <b:Person>
            <b:Last>De Mesa</b:Last>
            <b:First>Regine Ynez</b:First>
          </b:Person>
          <b:Person>
            <b:Last>Rey</b:Last>
            <b:First>Mia</b:First>
          </b:Person>
          <b:Person>
            <b:Last>Sanchez</b:Last>
            <b:First>Josephine </b:First>
          </b:Person>
          <b:Person>
            <b:Last>Dans</b:Last>
            <b:First>Leonila</b:First>
          </b:Person>
          <b:Person>
            <b:Last>Dans</b:Last>
            <b:First>Antonio Miguel</b:First>
          </b:Person>
        </b:NameList>
      </b:Author>
    </b:Author>
    <b:RefOrder>20</b:RefOrder>
  </b:Source>
  <b:Source>
    <b:Tag>Alh25</b:Tag>
    <b:SourceType>JournalArticle</b:SourceType>
    <b:Guid>{936594B3-81C5-43DF-BB74-CA01339318E0}</b:Guid>
    <b:Title>Does Electronic Health Record Implementation Enhance Hospital Efficiency and Patient Outcomes? A Comprehensive Systematic Review</b:Title>
    <b:JournalName>SAGE Open</b:JournalName>
    <b:Year>2025</b:Year>
    <b:Pages>1-20</b:Pages>
    <b:Volume>15</b:Volume>
    <b:Issue>3</b:Issue>
    <b:Author>
      <b:Author>
        <b:NameList>
          <b:Person>
            <b:Last>Alharbi</b:Last>
            <b:First>Mohammad Faleh</b:First>
          </b:Person>
        </b:NameList>
      </b:Author>
    </b:Author>
    <b:RefOrder>22</b:RefOrder>
  </b:Source>
  <b:Source>
    <b:Tag>McK19</b:Tag>
    <b:SourceType>JournalArticle</b:SourceType>
    <b:Guid>{307705A7-14FB-44B9-94BC-A18C9E7E901D}</b:Guid>
    <b:Title>Using Health and Well-Being Apps for Behavior Change: A Systematic Search and Rating of Apps</b:Title>
    <b:JournalName>JMIR mHealth and uHealth</b:JournalName>
    <b:Year>2019</b:Year>
    <b:Pages>1-11</b:Pages>
    <b:Volume>7</b:Volume>
    <b:Issue>7</b:Issue>
    <b:Author>
      <b:Author>
        <b:NameList>
          <b:Person>
            <b:Last>McKay</b:Last>
            <b:Middle>H.</b:Middle>
            <b:First>Fiona</b:First>
          </b:Person>
          <b:Person>
            <b:Last>Wright</b:Last>
            <b:First>Annemarie</b:First>
          </b:Person>
          <b:Person>
            <b:Last>Shill</b:Last>
            <b:First>Jane</b:First>
          </b:Person>
          <b:Person>
            <b:Last>Stephens</b:Last>
            <b:First>Hugh</b:First>
          </b:Person>
          <b:Person>
            <b:Last>Uccellini</b:Last>
            <b:First>Mary</b:First>
          </b:Person>
        </b:NameList>
      </b:Author>
    </b:Author>
    <b:RefOrder>23</b:RefOrder>
  </b:Source>
  <b:Source>
    <b:Tag>Cha211</b:Tag>
    <b:SourceType>JournalArticle</b:SourceType>
    <b:Guid>{97C1201B-FC73-4BA5-A102-AE410210A0AF}</b:Guid>
    <b:Title>Digital Interventions on Healthy Lifestyle Management: Systematic Review</b:Title>
    <b:JournalName>Journal of Medical Internet Research</b:JournalName>
    <b:Year>2021</b:Year>
    <b:Pages>1-20</b:Pages>
    <b:Volume>23</b:Volume>
    <b:Issue>11</b:Issue>
    <b:Author>
      <b:Author>
        <b:NameList>
          <b:Person>
            <b:Last>Chatterjee</b:Last>
            <b:First>Ayan</b:First>
          </b:Person>
          <b:Person>
            <b:Last>Prinz</b:Last>
            <b:First>Andreas</b:First>
          </b:Person>
          <b:Person>
            <b:Last>Gerdes</b:Last>
            <b:First>Martin</b:First>
          </b:Person>
          <b:Person>
            <b:Last>Martinez</b:Last>
            <b:First>Santiago</b:First>
          </b:Person>
        </b:NameList>
      </b:Author>
    </b:Author>
    <b:RefOrder>24</b:RefOrder>
  </b:Source>
  <b:Source>
    <b:Tag>Sha252</b:Tag>
    <b:SourceType>JournalArticle</b:SourceType>
    <b:Guid>{6E45DFF9-793E-4D06-9874-CAC55D00C7BE}</b:Guid>
    <b:Title>The effect of digital health intervention in promoting healthy behavior: A systematic scoping review on strategies to prevent non-communicable diseases</b:Title>
    <b:JournalName>Dialogues in Health</b:JournalName>
    <b:Year>2025</b:Year>
    <b:Pages>1-12</b:Pages>
    <b:Volume>7</b:Volume>
    <b:Issue>100258</b:Issue>
    <b:Author>
      <b:Author>
        <b:NameList>
          <b:Person>
            <b:Last>Shaluhiyah</b:Last>
            <b:First>Zahroh</b:First>
          </b:Person>
          <b:Person>
            <b:Last> Qatrannada</b:Last>
            <b:First>Shabrina Arifia</b:First>
          </b:Person>
          <b:Person>
            <b:Last>Kusumawati</b:Last>
            <b:First>Aditya</b:First>
          </b:Person>
          <b:Person>
            <b:Last>Miah</b:Last>
            <b:First>Mohammad Shahgahan</b:First>
          </b:Person>
        </b:NameList>
      </b:Author>
    </b:Author>
    <b:RefOrder>25</b:RefOrder>
  </b:Source>
  <b:Source>
    <b:Tag>NHS11</b:Tag>
    <b:SourceType>Report</b:SourceType>
    <b:Guid>{DD20107E-AE85-478A-8048-2B4F68BFF4F1}</b:Guid>
    <b:Title>Leadership Framework</b:Title>
    <b:Year>2011</b:Year>
    <b:Author>
      <b:Author>
        <b:Corporate>NHS Leadership Academy</b:Corporate>
      </b:Author>
    </b:Author>
    <b:Publisher>NHS Institute for Innovation and Improvement</b:Publisher>
    <b:City>Coventry</b:City>
    <b:RefOrder>26</b:RefOrder>
  </b:Source>
  <b:Source>
    <b:Tag>Yst23</b:Tag>
    <b:SourceType>JournalArticle</b:SourceType>
    <b:Guid>{0196D388-D896-4928-A08A-59C2125BEF9B}</b:Guid>
    <b:Title>The Impact of Transformational Leadership in the Nursing Work Environment and Patients’ Outcomes: A Systematic Review</b:Title>
    <b:Year>2023</b:Year>
    <b:JournalName>Nursing Reports</b:JournalName>
    <b:Pages>1271-1290</b:Pages>
    <b:Volume>13</b:Volume>
    <b:Issue>3</b:Issue>
    <b:Author>
      <b:Author>
        <b:NameList>
          <b:Person>
            <b:Last>Ystaas</b:Last>
            <b:First>Line Miray Kazin</b:First>
          </b:Person>
          <b:Person>
            <b:Last>Nikitara</b:Last>
            <b:First>Monica</b:First>
          </b:Person>
          <b:Person>
            <b:Last>Ghobrial</b:Last>
            <b:First>Savoula</b:First>
          </b:Person>
          <b:Person>
            <b:Last>Latzourakis</b:Last>
            <b:First>Evangelos</b:First>
          </b:Person>
          <b:Person>
            <b:Last>Polychronis</b:Last>
            <b:First>Giannis</b:First>
          </b:Person>
          <b:Person>
            <b:Last>Constantinou</b:Last>
            <b:First>Costas S</b:First>
          </b:Person>
        </b:NameList>
      </b:Author>
    </b:Author>
    <b:RefOrder>27</b:RefOrder>
  </b:Source>
  <b:Source>
    <b:Tag>Mar14</b:Tag>
    <b:SourceType>JournalArticle</b:SourceType>
    <b:Guid>{F2D57520-B49D-4333-8C22-DFCC24F91DBD}</b:Guid>
    <b:Title>The importance of inspiring a shared vision</b:Title>
    <b:JournalName>International Practice Development Journal</b:JournalName>
    <b:Year>2014</b:Year>
    <b:Pages>1-15</b:Pages>
    <b:Volume>4</b:Volume>
    <b:Issue>2</b:Issue>
    <b:Author>
      <b:Author>
        <b:NameList>
          <b:Person>
            <b:Last>Martin</b:Last>
            <b:First>Jacqueline</b:First>
          </b:Person>
          <b:Person>
            <b:Last>McCormack</b:Last>
            <b:First>Brendan</b:First>
          </b:Person>
          <b:Person>
            <b:Last>Fitzsimons</b:Last>
            <b:First>Donna</b:First>
          </b:Person>
          <b:Person>
            <b:Last>Spirig</b:Last>
            <b:First>Rebecca</b:First>
          </b:Person>
        </b:NameList>
      </b:Author>
    </b:Author>
    <b:RefOrder>28</b:RefOrder>
  </b:Source>
</b:Sources>
</file>

<file path=customXml/itemProps1.xml><?xml version="1.0" encoding="utf-8"?>
<ds:datastoreItem xmlns:ds="http://schemas.openxmlformats.org/officeDocument/2006/customXml" ds:itemID="{5F9B1615-D456-49B6-8903-3A586E3B6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3198</Words>
  <Characters>18329</Characters>
  <Application>Microsoft Office Word</Application>
  <DocSecurity>0</DocSecurity>
  <Lines>345</Lines>
  <Paragraphs>80</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21447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creator>OSMAN  KAMARA</dc:creator>
  <cp:lastModifiedBy>Osman Kamara (2324742)</cp:lastModifiedBy>
  <cp:revision>2</cp:revision>
  <dcterms:created xsi:type="dcterms:W3CDTF">2025-12-11T23:27:00Z</dcterms:created>
  <dcterms:modified xsi:type="dcterms:W3CDTF">2025-12-11T23:27:00Z</dcterms:modified>
</cp:coreProperties>
</file>