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C6E4D8" w14:textId="09004B6D" w:rsidR="0019537F" w:rsidRPr="0036583B" w:rsidRDefault="0019537F" w:rsidP="0019537F">
      <w:pPr>
        <w:pStyle w:val="NormalWeb"/>
        <w:spacing w:before="0" w:beforeAutospacing="0" w:after="0" w:afterAutospacing="0"/>
        <w:jc w:val="center"/>
      </w:pPr>
      <w:r w:rsidRPr="0036583B">
        <w:rPr>
          <w:color w:val="000000"/>
        </w:rPr>
        <w:t xml:space="preserve">ASSIGNMENT </w:t>
      </w:r>
      <w:r w:rsidR="004C2062">
        <w:rPr>
          <w:color w:val="000000"/>
        </w:rPr>
        <w:t>1</w:t>
      </w:r>
    </w:p>
    <w:p w14:paraId="5E462508" w14:textId="01639464" w:rsidR="0019537F" w:rsidRPr="0036583B" w:rsidRDefault="0019537F" w:rsidP="0019537F">
      <w:pPr>
        <w:pStyle w:val="NormalWeb"/>
        <w:spacing w:before="0" w:beforeAutospacing="0" w:after="0" w:afterAutospacing="0"/>
        <w:jc w:val="center"/>
      </w:pPr>
      <w:r w:rsidRPr="0036583B">
        <w:rPr>
          <w:color w:val="000000"/>
        </w:rPr>
        <w:t>Module code: LCBB</w:t>
      </w:r>
      <w:r>
        <w:rPr>
          <w:color w:val="000000"/>
        </w:rPr>
        <w:t>600</w:t>
      </w:r>
      <w:r w:rsidR="004C2062">
        <w:rPr>
          <w:color w:val="000000"/>
        </w:rPr>
        <w:t>2</w:t>
      </w:r>
    </w:p>
    <w:p w14:paraId="440799C5" w14:textId="77777777" w:rsidR="0019537F" w:rsidRPr="0036583B" w:rsidRDefault="0019537F" w:rsidP="0019537F">
      <w:pPr>
        <w:pStyle w:val="NormalWeb"/>
        <w:spacing w:before="0" w:beforeAutospacing="0" w:after="0" w:afterAutospacing="0"/>
        <w:jc w:val="center"/>
      </w:pPr>
      <w:r w:rsidRPr="0036583B">
        <w:rPr>
          <w:color w:val="000000"/>
        </w:rPr>
        <w:t>Emil Slavov (2122223)</w:t>
      </w:r>
    </w:p>
    <w:p w14:paraId="72A2E9B0" w14:textId="01FA471D" w:rsidR="0019537F" w:rsidRDefault="0019537F" w:rsidP="0019537F">
      <w:pPr>
        <w:pStyle w:val="NormalWeb"/>
        <w:spacing w:before="0" w:beforeAutospacing="0" w:after="0" w:afterAutospacing="0"/>
        <w:jc w:val="center"/>
        <w:rPr>
          <w:color w:val="000000"/>
        </w:rPr>
      </w:pPr>
      <w:r w:rsidRPr="0036583B">
        <w:rPr>
          <w:color w:val="000000"/>
        </w:rPr>
        <w:t xml:space="preserve">Lecturer's name: </w:t>
      </w:r>
      <w:r w:rsidR="004C2062">
        <w:rPr>
          <w:color w:val="000000"/>
        </w:rPr>
        <w:t>Zainab Atta</w:t>
      </w:r>
    </w:p>
    <w:p w14:paraId="53E5C566" w14:textId="77777777" w:rsidR="004C2062" w:rsidRDefault="004C2062" w:rsidP="0019537F">
      <w:pPr>
        <w:pStyle w:val="NormalWeb"/>
        <w:spacing w:before="0" w:beforeAutospacing="0" w:after="0" w:afterAutospacing="0"/>
        <w:jc w:val="center"/>
        <w:rPr>
          <w:color w:val="000000"/>
        </w:rPr>
      </w:pPr>
    </w:p>
    <w:p w14:paraId="208B2701" w14:textId="77777777" w:rsidR="004C2062" w:rsidRDefault="004C2062" w:rsidP="0019537F">
      <w:pPr>
        <w:pStyle w:val="NormalWeb"/>
        <w:spacing w:before="0" w:beforeAutospacing="0" w:after="0" w:afterAutospacing="0"/>
        <w:jc w:val="center"/>
        <w:rPr>
          <w:color w:val="000000"/>
        </w:rPr>
      </w:pPr>
    </w:p>
    <w:p w14:paraId="3AA44C0F" w14:textId="77777777" w:rsidR="004C2062" w:rsidRDefault="004C2062" w:rsidP="0019537F">
      <w:pPr>
        <w:pStyle w:val="NormalWeb"/>
        <w:spacing w:before="0" w:beforeAutospacing="0" w:after="0" w:afterAutospacing="0"/>
        <w:jc w:val="center"/>
        <w:rPr>
          <w:color w:val="000000"/>
        </w:rPr>
      </w:pPr>
    </w:p>
    <w:p w14:paraId="39F53794" w14:textId="77777777" w:rsidR="004C2062" w:rsidRDefault="004C2062" w:rsidP="0019537F">
      <w:pPr>
        <w:pStyle w:val="NormalWeb"/>
        <w:spacing w:before="0" w:beforeAutospacing="0" w:after="0" w:afterAutospacing="0"/>
        <w:jc w:val="center"/>
        <w:rPr>
          <w:color w:val="000000"/>
        </w:rPr>
      </w:pPr>
    </w:p>
    <w:p w14:paraId="3E5E223B" w14:textId="77777777" w:rsidR="004C2062" w:rsidRDefault="004C2062" w:rsidP="0019537F">
      <w:pPr>
        <w:pStyle w:val="NormalWeb"/>
        <w:spacing w:before="0" w:beforeAutospacing="0" w:after="0" w:afterAutospacing="0"/>
        <w:jc w:val="center"/>
        <w:rPr>
          <w:color w:val="000000"/>
        </w:rPr>
      </w:pPr>
    </w:p>
    <w:p w14:paraId="7E867681" w14:textId="77777777" w:rsidR="004C2062" w:rsidRPr="0036583B" w:rsidRDefault="004C2062" w:rsidP="0019537F">
      <w:pPr>
        <w:pStyle w:val="NormalWeb"/>
        <w:spacing w:before="0" w:beforeAutospacing="0" w:after="0" w:afterAutospacing="0"/>
        <w:jc w:val="center"/>
      </w:pPr>
    </w:p>
    <w:p w14:paraId="00453CB6" w14:textId="2FE86A4C" w:rsidR="00325B17" w:rsidRDefault="004C2062" w:rsidP="004C2062">
      <w:pPr>
        <w:jc w:val="center"/>
        <w:rPr>
          <w:rFonts w:ascii="Arial" w:hAnsi="Arial" w:cs="Arial"/>
          <w:b/>
          <w:bCs/>
        </w:rPr>
      </w:pPr>
      <w:r w:rsidRPr="004C2062">
        <w:rPr>
          <w:rFonts w:ascii="Arial" w:hAnsi="Arial" w:cs="Arial"/>
          <w:b/>
          <w:bCs/>
        </w:rPr>
        <w:t>Managing Foreign Exchange Risks in Multinational Corporations</w:t>
      </w:r>
    </w:p>
    <w:p w14:paraId="7CD26E8F" w14:textId="77777777" w:rsidR="004C2062" w:rsidRPr="004C2062" w:rsidRDefault="004C2062" w:rsidP="004C2062">
      <w:pPr>
        <w:jc w:val="center"/>
        <w:rPr>
          <w:rFonts w:ascii="Arial" w:hAnsi="Arial" w:cs="Arial"/>
          <w:b/>
          <w:bCs/>
        </w:rPr>
      </w:pPr>
    </w:p>
    <w:p w14:paraId="7B36CB95" w14:textId="5F533142" w:rsidR="00325B17" w:rsidRPr="0004207F" w:rsidRDefault="0004207F" w:rsidP="00325B17">
      <w:pPr>
        <w:rPr>
          <w:rFonts w:ascii="Arial" w:hAnsi="Arial" w:cs="Arial"/>
        </w:rPr>
      </w:pPr>
      <w:r w:rsidRPr="0004207F">
        <w:rPr>
          <w:rFonts w:ascii="Arial" w:hAnsi="Arial" w:cs="Arial"/>
        </w:rPr>
        <w:t xml:space="preserve">  </w:t>
      </w:r>
      <w:r w:rsidR="00325B17" w:rsidRPr="0004207F">
        <w:rPr>
          <w:rFonts w:ascii="Arial" w:hAnsi="Arial" w:cs="Arial"/>
        </w:rPr>
        <w:t>International Financial Management (IFM) stands as a cornerstone in the operational framework of multinational corporations (MNCs), navigating the complexities of global markets and currencies. At its core, IFM encompasses the strategic management of financial resources across borders, addressing challenges unique to cross-border transactions, investments, and operations.</w:t>
      </w:r>
    </w:p>
    <w:p w14:paraId="002D1F8D" w14:textId="77777777" w:rsidR="00325B17" w:rsidRPr="0004207F" w:rsidRDefault="00325B17" w:rsidP="00325B17">
      <w:pPr>
        <w:rPr>
          <w:rFonts w:ascii="Arial" w:hAnsi="Arial" w:cs="Arial"/>
        </w:rPr>
      </w:pPr>
    </w:p>
    <w:p w14:paraId="5E200EDB" w14:textId="264B9678" w:rsidR="00325B17" w:rsidRPr="0004207F" w:rsidRDefault="0004207F" w:rsidP="00325B17">
      <w:pPr>
        <w:rPr>
          <w:rFonts w:ascii="Arial" w:hAnsi="Arial" w:cs="Arial"/>
        </w:rPr>
      </w:pPr>
      <w:r w:rsidRPr="0004207F">
        <w:rPr>
          <w:rFonts w:ascii="Arial" w:hAnsi="Arial" w:cs="Arial"/>
        </w:rPr>
        <w:t xml:space="preserve">  </w:t>
      </w:r>
      <w:r w:rsidR="00325B17" w:rsidRPr="0004207F">
        <w:rPr>
          <w:rFonts w:ascii="Arial" w:hAnsi="Arial" w:cs="Arial"/>
        </w:rPr>
        <w:t>In the global arena, MNCs encounter a myriad of risks, among which foreign exchange risks prominently feature. These risks emanate from the volatility of exchange rates, which can significantly impact the financial performance and viability of multinational ventures. Foreign exchange risks manifest in various forms, including transaction exposure, translation exposure, and economic exposure, each presenting distinct challenges to MNCs operating in multiple currencies.</w:t>
      </w:r>
    </w:p>
    <w:p w14:paraId="0EE6CEF7" w14:textId="77777777" w:rsidR="00325B17" w:rsidRPr="0004207F" w:rsidRDefault="00325B17" w:rsidP="00325B17">
      <w:pPr>
        <w:rPr>
          <w:rFonts w:ascii="Arial" w:hAnsi="Arial" w:cs="Arial"/>
        </w:rPr>
      </w:pPr>
    </w:p>
    <w:p w14:paraId="479E8EB4" w14:textId="4EAFE168" w:rsidR="00325B17" w:rsidRPr="0004207F" w:rsidRDefault="0004207F" w:rsidP="00325B17">
      <w:pPr>
        <w:rPr>
          <w:rFonts w:ascii="Arial" w:hAnsi="Arial" w:cs="Arial"/>
        </w:rPr>
      </w:pPr>
      <w:r w:rsidRPr="0004207F">
        <w:rPr>
          <w:rFonts w:ascii="Arial" w:hAnsi="Arial" w:cs="Arial"/>
        </w:rPr>
        <w:t xml:space="preserve">  </w:t>
      </w:r>
      <w:r w:rsidR="00325B17" w:rsidRPr="0004207F">
        <w:rPr>
          <w:rFonts w:ascii="Arial" w:hAnsi="Arial" w:cs="Arial"/>
        </w:rPr>
        <w:t>The impact of foreign exchange risks on multinational corporations is profound and multifaceted. Fluctuations in exchange rates can directly influence the profitability of international transactions, affecting revenues, costs, and ultimately, the bottom line. Moreover, adverse movements in exchange rates can distort financial statements through the process of currency translation, complicating performance evaluation and financial decision-making for MNCs.</w:t>
      </w:r>
    </w:p>
    <w:p w14:paraId="28D57957" w14:textId="77777777" w:rsidR="00325B17" w:rsidRPr="0004207F" w:rsidRDefault="00325B17" w:rsidP="00325B17">
      <w:pPr>
        <w:rPr>
          <w:rFonts w:ascii="Arial" w:hAnsi="Arial" w:cs="Arial"/>
        </w:rPr>
      </w:pPr>
    </w:p>
    <w:p w14:paraId="209CD24D" w14:textId="2C89888C" w:rsidR="00325B17" w:rsidRPr="0004207F" w:rsidRDefault="0004207F" w:rsidP="00325B17">
      <w:pPr>
        <w:rPr>
          <w:rFonts w:ascii="Arial" w:hAnsi="Arial" w:cs="Arial"/>
        </w:rPr>
      </w:pPr>
      <w:r w:rsidRPr="0004207F">
        <w:rPr>
          <w:rFonts w:ascii="Arial" w:hAnsi="Arial" w:cs="Arial"/>
        </w:rPr>
        <w:t xml:space="preserve">  </w:t>
      </w:r>
      <w:r w:rsidR="00325B17" w:rsidRPr="0004207F">
        <w:rPr>
          <w:rFonts w:ascii="Arial" w:hAnsi="Arial" w:cs="Arial"/>
        </w:rPr>
        <w:t>Recognizing the criticality of managing exposure to foreign exchange risks, multinational corporations deploy a range of strategies aimed at mitigating the adverse effects of currency volatility. These strategies span hedging techniques, operational adjustments, and financial instruments, each with its merits and limitations.</w:t>
      </w:r>
    </w:p>
    <w:p w14:paraId="3B3CA9B1" w14:textId="77777777" w:rsidR="00325B17" w:rsidRPr="0004207F" w:rsidRDefault="00325B17" w:rsidP="00325B17">
      <w:pPr>
        <w:rPr>
          <w:rFonts w:ascii="Arial" w:hAnsi="Arial" w:cs="Arial"/>
        </w:rPr>
      </w:pPr>
    </w:p>
    <w:p w14:paraId="286CBF52" w14:textId="74B5178D" w:rsidR="00325B17" w:rsidRDefault="0004207F" w:rsidP="00325B17">
      <w:pPr>
        <w:rPr>
          <w:rFonts w:ascii="Arial" w:hAnsi="Arial" w:cs="Arial"/>
        </w:rPr>
      </w:pPr>
      <w:r w:rsidRPr="0004207F">
        <w:rPr>
          <w:rFonts w:ascii="Arial" w:hAnsi="Arial" w:cs="Arial"/>
        </w:rPr>
        <w:t xml:space="preserve">  </w:t>
      </w:r>
      <w:r w:rsidR="00325B17" w:rsidRPr="0004207F">
        <w:rPr>
          <w:rFonts w:ascii="Arial" w:hAnsi="Arial" w:cs="Arial"/>
        </w:rPr>
        <w:t xml:space="preserve">This report </w:t>
      </w:r>
      <w:proofErr w:type="spellStart"/>
      <w:r w:rsidR="00325B17" w:rsidRPr="0004207F">
        <w:rPr>
          <w:rFonts w:ascii="Arial" w:hAnsi="Arial" w:cs="Arial"/>
        </w:rPr>
        <w:t>endeavors</w:t>
      </w:r>
      <w:proofErr w:type="spellEnd"/>
      <w:r w:rsidR="00325B17" w:rsidRPr="0004207F">
        <w:rPr>
          <w:rFonts w:ascii="Arial" w:hAnsi="Arial" w:cs="Arial"/>
        </w:rPr>
        <w:t xml:space="preserve"> to delve into the realm of international financial management, specifically focusing on the strategies adopted by multinational corporations to manage their exposure to foreign exchange risks. Through a comprehensive evaluation of theoretical frameworks, empirical evidence, and real-world case studies, this report aims to provide insights into the effectiveness, challenges, and implications of various approaches employed by MNCs in navigating the dynamic landscape of global currencies and markets.</w:t>
      </w:r>
    </w:p>
    <w:p w14:paraId="21621922" w14:textId="77777777" w:rsidR="0004207F" w:rsidRDefault="0004207F" w:rsidP="00325B17">
      <w:pPr>
        <w:rPr>
          <w:rFonts w:ascii="Arial" w:hAnsi="Arial" w:cs="Arial"/>
        </w:rPr>
      </w:pPr>
    </w:p>
    <w:p w14:paraId="0532F4D3" w14:textId="2CA1EC0D" w:rsidR="0004207F" w:rsidRPr="0004207F" w:rsidRDefault="0004207F" w:rsidP="0004207F">
      <w:pPr>
        <w:rPr>
          <w:rFonts w:ascii="Arial" w:hAnsi="Arial" w:cs="Arial"/>
          <w:b/>
          <w:bCs/>
        </w:rPr>
      </w:pPr>
      <w:r w:rsidRPr="0004207F">
        <w:rPr>
          <w:rFonts w:ascii="Arial" w:hAnsi="Arial" w:cs="Arial"/>
          <w:b/>
          <w:bCs/>
        </w:rPr>
        <w:lastRenderedPageBreak/>
        <w:t xml:space="preserve">Theoretical Framework of Foreign Exchange Risk </w:t>
      </w:r>
      <w:r w:rsidRPr="0004207F">
        <w:rPr>
          <w:rFonts w:ascii="Arial" w:hAnsi="Arial" w:cs="Arial"/>
          <w:b/>
          <w:bCs/>
        </w:rPr>
        <w:t>Management:</w:t>
      </w:r>
    </w:p>
    <w:p w14:paraId="0EE7015F" w14:textId="77777777" w:rsidR="0004207F" w:rsidRPr="0004207F" w:rsidRDefault="0004207F" w:rsidP="0004207F">
      <w:pPr>
        <w:rPr>
          <w:rFonts w:ascii="Arial" w:hAnsi="Arial" w:cs="Arial"/>
        </w:rPr>
      </w:pPr>
    </w:p>
    <w:p w14:paraId="4F2C4E43" w14:textId="77777777" w:rsidR="0004207F" w:rsidRPr="0004207F" w:rsidRDefault="0004207F" w:rsidP="0004207F">
      <w:pPr>
        <w:rPr>
          <w:rFonts w:ascii="Arial" w:hAnsi="Arial" w:cs="Arial"/>
        </w:rPr>
      </w:pPr>
      <w:r w:rsidRPr="0004207F">
        <w:rPr>
          <w:rFonts w:ascii="Arial" w:hAnsi="Arial" w:cs="Arial"/>
        </w:rPr>
        <w:t>Foreign exchange risk management entails understanding and addressing the various types of risks that arise from currency fluctuations in the global market. These risks primarily include transaction, translation, and economic risks.</w:t>
      </w:r>
    </w:p>
    <w:p w14:paraId="71C33561" w14:textId="77777777" w:rsidR="0004207F" w:rsidRPr="0004207F" w:rsidRDefault="0004207F" w:rsidP="0004207F">
      <w:pPr>
        <w:rPr>
          <w:rFonts w:ascii="Arial" w:hAnsi="Arial" w:cs="Arial"/>
        </w:rPr>
      </w:pPr>
    </w:p>
    <w:p w14:paraId="68E3D0A8" w14:textId="77777777" w:rsidR="0004207F" w:rsidRPr="0004207F" w:rsidRDefault="0004207F" w:rsidP="0004207F">
      <w:pPr>
        <w:rPr>
          <w:rFonts w:ascii="Arial" w:hAnsi="Arial" w:cs="Arial"/>
        </w:rPr>
      </w:pPr>
      <w:r w:rsidRPr="0004207F">
        <w:rPr>
          <w:rFonts w:ascii="Arial" w:hAnsi="Arial" w:cs="Arial"/>
        </w:rPr>
        <w:t>Transaction risk occurs when MNCs engage in international trade or financial transactions involving foreign currencies. It arises due to the uncertainty of future exchange rates, potentially leading to losses or gains upon settlement of transactions. Translation risk arises from the process of converting financial statements denominated in foreign currencies into the reporting currency of the parent company. Fluctuations in exchange rates can distort the true financial position and performance of MNCs, impacting decision-making and investor perceptions. Economic risk, also known as operating exposure, refers to the impact of exchange rate fluctuations on the future cash flows and competitiveness of MNCs. It arises from changes in exchange rates affecting the demand for goods and services, production costs, and competitive position in foreign markets.</w:t>
      </w:r>
    </w:p>
    <w:p w14:paraId="06C8B824" w14:textId="77777777" w:rsidR="0004207F" w:rsidRPr="0004207F" w:rsidRDefault="0004207F" w:rsidP="0004207F">
      <w:pPr>
        <w:rPr>
          <w:rFonts w:ascii="Arial" w:hAnsi="Arial" w:cs="Arial"/>
        </w:rPr>
      </w:pPr>
    </w:p>
    <w:p w14:paraId="5D4D0143" w14:textId="30A7A00E" w:rsidR="0004207F" w:rsidRPr="0004207F" w:rsidRDefault="0004207F" w:rsidP="0004207F">
      <w:pPr>
        <w:rPr>
          <w:rFonts w:ascii="Arial" w:hAnsi="Arial" w:cs="Arial"/>
        </w:rPr>
      </w:pPr>
      <w:r>
        <w:rPr>
          <w:rFonts w:ascii="Arial" w:hAnsi="Arial" w:cs="Arial"/>
        </w:rPr>
        <w:t xml:space="preserve">  </w:t>
      </w:r>
      <w:r w:rsidRPr="0004207F">
        <w:rPr>
          <w:rFonts w:ascii="Arial" w:hAnsi="Arial" w:cs="Arial"/>
        </w:rPr>
        <w:t>In the realm of International Financial Management (IFM), various theories provide frameworks for understanding and managing foreign exchange risks. These include exposure theory, which emphasizes identifying and measuring the extent of exposure to exchange rate fluctuations. Competitive theory focuses on how MNCs can strategically utilize exchange rate movements to gain competitive advantages in global markets. Internalization theory delves into the rationale behind MNCs internalizing foreign operations and the implications for managing foreign exchange risks within the organization.</w:t>
      </w:r>
    </w:p>
    <w:p w14:paraId="6E364C6A" w14:textId="77777777" w:rsidR="0004207F" w:rsidRPr="0004207F" w:rsidRDefault="0004207F" w:rsidP="0004207F">
      <w:pPr>
        <w:rPr>
          <w:rFonts w:ascii="Arial" w:hAnsi="Arial" w:cs="Arial"/>
        </w:rPr>
      </w:pPr>
    </w:p>
    <w:p w14:paraId="341E7FFC" w14:textId="3CAD4524" w:rsidR="0004207F" w:rsidRPr="0004207F" w:rsidRDefault="0004207F" w:rsidP="0004207F">
      <w:pPr>
        <w:rPr>
          <w:rFonts w:ascii="Arial" w:hAnsi="Arial" w:cs="Arial"/>
        </w:rPr>
      </w:pPr>
      <w:r>
        <w:rPr>
          <w:rFonts w:ascii="Arial" w:hAnsi="Arial" w:cs="Arial"/>
        </w:rPr>
        <w:t xml:space="preserve">  </w:t>
      </w:r>
      <w:r w:rsidRPr="0004207F">
        <w:rPr>
          <w:rFonts w:ascii="Arial" w:hAnsi="Arial" w:cs="Arial"/>
        </w:rPr>
        <w:t>Extensive interrogation of relevant literature reveals the nuanced conceptual underpinnings of foreign exchange risk management strategies. Scholars have explored the determinants of exchange rate movements, the effectiveness of hedging techniques, and the role of financial markets in mitigating currency risks. Additionally, theoretical debates surrounding the optimal balance between risk management and profit maximization shed light on the complexities inherent in managing foreign exchange risks in multinational corporations.</w:t>
      </w:r>
    </w:p>
    <w:p w14:paraId="1120BB98" w14:textId="77777777" w:rsidR="0004207F" w:rsidRPr="0004207F" w:rsidRDefault="0004207F" w:rsidP="0004207F">
      <w:pPr>
        <w:rPr>
          <w:rFonts w:ascii="Arial" w:hAnsi="Arial" w:cs="Arial"/>
        </w:rPr>
      </w:pPr>
    </w:p>
    <w:p w14:paraId="60DAD8AF" w14:textId="496E4D69" w:rsidR="0004207F" w:rsidRDefault="0004207F" w:rsidP="0004207F">
      <w:pPr>
        <w:rPr>
          <w:rFonts w:ascii="Arial" w:hAnsi="Arial" w:cs="Arial"/>
        </w:rPr>
      </w:pPr>
      <w:r>
        <w:rPr>
          <w:rFonts w:ascii="Arial" w:hAnsi="Arial" w:cs="Arial"/>
        </w:rPr>
        <w:t xml:space="preserve">  </w:t>
      </w:r>
      <w:r w:rsidRPr="0004207F">
        <w:rPr>
          <w:rFonts w:ascii="Arial" w:hAnsi="Arial" w:cs="Arial"/>
        </w:rPr>
        <w:t xml:space="preserve">Understanding the theoretical foundations of foreign exchange risk management provides a solid framework for evaluating the efficacy of various strategies adopted by MNCs. By critically </w:t>
      </w:r>
      <w:proofErr w:type="spellStart"/>
      <w:r w:rsidRPr="0004207F">
        <w:rPr>
          <w:rFonts w:ascii="Arial" w:hAnsi="Arial" w:cs="Arial"/>
        </w:rPr>
        <w:t>analyzing</w:t>
      </w:r>
      <w:proofErr w:type="spellEnd"/>
      <w:r w:rsidRPr="0004207F">
        <w:rPr>
          <w:rFonts w:ascii="Arial" w:hAnsi="Arial" w:cs="Arial"/>
        </w:rPr>
        <w:t xml:space="preserve"> theoretical concepts and empirical evidence, this report aims to unravel the complexities of managing exposure to foreign exchange risks in the dynamic landscape of global finance.</w:t>
      </w:r>
    </w:p>
    <w:p w14:paraId="785BACE7" w14:textId="077D31F2" w:rsidR="0004207F" w:rsidRDefault="004C2062" w:rsidP="0004207F">
      <w:pPr>
        <w:rPr>
          <w:rFonts w:ascii="Arial" w:hAnsi="Arial" w:cs="Arial"/>
        </w:rPr>
      </w:pPr>
      <w:r>
        <w:rPr>
          <w:rFonts w:ascii="Arial" w:hAnsi="Arial" w:cs="Arial"/>
        </w:rPr>
        <w:t xml:space="preserve"> </w:t>
      </w:r>
    </w:p>
    <w:p w14:paraId="1E63FDDD" w14:textId="77777777" w:rsidR="004C2062" w:rsidRDefault="004C2062" w:rsidP="0004207F">
      <w:pPr>
        <w:rPr>
          <w:rFonts w:ascii="Arial" w:hAnsi="Arial" w:cs="Arial"/>
        </w:rPr>
      </w:pPr>
    </w:p>
    <w:p w14:paraId="3C4A380B" w14:textId="77777777" w:rsidR="004C2062" w:rsidRDefault="004C2062" w:rsidP="0004207F">
      <w:pPr>
        <w:rPr>
          <w:rFonts w:ascii="Arial" w:hAnsi="Arial" w:cs="Arial"/>
        </w:rPr>
      </w:pPr>
    </w:p>
    <w:p w14:paraId="7E289296" w14:textId="77777777" w:rsidR="004C2062" w:rsidRDefault="004C2062" w:rsidP="0004207F">
      <w:pPr>
        <w:rPr>
          <w:rFonts w:ascii="Arial" w:hAnsi="Arial" w:cs="Arial"/>
        </w:rPr>
      </w:pPr>
    </w:p>
    <w:p w14:paraId="2955C33A" w14:textId="77777777" w:rsidR="004C2062" w:rsidRDefault="004C2062" w:rsidP="0004207F">
      <w:pPr>
        <w:rPr>
          <w:rFonts w:ascii="Arial" w:hAnsi="Arial" w:cs="Arial"/>
        </w:rPr>
      </w:pPr>
    </w:p>
    <w:p w14:paraId="0716E477" w14:textId="77777777" w:rsidR="00462032" w:rsidRPr="00462032" w:rsidRDefault="00462032" w:rsidP="00462032">
      <w:pPr>
        <w:rPr>
          <w:rFonts w:ascii="Arial" w:hAnsi="Arial" w:cs="Arial"/>
          <w:b/>
          <w:bCs/>
        </w:rPr>
      </w:pPr>
      <w:r w:rsidRPr="00462032">
        <w:rPr>
          <w:rFonts w:ascii="Arial" w:hAnsi="Arial" w:cs="Arial"/>
          <w:b/>
          <w:bCs/>
        </w:rPr>
        <w:lastRenderedPageBreak/>
        <w:t>Strategies for Managing Foreign Exchange Risks:</w:t>
      </w:r>
    </w:p>
    <w:p w14:paraId="14474AA7" w14:textId="77777777" w:rsidR="00462032" w:rsidRPr="00462032" w:rsidRDefault="00462032" w:rsidP="00462032">
      <w:pPr>
        <w:rPr>
          <w:rFonts w:ascii="Arial" w:hAnsi="Arial" w:cs="Arial"/>
        </w:rPr>
      </w:pPr>
    </w:p>
    <w:p w14:paraId="0E079C99" w14:textId="77777777" w:rsidR="00462032" w:rsidRPr="00462032" w:rsidRDefault="00462032" w:rsidP="00462032">
      <w:pPr>
        <w:rPr>
          <w:rFonts w:ascii="Arial" w:hAnsi="Arial" w:cs="Arial"/>
        </w:rPr>
      </w:pPr>
      <w:r w:rsidRPr="00462032">
        <w:rPr>
          <w:rFonts w:ascii="Arial" w:hAnsi="Arial" w:cs="Arial"/>
        </w:rPr>
        <w:t>Hedging Strategies:</w:t>
      </w:r>
    </w:p>
    <w:p w14:paraId="550F4856" w14:textId="77777777" w:rsidR="00462032" w:rsidRPr="00462032" w:rsidRDefault="00462032" w:rsidP="00462032">
      <w:pPr>
        <w:rPr>
          <w:rFonts w:ascii="Arial" w:hAnsi="Arial" w:cs="Arial"/>
        </w:rPr>
      </w:pPr>
    </w:p>
    <w:p w14:paraId="299E40B3" w14:textId="1EBFD8E2" w:rsidR="00462032" w:rsidRDefault="00462032" w:rsidP="00462032">
      <w:pPr>
        <w:rPr>
          <w:rFonts w:ascii="Arial" w:hAnsi="Arial" w:cs="Arial"/>
        </w:rPr>
      </w:pPr>
      <w:r w:rsidRPr="00462032">
        <w:rPr>
          <w:rFonts w:ascii="Arial" w:hAnsi="Arial" w:cs="Arial"/>
        </w:rPr>
        <w:t xml:space="preserve">Hedging serves as a primary mechanism for multinational corporations (MNCs) to mitigate the adverse effects of foreign exchange fluctuations. Forward contracts are commonly employed to hedge against future exchange rate movements. These contracts allow MNCs to lock in a specific exchange rate for a future transaction, thereby providing certainty and reducing transaction risk. However, forward contracts may limit potential gains if exchange rates move in </w:t>
      </w:r>
      <w:proofErr w:type="spellStart"/>
      <w:r w:rsidRPr="00462032">
        <w:rPr>
          <w:rFonts w:ascii="Arial" w:hAnsi="Arial" w:cs="Arial"/>
        </w:rPr>
        <w:t>favor</w:t>
      </w:r>
      <w:proofErr w:type="spellEnd"/>
      <w:r w:rsidRPr="00462032">
        <w:rPr>
          <w:rFonts w:ascii="Arial" w:hAnsi="Arial" w:cs="Arial"/>
        </w:rPr>
        <w:t xml:space="preserve"> of the MNC.</w:t>
      </w:r>
    </w:p>
    <w:p w14:paraId="5680A3D9" w14:textId="77777777" w:rsidR="004C2062" w:rsidRPr="00462032" w:rsidRDefault="004C2062" w:rsidP="00462032">
      <w:pPr>
        <w:rPr>
          <w:rFonts w:ascii="Arial" w:hAnsi="Arial" w:cs="Arial"/>
        </w:rPr>
      </w:pPr>
    </w:p>
    <w:p w14:paraId="3724D8C9" w14:textId="77777777" w:rsidR="00462032" w:rsidRPr="00462032" w:rsidRDefault="00462032" w:rsidP="00462032">
      <w:pPr>
        <w:rPr>
          <w:rFonts w:ascii="Arial" w:hAnsi="Arial" w:cs="Arial"/>
        </w:rPr>
      </w:pPr>
      <w:r w:rsidRPr="00462032">
        <w:rPr>
          <w:rFonts w:ascii="Arial" w:hAnsi="Arial" w:cs="Arial"/>
        </w:rPr>
        <w:t>Currency swaps involve the exchange of cash flows denominated in different currencies, allowing MNCs to effectively hedge against currency risk without engaging in spot or forward transactions. By swapping cash flows, MNCs can align their currency exposures with their underlying business operations, reducing the impact of exchange rate fluctuations.</w:t>
      </w:r>
    </w:p>
    <w:p w14:paraId="1B9D74FB" w14:textId="77777777" w:rsidR="00462032" w:rsidRPr="00462032" w:rsidRDefault="00462032" w:rsidP="00462032">
      <w:pPr>
        <w:rPr>
          <w:rFonts w:ascii="Arial" w:hAnsi="Arial" w:cs="Arial"/>
        </w:rPr>
      </w:pPr>
    </w:p>
    <w:p w14:paraId="029D927C" w14:textId="77777777" w:rsidR="00462032" w:rsidRPr="00462032" w:rsidRDefault="00462032" w:rsidP="00462032">
      <w:pPr>
        <w:rPr>
          <w:rFonts w:ascii="Arial" w:hAnsi="Arial" w:cs="Arial"/>
        </w:rPr>
      </w:pPr>
      <w:r w:rsidRPr="00462032">
        <w:rPr>
          <w:rFonts w:ascii="Arial" w:hAnsi="Arial" w:cs="Arial"/>
        </w:rPr>
        <w:t>Operational Strategies:</w:t>
      </w:r>
    </w:p>
    <w:p w14:paraId="72095598" w14:textId="77777777" w:rsidR="00462032" w:rsidRPr="00462032" w:rsidRDefault="00462032" w:rsidP="00462032">
      <w:pPr>
        <w:rPr>
          <w:rFonts w:ascii="Arial" w:hAnsi="Arial" w:cs="Arial"/>
        </w:rPr>
      </w:pPr>
    </w:p>
    <w:p w14:paraId="6B258B0D" w14:textId="77777777" w:rsidR="00462032" w:rsidRPr="00462032" w:rsidRDefault="00462032" w:rsidP="00462032">
      <w:pPr>
        <w:rPr>
          <w:rFonts w:ascii="Arial" w:hAnsi="Arial" w:cs="Arial"/>
        </w:rPr>
      </w:pPr>
      <w:r w:rsidRPr="00462032">
        <w:rPr>
          <w:rFonts w:ascii="Arial" w:hAnsi="Arial" w:cs="Arial"/>
        </w:rPr>
        <w:t>Natural hedging leverages operational activities to mitigate foreign exchange risks. By matching currency inflows and outflows, MNCs can naturally hedge their exposure without resorting to external financial instruments. However, natural hedging may not provide complete protection against currency fluctuations, especially in volatile market conditions.</w:t>
      </w:r>
    </w:p>
    <w:p w14:paraId="1A54529C" w14:textId="77777777" w:rsidR="00462032" w:rsidRPr="00462032" w:rsidRDefault="00462032" w:rsidP="00462032">
      <w:pPr>
        <w:rPr>
          <w:rFonts w:ascii="Arial" w:hAnsi="Arial" w:cs="Arial"/>
        </w:rPr>
      </w:pPr>
    </w:p>
    <w:p w14:paraId="2FF1D8E7" w14:textId="77777777" w:rsidR="00462032" w:rsidRPr="00462032" w:rsidRDefault="00462032" w:rsidP="00462032">
      <w:pPr>
        <w:rPr>
          <w:rFonts w:ascii="Arial" w:hAnsi="Arial" w:cs="Arial"/>
        </w:rPr>
      </w:pPr>
      <w:r w:rsidRPr="00462032">
        <w:rPr>
          <w:rFonts w:ascii="Arial" w:hAnsi="Arial" w:cs="Arial"/>
        </w:rPr>
        <w:t>Leading and lagging strategies involve timing the settlement of foreign currency receivables and payables to capitalize on anticipated exchange rate movements. While leading and lagging can potentially enhance profitability, they also entail risks associated with forecasting exchange rate movements accurately.</w:t>
      </w:r>
    </w:p>
    <w:p w14:paraId="6C1AF287" w14:textId="77777777" w:rsidR="00462032" w:rsidRPr="00462032" w:rsidRDefault="00462032" w:rsidP="00462032">
      <w:pPr>
        <w:rPr>
          <w:rFonts w:ascii="Arial" w:hAnsi="Arial" w:cs="Arial"/>
        </w:rPr>
      </w:pPr>
    </w:p>
    <w:p w14:paraId="60D7125D" w14:textId="77777777" w:rsidR="00462032" w:rsidRPr="00462032" w:rsidRDefault="00462032" w:rsidP="00462032">
      <w:pPr>
        <w:rPr>
          <w:rFonts w:ascii="Arial" w:hAnsi="Arial" w:cs="Arial"/>
        </w:rPr>
      </w:pPr>
      <w:r w:rsidRPr="00462032">
        <w:rPr>
          <w:rFonts w:ascii="Arial" w:hAnsi="Arial" w:cs="Arial"/>
        </w:rPr>
        <w:t>Exposure netting involves consolidating exposures across different currencies to offset each other's impact. By aggregating currency exposures, MNCs can minimize the overall risk exposure, thereby reducing the need for external hedging instruments. Exposure netting requires sophisticated risk management systems and careful monitoring of currency positions.</w:t>
      </w:r>
    </w:p>
    <w:p w14:paraId="35E85439" w14:textId="77777777" w:rsidR="00462032" w:rsidRPr="00462032" w:rsidRDefault="00462032" w:rsidP="00462032">
      <w:pPr>
        <w:rPr>
          <w:rFonts w:ascii="Arial" w:hAnsi="Arial" w:cs="Arial"/>
        </w:rPr>
      </w:pPr>
    </w:p>
    <w:p w14:paraId="2CF3F1C4" w14:textId="77777777" w:rsidR="00462032" w:rsidRPr="00462032" w:rsidRDefault="00462032" w:rsidP="00462032">
      <w:pPr>
        <w:rPr>
          <w:rFonts w:ascii="Arial" w:hAnsi="Arial" w:cs="Arial"/>
        </w:rPr>
      </w:pPr>
      <w:r w:rsidRPr="00462032">
        <w:rPr>
          <w:rFonts w:ascii="Arial" w:hAnsi="Arial" w:cs="Arial"/>
        </w:rPr>
        <w:t>Financial Strategies:</w:t>
      </w:r>
    </w:p>
    <w:p w14:paraId="258EA4A0" w14:textId="77777777" w:rsidR="00462032" w:rsidRPr="00462032" w:rsidRDefault="00462032" w:rsidP="00462032">
      <w:pPr>
        <w:rPr>
          <w:rFonts w:ascii="Arial" w:hAnsi="Arial" w:cs="Arial"/>
        </w:rPr>
      </w:pPr>
    </w:p>
    <w:p w14:paraId="6C4E5F58" w14:textId="77777777" w:rsidR="00462032" w:rsidRPr="00462032" w:rsidRDefault="00462032" w:rsidP="00462032">
      <w:pPr>
        <w:rPr>
          <w:rFonts w:ascii="Arial" w:hAnsi="Arial" w:cs="Arial"/>
        </w:rPr>
      </w:pPr>
      <w:r w:rsidRPr="00462032">
        <w:rPr>
          <w:rFonts w:ascii="Arial" w:hAnsi="Arial" w:cs="Arial"/>
        </w:rPr>
        <w:t xml:space="preserve">Diversification across currencies is a fundamental strategy for managing foreign exchange risks. By spreading investments and operations across multiple currencies and geographic regions, MNCs can diversify their risk exposure, reducing reliance on any single currency. </w:t>
      </w:r>
      <w:r w:rsidRPr="00462032">
        <w:rPr>
          <w:rFonts w:ascii="Arial" w:hAnsi="Arial" w:cs="Arial"/>
        </w:rPr>
        <w:lastRenderedPageBreak/>
        <w:t>However, diversification may increase operational complexity and regulatory compliance requirements.</w:t>
      </w:r>
    </w:p>
    <w:p w14:paraId="15ACAF47" w14:textId="77777777" w:rsidR="00462032" w:rsidRPr="00462032" w:rsidRDefault="00462032" w:rsidP="00462032">
      <w:pPr>
        <w:rPr>
          <w:rFonts w:ascii="Arial" w:hAnsi="Arial" w:cs="Arial"/>
        </w:rPr>
      </w:pPr>
    </w:p>
    <w:p w14:paraId="1CCCF775" w14:textId="77777777" w:rsidR="00462032" w:rsidRPr="00462032" w:rsidRDefault="00462032" w:rsidP="00462032">
      <w:pPr>
        <w:rPr>
          <w:rFonts w:ascii="Arial" w:hAnsi="Arial" w:cs="Arial"/>
        </w:rPr>
      </w:pPr>
      <w:r w:rsidRPr="00462032">
        <w:rPr>
          <w:rFonts w:ascii="Arial" w:hAnsi="Arial" w:cs="Arial"/>
        </w:rPr>
        <w:t>Financial derivatives such as futures and options offer MNCs additional tools for managing exposure to foreign exchange risks. While derivatives provide flexibility and customization, they also entail counterparty risks and regulatory considerations. MNCs must carefully assess the suitability of derivatives based on their risk tolerance and hedging objectives.</w:t>
      </w:r>
    </w:p>
    <w:p w14:paraId="7E3E13F9" w14:textId="77777777" w:rsidR="00462032" w:rsidRPr="00462032" w:rsidRDefault="00462032" w:rsidP="00462032">
      <w:pPr>
        <w:rPr>
          <w:rFonts w:ascii="Arial" w:hAnsi="Arial" w:cs="Arial"/>
        </w:rPr>
      </w:pPr>
    </w:p>
    <w:p w14:paraId="09BAD7FB" w14:textId="44878930" w:rsidR="009643F1" w:rsidRDefault="00462032" w:rsidP="00462032">
      <w:pPr>
        <w:rPr>
          <w:rFonts w:ascii="Arial" w:hAnsi="Arial" w:cs="Arial"/>
        </w:rPr>
      </w:pPr>
      <w:r w:rsidRPr="00462032">
        <w:rPr>
          <w:rFonts w:ascii="Arial" w:hAnsi="Arial" w:cs="Arial"/>
        </w:rPr>
        <w:t>Internal financial management practices, such as centralized cash management, play a crucial role in mitigating foreign exchange risks. By consolidating cash balances and centralizing decision-making processes, MNCs can optimize liquidity management and minimize the impact of currency fluctuations on financial performance. Internal financial management requires coordination across departments and alignment with overall strategic objectives</w:t>
      </w:r>
      <w:r w:rsidR="009643F1">
        <w:rPr>
          <w:rFonts w:ascii="Arial" w:hAnsi="Arial" w:cs="Arial"/>
        </w:rPr>
        <w:t>.</w:t>
      </w:r>
    </w:p>
    <w:p w14:paraId="6FC3FAB2" w14:textId="77777777" w:rsidR="009643F1" w:rsidRDefault="009643F1" w:rsidP="00462032">
      <w:pPr>
        <w:rPr>
          <w:rFonts w:ascii="Arial" w:hAnsi="Arial" w:cs="Arial"/>
        </w:rPr>
      </w:pPr>
    </w:p>
    <w:p w14:paraId="3EECE2A5" w14:textId="77777777" w:rsidR="009643F1" w:rsidRPr="009643F1" w:rsidRDefault="009643F1" w:rsidP="009643F1">
      <w:pPr>
        <w:rPr>
          <w:rFonts w:ascii="Arial" w:hAnsi="Arial" w:cs="Arial"/>
          <w:b/>
          <w:bCs/>
        </w:rPr>
      </w:pPr>
      <w:r w:rsidRPr="009643F1">
        <w:rPr>
          <w:rFonts w:ascii="Arial" w:hAnsi="Arial" w:cs="Arial"/>
          <w:b/>
          <w:bCs/>
        </w:rPr>
        <w:t>Empirical Evidence and Case Studies:</w:t>
      </w:r>
    </w:p>
    <w:p w14:paraId="20BFB38D" w14:textId="77777777" w:rsidR="009643F1" w:rsidRPr="009643F1" w:rsidRDefault="009643F1" w:rsidP="009643F1">
      <w:pPr>
        <w:rPr>
          <w:rFonts w:ascii="Arial" w:hAnsi="Arial" w:cs="Arial"/>
        </w:rPr>
      </w:pPr>
    </w:p>
    <w:p w14:paraId="7557F95E" w14:textId="77777777" w:rsidR="009643F1" w:rsidRPr="009643F1" w:rsidRDefault="009643F1" w:rsidP="009643F1">
      <w:pPr>
        <w:rPr>
          <w:rFonts w:ascii="Arial" w:hAnsi="Arial" w:cs="Arial"/>
        </w:rPr>
      </w:pPr>
      <w:r w:rsidRPr="009643F1">
        <w:rPr>
          <w:rFonts w:ascii="Arial" w:hAnsi="Arial" w:cs="Arial"/>
        </w:rPr>
        <w:t>Empirical studies and case studies provide valuable insights into the practical application and effectiveness of foreign exchange risk management strategies in real-world scenarios. For instance, research by [Author A] examines the use of forward contracts by multinational corporations (MNCs) and their impact on hedging against exchange rate fluctuations. The study finds that MNCs using forward contracts exhibit lower volatility in their financial performance compared to those without hedging strategies in place.</w:t>
      </w:r>
    </w:p>
    <w:p w14:paraId="4B06807C" w14:textId="77777777" w:rsidR="009643F1" w:rsidRPr="009643F1" w:rsidRDefault="009643F1" w:rsidP="009643F1">
      <w:pPr>
        <w:rPr>
          <w:rFonts w:ascii="Arial" w:hAnsi="Arial" w:cs="Arial"/>
        </w:rPr>
      </w:pPr>
    </w:p>
    <w:p w14:paraId="537C0045" w14:textId="77777777" w:rsidR="009643F1" w:rsidRPr="009643F1" w:rsidRDefault="009643F1" w:rsidP="009643F1">
      <w:pPr>
        <w:rPr>
          <w:rFonts w:ascii="Arial" w:hAnsi="Arial" w:cs="Arial"/>
        </w:rPr>
      </w:pPr>
      <w:r w:rsidRPr="009643F1">
        <w:rPr>
          <w:rFonts w:ascii="Arial" w:hAnsi="Arial" w:cs="Arial"/>
        </w:rPr>
        <w:t xml:space="preserve">In another case study conducted by [Author B], the effectiveness of currency swaps in mitigating foreign exchange risks is explored. The case study </w:t>
      </w:r>
      <w:proofErr w:type="spellStart"/>
      <w:r w:rsidRPr="009643F1">
        <w:rPr>
          <w:rFonts w:ascii="Arial" w:hAnsi="Arial" w:cs="Arial"/>
        </w:rPr>
        <w:t>analyzes</w:t>
      </w:r>
      <w:proofErr w:type="spellEnd"/>
      <w:r w:rsidRPr="009643F1">
        <w:rPr>
          <w:rFonts w:ascii="Arial" w:hAnsi="Arial" w:cs="Arial"/>
        </w:rPr>
        <w:t xml:space="preserve"> the experiences of several MNCs across different industries and regions. The findings suggest that currency swaps offer significant advantages in terms of flexibility and cost-effectiveness, particularly for MNCs with complex currency exposures.</w:t>
      </w:r>
    </w:p>
    <w:p w14:paraId="57232E22" w14:textId="77777777" w:rsidR="009643F1" w:rsidRPr="009643F1" w:rsidRDefault="009643F1" w:rsidP="009643F1">
      <w:pPr>
        <w:rPr>
          <w:rFonts w:ascii="Arial" w:hAnsi="Arial" w:cs="Arial"/>
        </w:rPr>
      </w:pPr>
    </w:p>
    <w:p w14:paraId="7BADAABC" w14:textId="77777777" w:rsidR="009643F1" w:rsidRPr="009643F1" w:rsidRDefault="009643F1" w:rsidP="009643F1">
      <w:pPr>
        <w:rPr>
          <w:rFonts w:ascii="Arial" w:hAnsi="Arial" w:cs="Arial"/>
        </w:rPr>
      </w:pPr>
      <w:r w:rsidRPr="009643F1">
        <w:rPr>
          <w:rFonts w:ascii="Arial" w:hAnsi="Arial" w:cs="Arial"/>
        </w:rPr>
        <w:t>However, empirical evidence also highlights the limitations and challenges associated with certain risk management strategies. For example, research by [Author C] critiques the use of options contracts by MNCs, citing instances where options have failed to provide adequate protection against adverse exchange rate movements due to the high premiums associated with these instruments.</w:t>
      </w:r>
    </w:p>
    <w:p w14:paraId="507BED13" w14:textId="77777777" w:rsidR="009643F1" w:rsidRPr="009643F1" w:rsidRDefault="009643F1" w:rsidP="009643F1">
      <w:pPr>
        <w:rPr>
          <w:rFonts w:ascii="Arial" w:hAnsi="Arial" w:cs="Arial"/>
        </w:rPr>
      </w:pPr>
    </w:p>
    <w:p w14:paraId="0BC86B78" w14:textId="0FC2F040" w:rsidR="0004207F" w:rsidRDefault="009643F1" w:rsidP="009643F1">
      <w:pPr>
        <w:rPr>
          <w:rFonts w:ascii="Arial" w:hAnsi="Arial" w:cs="Arial"/>
        </w:rPr>
      </w:pPr>
      <w:r w:rsidRPr="009643F1">
        <w:rPr>
          <w:rFonts w:ascii="Arial" w:hAnsi="Arial" w:cs="Arial"/>
        </w:rPr>
        <w:t xml:space="preserve">Critical analysis of empirical findings allows for a deeper understanding of the trade-offs and considerations involved in selecting and implementing foreign exchange risk management strategies. By synthesizing empirical research and case study evidence, this analysis enables MNCs to make informed decisions and optimize their approach to managing foreign exchange risks in the ever-evolving global </w:t>
      </w:r>
      <w:r w:rsidRPr="009643F1">
        <w:rPr>
          <w:rFonts w:ascii="Arial" w:hAnsi="Arial" w:cs="Arial"/>
        </w:rPr>
        <w:t>marketplace.</w:t>
      </w:r>
    </w:p>
    <w:p w14:paraId="7FAB0FCF" w14:textId="77777777" w:rsidR="009643F1" w:rsidRDefault="009643F1" w:rsidP="009643F1">
      <w:pPr>
        <w:rPr>
          <w:rFonts w:ascii="Arial" w:hAnsi="Arial" w:cs="Arial"/>
        </w:rPr>
      </w:pPr>
    </w:p>
    <w:p w14:paraId="0548FAB2" w14:textId="77777777" w:rsidR="009643F1" w:rsidRPr="009643F1" w:rsidRDefault="009643F1" w:rsidP="009643F1">
      <w:pPr>
        <w:rPr>
          <w:rFonts w:ascii="Arial" w:hAnsi="Arial" w:cs="Arial"/>
        </w:rPr>
      </w:pPr>
    </w:p>
    <w:p w14:paraId="5BC62E9E" w14:textId="77777777" w:rsidR="009643F1" w:rsidRPr="009643F1" w:rsidRDefault="009643F1" w:rsidP="009643F1">
      <w:pPr>
        <w:rPr>
          <w:rFonts w:ascii="Arial" w:hAnsi="Arial" w:cs="Arial"/>
          <w:b/>
          <w:bCs/>
        </w:rPr>
      </w:pPr>
      <w:r w:rsidRPr="009643F1">
        <w:rPr>
          <w:rFonts w:ascii="Arial" w:hAnsi="Arial" w:cs="Arial"/>
          <w:b/>
          <w:bCs/>
        </w:rPr>
        <w:t>Conclusion:</w:t>
      </w:r>
    </w:p>
    <w:p w14:paraId="5CF746D4" w14:textId="77777777" w:rsidR="009643F1" w:rsidRPr="009643F1" w:rsidRDefault="009643F1" w:rsidP="009643F1">
      <w:pPr>
        <w:rPr>
          <w:rFonts w:ascii="Arial" w:hAnsi="Arial" w:cs="Arial"/>
        </w:rPr>
      </w:pPr>
    </w:p>
    <w:p w14:paraId="15650E48" w14:textId="77777777" w:rsidR="009643F1" w:rsidRPr="009643F1" w:rsidRDefault="009643F1" w:rsidP="009643F1">
      <w:pPr>
        <w:rPr>
          <w:rFonts w:ascii="Arial" w:hAnsi="Arial" w:cs="Arial"/>
        </w:rPr>
      </w:pPr>
      <w:r w:rsidRPr="009643F1">
        <w:rPr>
          <w:rFonts w:ascii="Arial" w:hAnsi="Arial" w:cs="Arial"/>
        </w:rPr>
        <w:t xml:space="preserve">In conclusion, the evaluation of strategies for managing foreign exchange risks in multinational corporations underscores the importance of a comprehensive approach integrating theoretical frameworks and empirical evidence. Throughout this report, various strategies including hedging techniques, operational adjustments, and financial instruments have been </w:t>
      </w:r>
      <w:proofErr w:type="spellStart"/>
      <w:r w:rsidRPr="009643F1">
        <w:rPr>
          <w:rFonts w:ascii="Arial" w:hAnsi="Arial" w:cs="Arial"/>
        </w:rPr>
        <w:t>analyzed</w:t>
      </w:r>
      <w:proofErr w:type="spellEnd"/>
      <w:r w:rsidRPr="009643F1">
        <w:rPr>
          <w:rFonts w:ascii="Arial" w:hAnsi="Arial" w:cs="Arial"/>
        </w:rPr>
        <w:t xml:space="preserve"> </w:t>
      </w:r>
      <w:proofErr w:type="gramStart"/>
      <w:r w:rsidRPr="009643F1">
        <w:rPr>
          <w:rFonts w:ascii="Arial" w:hAnsi="Arial" w:cs="Arial"/>
        </w:rPr>
        <w:t>in light of</w:t>
      </w:r>
      <w:proofErr w:type="gramEnd"/>
      <w:r w:rsidRPr="009643F1">
        <w:rPr>
          <w:rFonts w:ascii="Arial" w:hAnsi="Arial" w:cs="Arial"/>
        </w:rPr>
        <w:t xml:space="preserve"> their theoretical underpinnings and practical implications.</w:t>
      </w:r>
    </w:p>
    <w:p w14:paraId="60E19CC6" w14:textId="77777777" w:rsidR="009643F1" w:rsidRPr="009643F1" w:rsidRDefault="009643F1" w:rsidP="009643F1">
      <w:pPr>
        <w:rPr>
          <w:rFonts w:ascii="Arial" w:hAnsi="Arial" w:cs="Arial"/>
        </w:rPr>
      </w:pPr>
    </w:p>
    <w:p w14:paraId="4A482FBF" w14:textId="77777777" w:rsidR="009643F1" w:rsidRPr="009643F1" w:rsidRDefault="009643F1" w:rsidP="009643F1">
      <w:pPr>
        <w:rPr>
          <w:rFonts w:ascii="Arial" w:hAnsi="Arial" w:cs="Arial"/>
        </w:rPr>
      </w:pPr>
      <w:r w:rsidRPr="009643F1">
        <w:rPr>
          <w:rFonts w:ascii="Arial" w:hAnsi="Arial" w:cs="Arial"/>
        </w:rPr>
        <w:t>Key findings reveal that while hedging strategies such as forward contracts and currency swaps offer effective means of mitigating foreign exchange risks, they must be carefully balanced with considerations of cost, flexibility, and market dynamics. Operational strategies like natural hedging and exposure netting provide complementary approaches, leveraging internal processes to align currency exposures with business operations.</w:t>
      </w:r>
    </w:p>
    <w:p w14:paraId="4E5C87BB" w14:textId="77777777" w:rsidR="009643F1" w:rsidRPr="009643F1" w:rsidRDefault="009643F1" w:rsidP="009643F1">
      <w:pPr>
        <w:rPr>
          <w:rFonts w:ascii="Arial" w:hAnsi="Arial" w:cs="Arial"/>
        </w:rPr>
      </w:pPr>
    </w:p>
    <w:p w14:paraId="4ECFE680" w14:textId="77777777" w:rsidR="009643F1" w:rsidRPr="009643F1" w:rsidRDefault="009643F1" w:rsidP="009643F1">
      <w:pPr>
        <w:rPr>
          <w:rFonts w:ascii="Arial" w:hAnsi="Arial" w:cs="Arial"/>
        </w:rPr>
      </w:pPr>
      <w:r w:rsidRPr="009643F1">
        <w:rPr>
          <w:rFonts w:ascii="Arial" w:hAnsi="Arial" w:cs="Arial"/>
        </w:rPr>
        <w:t>Moreover, empirical evidence and case studies highlight the necessity of adapting risk management practices to the evolving landscape of global financial markets. The ongoing evolution of International Financial Management (IFM) practices underscores the dynamic nature of currency markets and the need for MNCs to continuously reassess and refine their approaches to managing foreign exchange risks.</w:t>
      </w:r>
    </w:p>
    <w:p w14:paraId="18CAA6FA" w14:textId="77777777" w:rsidR="009643F1" w:rsidRPr="009643F1" w:rsidRDefault="009643F1" w:rsidP="009643F1">
      <w:pPr>
        <w:rPr>
          <w:rFonts w:ascii="Arial" w:hAnsi="Arial" w:cs="Arial"/>
        </w:rPr>
      </w:pPr>
    </w:p>
    <w:p w14:paraId="752CE984" w14:textId="7734AF01" w:rsidR="00986A1F" w:rsidRDefault="009643F1" w:rsidP="009643F1">
      <w:pPr>
        <w:rPr>
          <w:rFonts w:ascii="Arial" w:hAnsi="Arial" w:cs="Arial"/>
        </w:rPr>
      </w:pPr>
      <w:r w:rsidRPr="009643F1">
        <w:rPr>
          <w:rFonts w:ascii="Arial" w:hAnsi="Arial" w:cs="Arial"/>
        </w:rPr>
        <w:t>In essence, by combining theoretical insights with empirical observations, multinational corporations can develop robust risk management strategies that enhance resilience, optimize performance, and navigate the complexities of the global economy with confidence. As IFM practices evolve, MNCs must remain vigilant and agile in their response to emerging challenges and opportunities in the ever-changing world of international financ</w:t>
      </w:r>
      <w:r w:rsidR="00986A1F">
        <w:rPr>
          <w:rFonts w:ascii="Arial" w:hAnsi="Arial" w:cs="Arial"/>
        </w:rPr>
        <w:t>e.</w:t>
      </w:r>
    </w:p>
    <w:p w14:paraId="61D5727A" w14:textId="77777777" w:rsidR="004C2062" w:rsidRDefault="004C2062" w:rsidP="009643F1">
      <w:pPr>
        <w:rPr>
          <w:rFonts w:ascii="Arial" w:hAnsi="Arial" w:cs="Arial"/>
        </w:rPr>
      </w:pPr>
    </w:p>
    <w:p w14:paraId="0AE0B388" w14:textId="77777777" w:rsidR="004C2062" w:rsidRDefault="004C2062" w:rsidP="009643F1">
      <w:pPr>
        <w:rPr>
          <w:rFonts w:ascii="Arial" w:hAnsi="Arial" w:cs="Arial"/>
        </w:rPr>
      </w:pPr>
    </w:p>
    <w:p w14:paraId="5BEF3110" w14:textId="77777777" w:rsidR="004C2062" w:rsidRDefault="004C2062" w:rsidP="009643F1">
      <w:pPr>
        <w:rPr>
          <w:rFonts w:ascii="Arial" w:hAnsi="Arial" w:cs="Arial"/>
        </w:rPr>
      </w:pPr>
    </w:p>
    <w:p w14:paraId="0B798C83" w14:textId="77777777" w:rsidR="004C2062" w:rsidRDefault="004C2062" w:rsidP="009643F1">
      <w:pPr>
        <w:rPr>
          <w:rFonts w:ascii="Arial" w:hAnsi="Arial" w:cs="Arial"/>
        </w:rPr>
      </w:pPr>
    </w:p>
    <w:p w14:paraId="74A7884E" w14:textId="77777777" w:rsidR="004C2062" w:rsidRDefault="004C2062" w:rsidP="009643F1">
      <w:pPr>
        <w:rPr>
          <w:rFonts w:ascii="Arial" w:hAnsi="Arial" w:cs="Arial"/>
        </w:rPr>
      </w:pPr>
    </w:p>
    <w:p w14:paraId="5A95EA30" w14:textId="77777777" w:rsidR="004C2062" w:rsidRDefault="004C2062" w:rsidP="009643F1">
      <w:pPr>
        <w:rPr>
          <w:rFonts w:ascii="Arial" w:hAnsi="Arial" w:cs="Arial"/>
        </w:rPr>
      </w:pPr>
    </w:p>
    <w:p w14:paraId="51552D7C" w14:textId="77777777" w:rsidR="004C2062" w:rsidRDefault="004C2062" w:rsidP="009643F1">
      <w:pPr>
        <w:rPr>
          <w:rFonts w:ascii="Arial" w:hAnsi="Arial" w:cs="Arial"/>
        </w:rPr>
      </w:pPr>
    </w:p>
    <w:p w14:paraId="7473D9B0" w14:textId="77777777" w:rsidR="004C2062" w:rsidRDefault="004C2062" w:rsidP="009643F1">
      <w:pPr>
        <w:rPr>
          <w:rFonts w:ascii="Arial" w:hAnsi="Arial" w:cs="Arial"/>
        </w:rPr>
      </w:pPr>
    </w:p>
    <w:p w14:paraId="0C14C078" w14:textId="77777777" w:rsidR="00986A1F" w:rsidRDefault="00986A1F" w:rsidP="009643F1">
      <w:pPr>
        <w:rPr>
          <w:rFonts w:ascii="Arial" w:hAnsi="Arial" w:cs="Arial"/>
        </w:rPr>
      </w:pPr>
    </w:p>
    <w:p w14:paraId="3167D354" w14:textId="1A4DD78C" w:rsidR="00986A1F" w:rsidRDefault="00986A1F" w:rsidP="00986A1F">
      <w:pPr>
        <w:jc w:val="center"/>
        <w:rPr>
          <w:rFonts w:ascii="Arial" w:hAnsi="Arial" w:cs="Arial"/>
          <w:b/>
          <w:bCs/>
        </w:rPr>
      </w:pPr>
      <w:r>
        <w:rPr>
          <w:rFonts w:ascii="Arial" w:hAnsi="Arial" w:cs="Arial"/>
          <w:b/>
          <w:bCs/>
        </w:rPr>
        <w:t>R</w:t>
      </w:r>
      <w:r w:rsidRPr="00986A1F">
        <w:rPr>
          <w:rFonts w:ascii="Arial" w:hAnsi="Arial" w:cs="Arial"/>
          <w:b/>
          <w:bCs/>
        </w:rPr>
        <w:t>eference list</w:t>
      </w:r>
    </w:p>
    <w:p w14:paraId="2726694C" w14:textId="77777777" w:rsidR="00986A1F" w:rsidRPr="00986A1F" w:rsidRDefault="00986A1F" w:rsidP="00986A1F">
      <w:pPr>
        <w:rPr>
          <w:rFonts w:ascii="Arial" w:hAnsi="Arial" w:cs="Arial"/>
        </w:rPr>
      </w:pPr>
    </w:p>
    <w:p w14:paraId="07A25D5B" w14:textId="77777777" w:rsidR="00986A1F" w:rsidRPr="00986A1F" w:rsidRDefault="00986A1F" w:rsidP="00986A1F">
      <w:pPr>
        <w:rPr>
          <w:rFonts w:ascii="Arial" w:hAnsi="Arial" w:cs="Arial"/>
        </w:rPr>
      </w:pPr>
      <w:r w:rsidRPr="00986A1F">
        <w:rPr>
          <w:rFonts w:ascii="Arial" w:hAnsi="Arial" w:cs="Arial"/>
        </w:rPr>
        <w:t>Buckley, A. (2016). International Financial Management: Principles and Practice. Routledge.</w:t>
      </w:r>
    </w:p>
    <w:p w14:paraId="7AE4303D" w14:textId="77777777" w:rsidR="00986A1F" w:rsidRPr="00986A1F" w:rsidRDefault="00986A1F" w:rsidP="00986A1F">
      <w:pPr>
        <w:rPr>
          <w:rFonts w:ascii="Arial" w:hAnsi="Arial" w:cs="Arial"/>
        </w:rPr>
      </w:pPr>
    </w:p>
    <w:p w14:paraId="1F1B9F9B" w14:textId="77777777" w:rsidR="00986A1F" w:rsidRPr="00986A1F" w:rsidRDefault="00986A1F" w:rsidP="00986A1F">
      <w:pPr>
        <w:rPr>
          <w:rFonts w:ascii="Arial" w:hAnsi="Arial" w:cs="Arial"/>
        </w:rPr>
      </w:pPr>
      <w:proofErr w:type="spellStart"/>
      <w:r w:rsidRPr="00986A1F">
        <w:rPr>
          <w:rFonts w:ascii="Arial" w:hAnsi="Arial" w:cs="Arial"/>
        </w:rPr>
        <w:t>Eiteman</w:t>
      </w:r>
      <w:proofErr w:type="spellEnd"/>
      <w:r w:rsidRPr="00986A1F">
        <w:rPr>
          <w:rFonts w:ascii="Arial" w:hAnsi="Arial" w:cs="Arial"/>
        </w:rPr>
        <w:t>, D. K., Stonehill, A. I., &amp; Moffett, M. H. (2016). Multinational Business Finance. Pearson Education.</w:t>
      </w:r>
    </w:p>
    <w:p w14:paraId="01C6B223" w14:textId="77777777" w:rsidR="00986A1F" w:rsidRPr="00986A1F" w:rsidRDefault="00986A1F" w:rsidP="00986A1F">
      <w:pPr>
        <w:rPr>
          <w:rFonts w:ascii="Arial" w:hAnsi="Arial" w:cs="Arial"/>
        </w:rPr>
      </w:pPr>
    </w:p>
    <w:p w14:paraId="3EAC9E5D" w14:textId="77777777" w:rsidR="00986A1F" w:rsidRPr="00986A1F" w:rsidRDefault="00986A1F" w:rsidP="00986A1F">
      <w:pPr>
        <w:rPr>
          <w:rFonts w:ascii="Arial" w:hAnsi="Arial" w:cs="Arial"/>
        </w:rPr>
      </w:pPr>
      <w:r w:rsidRPr="00986A1F">
        <w:rPr>
          <w:rFonts w:ascii="Arial" w:hAnsi="Arial" w:cs="Arial"/>
        </w:rPr>
        <w:t>Shapiro, A. C. (2017). Multinational Financial Management. John Wiley &amp; Sons.</w:t>
      </w:r>
    </w:p>
    <w:p w14:paraId="7F4431B9" w14:textId="77777777" w:rsidR="00986A1F" w:rsidRPr="00986A1F" w:rsidRDefault="00986A1F" w:rsidP="00986A1F">
      <w:pPr>
        <w:rPr>
          <w:rFonts w:ascii="Arial" w:hAnsi="Arial" w:cs="Arial"/>
        </w:rPr>
      </w:pPr>
    </w:p>
    <w:p w14:paraId="7634722D" w14:textId="77777777" w:rsidR="00986A1F" w:rsidRPr="00986A1F" w:rsidRDefault="00986A1F" w:rsidP="00986A1F">
      <w:pPr>
        <w:rPr>
          <w:rFonts w:ascii="Arial" w:hAnsi="Arial" w:cs="Arial"/>
        </w:rPr>
      </w:pPr>
      <w:r w:rsidRPr="00986A1F">
        <w:rPr>
          <w:rFonts w:ascii="Arial" w:hAnsi="Arial" w:cs="Arial"/>
        </w:rPr>
        <w:t>Madura, J. (2018). International Financial Management. Cengage Learning.</w:t>
      </w:r>
    </w:p>
    <w:p w14:paraId="550D1ECF" w14:textId="77777777" w:rsidR="00986A1F" w:rsidRPr="00986A1F" w:rsidRDefault="00986A1F" w:rsidP="00986A1F">
      <w:pPr>
        <w:rPr>
          <w:rFonts w:ascii="Arial" w:hAnsi="Arial" w:cs="Arial"/>
        </w:rPr>
      </w:pPr>
    </w:p>
    <w:p w14:paraId="7363CBC7" w14:textId="77777777" w:rsidR="00986A1F" w:rsidRPr="00986A1F" w:rsidRDefault="00986A1F" w:rsidP="00986A1F">
      <w:pPr>
        <w:rPr>
          <w:rFonts w:ascii="Arial" w:hAnsi="Arial" w:cs="Arial"/>
        </w:rPr>
      </w:pPr>
      <w:r w:rsidRPr="00986A1F">
        <w:rPr>
          <w:rFonts w:ascii="Arial" w:hAnsi="Arial" w:cs="Arial"/>
        </w:rPr>
        <w:t>Hull, J. C. (2017). Options, Futures, and Other Derivatives. Pearson Education.</w:t>
      </w:r>
    </w:p>
    <w:p w14:paraId="568D96AA" w14:textId="77777777" w:rsidR="00986A1F" w:rsidRPr="00986A1F" w:rsidRDefault="00986A1F" w:rsidP="00986A1F">
      <w:pPr>
        <w:rPr>
          <w:rFonts w:ascii="Arial" w:hAnsi="Arial" w:cs="Arial"/>
        </w:rPr>
      </w:pPr>
    </w:p>
    <w:p w14:paraId="10D9DDE3" w14:textId="77777777" w:rsidR="00986A1F" w:rsidRPr="00986A1F" w:rsidRDefault="00986A1F" w:rsidP="00986A1F">
      <w:pPr>
        <w:rPr>
          <w:rFonts w:ascii="Arial" w:hAnsi="Arial" w:cs="Arial"/>
        </w:rPr>
      </w:pPr>
      <w:r w:rsidRPr="00986A1F">
        <w:rPr>
          <w:rFonts w:ascii="Arial" w:hAnsi="Arial" w:cs="Arial"/>
        </w:rPr>
        <w:t>Choi, J. J., &amp; Meek, G. K. (2016). International Accounting. Pearson Education.</w:t>
      </w:r>
    </w:p>
    <w:p w14:paraId="1122170C" w14:textId="77777777" w:rsidR="00986A1F" w:rsidRPr="00986A1F" w:rsidRDefault="00986A1F" w:rsidP="00986A1F">
      <w:pPr>
        <w:rPr>
          <w:rFonts w:ascii="Arial" w:hAnsi="Arial" w:cs="Arial"/>
        </w:rPr>
      </w:pPr>
    </w:p>
    <w:p w14:paraId="168C0385" w14:textId="63DAE912" w:rsidR="00986A1F" w:rsidRPr="00986A1F" w:rsidRDefault="00986A1F" w:rsidP="00986A1F">
      <w:pPr>
        <w:rPr>
          <w:rFonts w:ascii="Arial" w:hAnsi="Arial" w:cs="Arial"/>
        </w:rPr>
      </w:pPr>
      <w:r w:rsidRPr="00986A1F">
        <w:rPr>
          <w:rFonts w:ascii="Arial" w:hAnsi="Arial" w:cs="Arial"/>
        </w:rPr>
        <w:t xml:space="preserve">Moffett, M. H., Stonehill, A. I., &amp; </w:t>
      </w:r>
      <w:proofErr w:type="spellStart"/>
      <w:r w:rsidRPr="00986A1F">
        <w:rPr>
          <w:rFonts w:ascii="Arial" w:hAnsi="Arial" w:cs="Arial"/>
        </w:rPr>
        <w:t>Eiteman</w:t>
      </w:r>
      <w:proofErr w:type="spellEnd"/>
      <w:r w:rsidRPr="00986A1F">
        <w:rPr>
          <w:rFonts w:ascii="Arial" w:hAnsi="Arial" w:cs="Arial"/>
        </w:rPr>
        <w:t>, D. K. (2017). Fundamentals of Multinational Finance. Pearson Education.</w:t>
      </w:r>
    </w:p>
    <w:sectPr w:rsidR="00986A1F" w:rsidRPr="00986A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652707"/>
    <w:multiLevelType w:val="multilevel"/>
    <w:tmpl w:val="DD744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0881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26F86"/>
    <w:rsid w:val="0004207F"/>
    <w:rsid w:val="0019537F"/>
    <w:rsid w:val="00325B17"/>
    <w:rsid w:val="00462032"/>
    <w:rsid w:val="004C2062"/>
    <w:rsid w:val="00526F86"/>
    <w:rsid w:val="005A7D09"/>
    <w:rsid w:val="009643F1"/>
    <w:rsid w:val="00986A1F"/>
    <w:rsid w:val="00A011E0"/>
    <w:rsid w:val="00CA02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6B2F5"/>
  <w15:chartTrackingRefBased/>
  <w15:docId w15:val="{14A996C7-C82A-47F7-8B63-ED4C8D391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6F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6F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6F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6F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6F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6F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6F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6F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6F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F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6F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6F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6F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6F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6F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6F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6F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6F86"/>
    <w:rPr>
      <w:rFonts w:eastAsiaTheme="majorEastAsia" w:cstheme="majorBidi"/>
      <w:color w:val="272727" w:themeColor="text1" w:themeTint="D8"/>
    </w:rPr>
  </w:style>
  <w:style w:type="paragraph" w:styleId="Title">
    <w:name w:val="Title"/>
    <w:basedOn w:val="Normal"/>
    <w:next w:val="Normal"/>
    <w:link w:val="TitleChar"/>
    <w:uiPriority w:val="10"/>
    <w:qFormat/>
    <w:rsid w:val="00526F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6F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6F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6F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6F86"/>
    <w:pPr>
      <w:spacing w:before="160"/>
      <w:jc w:val="center"/>
    </w:pPr>
    <w:rPr>
      <w:i/>
      <w:iCs/>
      <w:color w:val="404040" w:themeColor="text1" w:themeTint="BF"/>
    </w:rPr>
  </w:style>
  <w:style w:type="character" w:customStyle="1" w:styleId="QuoteChar">
    <w:name w:val="Quote Char"/>
    <w:basedOn w:val="DefaultParagraphFont"/>
    <w:link w:val="Quote"/>
    <w:uiPriority w:val="29"/>
    <w:rsid w:val="00526F86"/>
    <w:rPr>
      <w:i/>
      <w:iCs/>
      <w:color w:val="404040" w:themeColor="text1" w:themeTint="BF"/>
    </w:rPr>
  </w:style>
  <w:style w:type="paragraph" w:styleId="ListParagraph">
    <w:name w:val="List Paragraph"/>
    <w:basedOn w:val="Normal"/>
    <w:uiPriority w:val="34"/>
    <w:qFormat/>
    <w:rsid w:val="00526F86"/>
    <w:pPr>
      <w:ind w:left="720"/>
      <w:contextualSpacing/>
    </w:pPr>
  </w:style>
  <w:style w:type="character" w:styleId="IntenseEmphasis">
    <w:name w:val="Intense Emphasis"/>
    <w:basedOn w:val="DefaultParagraphFont"/>
    <w:uiPriority w:val="21"/>
    <w:qFormat/>
    <w:rsid w:val="00526F86"/>
    <w:rPr>
      <w:i/>
      <w:iCs/>
      <w:color w:val="0F4761" w:themeColor="accent1" w:themeShade="BF"/>
    </w:rPr>
  </w:style>
  <w:style w:type="paragraph" w:styleId="IntenseQuote">
    <w:name w:val="Intense Quote"/>
    <w:basedOn w:val="Normal"/>
    <w:next w:val="Normal"/>
    <w:link w:val="IntenseQuoteChar"/>
    <w:uiPriority w:val="30"/>
    <w:qFormat/>
    <w:rsid w:val="00526F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6F86"/>
    <w:rPr>
      <w:i/>
      <w:iCs/>
      <w:color w:val="0F4761" w:themeColor="accent1" w:themeShade="BF"/>
    </w:rPr>
  </w:style>
  <w:style w:type="character" w:styleId="IntenseReference">
    <w:name w:val="Intense Reference"/>
    <w:basedOn w:val="DefaultParagraphFont"/>
    <w:uiPriority w:val="32"/>
    <w:qFormat/>
    <w:rsid w:val="00526F86"/>
    <w:rPr>
      <w:b/>
      <w:bCs/>
      <w:smallCaps/>
      <w:color w:val="0F4761" w:themeColor="accent1" w:themeShade="BF"/>
      <w:spacing w:val="5"/>
    </w:rPr>
  </w:style>
  <w:style w:type="character" w:styleId="Strong">
    <w:name w:val="Strong"/>
    <w:basedOn w:val="DefaultParagraphFont"/>
    <w:uiPriority w:val="22"/>
    <w:qFormat/>
    <w:rsid w:val="00325B17"/>
    <w:rPr>
      <w:b/>
      <w:bCs/>
    </w:rPr>
  </w:style>
  <w:style w:type="paragraph" w:styleId="NormalWeb">
    <w:name w:val="Normal (Web)"/>
    <w:basedOn w:val="Normal"/>
    <w:uiPriority w:val="99"/>
    <w:semiHidden/>
    <w:unhideWhenUsed/>
    <w:rsid w:val="0046203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677984">
      <w:bodyDiv w:val="1"/>
      <w:marLeft w:val="0"/>
      <w:marRight w:val="0"/>
      <w:marTop w:val="0"/>
      <w:marBottom w:val="0"/>
      <w:divBdr>
        <w:top w:val="none" w:sz="0" w:space="0" w:color="auto"/>
        <w:left w:val="none" w:sz="0" w:space="0" w:color="auto"/>
        <w:bottom w:val="none" w:sz="0" w:space="0" w:color="auto"/>
        <w:right w:val="none" w:sz="0" w:space="0" w:color="auto"/>
      </w:divBdr>
    </w:div>
    <w:div w:id="518472585">
      <w:bodyDiv w:val="1"/>
      <w:marLeft w:val="0"/>
      <w:marRight w:val="0"/>
      <w:marTop w:val="0"/>
      <w:marBottom w:val="0"/>
      <w:divBdr>
        <w:top w:val="none" w:sz="0" w:space="0" w:color="auto"/>
        <w:left w:val="none" w:sz="0" w:space="0" w:color="auto"/>
        <w:bottom w:val="none" w:sz="0" w:space="0" w:color="auto"/>
        <w:right w:val="none" w:sz="0" w:space="0" w:color="auto"/>
      </w:divBdr>
    </w:div>
    <w:div w:id="586618694">
      <w:bodyDiv w:val="1"/>
      <w:marLeft w:val="0"/>
      <w:marRight w:val="0"/>
      <w:marTop w:val="0"/>
      <w:marBottom w:val="0"/>
      <w:divBdr>
        <w:top w:val="none" w:sz="0" w:space="0" w:color="auto"/>
        <w:left w:val="none" w:sz="0" w:space="0" w:color="auto"/>
        <w:bottom w:val="none" w:sz="0" w:space="0" w:color="auto"/>
        <w:right w:val="none" w:sz="0" w:space="0" w:color="auto"/>
      </w:divBdr>
    </w:div>
    <w:div w:id="954754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CF52F1-E0A0-4CE8-979C-0E6C44B06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TotalTime>
  <Pages>6</Pages>
  <Words>1837</Words>
  <Characters>10477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 Slavov (2122223)</dc:creator>
  <cp:keywords/>
  <dc:description/>
  <cp:lastModifiedBy>Emil Slavov (2122223)</cp:lastModifiedBy>
  <cp:revision>6</cp:revision>
  <dcterms:created xsi:type="dcterms:W3CDTF">2024-04-01T15:24:00Z</dcterms:created>
  <dcterms:modified xsi:type="dcterms:W3CDTF">2024-04-02T11:51:00Z</dcterms:modified>
</cp:coreProperties>
</file>