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hint="eastAsia"/>
        </w:rPr>
      </w:pPr>
      <w:r>
        <w:rPr>
          <w:rFonts w:hint="eastAsia"/>
        </w:rPr>
        <w:drawing>
          <wp:inline distT="0" distB="0" distL="0" distR="0">
            <wp:extent cx="5633085" cy="2212975"/>
            <wp:effectExtent l="0" t="0" r="5715" b="1206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ind w:firstLine="1321" w:firstLineChars="300"/>
        <w:rPr>
          <w:rFonts w:hint="default" w:ascii="Times New Roman" w:hAnsi="Times New Roman" w:eastAsia="微软雅黑" w:cs="Times New Roman"/>
          <w:b/>
          <w:bCs/>
          <w:i w:val="0"/>
          <w:iCs w:val="0"/>
          <w:caps w:val="0"/>
          <w:color w:val="000000"/>
          <w:spacing w:val="0"/>
          <w:sz w:val="44"/>
          <w:szCs w:val="44"/>
        </w:rPr>
      </w:pPr>
      <w:r>
        <w:rPr>
          <w:rFonts w:hint="default" w:ascii="Times New Roman" w:hAnsi="Times New Roman" w:eastAsia="微软雅黑" w:cs="Times New Roman"/>
          <w:b/>
          <w:bCs/>
          <w:i w:val="0"/>
          <w:iCs w:val="0"/>
          <w:caps w:val="0"/>
          <w:color w:val="000000"/>
          <w:spacing w:val="0"/>
          <w:sz w:val="44"/>
          <w:szCs w:val="44"/>
        </w:rPr>
        <w:t>Leading and Developing People</w:t>
      </w:r>
    </w:p>
    <w:p>
      <w:pPr>
        <w:ind w:firstLine="1321" w:firstLineChars="300"/>
        <w:rPr>
          <w:rFonts w:hint="default" w:ascii="Times New Roman" w:hAnsi="Times New Roman" w:eastAsia="微软雅黑" w:cs="Times New Roman"/>
          <w:b/>
          <w:bCs/>
          <w:i w:val="0"/>
          <w:iCs w:val="0"/>
          <w:caps w:val="0"/>
          <w:color w:val="000000"/>
          <w:spacing w:val="0"/>
          <w:sz w:val="44"/>
          <w:szCs w:val="44"/>
        </w:rPr>
      </w:pPr>
    </w:p>
    <w:p>
      <w:pPr>
        <w:ind w:firstLine="1321" w:firstLineChars="300"/>
        <w:rPr>
          <w:rFonts w:hint="default" w:ascii="Times New Roman" w:hAnsi="Times New Roman" w:eastAsia="微软雅黑" w:cs="Times New Roman"/>
          <w:b/>
          <w:bCs/>
          <w:i w:val="0"/>
          <w:iCs w:val="0"/>
          <w:caps w:val="0"/>
          <w:color w:val="000000"/>
          <w:spacing w:val="0"/>
          <w:sz w:val="44"/>
          <w:szCs w:val="44"/>
        </w:rPr>
      </w:pPr>
      <w:r>
        <w:rPr>
          <w:rFonts w:hint="default" w:ascii="Times New Roman" w:hAnsi="Times New Roman" w:eastAsia="微软雅黑" w:cs="Times New Roman"/>
          <w:b/>
          <w:bCs/>
          <w:i w:val="0"/>
          <w:iCs w:val="0"/>
          <w:caps w:val="0"/>
          <w:color w:val="000000"/>
          <w:spacing w:val="0"/>
          <w:sz w:val="44"/>
          <w:szCs w:val="44"/>
        </w:rPr>
        <w:t>Designing a Learning Experience</w:t>
      </w:r>
    </w:p>
    <w:p>
      <w:pPr>
        <w:rPr>
          <w:rFonts w:hint="default" w:ascii="Times New Roman" w:hAnsi="Times New Roman" w:eastAsia="微软雅黑" w:cs="Times New Roman"/>
          <w:b/>
          <w:bCs/>
          <w:i w:val="0"/>
          <w:iCs w:val="0"/>
          <w:caps w:val="0"/>
          <w:color w:val="000000"/>
          <w:spacing w:val="0"/>
          <w:sz w:val="44"/>
          <w:szCs w:val="44"/>
        </w:rPr>
      </w:pPr>
    </w:p>
    <w:p>
      <w:pPr>
        <w:rPr>
          <w:rFonts w:hint="default" w:ascii="Times New Roman" w:hAnsi="Times New Roman" w:eastAsia="微软雅黑" w:cs="Times New Roman"/>
          <w:b/>
          <w:bCs/>
          <w:i w:val="0"/>
          <w:iCs w:val="0"/>
          <w:caps w:val="0"/>
          <w:color w:val="000000"/>
          <w:spacing w:val="0"/>
          <w:sz w:val="44"/>
          <w:szCs w:val="44"/>
        </w:rPr>
      </w:pPr>
    </w:p>
    <w:p>
      <w:pPr>
        <w:rPr>
          <w:rFonts w:hint="eastAsia" w:ascii="Times New Roman" w:hAnsi="Times New Roman" w:eastAsia="微软雅黑" w:cs="Times New Roman"/>
          <w:b w:val="0"/>
          <w:bCs w:val="0"/>
          <w:i w:val="0"/>
          <w:iCs w:val="0"/>
          <w:caps w:val="0"/>
          <w:color w:val="000000"/>
          <w:spacing w:val="0"/>
          <w:sz w:val="28"/>
          <w:szCs w:val="28"/>
          <w:lang w:val="en-US" w:eastAsia="zh-CN"/>
        </w:rPr>
      </w:pPr>
      <w:r>
        <w:rPr>
          <w:rFonts w:hint="eastAsia" w:ascii="Times New Roman" w:hAnsi="Times New Roman" w:eastAsia="微软雅黑" w:cs="Times New Roman"/>
          <w:b w:val="0"/>
          <w:bCs w:val="0"/>
          <w:i w:val="0"/>
          <w:iCs w:val="0"/>
          <w:caps w:val="0"/>
          <w:color w:val="000000"/>
          <w:spacing w:val="0"/>
          <w:sz w:val="28"/>
          <w:szCs w:val="28"/>
          <w:lang w:val="en-US" w:eastAsia="zh-CN"/>
        </w:rPr>
        <w:t>Lecturer: Lisa Knight</w:t>
      </w:r>
    </w:p>
    <w:p>
      <w:pPr>
        <w:rPr>
          <w:rFonts w:hint="eastAsia" w:ascii="Times New Roman" w:hAnsi="Times New Roman" w:eastAsia="微软雅黑" w:cs="Times New Roman"/>
          <w:b w:val="0"/>
          <w:bCs w:val="0"/>
          <w:i w:val="0"/>
          <w:iCs w:val="0"/>
          <w:caps w:val="0"/>
          <w:color w:val="000000"/>
          <w:spacing w:val="0"/>
          <w:sz w:val="28"/>
          <w:szCs w:val="28"/>
          <w:lang w:val="en-US" w:eastAsia="zh-CN"/>
        </w:rPr>
      </w:pPr>
      <w:r>
        <w:rPr>
          <w:rFonts w:hint="eastAsia" w:ascii="Times New Roman" w:hAnsi="Times New Roman" w:eastAsia="微软雅黑" w:cs="Times New Roman"/>
          <w:b w:val="0"/>
          <w:bCs w:val="0"/>
          <w:i w:val="0"/>
          <w:iCs w:val="0"/>
          <w:caps w:val="0"/>
          <w:color w:val="000000"/>
          <w:spacing w:val="0"/>
          <w:sz w:val="28"/>
          <w:szCs w:val="28"/>
          <w:lang w:val="en-US" w:eastAsia="zh-CN"/>
        </w:rPr>
        <w:t>Module code: BMBM6012</w:t>
      </w:r>
    </w:p>
    <w:p>
      <w:pPr>
        <w:rPr>
          <w:rFonts w:hint="default" w:ascii="Times New Roman" w:hAnsi="Times New Roman" w:eastAsia="微软雅黑" w:cs="Times New Roman"/>
          <w:b w:val="0"/>
          <w:bCs w:val="0"/>
          <w:i w:val="0"/>
          <w:iCs w:val="0"/>
          <w:caps w:val="0"/>
          <w:color w:val="000000"/>
          <w:spacing w:val="0"/>
          <w:sz w:val="28"/>
          <w:szCs w:val="28"/>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eastAsia="微软雅黑" w:cs="Times New Roman"/>
          <w:b w:val="0"/>
          <w:bCs w:val="0"/>
          <w:i w:val="0"/>
          <w:iCs w:val="0"/>
          <w:caps w:val="0"/>
          <w:color w:val="000000"/>
          <w:spacing w:val="0"/>
          <w:sz w:val="28"/>
          <w:szCs w:val="28"/>
          <w:lang w:val="en-US" w:eastAsia="zh-CN"/>
        </w:rPr>
        <w:t xml:space="preserve">Group Member: Yuhang Wu(2106539), Chaoyue Luan(2100356), Chuanjing Ai(2106362), Haotian Peng(2106635), Benyin Chen(2001404) </w:t>
      </w:r>
    </w:p>
    <w:p>
      <w:pPr>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Abstract</w:t>
      </w:r>
    </w:p>
    <w:p>
      <w:pPr>
        <w:rPr>
          <w:rFonts w:hint="default" w:ascii="Times New Roman" w:hAnsi="Times New Roman" w:cs="Times New Roman"/>
          <w:b/>
          <w:bCs/>
          <w:sz w:val="30"/>
          <w:szCs w:val="30"/>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We are a team of four and our mission is to develop innovative leadership skills for organizational leadership teams. Each of our four panelists was tasked with introducing the importance of innovative leadership, developing a detailed learning plan, justification of chosen methods, and providing learning theory arguments.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report will introduce the importance of innovation leadership, as well as the tasks of each team member. Explain why innovative leadership was chosen and list the benefits of innovative leadership. Then describe the learning plan of the group in detail, such as the purpose of developing the learning plan, the methods used, the task of developing the group discussion, asking them questions, evaluating innovative leadership, taking the problem as the center, causing them to think, and finally letting them summarize and get feedback.A third member will evaluate the methods used in the study plan. These methods such as group discussions and group activities are listed and the advantages of these methods are assessed.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according to the knowledge of learning theory, find the corresponding methods used in this study plan, and make an evaluation. List its help to adult scholars, and analyze its advantages and disadvantages.</w:t>
      </w:r>
    </w:p>
    <w:p>
      <w:pPr>
        <w:spacing w:line="360" w:lineRule="auto"/>
        <w:rPr>
          <w:rFonts w:hint="default" w:ascii="Times New Roman" w:hAnsi="Times New Roman" w:cs="Times New Roman"/>
          <w:b/>
          <w:bCs/>
          <w:sz w:val="24"/>
          <w:szCs w:val="24"/>
          <w:lang w:val="en-US" w:eastAsia="zh-CN"/>
        </w:rPr>
        <w:sectPr>
          <w:pgSz w:w="11906" w:h="16838"/>
          <w:pgMar w:top="1440" w:right="1800" w:bottom="1440" w:left="1800" w:header="851" w:footer="992" w:gutter="0"/>
          <w:cols w:space="425" w:num="1"/>
          <w:docGrid w:type="lines" w:linePitch="312" w:charSpace="0"/>
        </w:sectPr>
      </w:pPr>
    </w:p>
    <w:sdt>
      <w:sdtPr>
        <w:rPr>
          <w:rFonts w:ascii="宋体" w:hAnsi="宋体" w:eastAsia="宋体" w:cstheme="minorBidi"/>
          <w:kern w:val="2"/>
          <w:sz w:val="21"/>
          <w:szCs w:val="24"/>
          <w:lang w:val="en-US" w:eastAsia="zh-CN" w:bidi="ar-SA"/>
        </w:rPr>
        <w:id w:val="147479658"/>
        <w15:color w:val="DBDBDB"/>
        <w:docPartObj>
          <w:docPartGallery w:val="Table of Contents"/>
          <w:docPartUnique/>
        </w:docPartObj>
      </w:sdtPr>
      <w:sdtEndPr>
        <w:rPr>
          <w:rFonts w:hint="eastAsia" w:asciiTheme="minorHAnsi" w:hAnsiTheme="minorHAnsi" w:eastAsiaTheme="minorEastAsia" w:cstheme="minorBidi"/>
          <w:b/>
          <w:kern w:val="2"/>
          <w:sz w:val="21"/>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Content</w:t>
          </w:r>
          <w:bookmarkStart w:id="20" w:name="_GoBack"/>
          <w:bookmarkEnd w:id="20"/>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"1-2"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_Toc32136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_Toc32136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_Toc25737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2.0 </w:t>
          </w:r>
          <w:r>
            <w:rPr>
              <w:rFonts w:hint="default" w:ascii="Times New Roman" w:hAnsi="Times New Roman" w:cs="Times New Roman"/>
              <w:sz w:val="24"/>
              <w:szCs w:val="24"/>
            </w:rPr>
            <w:t>A summary of why the skill you selected is essential for leadership success.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_Toc25737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_Toc11621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3.0 </w:t>
          </w:r>
          <w:r>
            <w:rPr>
              <w:rFonts w:hint="default" w:ascii="Times New Roman" w:hAnsi="Times New Roman" w:cs="Times New Roman"/>
              <w:sz w:val="24"/>
              <w:szCs w:val="24"/>
            </w:rPr>
            <w:t>A detailed learning plan, based on the template and guidance provided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_Toc11621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_Toc30180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4.0 </w:t>
          </w:r>
          <w:r>
            <w:rPr>
              <w:rFonts w:hint="default" w:ascii="Times New Roman" w:hAnsi="Times New Roman" w:cs="Times New Roman"/>
              <w:sz w:val="24"/>
              <w:szCs w:val="24"/>
            </w:rPr>
            <w:t>Justification of chosen methods and the principles of learning design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_Toc7459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5.0 </w:t>
          </w:r>
          <w:r>
            <w:rPr>
              <w:rFonts w:hint="default" w:ascii="Times New Roman" w:hAnsi="Times New Roman" w:cs="Times New Roman"/>
              <w:sz w:val="24"/>
              <w:szCs w:val="24"/>
            </w:rPr>
            <w:t>What learning theory is represented by the chosen methods in the learning plan design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_Toc7459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_Toc10084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5.1 </w:t>
          </w:r>
          <w:r>
            <w:rPr>
              <w:rFonts w:hint="default" w:ascii="Times New Roman" w:hAnsi="Times New Roman" w:cs="Times New Roman"/>
              <w:sz w:val="24"/>
              <w:szCs w:val="24"/>
            </w:rPr>
            <w:t>Conceptualization of the Bloom’s taxonomy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_Toc10084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_Toc16913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5.2 </w:t>
          </w:r>
          <w:r>
            <w:rPr>
              <w:rFonts w:hint="default" w:ascii="Times New Roman" w:hAnsi="Times New Roman" w:cs="Times New Roman"/>
              <w:sz w:val="24"/>
              <w:szCs w:val="24"/>
            </w:rPr>
            <w:t>Criticism of the taxonomy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_Toc16913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_Toc22887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6.0 </w:t>
          </w:r>
          <w:r>
            <w:rPr>
              <w:rFonts w:hint="default" w:ascii="Times New Roman" w:hAnsi="Times New Roman" w:cs="Times New Roman"/>
              <w:sz w:val="24"/>
              <w:szCs w:val="24"/>
            </w:rPr>
            <w:t>What learning theory is represented by the chosen methods in the learning plan design</w:t>
          </w:r>
          <w:r>
            <w:rPr>
              <w:rFonts w:hint="default" w:ascii="Times New Roman" w:hAnsi="Times New Roman" w:cs="Times New Roman"/>
              <w:sz w:val="24"/>
              <w:szCs w:val="24"/>
              <w:lang w:val="en-US" w:eastAsia="zh-CN"/>
            </w:rPr>
            <w:t>(Based on another learning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_Toc22887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_Toc25152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6.1 </w:t>
          </w:r>
          <w:r>
            <w:rPr>
              <w:rFonts w:hint="default" w:ascii="Times New Roman" w:hAnsi="Times New Roman" w:cs="Times New Roman"/>
              <w:sz w:val="24"/>
              <w:szCs w:val="24"/>
            </w:rPr>
            <w:t>Conceptualization of group learning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_Toc25152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_Toc3158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6.2 </w:t>
          </w:r>
          <w:r>
            <w:rPr>
              <w:rFonts w:hint="default" w:ascii="Times New Roman" w:hAnsi="Times New Roman" w:cs="Times New Roman"/>
              <w:sz w:val="24"/>
              <w:szCs w:val="24"/>
            </w:rPr>
            <w:t>Group learning and innovation/creativity: benefits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_Toc27810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6.3 </w:t>
          </w:r>
          <w:r>
            <w:rPr>
              <w:rFonts w:hint="default" w:ascii="Times New Roman" w:hAnsi="Times New Roman" w:cs="Times New Roman"/>
              <w:sz w:val="24"/>
              <w:szCs w:val="24"/>
            </w:rPr>
            <w:t>Group learning and innovation/creativity: criticisms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_Toc27810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_Toc27332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7.0 Recommendation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_Toc27332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_Toc9028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8.0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_Toc9028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_Toc28992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9.0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_Toc28992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_Toc12355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10.0 Appendix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_Toc12355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spacing w:line="360" w:lineRule="auto"/>
            <w:rPr>
              <w:rFonts w:hint="eastAsia"/>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fldChar w:fldCharType="end"/>
          </w:r>
        </w:p>
      </w:sdtContent>
    </w:sdt>
    <w:p>
      <w:pPr>
        <w:pStyle w:val="2"/>
        <w:bidi w:val="0"/>
        <w:rPr>
          <w:rFonts w:hint="eastAsia" w:ascii="Times New Roman" w:hAnsi="Times New Roman" w:cs="Times New Roman"/>
          <w:sz w:val="28"/>
          <w:szCs w:val="28"/>
          <w:lang w:val="en-US" w:eastAsia="zh-CN"/>
        </w:rPr>
      </w:pPr>
      <w:bookmarkStart w:id="0" w:name="_Toc32136"/>
      <w:r>
        <w:rPr>
          <w:rFonts w:hint="eastAsia" w:ascii="Times New Roman" w:hAnsi="Times New Roman" w:cs="Times New Roman"/>
          <w:sz w:val="28"/>
          <w:szCs w:val="28"/>
          <w:lang w:val="en-US" w:eastAsia="zh-CN"/>
        </w:rPr>
        <w:t>1.0 Introduction</w:t>
      </w:r>
      <w:bookmarkEnd w:id="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developed world of today would not be possible if the world did not have the ability to innovate. With the rapid development of science and technology today, the awareness of innovation and the ability to innovate are increasingly becoming important factors in a country's competitiveness and international status. Competition in today's world is not only a competition for talent, but also a competition for human creativity. The strength of a company is intimately related to leadership and the breakthrough innovation of its employees.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p>
    <w:p>
      <w:pPr>
        <w:spacing w:line="360" w:lineRule="auto"/>
        <w:rPr>
          <w:rFonts w:hint="default"/>
          <w:lang w:val="en-US" w:eastAsia="zh-CN"/>
        </w:rPr>
      </w:pPr>
      <w:r>
        <w:rPr>
          <w:rFonts w:hint="default" w:ascii="Times New Roman" w:hAnsi="Times New Roman" w:cs="Times New Roman"/>
          <w:b w:val="0"/>
          <w:bCs w:val="0"/>
          <w:sz w:val="24"/>
          <w:szCs w:val="24"/>
          <w:lang w:val="en-US" w:eastAsia="zh-CN"/>
        </w:rPr>
        <w:t>The aim of this presentation is therefore to make group members aware of the importance of innovation through training. The information was conveyed to the members by means of a lecture, which included an analysis of what innovation means to a company and the advantages and impact it can have in the workplace.</w:t>
      </w:r>
    </w:p>
    <w:p>
      <w:pPr>
        <w:bidi w:val="0"/>
        <w:rPr>
          <w:rFonts w:hint="default"/>
          <w:lang w:val="en-US" w:eastAsia="zh-CN"/>
        </w:rPr>
      </w:pPr>
    </w:p>
    <w:p>
      <w:pPr>
        <w:pStyle w:val="2"/>
        <w:bidi w:val="0"/>
        <w:rPr>
          <w:rFonts w:hint="default" w:ascii="Times New Roman" w:hAnsi="Times New Roman" w:cs="Times New Roman"/>
          <w:sz w:val="28"/>
          <w:szCs w:val="28"/>
        </w:rPr>
      </w:pPr>
      <w:bookmarkStart w:id="1" w:name="_Toc25737"/>
      <w:r>
        <w:rPr>
          <w:rFonts w:hint="default" w:ascii="Times New Roman" w:hAnsi="Times New Roman" w:cs="Times New Roman"/>
          <w:sz w:val="28"/>
          <w:szCs w:val="28"/>
          <w:lang w:val="en-US" w:eastAsia="zh-CN"/>
        </w:rPr>
        <w:t xml:space="preserve">2.0 </w:t>
      </w:r>
      <w:r>
        <w:rPr>
          <w:rFonts w:hint="default" w:ascii="Times New Roman" w:hAnsi="Times New Roman" w:cs="Times New Roman"/>
          <w:sz w:val="28"/>
          <w:szCs w:val="28"/>
        </w:rPr>
        <w:t>A summary of why the skill you selected is essential for leadership success.</w:t>
      </w:r>
      <w:bookmarkEnd w:id="1"/>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With the change of the times, in the process of enterprise development, with the improvement of consumer brand consumption concept, enterprise product production and technology need to be innovated. Only by adhering to innovative thinking can enterprises develop stably for a long time and establish the effective competitiveness of en</w:t>
      </w:r>
      <w:r>
        <w:rPr>
          <w:rFonts w:hint="default" w:ascii="Times New Roman" w:hAnsi="Times New Roman" w:cs="Times New Roman"/>
          <w:sz w:val="24"/>
          <w:szCs w:val="24"/>
          <w:lang w:val="en-US" w:eastAsia="zh-CN"/>
        </w:rPr>
        <w:t>terprise products.</w:t>
      </w:r>
      <w:r>
        <w:rPr>
          <w:rFonts w:hint="eastAsia" w:ascii="Times New Roman" w:hAnsi="Times New Roman" w:cs="Times New Roman"/>
          <w:sz w:val="24"/>
          <w:szCs w:val="24"/>
          <w:lang w:val="en-US" w:eastAsia="zh-CN"/>
        </w:rPr>
        <w:t xml:space="preserve"> Innovation is to create a novel and valuable achievement according to the existing conditions of the enterprise. Only through continuous innovation can enterprises survive in the fierce market competition environment</w:t>
      </w:r>
      <w:r>
        <w:rPr>
          <w:rFonts w:hint="default" w:ascii="Times New Roman" w:hAnsi="Times New Roman" w:eastAsia="Helvetica" w:cs="Times New Roman"/>
          <w:i w:val="0"/>
          <w:iCs w:val="0"/>
          <w:caps w:val="0"/>
          <w:color w:val="3A3A3A"/>
          <w:spacing w:val="0"/>
          <w:sz w:val="24"/>
          <w:szCs w:val="24"/>
          <w:shd w:val="clear" w:fill="FFFFFF"/>
        </w:rPr>
        <w:t>(</w:t>
      </w:r>
      <w:r>
        <w:rPr>
          <w:rFonts w:hint="default" w:ascii="Times New Roman" w:hAnsi="Times New Roman" w:cs="Times New Roman"/>
          <w:sz w:val="24"/>
          <w:szCs w:val="24"/>
          <w:lang w:val="en-US" w:eastAsia="zh-CN"/>
        </w:rPr>
        <w:t>Dawson, Andriopoulos and Andriopoulos, 2014</w:t>
      </w:r>
      <w:r>
        <w:rPr>
          <w:rFonts w:hint="default" w:ascii="Times New Roman" w:hAnsi="Times New Roman" w:eastAsia="Helvetica" w:cs="Times New Roman"/>
          <w:i w:val="0"/>
          <w:iCs w:val="0"/>
          <w:caps w:val="0"/>
          <w:color w:val="3A3A3A"/>
          <w:spacing w:val="0"/>
          <w:sz w:val="24"/>
          <w:szCs w:val="24"/>
          <w:shd w:val="clear" w:fill="FFFFFF"/>
        </w:rPr>
        <w:t>)</w:t>
      </w:r>
      <w:r>
        <w:rPr>
          <w:rFonts w:hint="default" w:ascii="Times New Roman" w:hAnsi="Times New Roman" w:cs="Times New Roman"/>
          <w:sz w:val="24"/>
          <w:szCs w:val="24"/>
        </w:rPr>
        <w:t>.</w:t>
      </w:r>
    </w:p>
    <w:p>
      <w:pPr>
        <w:spacing w:line="360" w:lineRule="auto"/>
        <w:rPr>
          <w:rFonts w:hint="default" w:ascii="Times New Roman" w:hAnsi="Times New Roman" w:cs="Times New Roman"/>
          <w:sz w:val="24"/>
          <w:szCs w:val="24"/>
        </w:rPr>
      </w:pPr>
    </w:p>
    <w:p>
      <w:pPr>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rPr>
        <w:t>As for the management innovation of enterprise leaders, American management scientist Hamel</w:t>
      </w:r>
      <w:r>
        <w:rPr>
          <w:rFonts w:hint="eastAsia" w:ascii="Times New Roman" w:hAnsi="Times New Roman" w:cs="Times New Roman"/>
          <w:sz w:val="24"/>
          <w:szCs w:val="24"/>
          <w:lang w:eastAsia="zh-CN"/>
        </w:rPr>
        <w:t>（</w:t>
      </w:r>
      <w:r>
        <w:rPr>
          <w:rFonts w:hint="default" w:ascii="Times New Roman" w:hAnsi="Times New Roman" w:cs="Times New Roman"/>
          <w:sz w:val="24"/>
          <w:szCs w:val="24"/>
          <w:lang w:val="en-US" w:eastAsia="zh-CN"/>
        </w:rPr>
        <w:t>201</w:t>
      </w:r>
      <w:r>
        <w:rPr>
          <w:rFonts w:hint="eastAsia" w:ascii="Times New Roman" w:hAnsi="Times New Roman" w:cs="Times New Roman"/>
          <w:sz w:val="24"/>
          <w:szCs w:val="24"/>
          <w:lang w:val="en-US" w:eastAsia="zh-CN"/>
        </w:rPr>
        <w:t>2</w:t>
      </w:r>
      <w:r>
        <w:rPr>
          <w:rFonts w:hint="default" w:ascii="Times New Roman" w:hAnsi="Times New Roman" w:eastAsia="Helvetica" w:cs="Times New Roman"/>
          <w:i w:val="0"/>
          <w:iCs w:val="0"/>
          <w:caps w:val="0"/>
          <w:color w:val="3A3A3A"/>
          <w:spacing w:val="0"/>
          <w:sz w:val="24"/>
          <w:szCs w:val="24"/>
          <w:shd w:val="clear" w:fill="FFFFFF"/>
        </w:rPr>
        <w:t>)</w:t>
      </w:r>
      <w:r>
        <w:rPr>
          <w:rFonts w:hint="default" w:ascii="Times New Roman" w:hAnsi="Times New Roman" w:cs="Times New Roman"/>
          <w:sz w:val="24"/>
          <w:szCs w:val="24"/>
        </w:rPr>
        <w:t xml:space="preserve"> believes that management innovation is an innovative behavior aimed at enterprise leaders to make more effective use of enterprise resources. Through effective innovation management methods, enterprises can innovate, which can improve the economic benefits of enterprises in management, reduce transaction costs, and broaden the market, so as to form a unique brand advantage of enterprises.</w:t>
      </w:r>
      <w:r>
        <w:rPr>
          <w:rFonts w:hint="eastAsia" w:ascii="Times New Roman" w:hAnsi="Times New Roman" w:cs="Times New Roman"/>
          <w:sz w:val="24"/>
          <w:szCs w:val="24"/>
          <w:lang w:val="en-US" w:eastAsia="zh-CN"/>
        </w:rPr>
        <w:t xml:space="preserve"> Enterprise technological innovation is one of the important skills that enterprise leaders need to possess, which can provide the most basic guarantee measures for enterprises. In the industry competition, the differentiation of enterprise cost and cost are the most important factors(Wang Yu, 2021). The technological innovation of enterprise leaders can reduce production costs, and innovative technologies can provide differentiated advantages for enterprises, which can help enterprises improve market competition share and expand competitive advantage. In addition, enterprise system innovation skills are also one of the most important skills for enterprise leaders. Institutional innovation can provide guarantee and support for the management of enterprise leaders. At the same time, it can help enterprise leaders stimulate the enthusiasm and creativity of employees, promote the rational use of enterprise resources, and then improve the leadership of leaders. For the innovation of corporate culture, leaders need to form the corporate culture of common values according to their own characteristics and nature, so as to achieve a breakthrough in the construction of corporate culture and continuously improve the competitiveness of enterprises, which can help the leaders of enterprises improve their leadership</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Finally, marketing innovation is an important skill for enterprise leaders to improve customer consumption experience and maintain enterprise competitive advantage. If enterprise leaders have good marketing innovative thinking, they can help enterprises maximize market share, attract consumers and improve their brand image. At the same time, an excellent leader must have the need to master marketing innovation skills, help enterprises adapt to the new market environment, and accelerate the development of enterprises through marketing means. A good marketing model can help enterprises optimize service quality, improve customer satisfaction, and then achieve customer loyalty and cultivate customer resources. This not only strengthens the ability of enterprises to resist market risks, but also an important means of operation and management innovation, but also an important guarantee for the sustainable and stable efficiency of enterprises. Therefore, this can help enterprise leaders improve their leadership </w:t>
      </w:r>
      <w:r>
        <w:rPr>
          <w:rFonts w:hint="default" w:ascii="Times New Roman" w:hAnsi="Times New Roman" w:eastAsia="Helvetica" w:cs="Times New Roman"/>
          <w:i w:val="0"/>
          <w:iCs w:val="0"/>
          <w:caps w:val="0"/>
          <w:color w:val="3A3A3A"/>
          <w:spacing w:val="0"/>
          <w:sz w:val="24"/>
          <w:szCs w:val="24"/>
          <w:shd w:val="clear" w:fill="FFFFFF"/>
        </w:rPr>
        <w:t>(Bessant and Tidd, 2015)</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present, the market competition is very fierce. Innovative thinking is a kind of thinking to explore new fields and solve new practical problems. As the leader of an enterprise, the thinking mode of decision-makers is directly related to the level of decision-making. Therefore, leaders must get rid of the shackles of conventional thinking, drive thinking innovation with thinking innovation, and constantly enhance the awareness of development and innovation. Innovation skills are one of the most important skills that enterprise leaders need to master. Innovation skills are the decisive force for enterprise development</w:t>
      </w:r>
      <w:r>
        <w:rPr>
          <w:rFonts w:hint="default" w:ascii="Times New Roman" w:hAnsi="Times New Roman" w:eastAsia="Helvetica" w:cs="Times New Roman"/>
          <w:i w:val="0"/>
          <w:iCs w:val="0"/>
          <w:caps w:val="0"/>
          <w:color w:val="3A3A3A"/>
          <w:spacing w:val="0"/>
          <w:sz w:val="24"/>
          <w:szCs w:val="24"/>
          <w:shd w:val="clear" w:fill="FFFFFF"/>
        </w:rPr>
        <w:t>(Gold</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2007</w:t>
      </w:r>
      <w:r>
        <w:rPr>
          <w:rFonts w:hint="default" w:ascii="Times New Roman" w:hAnsi="Times New Roman" w:eastAsia="Helvetica" w:cs="Times New Roman"/>
          <w:i w:val="0"/>
          <w:iCs w:val="0"/>
          <w:caps w:val="0"/>
          <w:color w:val="3A3A3A"/>
          <w:spacing w:val="0"/>
          <w:sz w:val="24"/>
          <w:szCs w:val="24"/>
          <w:shd w:val="clear" w:fill="FFFFFF"/>
        </w:rPr>
        <w:t>)</w:t>
      </w:r>
      <w:r>
        <w:rPr>
          <w:rFonts w:hint="default" w:ascii="Times New Roman" w:hAnsi="Times New Roman" w:cs="Times New Roman"/>
          <w:sz w:val="24"/>
          <w:szCs w:val="24"/>
          <w:lang w:val="en-US" w:eastAsia="zh-CN"/>
        </w:rPr>
        <w:t>. Now all kinds of markets are close to saturation and similar.</w:t>
      </w:r>
      <w:r>
        <w:rPr>
          <w:rFonts w:hint="eastAsia" w:ascii="Times New Roman" w:hAnsi="Times New Roman" w:cs="Times New Roman"/>
          <w:sz w:val="24"/>
          <w:szCs w:val="24"/>
          <w:lang w:val="en-US" w:eastAsia="zh-CN"/>
        </w:rPr>
        <w:t xml:space="preserve"> If enterprises want to develop for a long time, they need to establish the core competitiveness of the brand. Leaders should give full play to innovative thinking, and taking the route of independent brand development is the best thinking. With the progress of the times, enterprises should keep pace with the times and adjust the enterprise management and operation mode in order to effectively stand out from the changes of the times</w:t>
      </w:r>
      <w:r>
        <w:rPr>
          <w:rFonts w:hint="default" w:ascii="Times New Roman" w:hAnsi="Times New Roman" w:eastAsia="Helvetica" w:cs="Times New Roman"/>
          <w:i w:val="0"/>
          <w:iCs w:val="0"/>
          <w:caps w:val="0"/>
          <w:color w:val="3A3A3A"/>
          <w:spacing w:val="0"/>
          <w:sz w:val="24"/>
          <w:szCs w:val="24"/>
          <w:shd w:val="clear" w:fill="FFFFFF"/>
        </w:rPr>
        <w:t>(Denning</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2012</w:t>
      </w:r>
      <w:r>
        <w:rPr>
          <w:rFonts w:hint="default" w:ascii="Times New Roman" w:hAnsi="Times New Roman" w:eastAsia="Helvetica" w:cs="Times New Roman"/>
          <w:i w:val="0"/>
          <w:iCs w:val="0"/>
          <w:caps w:val="0"/>
          <w:color w:val="3A3A3A"/>
          <w:spacing w:val="0"/>
          <w:sz w:val="24"/>
          <w:szCs w:val="24"/>
          <w:shd w:val="clear" w:fill="FFFFFF"/>
        </w:rPr>
        <w:t>)</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If enterprise leaders can give full play to their innovation skills, it can well motivate employees' motivation and encourage employees to innovate, so as to improve work efficiency. An excellent leader must actively listen to the opinions of employees, so that the employees of the enterprise can be valued and respected, so as to make them full of innovation passion, which can well improve the motivation of employees' work. Enterprise leaders can establish an innovation management system according to innovation skills as a way for enterprises to obtain innovation suggestions, and once employees' suggestions are adopted, it can stimulate employees' innovation passion and work motivation to the greatest extent</w:t>
      </w:r>
      <w:r>
        <w:rPr>
          <w:rFonts w:hint="default" w:ascii="Times New Roman" w:hAnsi="Times New Roman" w:eastAsia="Helvetica" w:cs="Times New Roman"/>
          <w:i w:val="0"/>
          <w:iCs w:val="0"/>
          <w:caps w:val="0"/>
          <w:color w:val="3A3A3A"/>
          <w:spacing w:val="0"/>
          <w:sz w:val="24"/>
          <w:szCs w:val="24"/>
          <w:shd w:val="clear" w:fill="FFFFFF"/>
        </w:rPr>
        <w:t>(</w:t>
      </w:r>
      <w:r>
        <w:rPr>
          <w:rFonts w:hint="eastAsia" w:ascii="Times New Roman" w:hAnsi="Times New Roman" w:eastAsia="宋体" w:cs="Times New Roman"/>
          <w:i w:val="0"/>
          <w:iCs w:val="0"/>
          <w:caps w:val="0"/>
          <w:color w:val="3A3A3A"/>
          <w:spacing w:val="0"/>
          <w:sz w:val="24"/>
          <w:szCs w:val="24"/>
          <w:shd w:val="clear" w:fill="FFFFFF"/>
          <w:lang w:val="en-US" w:eastAsia="zh-CN"/>
        </w:rPr>
        <w:t>Duan Li</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2021</w:t>
      </w:r>
      <w:r>
        <w:rPr>
          <w:rFonts w:hint="default" w:ascii="Times New Roman" w:hAnsi="Times New Roman" w:eastAsia="Helvetica" w:cs="Times New Roman"/>
          <w:i w:val="0"/>
          <w:iCs w:val="0"/>
          <w:caps w:val="0"/>
          <w:color w:val="3A3A3A"/>
          <w:spacing w:val="0"/>
          <w:sz w:val="24"/>
          <w:szCs w:val="24"/>
          <w:shd w:val="clear" w:fill="FFFFFF"/>
        </w:rPr>
        <w:t>)</w:t>
      </w:r>
      <w:r>
        <w:rPr>
          <w:rFonts w:hint="eastAsia" w:ascii="Times New Roman" w:hAnsi="Times New Roman" w:cs="Times New Roman"/>
          <w:sz w:val="24"/>
          <w:szCs w:val="24"/>
          <w:lang w:val="en-US" w:eastAsia="zh-CN"/>
        </w:rPr>
        <w:t>. At the same time, leaders can also maintain employees' innovation passion through innovation skills. Leaders can establish a basic institutional system based on innovation skills, which can strengthen the operation of this innovation power until it can form a virtuous circle between employees' innovation confidence and enterprise innovation achievements. Under the leadership of leaders' innovative thinking, employees can stimulate work motivation, and these innovative abilities can be accumulated, and the operation of the company can be improved(Kong Hang, 2020). In addition, as a leader of an enterprise, we need to make full use of innovation skills to create an organizational structure, stimulate employees' work motivation, give employees sufficient space for learning and growth, and enhance employees' innovation ability. By improving the mechanism, innovation platform, cultural atmosphere and incentive mechanism, we have promoted the cultivation of innovative employees, and also realized the win-win situation between enterprises and employees(Innovation, 2021). Therefore, enterprise leaders can fully show their innovation skills, which can maximize the work motivation and innovation ability of employees, so as to improve the work efficiency of the enterprise and expand the competitive advantage.</w:t>
      </w:r>
    </w:p>
    <w:p>
      <w:pPr>
        <w:rPr>
          <w:rFonts w:hint="default"/>
          <w:lang w:val="en-US" w:eastAsia="zh-CN"/>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Team member</w:t>
            </w:r>
          </w:p>
        </w:tc>
        <w:tc>
          <w:tcPr>
            <w:tcW w:w="4261" w:type="dxa"/>
          </w:tcPr>
          <w:p>
            <w:pP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Completion </w:t>
            </w:r>
            <w:r>
              <w:rPr>
                <w:rFonts w:hint="eastAsia" w:ascii="Times New Roman" w:hAnsi="Times New Roman" w:cs="Times New Roman"/>
                <w:sz w:val="24"/>
                <w:szCs w:val="24"/>
                <w:vertAlign w:val="baseline"/>
                <w:lang w:val="en-US" w:eastAsia="zh-CN"/>
              </w:rPr>
              <w:t>e</w:t>
            </w:r>
            <w:r>
              <w:rPr>
                <w:rFonts w:hint="default" w:ascii="Times New Roman" w:hAnsi="Times New Roman" w:cs="Times New Roman"/>
                <w:sz w:val="24"/>
                <w:szCs w:val="24"/>
                <w:vertAlign w:val="baseline"/>
              </w:rPr>
              <w:t>lements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Yuhang Wu</w:t>
            </w:r>
          </w:p>
        </w:tc>
        <w:tc>
          <w:tcPr>
            <w:tcW w:w="4261" w:type="dxa"/>
          </w:tcPr>
          <w:p>
            <w:pP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 summary of why the skill you selected is essential for leadership success.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Chaoyue Luan</w:t>
            </w:r>
          </w:p>
        </w:tc>
        <w:tc>
          <w:tcPr>
            <w:tcW w:w="4261" w:type="dxa"/>
          </w:tcPr>
          <w:p>
            <w:pP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 detailed learning plan, based on the template and guidance provided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Chuanjing Ai</w:t>
            </w:r>
          </w:p>
        </w:tc>
        <w:tc>
          <w:tcPr>
            <w:tcW w:w="4261" w:type="dxa"/>
          </w:tcPr>
          <w:p>
            <w:pP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Justification of chosen methods and the principles of learning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Haotian Peng</w:t>
            </w:r>
          </w:p>
        </w:tc>
        <w:tc>
          <w:tcPr>
            <w:tcW w:w="4261" w:type="dxa"/>
          </w:tcPr>
          <w:p>
            <w:pP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What learning theory is represented by the chosen methods in the learning plan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Benyin Chen</w:t>
            </w:r>
          </w:p>
        </w:tc>
        <w:tc>
          <w:tcPr>
            <w:tcW w:w="4261" w:type="dxa"/>
          </w:tcPr>
          <w:p>
            <w:pP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What learning theory is represented by the chosen methods in the learning plan design</w:t>
            </w:r>
            <w:r>
              <w:rPr>
                <w:rFonts w:hint="eastAsia" w:ascii="Times New Roman" w:hAnsi="Times New Roman" w:cs="Times New Roman"/>
                <w:sz w:val="24"/>
                <w:szCs w:val="24"/>
                <w:vertAlign w:val="baseline"/>
                <w:lang w:val="en-US" w:eastAsia="zh-CN"/>
              </w:rPr>
              <w:t>(Based on another learning theory)</w:t>
            </w:r>
          </w:p>
        </w:tc>
      </w:tr>
    </w:tbl>
    <w:p>
      <w:pPr>
        <w:rPr>
          <w:rFonts w:hint="default"/>
          <w:lang w:val="en-US" w:eastAsia="zh-CN"/>
        </w:rPr>
      </w:pPr>
    </w:p>
    <w:p>
      <w:pPr>
        <w:rPr>
          <w:rFonts w:hint="default"/>
          <w:lang w:val="en-US" w:eastAsia="zh-CN"/>
        </w:rPr>
      </w:pPr>
    </w:p>
    <w:p>
      <w:pPr>
        <w:pStyle w:val="2"/>
        <w:bidi w:val="0"/>
        <w:rPr>
          <w:rFonts w:hint="default" w:ascii="Times New Roman" w:hAnsi="Times New Roman" w:cs="Times New Roman"/>
          <w:sz w:val="28"/>
          <w:szCs w:val="28"/>
        </w:rPr>
      </w:pPr>
      <w:bookmarkStart w:id="2" w:name="_Toc11621"/>
      <w:r>
        <w:rPr>
          <w:rFonts w:hint="default" w:ascii="Times New Roman" w:hAnsi="Times New Roman" w:cs="Times New Roman"/>
          <w:sz w:val="28"/>
          <w:szCs w:val="28"/>
          <w:lang w:val="en-US" w:eastAsia="zh-CN"/>
        </w:rPr>
        <w:t xml:space="preserve">3.0 </w:t>
      </w:r>
      <w:r>
        <w:rPr>
          <w:rFonts w:hint="default" w:ascii="Times New Roman" w:hAnsi="Times New Roman" w:cs="Times New Roman"/>
          <w:sz w:val="28"/>
          <w:szCs w:val="28"/>
        </w:rPr>
        <w:t>A detailed learning plan, based on the template and guidance provided</w:t>
      </w:r>
      <w:bookmarkEnd w:id="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Session overview</w:t>
      </w:r>
    </w:p>
    <w:p>
      <w:pPr>
        <w:rPr>
          <w:rFonts w:hint="default"/>
          <w:lang w:val="en-US" w:eastAsia="zh-CN"/>
        </w:rPr>
      </w:pPr>
    </w:p>
    <w:tbl>
      <w:tblPr>
        <w:tblStyle w:val="9"/>
        <w:tblW w:w="868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20"/>
        <w:gridCol w:w="1643"/>
        <w:gridCol w:w="4772"/>
        <w:gridCol w:w="12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2" w:hRule="atLeast"/>
        </w:trPr>
        <w:tc>
          <w:tcPr>
            <w:tcW w:w="1020"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Time</w:t>
            </w:r>
          </w:p>
        </w:tc>
        <w:tc>
          <w:tcPr>
            <w:tcW w:w="1643"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Task</w:t>
            </w:r>
          </w:p>
        </w:tc>
        <w:tc>
          <w:tcPr>
            <w:tcW w:w="4772"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Content and activity</w:t>
            </w:r>
          </w:p>
        </w:tc>
        <w:tc>
          <w:tcPr>
            <w:tcW w:w="1248"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R</w:t>
            </w:r>
            <w:r>
              <w:rPr>
                <w:rFonts w:hint="default" w:ascii="Times New Roman" w:hAnsi="Times New Roman" w:cs="Times New Roman"/>
                <w:sz w:val="24"/>
                <w:szCs w:val="24"/>
                <w:vertAlign w:val="baseline"/>
                <w:lang w:val="en-US" w:eastAsia="zh-CN"/>
              </w:rPr>
              <w:t>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64" w:hRule="atLeast"/>
        </w:trPr>
        <w:tc>
          <w:tcPr>
            <w:tcW w:w="1020"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10 minutes</w:t>
            </w:r>
          </w:p>
        </w:tc>
        <w:tc>
          <w:tcPr>
            <w:tcW w:w="1643"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Introducing innovation</w:t>
            </w:r>
          </w:p>
        </w:tc>
        <w:tc>
          <w:tcPr>
            <w:tcW w:w="4772"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Innovation capacity, by subject, is most often referred to as national innovation capacity, regional innovation capacity, and firm innovation capacity, and there are several rankings of innovation indices that measure innovation capacity (Barrett, 1984).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p>
        </w:tc>
        <w:tc>
          <w:tcPr>
            <w:tcW w:w="1248"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Computer screen and iPad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00" w:hRule="atLeast"/>
        </w:trPr>
        <w:tc>
          <w:tcPr>
            <w:tcW w:w="1020"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15 minutes</w:t>
            </w:r>
          </w:p>
        </w:tc>
        <w:tc>
          <w:tcPr>
            <w:tcW w:w="1643"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importance of corporate culture for good innovation</w:t>
            </w:r>
          </w:p>
        </w:tc>
        <w:tc>
          <w:tcPr>
            <w:tcW w:w="4772"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Making group members aware of the importance of innovation for business</w:t>
            </w:r>
            <w:r>
              <w:rPr>
                <w:rFonts w:hint="eastAsia" w:ascii="Times New Roman" w:hAnsi="Times New Roman" w:cs="Times New Roman"/>
                <w:sz w:val="24"/>
                <w:szCs w:val="24"/>
                <w:vertAlign w:val="baseline"/>
                <w:lang w:val="en-US" w:eastAsia="zh-CN"/>
              </w:rPr>
              <w:t xml:space="preserve"> culture.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Corporate culture is an important factor influencing innovation and change within a company. It is the 'glue' that holds a company together, and this cohesive effect is reflected in all aspects of the company, and any initiative to improve the company's ability to innovate should be accompanied by a cultural</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transformation programme (Henry, 2020).</w:t>
            </w:r>
          </w:p>
        </w:tc>
        <w:tc>
          <w:tcPr>
            <w:tcW w:w="1248"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Computer, smart phone, projector and PPT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00" w:hRule="atLeast"/>
        </w:trPr>
        <w:tc>
          <w:tcPr>
            <w:tcW w:w="1020"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25 minutes</w:t>
            </w:r>
          </w:p>
        </w:tc>
        <w:tc>
          <w:tcPr>
            <w:tcW w:w="1643"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Leadership style is the key to driving innovation in your business</w:t>
            </w:r>
          </w:p>
        </w:tc>
        <w:tc>
          <w:tcPr>
            <w:tcW w:w="4772"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 company's leaders play a crucial role in driving innovation, and the style of those leaders in turn directly determines the level of innovation in the company</w:t>
            </w:r>
            <w:r>
              <w:rPr>
                <w:rFonts w:hint="eastAsia" w:ascii="Times New Roman" w:hAnsi="Times New Roman" w:cs="Times New Roman"/>
                <w:sz w:val="24"/>
                <w:szCs w:val="24"/>
                <w:vertAlign w:val="baseline"/>
                <w:lang w:val="en-US" w:eastAsia="zh-CN"/>
              </w:rPr>
              <w:t xml:space="preserve"> (Thompson, 2003). </w:t>
            </w:r>
            <w:r>
              <w:rPr>
                <w:rFonts w:hint="default" w:ascii="Times New Roman" w:hAnsi="Times New Roman" w:cs="Times New Roman"/>
                <w:sz w:val="24"/>
                <w:szCs w:val="24"/>
                <w:vertAlign w:val="baseline"/>
                <w:lang w:val="en-US" w:eastAsia="zh-CN"/>
              </w:rPr>
              <w:t>This is because leadership style often shapes the organi</w:t>
            </w:r>
            <w:r>
              <w:rPr>
                <w:rFonts w:hint="eastAsia" w:ascii="Times New Roman" w:hAnsi="Times New Roman" w:cs="Times New Roman"/>
                <w:sz w:val="24"/>
                <w:szCs w:val="24"/>
                <w:vertAlign w:val="baseline"/>
                <w:lang w:val="en-US" w:eastAsia="zh-CN"/>
              </w:rPr>
              <w:t>z</w:t>
            </w:r>
            <w:r>
              <w:rPr>
                <w:rFonts w:hint="default" w:ascii="Times New Roman" w:hAnsi="Times New Roman" w:cs="Times New Roman"/>
                <w:sz w:val="24"/>
                <w:szCs w:val="24"/>
                <w:vertAlign w:val="baseline"/>
                <w:lang w:val="en-US" w:eastAsia="zh-CN"/>
              </w:rPr>
              <w:t>ational culture and climate of a company</w:t>
            </w:r>
            <w:r>
              <w:rPr>
                <w:rFonts w:hint="eastAsia" w:ascii="Times New Roman" w:hAnsi="Times New Roman" w:cs="Times New Roman"/>
                <w:sz w:val="24"/>
                <w:szCs w:val="24"/>
                <w:vertAlign w:val="baseline"/>
                <w:lang w:val="en-US" w:eastAsia="zh-CN"/>
              </w:rPr>
              <w:t xml:space="preserve"> (Cantner, 2012). </w:t>
            </w:r>
            <w:r>
              <w:rPr>
                <w:rFonts w:hint="default" w:ascii="Times New Roman" w:hAnsi="Times New Roman" w:cs="Times New Roman"/>
                <w:sz w:val="24"/>
                <w:szCs w:val="24"/>
                <w:vertAlign w:val="baseline"/>
                <w:lang w:val="en-US" w:eastAsia="zh-CN"/>
              </w:rPr>
              <w:t>Those leaders who are effective tend to provide innovative direction, establish an organi</w:t>
            </w:r>
            <w:r>
              <w:rPr>
                <w:rFonts w:hint="eastAsia" w:ascii="Times New Roman" w:hAnsi="Times New Roman" w:cs="Times New Roman"/>
                <w:sz w:val="24"/>
                <w:szCs w:val="24"/>
                <w:vertAlign w:val="baseline"/>
                <w:lang w:val="en-US" w:eastAsia="zh-CN"/>
              </w:rPr>
              <w:t>z</w:t>
            </w:r>
            <w:r>
              <w:rPr>
                <w:rFonts w:hint="default" w:ascii="Times New Roman" w:hAnsi="Times New Roman" w:cs="Times New Roman"/>
                <w:sz w:val="24"/>
                <w:szCs w:val="24"/>
                <w:vertAlign w:val="baseline"/>
                <w:lang w:val="en-US" w:eastAsia="zh-CN"/>
              </w:rPr>
              <w:t>ational culture and climate conducive to innovation, encourage a high level of individual initiative and promote effective multi-functional teamwork and integration to ensure that best practice is spread and fully utilised in the company</w:t>
            </w:r>
            <w:r>
              <w:rPr>
                <w:rFonts w:hint="eastAsia" w:ascii="Times New Roman" w:hAnsi="Times New Roman" w:cs="Times New Roman"/>
                <w:sz w:val="24"/>
                <w:szCs w:val="24"/>
                <w:vertAlign w:val="baseline"/>
                <w:lang w:val="en-US" w:eastAsia="zh-CN"/>
              </w:rPr>
              <w:t xml:space="preserve"> (Raza, 2020).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While front-line managers can easily achieve change in results by changing themselves, senior managers in a business need to change the climate of their team by changing their leadership style to influence the members in their team</w:t>
            </w:r>
            <w:r>
              <w:rPr>
                <w:rFonts w:hint="eastAsia" w:ascii="Times New Roman" w:hAnsi="Times New Roman" w:cs="Times New Roman"/>
                <w:sz w:val="24"/>
                <w:szCs w:val="24"/>
                <w:vertAlign w:val="baseline"/>
                <w:lang w:val="en-US" w:eastAsia="zh-CN"/>
              </w:rPr>
              <w:t xml:space="preserve"> (Cantner, 2012). H</w:t>
            </w:r>
            <w:r>
              <w:rPr>
                <w:rFonts w:hint="default" w:ascii="Times New Roman" w:hAnsi="Times New Roman" w:cs="Times New Roman"/>
                <w:sz w:val="24"/>
                <w:szCs w:val="24"/>
                <w:vertAlign w:val="baseline"/>
                <w:lang w:val="en-US" w:eastAsia="zh-CN"/>
              </w:rPr>
              <w:t>e leadership styles of the most innovative companies are usually authoritative, approachable and coaching</w:t>
            </w:r>
            <w:r>
              <w:rPr>
                <w:rFonts w:hint="eastAsia" w:ascii="Times New Roman" w:hAnsi="Times New Roman" w:cs="Times New Roman"/>
                <w:sz w:val="24"/>
                <w:szCs w:val="24"/>
                <w:vertAlign w:val="baseline"/>
                <w:lang w:val="en-US" w:eastAsia="zh-CN"/>
              </w:rPr>
              <w:t xml:space="preserve"> (Sako, 2001). </w:t>
            </w:r>
            <w:r>
              <w:rPr>
                <w:rFonts w:hint="default" w:ascii="Times New Roman" w:hAnsi="Times New Roman" w:cs="Times New Roman"/>
                <w:sz w:val="24"/>
                <w:szCs w:val="24"/>
                <w:vertAlign w:val="baseline"/>
                <w:lang w:val="en-US" w:eastAsia="zh-CN"/>
              </w:rPr>
              <w:t>These three types of leadership styles tend to provide clarity of vision and direction, foster team harmony and focus on the long-term development of individuals, and are therefore more conducive to innovation in the business (Dalziel, 2019).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p>
        </w:tc>
        <w:tc>
          <w:tcPr>
            <w:tcW w:w="1248"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PPT, projector screen, paper and chart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00" w:hRule="atLeast"/>
        </w:trPr>
        <w:tc>
          <w:tcPr>
            <w:tcW w:w="1020"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15 minutes</w:t>
            </w:r>
          </w:p>
        </w:tc>
        <w:tc>
          <w:tcPr>
            <w:tcW w:w="1643"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ability of a company's employees to learn is essential for innovation</w:t>
            </w:r>
          </w:p>
        </w:tc>
        <w:tc>
          <w:tcPr>
            <w:tcW w:w="4772"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Employees who are constantly learning and recharging form the basis of the ability to innovate in a company. It is essential that companies have an ongoing training programme to encourage employees and show them that innovative thinking is essential to the future of the whole company (Andrew, 2005).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Within this ongoing training programme, tools must also be applied that promote both differentiation and harmony</w:t>
            </w:r>
            <w:r>
              <w:rPr>
                <w:rFonts w:hint="eastAsia" w:ascii="Times New Roman" w:hAnsi="Times New Roman" w:cs="Times New Roman"/>
                <w:sz w:val="24"/>
                <w:szCs w:val="24"/>
                <w:vertAlign w:val="baseline"/>
                <w:lang w:val="en-US" w:eastAsia="zh-CN"/>
              </w:rPr>
              <w:t xml:space="preserve"> (Kikoski, 2004). </w:t>
            </w:r>
            <w:r>
              <w:rPr>
                <w:rFonts w:hint="default" w:ascii="Times New Roman" w:hAnsi="Times New Roman" w:cs="Times New Roman"/>
                <w:sz w:val="24"/>
                <w:szCs w:val="24"/>
                <w:vertAlign w:val="baseline"/>
                <w:lang w:val="en-US" w:eastAsia="zh-CN"/>
              </w:rPr>
              <w:t>Division means that differences of opinion are expressed without reservation and that good ideas are brainstormed, while harmony means that teams should work together effectively to implement innovative ideas</w:t>
            </w:r>
            <w:r>
              <w:rPr>
                <w:rFonts w:hint="eastAsia" w:ascii="Times New Roman" w:hAnsi="Times New Roman" w:cs="Times New Roman"/>
                <w:sz w:val="24"/>
                <w:szCs w:val="24"/>
                <w:vertAlign w:val="baseline"/>
                <w:lang w:val="en-US" w:eastAsia="zh-CN"/>
              </w:rPr>
              <w:t xml:space="preserve"> (Correa, 2010). </w:t>
            </w:r>
            <w:r>
              <w:rPr>
                <w:rFonts w:hint="default" w:ascii="Times New Roman" w:hAnsi="Times New Roman" w:cs="Times New Roman"/>
                <w:sz w:val="24"/>
                <w:szCs w:val="24"/>
                <w:vertAlign w:val="baseline"/>
                <w:lang w:val="en-US" w:eastAsia="zh-CN"/>
              </w:rPr>
              <w:t>Consider adding a broader dimension to the skills training programme</w:t>
            </w:r>
            <w:r>
              <w:rPr>
                <w:rFonts w:hint="eastAsia" w:ascii="Times New Roman" w:hAnsi="Times New Roman" w:cs="Times New Roman"/>
                <w:sz w:val="24"/>
                <w:szCs w:val="24"/>
                <w:vertAlign w:val="baseline"/>
                <w:lang w:val="en-US" w:eastAsia="zh-CN"/>
              </w:rPr>
              <w:t>r</w:t>
            </w:r>
            <w:r>
              <w:rPr>
                <w:rFonts w:hint="default" w:ascii="Times New Roman" w:hAnsi="Times New Roman" w:cs="Times New Roman"/>
                <w:sz w:val="24"/>
                <w:szCs w:val="24"/>
                <w:vertAlign w:val="baseline"/>
                <w:lang w:val="en-US" w:eastAsia="zh-CN"/>
              </w:rPr>
              <w:t>s</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 xml:space="preserve"> that have been developed to enable employees to focus on intuition, visual thinking and mutual understanding (Mills, 2011).</w:t>
            </w:r>
          </w:p>
        </w:tc>
        <w:tc>
          <w:tcPr>
            <w:tcW w:w="1248"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PPT, computer, projector and iPad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00" w:hRule="atLeast"/>
        </w:trPr>
        <w:tc>
          <w:tcPr>
            <w:tcW w:w="1020"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15 minutes</w:t>
            </w:r>
          </w:p>
        </w:tc>
        <w:tc>
          <w:tcPr>
            <w:tcW w:w="1643"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For today's knowledge of the member assessment</w:t>
            </w:r>
            <w:r>
              <w:rPr>
                <w:rFonts w:hint="eastAsia" w:ascii="Times New Roman" w:hAnsi="Times New Roman" w:cs="Times New Roman"/>
                <w:sz w:val="24"/>
                <w:szCs w:val="24"/>
                <w:vertAlign w:val="baseline"/>
                <w:lang w:val="en-US" w:eastAsia="zh-CN"/>
              </w:rPr>
              <w:t>。</w:t>
            </w:r>
          </w:p>
        </w:tc>
        <w:tc>
          <w:tcPr>
            <w:tcW w:w="4772"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An interactive question and answer session with members of the panel on the importance of innovation, the impact of leaders and employees on the ability to innovate.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Take 10 minutes to randomly select 2-3 members to ask questions and listen to their answers.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remaining 5 minutes were allocated for an assignment in which members were expected to create their own schedule of innovations in their own companies, e.g. which new product development research they plan to achieve in the current quarter</w:t>
            </w:r>
            <w:r>
              <w:rPr>
                <w:rFonts w:hint="eastAsia" w:ascii="Times New Roman" w:hAnsi="Times New Roman" w:cs="Times New Roman"/>
                <w:sz w:val="24"/>
                <w:szCs w:val="24"/>
                <w:vertAlign w:val="baseline"/>
                <w:lang w:val="en-US" w:eastAsia="zh-CN"/>
              </w:rPr>
              <w:t>。</w:t>
            </w:r>
          </w:p>
        </w:tc>
        <w:tc>
          <w:tcPr>
            <w:tcW w:w="1248"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Marker pens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00" w:hRule="atLeast"/>
        </w:trPr>
        <w:tc>
          <w:tcPr>
            <w:tcW w:w="1020"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kern w:val="2"/>
                <w:sz w:val="24"/>
                <w:szCs w:val="24"/>
                <w:vertAlign w:val="baseline"/>
                <w:lang w:val="en-US" w:eastAsia="zh-CN" w:bidi="ar-SA"/>
              </w:rPr>
            </w:pPr>
            <w:r>
              <w:rPr>
                <w:rFonts w:hint="eastAsia" w:ascii="Times New Roman" w:hAnsi="Times New Roman" w:cs="Times New Roman"/>
                <w:sz w:val="24"/>
                <w:szCs w:val="24"/>
                <w:vertAlign w:val="baseline"/>
                <w:lang w:val="en-US" w:eastAsia="zh-CN"/>
              </w:rPr>
              <w:t>20 minutes</w:t>
            </w:r>
          </w:p>
        </w:tc>
        <w:tc>
          <w:tcPr>
            <w:tcW w:w="1643"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kern w:val="2"/>
                <w:sz w:val="24"/>
                <w:szCs w:val="24"/>
                <w:vertAlign w:val="baseline"/>
                <w:lang w:val="en-US" w:eastAsia="zh-CN" w:bidi="ar-SA"/>
              </w:rPr>
            </w:pPr>
            <w:r>
              <w:rPr>
                <w:rFonts w:hint="eastAsia" w:ascii="Times New Roman" w:hAnsi="Times New Roman" w:cs="Times New Roman"/>
                <w:sz w:val="24"/>
                <w:szCs w:val="24"/>
                <w:vertAlign w:val="baseline"/>
                <w:lang w:val="en-US" w:eastAsia="zh-CN"/>
              </w:rPr>
              <w:t>Group member discussion</w:t>
            </w:r>
          </w:p>
        </w:tc>
        <w:tc>
          <w:tcPr>
            <w:tcW w:w="4772"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 total of 15 panelists, in groups of 5, were divided into three groups.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T</w:t>
            </w:r>
            <w:r>
              <w:rPr>
                <w:rFonts w:hint="default" w:ascii="Times New Roman" w:hAnsi="Times New Roman" w:cs="Times New Roman"/>
                <w:sz w:val="24"/>
                <w:szCs w:val="24"/>
                <w:vertAlign w:val="baseline"/>
                <w:lang w:val="en-US" w:eastAsia="zh-CN"/>
              </w:rPr>
              <w:t>hey discussed and shared what they had learned about innovation so far, or how they could apply it to their own businesses in the future.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They will also discuss with each other what the implementation of innovation will bring to their businesses.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Finally, each group was asked to send someone to share their ideas.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kern w:val="2"/>
                <w:sz w:val="24"/>
                <w:szCs w:val="24"/>
                <w:vertAlign w:val="baseline"/>
                <w:lang w:val="en-US" w:eastAsia="zh-CN" w:bidi="ar-SA"/>
              </w:rPr>
            </w:pPr>
          </w:p>
        </w:tc>
        <w:tc>
          <w:tcPr>
            <w:tcW w:w="1248"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kern w:val="2"/>
                <w:sz w:val="24"/>
                <w:szCs w:val="24"/>
                <w:vertAlign w:val="baseline"/>
                <w:lang w:val="en-US" w:eastAsia="zh-CN" w:bidi="ar-SA"/>
              </w:rPr>
            </w:pPr>
            <w:r>
              <w:rPr>
                <w:rFonts w:hint="eastAsia" w:ascii="Times New Roman" w:hAnsi="Times New Roman" w:cs="Times New Roman"/>
                <w:sz w:val="24"/>
                <w:szCs w:val="24"/>
                <w:vertAlign w:val="baseline"/>
                <w:lang w:val="en-US" w:eastAsia="zh-CN"/>
              </w:rPr>
              <w:t xml:space="preserve">Pencil and paper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00" w:hRule="atLeast"/>
        </w:trPr>
        <w:tc>
          <w:tcPr>
            <w:tcW w:w="1020"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20 minutes</w:t>
            </w:r>
          </w:p>
        </w:tc>
        <w:tc>
          <w:tcPr>
            <w:tcW w:w="1643"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Review what you have learn in this lesson</w:t>
            </w:r>
          </w:p>
        </w:tc>
        <w:tc>
          <w:tcPr>
            <w:tcW w:w="4772"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kern w:val="2"/>
                <w:sz w:val="24"/>
                <w:szCs w:val="24"/>
                <w:vertAlign w:val="baseline"/>
                <w:lang w:val="en-US" w:eastAsia="zh-CN" w:bidi="ar-SA"/>
              </w:rPr>
            </w:pPr>
            <w:r>
              <w:rPr>
                <w:rFonts w:hint="default" w:ascii="Times New Roman" w:hAnsi="Times New Roman" w:eastAsia="宋体" w:cs="Times New Roman"/>
                <w:kern w:val="2"/>
                <w:sz w:val="24"/>
                <w:szCs w:val="24"/>
                <w:vertAlign w:val="baseline"/>
                <w:lang w:val="en-US" w:eastAsia="zh-CN" w:bidi="ar-SA"/>
              </w:rPr>
              <w:t>Use the test questions prepared in advance with the new content covered today to help the meeting members consolidate their memories.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kern w:val="2"/>
                <w:sz w:val="24"/>
                <w:szCs w:val="24"/>
                <w:vertAlign w:val="baseline"/>
                <w:lang w:val="en-US" w:eastAsia="zh-CN" w:bidi="ar-SA"/>
              </w:rPr>
            </w:pPr>
            <w:r>
              <w:rPr>
                <w:rFonts w:hint="default" w:ascii="Times New Roman" w:hAnsi="Times New Roman" w:eastAsia="宋体" w:cs="Times New Roman"/>
                <w:kern w:val="2"/>
                <w:sz w:val="24"/>
                <w:szCs w:val="24"/>
                <w:vertAlign w:val="baseline"/>
                <w:lang w:val="en-US" w:eastAsia="zh-CN" w:bidi="ar-SA"/>
              </w:rPr>
              <w:t>There were 3 questions in total, writing about how important you think innovation is to business, what you know about innovation and what impact staff and leadership styles have on breaking through to innovation in business.</w:t>
            </w:r>
          </w:p>
        </w:tc>
        <w:tc>
          <w:tcPr>
            <w:tcW w:w="1248"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Paper and pencil,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00" w:hRule="atLeast"/>
        </w:trPr>
        <w:tc>
          <w:tcPr>
            <w:tcW w:w="1020"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10 minutes</w:t>
            </w:r>
          </w:p>
        </w:tc>
        <w:tc>
          <w:tcPr>
            <w:tcW w:w="1643"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Conclusion and feedback</w:t>
            </w:r>
          </w:p>
        </w:tc>
        <w:tc>
          <w:tcPr>
            <w:tcW w:w="4772"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kern w:val="2"/>
                <w:sz w:val="24"/>
                <w:szCs w:val="24"/>
                <w:vertAlign w:val="baseline"/>
                <w:lang w:val="en-US" w:eastAsia="zh-CN" w:bidi="ar-SA"/>
              </w:rPr>
            </w:pPr>
            <w:r>
              <w:rPr>
                <w:rFonts w:hint="default" w:ascii="Times New Roman" w:hAnsi="Times New Roman" w:eastAsia="宋体" w:cs="Times New Roman"/>
                <w:kern w:val="2"/>
                <w:sz w:val="24"/>
                <w:szCs w:val="24"/>
                <w:vertAlign w:val="baseline"/>
                <w:lang w:val="en-US" w:eastAsia="zh-CN" w:bidi="ar-SA"/>
              </w:rPr>
              <w:t>A summary of the day's session was completed with a brief description of the relationship between innovation and business. Afterwards, all members were able to ask any questions and were helped one by one to complete their answers.</w:t>
            </w:r>
          </w:p>
        </w:tc>
        <w:tc>
          <w:tcPr>
            <w:tcW w:w="1248" w:type="dxa"/>
            <w:noWrap w:val="0"/>
            <w:vAlign w:val="top"/>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Feedback sheet</w:t>
            </w:r>
          </w:p>
        </w:tc>
      </w:tr>
    </w:tbl>
    <w:p>
      <w:pPr>
        <w:rPr>
          <w:rFonts w:hint="default"/>
          <w:lang w:val="en-US" w:eastAsia="zh-CN"/>
        </w:rPr>
      </w:pPr>
    </w:p>
    <w:p>
      <w:pPr>
        <w:rPr>
          <w:rFonts w:hint="default"/>
          <w:lang w:val="en-US" w:eastAsia="zh-CN"/>
        </w:rPr>
      </w:pPr>
    </w:p>
    <w:p>
      <w:pPr>
        <w:pStyle w:val="2"/>
        <w:bidi w:val="0"/>
        <w:rPr>
          <w:rFonts w:hint="default" w:ascii="Times New Roman" w:hAnsi="Times New Roman" w:cs="Times New Roman"/>
          <w:sz w:val="28"/>
          <w:szCs w:val="28"/>
        </w:rPr>
      </w:pPr>
      <w:bookmarkStart w:id="3" w:name="_Toc30180"/>
      <w:r>
        <w:rPr>
          <w:rFonts w:hint="default" w:ascii="Times New Roman" w:hAnsi="Times New Roman" w:cs="Times New Roman"/>
          <w:sz w:val="28"/>
          <w:szCs w:val="28"/>
          <w:lang w:val="en-US" w:eastAsia="zh-CN"/>
        </w:rPr>
        <w:t xml:space="preserve">4.0 </w:t>
      </w:r>
      <w:r>
        <w:rPr>
          <w:rFonts w:hint="default" w:ascii="Times New Roman" w:hAnsi="Times New Roman" w:cs="Times New Roman"/>
          <w:sz w:val="28"/>
          <w:szCs w:val="28"/>
        </w:rPr>
        <w:t>Justification of chosen methods and the principles of learning design</w:t>
      </w:r>
      <w:bookmarkEnd w:id="3"/>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Justification of methods </w:t>
      </w:r>
    </w:p>
    <w:p>
      <w:pPr>
        <w:spacing w:line="360" w:lineRule="auto"/>
        <w:rPr>
          <w:rFonts w:hint="default" w:ascii="Times New Roman" w:hAnsi="Times New Roman" w:cs="Times New Roman"/>
          <w:sz w:val="24"/>
          <w:szCs w:val="24"/>
          <w:lang w:val="en-US" w:eastAsia="zh-CN"/>
        </w:rPr>
      </w:pPr>
      <w:bookmarkStart w:id="4" w:name="OLE_LINK4"/>
      <w:r>
        <w:rPr>
          <w:rFonts w:hint="default" w:ascii="Times New Roman" w:hAnsi="Times New Roman" w:cs="Times New Roman"/>
          <w:sz w:val="24"/>
          <w:szCs w:val="24"/>
          <w:lang w:val="en-US" w:eastAsia="zh-CN"/>
        </w:rPr>
        <w:t xml:space="preserve">In order to enable the group members to share the learning experience efficiently, to increase the initiative and enthusiasm of the group members, and to increase their desire to participate, so that the members who are unwilling to use their brains have to think in the atmosphere of group learning, and put forward their own ideas or opinions. But also make the students who think the results are incorrect can be corrected in a timely manner, thereby improving the correct rate of learning. We chose the group discussion method and group activity method. </w:t>
      </w:r>
    </w:p>
    <w:p>
      <w:pPr>
        <w:spacing w:line="360" w:lineRule="auto"/>
        <w:rPr>
          <w:rFonts w:hint="default" w:ascii="Times New Roman" w:hAnsi="Times New Roman" w:cs="Times New Roman"/>
          <w:sz w:val="24"/>
          <w:szCs w:val="24"/>
          <w:lang w:val="en-US" w:eastAsia="zh-CN"/>
        </w:rPr>
      </w:pPr>
    </w:p>
    <w:bookmarkEnd w:id="4"/>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Group discussion </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purpose of group discussion is to allow group members to summarize a large amount of repetitive information, while making the information more comprehensive.</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We chose the group discussion methods. Group discussions are an interactive learning method. The benefits of group discussions stimulate the interest of group members in learning. Stimulate group members' enthusiasm and interest in learning, which can improve their work efficiency. In the process of group discussion, each member of the group must actively participate in the activities, and each student can express his own opinions or ideas in the group, and everyone has a sense of participation. The exchange of abilities, interests and qualities among group members can help them understand and recognize each other, make progress with each other,and deepen the memory of information among group members(Baidu, 2022).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adult learners. Group discussions forced them to participate in problem-solving and sharing of knowledge and information. In this process, repeated information is understood and impressed, and new information can be acquired through communication. This makes all kinds of complex and confusing information be sorted out and become a new mature knowledge network(Baiduzhidao, 2021).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Group activity </w:t>
      </w:r>
    </w:p>
    <w:p>
      <w:pPr>
        <w:spacing w:line="360" w:lineRule="auto"/>
        <w:rPr>
          <w:rFonts w:hint="default" w:ascii="Times New Roman" w:hAnsi="Times New Roman" w:cs="Times New Roman"/>
          <w:sz w:val="24"/>
          <w:szCs w:val="24"/>
          <w:lang w:val="en-US" w:eastAsia="zh-CN"/>
        </w:rPr>
      </w:pPr>
      <w:bookmarkStart w:id="5" w:name="OLE_LINK1"/>
      <w:r>
        <w:rPr>
          <w:rFonts w:hint="default" w:ascii="Times New Roman" w:hAnsi="Times New Roman" w:cs="Times New Roman"/>
          <w:sz w:val="24"/>
          <w:szCs w:val="24"/>
          <w:lang w:val="en-US" w:eastAsia="zh-CN"/>
        </w:rPr>
        <w:t>An interactive question and answer session with members of the panel on the importance of innovation, the impact of leaders and employees on the ability to innovate. To inspire members to think in the form of questions and answers. This method can help a group of adult scholars quickly form thoughts on the problem in their minds, thereby pique their interest.</w:t>
      </w:r>
    </w:p>
    <w:p>
      <w:pPr>
        <w:spacing w:line="360" w:lineRule="auto"/>
        <w:rPr>
          <w:rFonts w:hint="default" w:ascii="Times New Roman" w:hAnsi="Times New Roman" w:cs="Times New Roman"/>
          <w:sz w:val="24"/>
          <w:szCs w:val="24"/>
          <w:lang w:val="en-US" w:eastAsia="zh-CN"/>
        </w:rPr>
      </w:pPr>
    </w:p>
    <w:bookmarkEnd w:id="5"/>
    <w:p>
      <w:pPr>
        <w:spacing w:line="360" w:lineRule="auto"/>
        <w:rPr>
          <w:rFonts w:hint="default" w:ascii="Times New Roman" w:hAnsi="Times New Roman" w:cs="Times New Roman"/>
          <w:sz w:val="24"/>
          <w:szCs w:val="24"/>
          <w:lang w:val="en-US" w:eastAsia="zh-CN"/>
        </w:rPr>
      </w:pPr>
      <w:bookmarkStart w:id="6" w:name="OLE_LINK2"/>
      <w:r>
        <w:rPr>
          <w:rFonts w:hint="default" w:ascii="Times New Roman" w:hAnsi="Times New Roman" w:cs="Times New Roman"/>
          <w:sz w:val="24"/>
          <w:szCs w:val="24"/>
          <w:lang w:val="en-US" w:eastAsia="zh-CN"/>
        </w:rPr>
        <w:t>Problem-based learning, as the name suggests, is to learn with problems. When there is a problem in our mind, we will naturally have the desire to learn, which has a clear purpose and is easy to concentrate. It can not only learn new knowledge, but also solve problems, which is a learning method that kills two birds with one stone</w:t>
      </w:r>
      <w:bookmarkEnd w:id="6"/>
      <w:r>
        <w:rPr>
          <w:rFonts w:hint="default" w:ascii="Times New Roman" w:hAnsi="Times New Roman" w:cs="Times New Roman"/>
          <w:sz w:val="24"/>
          <w:szCs w:val="24"/>
          <w:lang w:val="en-US" w:eastAsia="zh-CN"/>
        </w:rPr>
        <w:t xml:space="preserve">(BaiDujingyan, 2017).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expert research, our attention can be divided into two types, one is intentional attention, which is enough to require us to be conscious, to control our attention mainly through our own will, and to be active. The second is unintentional attention, which is more casual and not suitable for serious things. What we need to learn is intentional attention, which can make our learning have a clear purpose, let us know what we do and what is not necessary(Baidujingyan, 2017).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order to cultivate the scientific spirit and innovative thinking habits of scholars, problem-based teaching undoubtedly needs to vigorously carry out divergent thinking and think about problems from multiple perspectives. Only in this way can we build and accumulate knowledge while cultivating the scientific spirit and creative thinking habits of scholars. The cultivation of scholars' thinking is inseparable from problems. Therefore, problem teaching is fundamentally the development of "problem source", that is, the development and harmonious development of the potential of the left and right brains. Scientific research has shown that the development and utilization of the right brain is very beneficial to the cultivation of innovative spirit. In a sense, this is the essence of problem teaching(Baidubaike, 2022).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Review and Summary  </w:t>
      </w:r>
    </w:p>
    <w:p>
      <w:pPr>
        <w:spacing w:line="360" w:lineRule="auto"/>
        <w:rPr>
          <w:rFonts w:hint="default" w:ascii="Times New Roman" w:hAnsi="Times New Roman" w:cs="Times New Roman"/>
          <w:sz w:val="24"/>
          <w:szCs w:val="24"/>
          <w:lang w:val="en-US" w:eastAsia="zh-CN"/>
        </w:rPr>
      </w:pPr>
      <w:bookmarkStart w:id="7" w:name="OLE_LINK3"/>
      <w:r>
        <w:rPr>
          <w:rFonts w:hint="default" w:ascii="Times New Roman" w:hAnsi="Times New Roman" w:cs="Times New Roman"/>
          <w:sz w:val="24"/>
          <w:szCs w:val="24"/>
          <w:lang w:val="en-US" w:eastAsia="zh-CN"/>
        </w:rPr>
        <w:t xml:space="preserve">According to the Ebbinghaus forgetting curve, what you have learned is forgotten the fastest in the first period of time. Therefore, you must strike while the iron is hot and review it in time for the knowledge you have just learned. Review is an important part of the learning process, which not only systematizes the knowledge, but also strengthens the understanding, consolidation and improvement of the knowledge. It can also make up for the deficiencies of knowledge and make basic skills more proficient. In order to review effectively, the task of reviewing must be clearly defined(BaiDuzhidao, 2021). </w:t>
      </w:r>
    </w:p>
    <w:p>
      <w:pPr>
        <w:spacing w:line="360" w:lineRule="auto"/>
        <w:rPr>
          <w:rFonts w:hint="default" w:ascii="Times New Roman" w:hAnsi="Times New Roman" w:cs="Times New Roman"/>
          <w:sz w:val="24"/>
          <w:szCs w:val="24"/>
          <w:lang w:val="en-US" w:eastAsia="zh-CN"/>
        </w:rPr>
      </w:pPr>
    </w:p>
    <w:bookmarkEnd w:id="7"/>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ultimate purpose of retrospective reflection is to deepen the understanding of what has been learned. When doing reflection, you need a quiet time to do it, and you can focus and think deeply. Meditation, solitude, and visualization can all slow down a person's thinking speed, so that they can sort out their thinking or reasoning process from different perspectives, and achieve the effect of in-depth learning(Sanny, 2019). </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Summarize can improve efficiency. Summary can make work more efficient, reduce duplication of work, share information resources, and clarify information content.Putting forward your own ideas in the summary is conducive to getting the support of the leaders, and is also conducive to uniting colleagues around you and doing better work. In the work summary, affirm the achievements, identify shortcomings and deficiencies, draw lessons from experience, put forward opinions and goals, get everyone's affirmation and support, unite the people around them to the greatest extent, attract the attention of the leaders, and obtain the greatest support from the leaders(YeBaiKe, 2022).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bookmarkStart w:id="8" w:name="OLE_LINK5"/>
      <w:r>
        <w:rPr>
          <w:rFonts w:hint="default" w:ascii="Times New Roman" w:hAnsi="Times New Roman" w:cs="Times New Roman"/>
          <w:sz w:val="24"/>
          <w:szCs w:val="24"/>
          <w:lang w:val="en-US" w:eastAsia="zh-CN"/>
        </w:rPr>
        <w:t xml:space="preserve">Summarizing can discover the law: by reviewing the work carried out in the past, the problems encountered, and the methods to solve the problem in the process of summarizing, the law can be found. Following these rules can achieve twice the result with half the effort, can better connect with the actual work, and achieve the purpose of carrying out the work smoothly(YeBaiKe, 2022). </w:t>
      </w:r>
    </w:p>
    <w:p>
      <w:pPr>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8"/>
          <w:szCs w:val="28"/>
        </w:rPr>
      </w:pPr>
      <w:bookmarkStart w:id="9" w:name="_Toc7459"/>
      <w:r>
        <w:rPr>
          <w:rFonts w:hint="default" w:ascii="Times New Roman" w:hAnsi="Times New Roman" w:cs="Times New Roman"/>
          <w:sz w:val="28"/>
          <w:szCs w:val="28"/>
          <w:lang w:val="en-US" w:eastAsia="zh-CN"/>
        </w:rPr>
        <w:t xml:space="preserve">5.0 </w:t>
      </w:r>
      <w:r>
        <w:rPr>
          <w:rFonts w:hint="default" w:ascii="Times New Roman" w:hAnsi="Times New Roman" w:cs="Times New Roman"/>
          <w:sz w:val="28"/>
          <w:szCs w:val="28"/>
        </w:rPr>
        <w:t>What learning theory is represented by the chosen methods in the learning plan design</w:t>
      </w:r>
      <w:bookmarkEnd w:id="9"/>
    </w:p>
    <w:p>
      <w:pPr>
        <w:pStyle w:val="12"/>
        <w:numPr>
          <w:ilvl w:val="0"/>
          <w:numId w:val="0"/>
        </w:numPr>
        <w:tabs>
          <w:tab w:val="left" w:pos="331"/>
        </w:tabs>
        <w:spacing w:line="360" w:lineRule="auto"/>
        <w:ind w:leftChars="0"/>
        <w:rPr>
          <w:rFonts w:ascii="Candara" w:hAnsi="Candara"/>
          <w:b/>
          <w:bCs/>
        </w:rPr>
      </w:pPr>
      <w:bookmarkStart w:id="10" w:name="_Toc10084"/>
      <w:r>
        <w:rPr>
          <w:rStyle w:val="14"/>
          <w:rFonts w:hint="default" w:ascii="Times New Roman" w:hAnsi="Times New Roman" w:cs="Times New Roman"/>
          <w:sz w:val="24"/>
          <w:szCs w:val="24"/>
          <w:lang w:val="en-US" w:eastAsia="zh-CN"/>
        </w:rPr>
        <w:t xml:space="preserve">5.1 </w:t>
      </w:r>
      <w:r>
        <w:rPr>
          <w:rStyle w:val="14"/>
          <w:rFonts w:hint="default" w:ascii="Times New Roman" w:hAnsi="Times New Roman" w:cs="Times New Roman"/>
          <w:sz w:val="24"/>
          <w:szCs w:val="24"/>
        </w:rPr>
        <w:t>Conceptualization of the Bloom’s taxonomy</w:t>
      </w:r>
      <w:bookmarkEnd w:id="10"/>
      <w:r>
        <w:rPr>
          <w:rFonts w:ascii="Candara" w:hAnsi="Candara"/>
          <w:b/>
          <w:bCs/>
        </w:rPr>
        <w:t xml:space="preserve">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{"citationItems":[{"id":"ITEM-1","itemData":{"abstract":"Bloom, B. S. (1956) Taxonomy of Educational Objectives: The Classification of Edu- cational Goals: Handbook 1, Cognitive Domain. New York: David McKay.","author":[{"dropping-particle":"","family":"Bloom","given":"Benjamin Samuel","non-dropping-particle":"","parse-names":false,"suffix":""}],"container-title":"Handbook I: Cognitive Domain.","id":"ITEM-1","issued":{"date-parts":[["1972"]]},"title":"Taxonomy of Educational Objectives: The Classification of Educational Goals, Parts 1-2","type":"chapter"},"uris":["http://www.mendeley.com/documents/?uuid=e9aa5628-7faf-30f4-94d1-2e49143789ed"]}],"mendeley":{"formattedCitation":"(Bloom, 1972)","manualFormatting":"Bloom (1972)","plainTextFormattedCitation":"(Bloom, 1972)","previouslyFormattedCitation":"(Bloom, 1972)"},"properties":{"noteIndex":0},"schema":"https://github.com/citation-style-language/schema/raw/master/csl-citation.json"}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Bloom (1972)</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divided educational objectives into three domains: cognitive, affective, and psychomotor skills, and further divided the cognitive domain into six major categories: knowledge, comprehension, application, analysis, synthesis, and evaluation (see figure 1). The original model has been constantly revised and updated due to the contextual environment of learning and educating. A widely known revision of the original structure is that  </w:t>
      </w: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{"citationItems":[{"id":"ITEM-1","itemData":{"ISBN":"080131903X","author":[{"dropping-particle":"","family":"Anderson","given":"Lorin W","non-dropping-particle":"","parse-names":false,"suffix":""},{"dropping-particle":"","family":"Krathwohl","given":"David R","non-dropping-particle":"","parse-names":false,"suffix":""}],"id":"ITEM-1","issued":{"date-parts":[["2001"]]},"publisher":"Longman,","title":"A taxonomy for learning, teaching, and assessing: A revision of Bloom's taxonomy of educational objectives","type":"book"},"uris":["http://www.mendeley.com/documents/?uuid=f6a3651d-8401-4580-99fe-e7dd9036f55a"]}],"mendeley":{"formattedCitation":"(Anderson and Krathwohl, 2001)","manualFormatting":"Anderson &amp; Krathwohl (2001)","plainTextFormattedCitation":"(Anderson and Krathwohl, 2001)","previouslyFormattedCitation":"(Anderson and Krathwohl, 2001)"},"properties":{"noteIndex":0},"schema":"https://github.com/citation-style-language/schema/raw/master/csl-citation.json"}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Anderson &amp; Krathwohl (2001)</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jointly revised Bloom's taxonomy of educational objectives and proposed a new theory and system of objective classification based on the education needs and development in the US at that time. This system classifies knowledge into four major types: factual knowledge, conceptual knowledge, procedural knowledge, and metacognitive knowledge according to its relevance to educational objectives, and classifies cognitive processes into six dimensions: memory/recall, comprehension, application, analysis, evaluation, and creation according to human cognitive processes. Among them, analysis, evaluation, and creation belong to the important concerns for developing students' higher-order thinking. The Bloom’s taxonomy has been on a constant update and revised to adapt to the specific education and learning context.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Now, after a half-century, since the concept was promoted, the concept is still frequently being referenced in modern education design due to its inherent benefits. On the one hand, the educational design based on the above taxonomy affords more targeted education, helps the educator to design the learning materials based on above the basic objectives, and allows for the self-diagnosis based on the alignment with the teaching results and teaching objectives </w:t>
      </w: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{"citationItems":[{"id":"ITEM-1","itemData":{"ISSN":"0883-2323","author":[{"dropping-particle":"","family":"Halawi","given":"Leila A","non-dropping-particle":"","parse-names":false,"suffix":""},{"dropping-particle":"V","family":"McCarthy","given":"Richard","non-dropping-particle":"","parse-names":false,"suffix":""},{"dropping-particle":"","family":"Pires","given":"Sandra","non-dropping-particle":"","parse-names":false,"suffix":""}],"container-title":"Journal of Education for Business","id":"ITEM-1","issue":"6","issued":{"date-parts":[["2009"]]},"page":"374-380","publisher":"Taylor &amp; Francis","title":"An evaluation of e-learning on the basis of Bloom's taxonomy: An exploratory study","type":"article-journal","volume":"84"},"uris":["http://www.mendeley.com/documents/?uuid=ef9bc4e8-6d1d-4d6c-8b11-7e5f6918e697"]}],"mendeley":{"formattedCitation":"(Halawi, McCarthy and Pires, 2009)","plainTextFormattedCitation":"(Halawi, McCarthy and Pires, 2009)","previouslyFormattedCitation":"(Halawi, McCarthy and Pires, 2009)"},"properties":{"noteIndex":0},"schema":"https://github.com/citation-style-language/schema/raw/master/csl-citation.json"}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(Halawi, McCarthy and Pires, 2009)</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On the other hand, the teaching design based on Bloom’s taxonomy can help education correctly determine the type of knowledge they intend to develop and, therefore precisely understand the requirements for knowledge development in the teaching-learning process </w:t>
      </w: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ISSN":"1931-7913","author":[{"dropping-particle":"","family":"Crowe","given":"Alison","non-dropping-particle":"","parse-names":false,"suffix":""},{"dropping-particle":"","family":"Dirks","given":"Clarissa","non-dropping-particle":"","parse-names":false,"suffix":""},{"dropping-particle":"","family":"Wenderoth","given":"Mary Pat","non-dropping-particle":"","parse-names":false,"suffix":""}],"container-title":"CBE��Life Sciences Education","id":"ITEM-1","issue":"4","issued":{"date-parts":[["2008"]]},"page":"368-381","publisher":"Am Soc Cell Biol","title":"Biology in bloom: implementing Bloom's taxonomy to enhance student learning in biology","type":"article-journal","volume":"7"},"uris":["http://www.mendeley.com/documents/?uuid=427317ad-d0e6-4b6a-b0cf-b2e68e792655"]}],"mendeley":{"formattedCitation":"(Crowe, Dirks and Wenderoth, 2008)","plainTextFormattedCitation":"(Crowe, Dirks and Wenderoth, 2008)","previouslyFormattedCitation":"(Crowe, Dirks and Wenderoth, 2008)"},"properties":{"noteIndex":0},"schema":"https://github.com/citation-style-language/schema/raw/master/csl-citation.json"}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(Crowe, Dirks and Wenderoth, 2008)</w:t>
      </w:r>
      <w:r>
        <w:rPr>
          <w:rFonts w:hint="default" w:ascii="Times New Roman" w:hAnsi="Times New Roman" w:cs="Times New Roman"/>
          <w:sz w:val="24"/>
          <w:szCs w:val="24"/>
        </w:rPr>
        <w:fldChar w:fldCharType="end"/>
      </w:r>
      <w:r>
        <w:rPr>
          <w:rFonts w:hint="default" w:ascii="Times New Roman" w:hAnsi="Times New Roman" w:cs="Times New Roman"/>
          <w:sz w:val="24"/>
          <w:szCs w:val="24"/>
        </w:rPr>
        <w:t>. Based on this, educators can dedicatedly design and evaluate the teaching activities in a more specific and targeted manner to set up a sound and integrated process to cultivate higher-order thinking and guide students toward a higher order of cognition thinking. In this regard, students are no longer the passive receiver of structured knowledge and are actively engaged in the conjecture, analysis, synthesis, evaluation, and creation.</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2827020" cy="4968240"/>
            <wp:effectExtent l="0" t="0" r="762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2827265" cy="4968671"/>
                    </a:xfrm>
                    <a:prstGeom prst="rect">
                      <a:avLst/>
                    </a:prstGeom>
                  </pic:spPr>
                </pic:pic>
              </a:graphicData>
            </a:graphic>
          </wp:inline>
        </w:drawing>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Figure 1: Structure of original taxonomy </w:t>
      </w: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{"citationItems":[{"id":"ITEM-1","itemData":{"abstract":"Bloom, B. S. (1956) Taxonomy of Educational Objectives: The Classification of Edu- cational Goals: Handbook 1, Cognitive Domain. New York: David McKay.","author":[{"dropping-particle":"","family":"Bloom","given":"Benjamin Samuel","non-dropping-particle":"","parse-names":false,"suffix":""}],"container-title":"Handbook I: Cognitive Domain.","id":"ITEM-1","issued":{"date-parts":[["1972"]]},"title":"Taxonomy of Educational Objectives: The Classification of Educational Goals, Parts 1-2","type":"chapter"},"uris":["http://www.mendeley.com/documents/?uuid=e9aa5628-7faf-30f4-94d1-2e49143789ed"]}],"mendeley":{"formattedCitation":"(Bloom, 1972)","plainTextFormattedCitation":"(Bloom, 1972)","previouslyFormattedCitation":"(Bloom, 1972)"},"properties":{"noteIndex":0},"schema":"https://github.com/citation-style-language/schema/raw/master/csl-citation.json"}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(Bloom, 1972)</w:t>
      </w:r>
      <w:r>
        <w:rPr>
          <w:rFonts w:hint="default" w:ascii="Times New Roman" w:hAnsi="Times New Roman" w:cs="Times New Roman"/>
          <w:sz w:val="24"/>
          <w:szCs w:val="24"/>
        </w:rPr>
        <w:fldChar w:fldCharType="end"/>
      </w:r>
    </w:p>
    <w:p>
      <w:pPr>
        <w:spacing w:line="360" w:lineRule="auto"/>
        <w:rPr>
          <w:rFonts w:hint="default" w:ascii="Times New Roman" w:hAnsi="Times New Roman" w:cs="Times New Roman"/>
          <w:sz w:val="24"/>
          <w:szCs w:val="24"/>
        </w:rPr>
      </w:pPr>
    </w:p>
    <w:p>
      <w:pPr>
        <w:numPr>
          <w:ilvl w:val="0"/>
          <w:numId w:val="0"/>
        </w:numPr>
        <w:bidi w:val="0"/>
        <w:ind w:leftChars="0"/>
        <w:rPr>
          <w:rFonts w:hint="default" w:ascii="Times New Roman" w:hAnsi="Times New Roman" w:cs="Times New Roman"/>
          <w:b/>
          <w:bCs/>
          <w:sz w:val="24"/>
          <w:szCs w:val="24"/>
        </w:rPr>
      </w:pPr>
    </w:p>
    <w:p>
      <w:pPr>
        <w:numPr>
          <w:ilvl w:val="0"/>
          <w:numId w:val="0"/>
        </w:numPr>
        <w:bidi w:val="0"/>
        <w:spacing w:line="360" w:lineRule="auto"/>
        <w:ind w:leftChars="0"/>
        <w:rPr>
          <w:rFonts w:hint="default" w:ascii="Times New Roman" w:hAnsi="Times New Roman" w:cs="Times New Roman"/>
          <w:b/>
          <w:bCs/>
          <w:sz w:val="24"/>
          <w:szCs w:val="24"/>
        </w:rPr>
      </w:pPr>
      <w:bookmarkStart w:id="11" w:name="_Toc16913"/>
      <w:r>
        <w:rPr>
          <w:rStyle w:val="14"/>
          <w:rFonts w:hint="default" w:ascii="Times New Roman" w:hAnsi="Times New Roman" w:cs="Times New Roman"/>
          <w:sz w:val="24"/>
          <w:szCs w:val="24"/>
          <w:lang w:val="en-US" w:eastAsia="zh-CN"/>
        </w:rPr>
        <w:t xml:space="preserve">5.2 </w:t>
      </w:r>
      <w:r>
        <w:rPr>
          <w:rStyle w:val="14"/>
          <w:rFonts w:hint="default" w:ascii="Times New Roman" w:hAnsi="Times New Roman" w:cs="Times New Roman"/>
          <w:sz w:val="24"/>
          <w:szCs w:val="24"/>
        </w:rPr>
        <w:t>Criticism of the taxonomy</w:t>
      </w:r>
      <w:bookmarkEnd w:id="11"/>
      <w:r>
        <w:rPr>
          <w:rFonts w:hint="default" w:ascii="Times New Roman" w:hAnsi="Times New Roman" w:cs="Times New Roman"/>
          <w:b/>
          <w:bCs/>
          <w:sz w:val="24"/>
          <w:szCs w:val="24"/>
        </w:rPr>
        <w:t xml:space="preserve">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Despite the fact that Bloom’s taxonomy of educational objectives and its wide spectrum of revisions and evaluation has afforded new perspectives to education and learning for decades, the criticism against the taxonomy has never stopped. Generally, it is believed that the taxonomy approach demonstrates its strengths in the theoretical parts but exhibits its weaknesses in practical teaching guidance as it only describes the external performance of knowledge received but not portray the internal quality, and it stringently adheres to the streamlined process of teaching and thinking, etc. </w:t>
      </w: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{"citationItems":[{"id":"ITEM-1","itemData":{"ISSN":"0040-5841","author":[{"dropping-particle":"","family":"Krathwohl","given":"David R","non-dropping-particle":"","parse-names":false,"suffix":""}],"container-title":"Theory into practice","id":"ITEM-1","issue":"4","issued":{"date-parts":[["2002"]]},"page":"212-218","publisher":"Taylor &amp; Francis","title":"A revision of Bloom's taxonomy: An overview","type":"article-journal","volume":"41"},"uris":["http://www.mendeley.com/documents/?uuid=527415fe-42fc-4e2d-b973-82e1800df906"]}],"mendeley":{"formattedCitation":"(Krathwohl, 2002)","plainTextFormattedCitation":"(Krathwohl, 2002)","previouslyFormattedCitation":"(Krathwohl, 2002)"},"properties":{"noteIndex":0},"schema":"https://github.com/citation-style-language/schema/raw/master/csl-citation.json"}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(Krathwohl, 2002)</w:t>
      </w:r>
      <w:r>
        <w:rPr>
          <w:rFonts w:hint="default" w:ascii="Times New Roman" w:hAnsi="Times New Roman" w:cs="Times New Roman"/>
          <w:sz w:val="24"/>
          <w:szCs w:val="24"/>
        </w:rPr>
        <w:fldChar w:fldCharType="end"/>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On the one hand, although Bloom’s taxonomy is based on the taxonomy approach from natural science, Bloom’s taxonomy has been vague and unspecific about the basis of classification. It is argued that Bloom’s taxonomy was based on pure experience and intuition, but not supported with any scientific reliability. At the same time, the taxonomy was initially developed to guide post-education evaluation but was utilized in the curriculum design and implementation. Therefore, it can be understood that the taxonomy of educational objectives can be justified on the basis of psychology if it is an achievement of educational measurement, which can be understood as being guided by the psychological or behavioral measurement theory of psychology. As a guiding theory of curriculum and instruction, however, although it is considered to be based on psychology, the details of the psychology on which the taxonomy is based have never been clearly and fully explained </w:t>
      </w: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{"citationItems":[{"id":"ITEM-1","itemData":{"ISSN":"1354-8581","author":[{"dropping-particle":"","family":"Castle","given":"Alan","non-dropping-particle":"","parse-names":false,"suffix":""}],"container-title":"British Journal of Therapy and Rehabilitaiton","id":"ITEM-1","issue":"8","issued":{"date-parts":[["2003"]]},"page":"369-373","publisher":"MA Healthcare London","title":"Demonstrating critical evaluation skills using Bloom's taxonomy","type":"article-journal","volume":"10"},"uris":["http://www.mendeley.com/documents/?uuid=c0b48cc2-8d89-47db-92f0-f7f4a91f1410"]}],"mendeley":{"formattedCitation":"(Castle, 2003)","plainTextFormattedCitation":"(Castle, 2003)","previouslyFormattedCitation":"(Castle, 2003)"},"properties":{"noteIndex":0},"schema":"https://github.com/citation-style-language/schema/raw/master/csl-citation.json"}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(Castle, 2003)</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As a direct consequence, Bloom’s taxonomy has also been criticized for having educational results but reveals no details about educating and learning process </w:t>
      </w: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{"citationItems":[{"id":"ITEM-1","itemData":{"ISSN":"0040-5841","author":[{"dropping-particle":"","family":"Airasian","given":"Peter W","non-dropping-particle":"","parse-names":false,"suffix":""},{"dropping-particle":"","family":"Miranda","given":"Helena","non-dropping-particle":"","parse-names":false,"suffix":""}],"container-title":"Theory into practice","id":"ITEM-1","issue":"4","issued":{"date-parts":[["2002"]]},"page":"249-254","publisher":"Taylor &amp; Francis","title":"The role of assessment in the revised taxonomy","type":"article-journal","volume":"41"},"uris":["http://www.mendeley.com/documents/?uuid=ff64e4f8-fc61-4e32-ba93-3adfe34eed87"]}],"mendeley":{"formattedCitation":"(Airasian and Miranda, 2002)","plainTextFormattedCitation":"(Airasian and Miranda, 2002)","previouslyFormattedCitation":"(Airasian and Miranda, 2002)"},"properties":{"noteIndex":0},"schema":"https://github.com/citation-style-language/schema/raw/master/csl-citation.json"}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(Airasian and Miranda, 2002)</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The educational goal description habits under Bloom's tradition cannot really fulfil the description of the process in which learning occurs, and the process is adjusted in turn by observing whether the results are achieved or not. The specific learning process results in low efficiency in teaching activities.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On the other hand, Bloom’s taxonomy exhibits the need for some supporting knowledge in order to develop higher-order thinking, and the development process follows a clearly and streamlined hierarchy as indicated above. However, the reality indicates the learning does not always follow a hierarchy process, it might start in the middle or process, or it does not need to lead to higher-order thinking </w:t>
      </w: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{"citationItems":[{"id":"ITEM-1","itemData":{"ISBN":"0871203839","author":[{"dropping-particle":"","family":"Marzano","given":"Robert J","non-dropping-particle":"","parse-names":false,"suffix":""}],"id":"ITEM-1","issued":{"date-parts":[["2000"]]},"publisher":"ERIC","title":"Transforming Classroom Grading.","type":"book"},"uris":["http://www.mendeley.com/documents/?uuid=3cbadeef-182e-4896-be41-9237cad9e264"]}],"mendeley":{"formattedCitation":"(Marzano, 2000)","plainTextFormattedCitation":"(Marzano, 2000)","previouslyFormattedCitation":"(Marzano, 2000)"},"properties":{"noteIndex":0},"schema":"https://github.com/citation-style-language/schema/raw/master/csl-citation.json"}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(Marzano, 2000)</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The above criticism indicates that bloom’s taxonomy might be much less effective in innovation education due to its emphasis in the hierarchies of thinking with a highly streamlined process.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Meanwhile, Bloom’s taxonomy perceives the teaching and learning process in a highly ideal situation without the intervention of other possible variables. However, learning processes, especially learning in the modern environment, encompasses much more than just thinking, it also involves feelings, attitudes, and belies, as well as the cultural, social, and even technological settings of the learning environment </w:t>
      </w:r>
      <w:r>
        <w:rPr>
          <w:rFonts w:hint="default" w:ascii="Times New Roman" w:hAnsi="Times New Roman" w:cs="Times New Roman"/>
          <w:sz w:val="24"/>
          <w:szCs w:val="24"/>
        </w:rPr>
        <w:fldChar w:fldCharType="begin" w:fldLock="1"/>
      </w:r>
      <w:r>
        <w:rPr>
          <w:rFonts w:hint="default" w:ascii="Times New Roman" w:hAnsi="Times New Roman" w:cs="Times New Roman"/>
          <w:sz w:val="24"/>
          <w:szCs w:val="24"/>
        </w:rPr>
        <w:instrText xml:space="preserve">ADDIN CSL_CITATION {"citationItems":[{"id":"ITEM-1","itemData":{"ISSN":"0040-5841","author":[{"dropping-particle":"","family":"Airasian","given":"Peter W","non-dropping-particle":"","parse-names":false,"suffix":""},{"dropping-particle":"","family":"Miranda","given":"Helena","non-dropping-particle":"","parse-names":false,"suffix":""}],"container-title":"Theory into practice","id":"ITEM-1","issue":"4","issued":{"date-parts":[["2002"]]},"page":"249-254","publisher":"Taylor &amp; Francis","title":"The role of assessment in the revised taxonomy","type":"article-journal","volume":"41"},"uris":["http://www.mendeley.com/documents/?uuid=ff64e4f8-fc61-4e32-ba93-3adfe34eed87"]}],"mendeley":{"formattedCitation":"(Airasian and Miranda, 2002)","plainTextFormattedCitation":"(Airasian and Miranda, 2002)","previouslyFormattedCitation":"(Airasian and Miranda, 2002)"},"properties":{"noteIndex":0},"schema":"https://github.com/citation-style-language/schema/raw/master/csl-citation.json"}</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(Airasian and Miranda, 2002)</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The learning under the highly complicated and complex environment indicates the use of several different thinking process.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above inherent limitations of Bloom’s taxonomy indicate it could be less effective in some specific scenarios. For instance, the innovation management, sometimes, encourages students to think out of box and this is not featured by the application of any learning models. At the same time, for the learning of highly practical knowledge that highlights the hands-on experiences, the education and learning mode using the Bloom’s taxonomy usually are less likely to achieve the predetermined learning outcomes.</w:t>
      </w:r>
    </w:p>
    <w:p>
      <w:pPr>
        <w:spacing w:line="360" w:lineRule="auto"/>
        <w:rPr>
          <w:rFonts w:hint="default" w:ascii="Times New Roman" w:hAnsi="Times New Roman" w:cs="Times New Roman"/>
          <w:sz w:val="24"/>
          <w:szCs w:val="24"/>
        </w:rPr>
      </w:pPr>
    </w:p>
    <w:p>
      <w:pPr>
        <w:pStyle w:val="2"/>
        <w:bidi w:val="0"/>
        <w:rPr>
          <w:rFonts w:hint="eastAsia" w:ascii="Times New Roman" w:hAnsi="Times New Roman" w:cs="Times New Roman"/>
          <w:szCs w:val="24"/>
          <w:lang w:val="en-US" w:eastAsia="zh-CN"/>
        </w:rPr>
      </w:pPr>
      <w:bookmarkStart w:id="12" w:name="_Toc22887"/>
      <w:r>
        <w:rPr>
          <w:rFonts w:hint="default" w:ascii="Times New Roman" w:hAnsi="Times New Roman" w:cs="Times New Roman"/>
          <w:sz w:val="28"/>
          <w:szCs w:val="28"/>
          <w:lang w:val="en-US" w:eastAsia="zh-CN"/>
        </w:rPr>
        <w:t xml:space="preserve">6.0 </w:t>
      </w:r>
      <w:r>
        <w:rPr>
          <w:rFonts w:hint="default" w:ascii="Times New Roman" w:hAnsi="Times New Roman" w:cs="Times New Roman"/>
          <w:sz w:val="28"/>
          <w:szCs w:val="28"/>
        </w:rPr>
        <w:t>What learning theory is represented by the chosen methods in the learning plan design</w:t>
      </w:r>
      <w:r>
        <w:rPr>
          <w:rFonts w:hint="default" w:ascii="Times New Roman" w:hAnsi="Times New Roman" w:cs="Times New Roman"/>
          <w:sz w:val="28"/>
          <w:szCs w:val="28"/>
          <w:lang w:val="en-US" w:eastAsia="zh-CN"/>
        </w:rPr>
        <w:t>(Based on another learning theory)</w:t>
      </w:r>
      <w:bookmarkEnd w:id="12"/>
    </w:p>
    <w:p>
      <w:pPr>
        <w:numPr>
          <w:ilvl w:val="0"/>
          <w:numId w:val="0"/>
        </w:numPr>
        <w:bidi w:val="0"/>
        <w:ind w:leftChars="0"/>
        <w:rPr>
          <w:rFonts w:hint="default" w:ascii="Times New Roman" w:hAnsi="Times New Roman" w:cs="Times New Roman"/>
          <w:b/>
          <w:bCs/>
          <w:sz w:val="24"/>
          <w:szCs w:val="24"/>
        </w:rPr>
      </w:pPr>
      <w:bookmarkStart w:id="13" w:name="_Toc25152"/>
      <w:r>
        <w:rPr>
          <w:rStyle w:val="14"/>
          <w:rFonts w:hint="default" w:ascii="Times New Roman" w:hAnsi="Times New Roman" w:cs="Times New Roman"/>
          <w:sz w:val="24"/>
          <w:szCs w:val="24"/>
          <w:lang w:val="en-US" w:eastAsia="zh-CN"/>
        </w:rPr>
        <w:t xml:space="preserve">6.1 </w:t>
      </w:r>
      <w:r>
        <w:rPr>
          <w:rStyle w:val="14"/>
          <w:rFonts w:hint="default" w:ascii="Times New Roman" w:hAnsi="Times New Roman" w:cs="Times New Roman"/>
          <w:sz w:val="24"/>
          <w:szCs w:val="24"/>
        </w:rPr>
        <w:t>Conceptualization of group learning</w:t>
      </w:r>
      <w:bookmarkEnd w:id="13"/>
      <w:r>
        <w:rPr>
          <w:rFonts w:hint="default" w:ascii="Times New Roman" w:hAnsi="Times New Roman" w:cs="Times New Roman"/>
          <w:b/>
          <w:bCs/>
          <w:sz w:val="24"/>
          <w:szCs w:val="24"/>
        </w:rPr>
        <w:t xml:space="preserve"> </w:t>
      </w:r>
    </w:p>
    <w:p>
      <w:pPr>
        <w:spacing w:before="156" w:beforeLines="50" w:line="360" w:lineRule="auto"/>
        <w:rPr>
          <w:rFonts w:ascii="Georgia" w:hAnsi="Georgia"/>
        </w:rPr>
      </w:pPr>
      <w:r>
        <w:rPr>
          <w:rFonts w:ascii="Georgia" w:hAnsi="Georgia"/>
        </w:rPr>
        <w:t xml:space="preserve">Group learning can be understood as the collection of individuals who are aesthetically, emotionally, and intellectually participating in the problem solving and making meaningful progress featured by being assemblage, and every participant learns autonomously from their own experiences or through learning from others </w:t>
      </w:r>
      <w:r>
        <w:rPr>
          <w:rFonts w:ascii="Georgia" w:hAnsi="Georgia"/>
        </w:rPr>
        <w:fldChar w:fldCharType="begin" w:fldLock="1"/>
      </w:r>
      <w:r>
        <w:rPr>
          <w:rFonts w:ascii="Georgia" w:hAnsi="Georgia"/>
        </w:rPr>
        <w:instrText xml:space="preserve">ADDIN CSL_CITATION {"citationItems":[{"id":"ITEM-1","itemData":{"ISBN":"052148376X","author":[{"dropping-particle":"","family":"Hertz-Lazarowitz","given":"Rachel","non-dropping-particle":"","parse-names":false,"suffix":""},{"dropping-particle":"","family":"Miller","given":"Norman","non-dropping-particle":"","parse-names":false,"suffix":""}],"id":"ITEM-1","issued":{"date-parts":[["1995"]]},"publisher":"Cambridge University Press","title":"Interaction in cooperative groups: The theoretical anatomy of group learning","type":"book"},"uris":["http://www.mendeley.com/documents/?uuid=e12fbf91-c0a2-48ea-9294-c267ed961678"]}],"mendeley":{"formattedCitation":"(Hertz-Lazarowitz and Miller, 1995)","plainTextFormattedCitation":"(Hertz-Lazarowitz and Miller, 1995)","previouslyFormattedCitation":"(Hertz-Lazarowitz and Miller, 1995)"},"properties":{"noteIndex":0},"schema":"https://github.com/citation-style-language/schema/raw/master/csl-citation.json"}</w:instrText>
      </w:r>
      <w:r>
        <w:rPr>
          <w:rFonts w:ascii="Georgia" w:hAnsi="Georgia"/>
        </w:rPr>
        <w:fldChar w:fldCharType="separate"/>
      </w:r>
      <w:r>
        <w:rPr>
          <w:rFonts w:ascii="Georgia" w:hAnsi="Georgia"/>
        </w:rPr>
        <w:t>(Hertz-Lazarowitz and Miller, 1995)</w:t>
      </w:r>
      <w:r>
        <w:rPr>
          <w:rFonts w:ascii="Georgia" w:hAnsi="Georgia"/>
        </w:rPr>
        <w:fldChar w:fldCharType="end"/>
      </w:r>
      <w:r>
        <w:rPr>
          <w:rFonts w:ascii="Georgia" w:hAnsi="Georgia"/>
        </w:rPr>
        <w:t xml:space="preserve">. The term ‘group’ highlights the learning of the individual members is fostered by a more distributed manner that does not reside inside the knowledge storage of any specific participant but resides in a collective body of knowledge constituted by the learning group; the term ‘learning’ refers to the specific learning processes that are not featured by structured teaching but featured by problem-solving problems and creating innovations </w:t>
      </w:r>
      <w:r>
        <w:rPr>
          <w:rFonts w:ascii="Georgia" w:hAnsi="Georgia"/>
        </w:rPr>
        <w:fldChar w:fldCharType="begin" w:fldLock="1"/>
      </w:r>
      <w:r>
        <w:rPr>
          <w:rFonts w:ascii="Georgia" w:hAnsi="Georgia"/>
        </w:rPr>
        <w:instrText xml:space="preserve">ADDIN CSL_CITATION {"citationItems":[{"id":"ITEM-1","itemData":{"author":[{"dropping-particle":"","family":"Skinner","given":"Kay Lesley","non-dropping-particle":"","parse-names":false,"suffix":""},{"dropping-particle":"","family":"Hyde","given":"Sarah J","non-dropping-particle":"","parse-names":false,"suffix":""},{"dropping-particle":"","family":"McPherson","given":"Kerstin","non-dropping-particle":"","parse-names":false,"suffix":""},{"dropping-particle":"","family":"Simpson","given":"Maree D","non-dropping-particle":"","parse-names":false,"suffix":""}],"container-title":"Journal of Learning Design","id":"ITEM-1","issue":"1","issued":{"date-parts":[["2016"]]},"page":"21-36","publisher":"ERIC","title":"Improving Students' Interpersonal Skills through Experiential Small Group Learning.","type":"article-journal","volume":"9"},"uris":["http://www.mendeley.com/documents/?uuid=73dde03a-d002-4c6a-9a1c-4644174e3898"]},{"id":"ITEM-2","itemData":{"ISSN":"1573-1677","author":[{"dropping-particle":"","family":"Dolmans","given":"Diana H J M","non-dropping-particle":"","parse-names":false,"suffix":""},{"dropping-particle":"","family":"Schmidt","given":"Henk G","non-dropping-particle":"","parse-names":false,"suffix":""}],"container-title":"Advances in health sciences education","id":"ITEM-2","issue":"4","issued":{"date-parts":[["2006"]]},"page":"321-336","publisher":"Springer","title":"What do we know about cognitive and motivational effects of small group tutorials in problem-based learning?","type":"article-journal","volume":"11"},"uris":["http://www.mendeley.com/documents/?uuid=7b786497-6479-4bfd-b696-3324135308ad"]}],"mendeley":{"formattedCitation":"(Dolmans and Schmidt, 2006; Skinner &lt;i&gt;et al.&lt;/i&gt;, 2016)","plainTextFormattedCitation":"(Dolmans and Schmidt, 2006; Skinner et al., 2016)","previouslyFormattedCitation":"(Dolmans and Schmidt, 2006; Skinner &lt;i&gt;et al.&lt;/i&gt;, 2016)"},"properties":{"noteIndex":0},"schema":"https://github.com/citation-style-language/schema/raw/master/csl-citation.json"}</w:instrText>
      </w:r>
      <w:r>
        <w:rPr>
          <w:rFonts w:ascii="Georgia" w:hAnsi="Georgia"/>
        </w:rPr>
        <w:fldChar w:fldCharType="separate"/>
      </w:r>
      <w:r>
        <w:rPr>
          <w:rFonts w:ascii="Georgia" w:hAnsi="Georgia"/>
        </w:rPr>
        <w:t xml:space="preserve">(Dolmans and Schmidt, 2006; Skinner </w:t>
      </w:r>
      <w:r>
        <w:rPr>
          <w:rFonts w:ascii="Georgia" w:hAnsi="Georgia"/>
          <w:i/>
        </w:rPr>
        <w:t>et al.</w:t>
      </w:r>
      <w:r>
        <w:rPr>
          <w:rFonts w:ascii="Georgia" w:hAnsi="Georgia"/>
        </w:rPr>
        <w:t>, 2016)</w:t>
      </w:r>
      <w:r>
        <w:rPr>
          <w:rFonts w:ascii="Georgia" w:hAnsi="Georgia"/>
        </w:rPr>
        <w:fldChar w:fldCharType="end"/>
      </w:r>
      <w:r>
        <w:rPr>
          <w:rFonts w:ascii="Georgia" w:hAnsi="Georgia"/>
        </w:rPr>
        <w:t xml:space="preserve">. </w:t>
      </w:r>
    </w:p>
    <w:p>
      <w:pPr>
        <w:spacing w:before="156" w:beforeLines="50" w:line="360" w:lineRule="auto"/>
        <w:rPr>
          <w:rFonts w:ascii="Georgia" w:hAnsi="Georgia"/>
        </w:rPr>
      </w:pPr>
      <w:r>
        <w:rPr>
          <w:rFonts w:ascii="Georgia" w:hAnsi="Georgia"/>
        </w:rPr>
        <w:t xml:space="preserve">Group learning is essentially a collaborative knowledge construction based on problem-solving activities, with collaborative problem-solving activities as the main line of action and the integration of other ways of knowledge acquisition. This teaching model has the following characteristics </w:t>
      </w:r>
      <w:r>
        <w:rPr>
          <w:rFonts w:ascii="Georgia" w:hAnsi="Georgia"/>
        </w:rPr>
        <w:fldChar w:fldCharType="begin" w:fldLock="1"/>
      </w:r>
      <w:r>
        <w:rPr>
          <w:rFonts w:ascii="Georgia" w:hAnsi="Georgia"/>
        </w:rPr>
        <w:instrText xml:space="preserve">ADDIN CSL_CITATION {"citationItems":[{"id":"ITEM-1","itemData":{"ISBN":"052148376X","author":[{"dropping-particle":"","family":"Hertz-Lazarowitz","given":"Rachel","non-dropping-particle":"","parse-names":false,"suffix":""},{"dropping-particle":"","family":"Miller","given":"Norman","non-dropping-particle":"","parse-names":false,"suffix":""}],"id":"ITEM-1","issued":{"date-parts":[["1995"]]},"publisher":"Cambridge University Press","title":"Interaction in cooperative groups: The theoretical anatomy of group learning","type":"book"},"uris":["http://www.mendeley.com/documents/?uuid=e12fbf91-c0a2-48ea-9294-c267ed961678"]}],"mendeley":{"formattedCitation":"(Hertz-Lazarowitz and Miller, 1995)","plainTextFormattedCitation":"(Hertz-Lazarowitz and Miller, 1995)","previouslyFormattedCitation":"(Hertz-Lazarowitz and Miller, 1995)"},"properties":{"noteIndex":0},"schema":"https://github.com/citation-style-language/schema/raw/master/csl-citation.json"}</w:instrText>
      </w:r>
      <w:r>
        <w:rPr>
          <w:rFonts w:ascii="Georgia" w:hAnsi="Georgia"/>
        </w:rPr>
        <w:fldChar w:fldCharType="separate"/>
      </w:r>
      <w:r>
        <w:rPr>
          <w:rFonts w:ascii="Georgia" w:hAnsi="Georgia"/>
        </w:rPr>
        <w:t>(Hertz-Lazarowitz and Miller, 1995)</w:t>
      </w:r>
      <w:r>
        <w:rPr>
          <w:rFonts w:ascii="Georgia" w:hAnsi="Georgia"/>
        </w:rPr>
        <w:fldChar w:fldCharType="end"/>
      </w:r>
      <w:r>
        <w:rPr>
          <w:rFonts w:ascii="Georgia" w:hAnsi="Georgia"/>
        </w:rPr>
        <w:t>. First, inquiry-based. Learning begins with problems, the primary activity in the learning process is high-level thinking, and the result of learning is integrated and flexibly transferable knowledge and advanced thinking skills. Second, integrative. Problem-solving learning is the main line of learning, complemented by other learning pathways. Driven by problems, learners actively consult relevant information, conduct site visits, observe and analyze, or visit experts, and then integrate the information obtained from different sources into problem-solving activities. Third, collaborative and interactive. Learners work together, share their experiences, exchange and synthesize ideas, and contribute to the inquiry task.</w:t>
      </w:r>
    </w:p>
    <w:p>
      <w:pPr>
        <w:spacing w:before="156" w:beforeLines="50" w:line="360" w:lineRule="auto"/>
        <w:rPr>
          <w:rFonts w:ascii="Georgia" w:hAnsi="Georgia"/>
        </w:rPr>
      </w:pPr>
    </w:p>
    <w:p>
      <w:pPr>
        <w:pStyle w:val="3"/>
        <w:bidi w:val="0"/>
        <w:rPr>
          <w:rFonts w:hint="default" w:ascii="Times New Roman" w:hAnsi="Times New Roman" w:cs="Times New Roman"/>
          <w:sz w:val="24"/>
          <w:szCs w:val="24"/>
        </w:rPr>
      </w:pPr>
      <w:bookmarkStart w:id="14" w:name="_Toc3158"/>
      <w:r>
        <w:rPr>
          <w:rFonts w:hint="default" w:ascii="Times New Roman" w:hAnsi="Times New Roman" w:cs="Times New Roman"/>
          <w:sz w:val="24"/>
          <w:szCs w:val="24"/>
          <w:lang w:val="en-US" w:eastAsia="zh-CN"/>
        </w:rPr>
        <w:t xml:space="preserve">6.2 </w:t>
      </w:r>
      <w:r>
        <w:rPr>
          <w:rFonts w:hint="default" w:ascii="Times New Roman" w:hAnsi="Times New Roman" w:cs="Times New Roman"/>
          <w:sz w:val="24"/>
          <w:szCs w:val="24"/>
        </w:rPr>
        <w:t>Group learning and innovation/creativity: benefits</w:t>
      </w:r>
      <w:bookmarkEnd w:id="14"/>
    </w:p>
    <w:p>
      <w:pPr>
        <w:spacing w:before="156" w:beforeLines="50" w:line="360" w:lineRule="auto"/>
        <w:rPr>
          <w:rFonts w:ascii="Georgia" w:hAnsi="Georgia"/>
        </w:rPr>
      </w:pPr>
      <w:r>
        <w:rPr>
          <w:rFonts w:ascii="Georgia" w:hAnsi="Georgia"/>
        </w:rPr>
        <w:t xml:space="preserve">In the group learning mode, not only the division of labor and collaboration among students in the group, but also the communication and mutual learning among different groups are emphasized. The interaction with team members who have different experiences, backgrounds, expertise, mindsets (ways to approach problems), etc. the synergetic effect would be likely to realize as participants no longer be trapped by their own knowledge boundaries </w:t>
      </w:r>
      <w:r>
        <w:rPr>
          <w:rFonts w:ascii="Georgia" w:hAnsi="Georgia"/>
        </w:rPr>
        <w:fldChar w:fldCharType="begin" w:fldLock="1"/>
      </w:r>
      <w:r>
        <w:rPr>
          <w:rFonts w:ascii="Georgia" w:hAnsi="Georgia"/>
        </w:rPr>
        <w:instrText xml:space="preserve">ADDIN CSL_CITATION {"citationItems":[{"id":"ITEM-1","itemData":{"author":[{"dropping-particle":"","family":"Tan","given":"Oon-Seng","non-dropping-particle":"","parse-names":false,"suffix":""}],"id":"ITEM-1","issued":{"date-parts":[["2021"]]},"publisher":"Gale Cengage Learning","title":"Problem-based learning innovation: Using problems to power learning in the 21st century","type":"book"},"uris":["http://www.mendeley.com/documents/?uuid=1ede0e6d-5f6b-4de4-9b0a-036d231b2f71"]}],"mendeley":{"formattedCitation":"(Tan, 2021)","plainTextFormattedCitation":"(Tan, 2021)","previouslyFormattedCitation":"(Tan, 2021)"},"properties":{"noteIndex":0},"schema":"https://github.com/citation-style-language/schema/raw/master/csl-citation.json"}</w:instrText>
      </w:r>
      <w:r>
        <w:rPr>
          <w:rFonts w:ascii="Georgia" w:hAnsi="Georgia"/>
        </w:rPr>
        <w:fldChar w:fldCharType="separate"/>
      </w:r>
      <w:r>
        <w:rPr>
          <w:rFonts w:ascii="Georgia" w:hAnsi="Georgia"/>
        </w:rPr>
        <w:t>(Tan, 2021)</w:t>
      </w:r>
      <w:r>
        <w:rPr>
          <w:rFonts w:ascii="Georgia" w:hAnsi="Georgia"/>
        </w:rPr>
        <w:fldChar w:fldCharType="end"/>
      </w:r>
      <w:r>
        <w:rPr>
          <w:rFonts w:ascii="Georgia" w:hAnsi="Georgia"/>
        </w:rPr>
        <w:t xml:space="preserve">. At the same time, not only the ideas within the group can be fully exchanged, but also when the group's learning encounters difficulties can be solved through inter-group communication, and good ideas and creativity can be quickly spread, which achieves a good teaching effect </w:t>
      </w:r>
      <w:r>
        <w:rPr>
          <w:rFonts w:ascii="Georgia" w:hAnsi="Georgia"/>
        </w:rPr>
        <w:fldChar w:fldCharType="begin" w:fldLock="1"/>
      </w:r>
      <w:r>
        <w:rPr>
          <w:rFonts w:ascii="Georgia" w:hAnsi="Georgia"/>
        </w:rPr>
        <w:instrText xml:space="preserve">ADDIN CSL_CITATION {"citationItems":[{"id":"ITEM-1","itemData":{"ISBN":"1421436647","author":[{"dropping-particle":"","family":"Kim","given":"Joshua","non-dropping-particle":"","parse-names":false,"suffix":""},{"dropping-particle":"","family":"Maloney","given":"Edward J","non-dropping-particle":"","parse-names":false,"suffix":""}],"id":"ITEM-1","issued":{"date-parts":[["2020"]]},"publisher":"JHU Press","title":"Learning innovation and the future of higher education","type":"book"},"uris":["http://www.mendeley.com/documents/?uuid=f5702b74-2e7b-4fc3-9627-a9c4b83256d9"]}],"mendeley":{"formattedCitation":"(Kim and Maloney, 2020)","plainTextFormattedCitation":"(Kim and Maloney, 2020)","previouslyFormattedCitation":"(Kim and Maloney, 2020)"},"properties":{"noteIndex":0},"schema":"https://github.com/citation-style-language/schema/raw/master/csl-citation.json"}</w:instrText>
      </w:r>
      <w:r>
        <w:rPr>
          <w:rFonts w:ascii="Georgia" w:hAnsi="Georgia"/>
        </w:rPr>
        <w:fldChar w:fldCharType="separate"/>
      </w:r>
      <w:r>
        <w:rPr>
          <w:rFonts w:ascii="Georgia" w:hAnsi="Georgia"/>
        </w:rPr>
        <w:t>(Kim and Maloney, 2020)</w:t>
      </w:r>
      <w:r>
        <w:rPr>
          <w:rFonts w:ascii="Georgia" w:hAnsi="Georgia"/>
        </w:rPr>
        <w:fldChar w:fldCharType="end"/>
      </w:r>
      <w:r>
        <w:rPr>
          <w:rFonts w:ascii="Georgia" w:hAnsi="Georgia"/>
        </w:rPr>
        <w:t xml:space="preserve">. </w:t>
      </w:r>
      <w:r>
        <w:rPr>
          <w:rFonts w:hint="eastAsia" w:ascii="Georgia" w:hAnsi="Georgia"/>
        </w:rPr>
        <w:t>Th</w:t>
      </w:r>
      <w:r>
        <w:rPr>
          <w:rFonts w:ascii="Georgia" w:hAnsi="Georgia"/>
        </w:rPr>
        <w:t xml:space="preserve">erefore, other soft skills such as communication, critical thinking, problem, team working, can be developed too through group learning. </w:t>
      </w:r>
    </w:p>
    <w:p>
      <w:pPr>
        <w:spacing w:before="156" w:beforeLines="50" w:line="360" w:lineRule="auto"/>
        <w:rPr>
          <w:rFonts w:ascii="Georgia" w:hAnsi="Georgia"/>
        </w:rPr>
      </w:pPr>
      <w:r>
        <w:rPr>
          <w:rFonts w:ascii="Georgia" w:hAnsi="Georgia"/>
        </w:rPr>
        <w:t xml:space="preserve">Meanwhile, the learning group model emphasizes student-based inquiry learning, with students controlling most of the classroom time on their own, and teachers and teaching assistants playing the role of supporters and guides, not interfering with students' design and implementation, giving students a lot of room for autonomy. In this way, students' willingness and desire for independent inquiry are enhanced, and they are able to give full play to their enthusiasm and promote the development of their creation and innovation. </w:t>
      </w:r>
    </w:p>
    <w:p>
      <w:pPr>
        <w:spacing w:before="156" w:beforeLines="50" w:line="360" w:lineRule="auto"/>
        <w:rPr>
          <w:rFonts w:ascii="Georgia" w:hAnsi="Georgia"/>
        </w:rPr>
      </w:pPr>
    </w:p>
    <w:p>
      <w:pPr>
        <w:pStyle w:val="3"/>
        <w:bidi w:val="0"/>
        <w:rPr>
          <w:rFonts w:hint="default" w:ascii="Times New Roman" w:hAnsi="Times New Roman" w:cs="Times New Roman"/>
          <w:sz w:val="24"/>
          <w:szCs w:val="24"/>
        </w:rPr>
      </w:pPr>
      <w:bookmarkStart w:id="15" w:name="_Toc27810"/>
      <w:r>
        <w:rPr>
          <w:rFonts w:hint="default" w:ascii="Times New Roman" w:hAnsi="Times New Roman" w:cs="Times New Roman"/>
          <w:sz w:val="24"/>
          <w:szCs w:val="24"/>
          <w:lang w:val="en-US" w:eastAsia="zh-CN"/>
        </w:rPr>
        <w:t>6.</w:t>
      </w: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Group learning and innovation/creativity: criticisms</w:t>
      </w:r>
      <w:bookmarkEnd w:id="15"/>
    </w:p>
    <w:p>
      <w:pPr>
        <w:spacing w:before="156" w:beforeLines="50" w:line="360" w:lineRule="auto"/>
        <w:rPr>
          <w:rFonts w:ascii="Georgia" w:hAnsi="Georgia"/>
        </w:rPr>
      </w:pPr>
      <w:r>
        <w:rPr>
          <w:rFonts w:ascii="Georgia" w:hAnsi="Georgia"/>
        </w:rPr>
        <w:t xml:space="preserve">Compared with other learning methods, cooperative group learning has its irreplaceable value and advantages, but in teaching practice, many students fail to benefit from group learning. The diversity of group members is a double-edged sword that nurtures innovation but also frequently leads to conflicts among group members, probably arising from ineffective group communication between team members or arising from different ways/attitudes/perceptions toward problem-solving </w:t>
      </w:r>
      <w:r>
        <w:rPr>
          <w:rFonts w:ascii="Georgia" w:hAnsi="Georgia"/>
        </w:rPr>
        <w:fldChar w:fldCharType="begin" w:fldLock="1"/>
      </w:r>
      <w:r>
        <w:rPr>
          <w:rFonts w:ascii="Georgia" w:hAnsi="Georgia"/>
        </w:rPr>
        <w:instrText xml:space="preserve">ADDIN CSL_CITATION {"citationItems":[{"id":"ITEM-1","itemData":{"ISSN":"1612-1031","author":[{"dropping-particle":"","family":"Phuong-Mai","given":"Nguyen","non-dropping-particle":"","parse-names":false,"suffix":""},{"dropping-particle":"","family":"Terlouw","given":"Cees","non-dropping-particle":"","parse-names":false,"suffix":""},{"dropping-particle":"","family":"Pilot","given":"Albert","non-dropping-particle":"","parse-names":false,"suffix":""}],"container-title":"Asia Europe Journal","id":"ITEM-1","issue":"3","issued":{"date-parts":[["2005"]]},"page":"403-419","publisher":"Springer","title":"Cooperative learning vs Confucian heritage culture's collectivism: confrontation to reveal some cultural conflicts and mismatch","type":"article-journal","volume":"3"},"uris":["http://www.mendeley.com/documents/?uuid=aff222c4-500d-4693-b85e-a1598816f892"]},{"id":"ITEM-2","itemData":{"ISSN":"1359-432X","author":[{"dropping-particle":"","family":"Woerkom","given":"Marianne","non-dropping-particle":"Van","parse-names":false,"suffix":""},{"dropping-particle":"","family":"Engen","given":"Marloes L","non-dropping-particle":"Van","parse-names":false,"suffix":""}],"container-title":"European Journal of Work and Organizational Psychology","id":"ITEM-2","issue":"4","issued":{"date-parts":[["2009"]]},"page":"381-404","publisher":"Taylor &amp; Francis","title":"Learning from conflicts? The relations between task and relationship conflicts, team learning and team performance","type":"article-journal","volume":"18"},"uris":["http://www.mendeley.com/documents/?uuid=dd24c061-5358-4ce8-8aee-bd9f4be316c2"]}],"mendeley":{"formattedCitation":"(Phuong-Mai, Terlouw and Pilot, 2005; Van Woerkom and Van Engen, 2009)","plainTextFormattedCitation":"(Phuong-Mai, Terlouw and Pilot, 2005; Van Woerkom and Van Engen, 2009)","previouslyFormattedCitation":"(Phuong-Mai, Terlouw and Pilot, 2005; Van Woerkom and Van Engen, 2009)"},"properties":{"noteIndex":0},"schema":"https://github.com/citation-style-language/schema/raw/master/csl-citation.json"}</w:instrText>
      </w:r>
      <w:r>
        <w:rPr>
          <w:rFonts w:ascii="Georgia" w:hAnsi="Georgia"/>
        </w:rPr>
        <w:fldChar w:fldCharType="separate"/>
      </w:r>
      <w:r>
        <w:rPr>
          <w:rFonts w:ascii="Georgia" w:hAnsi="Georgia"/>
        </w:rPr>
        <w:t>(Phuong-Mai, Terlouw and Pilot, 2005; Van Woerkom and Van Engen, 2009)</w:t>
      </w:r>
      <w:r>
        <w:rPr>
          <w:rFonts w:ascii="Georgia" w:hAnsi="Georgia"/>
        </w:rPr>
        <w:fldChar w:fldCharType="end"/>
      </w:r>
      <w:r>
        <w:rPr>
          <w:rFonts w:ascii="Georgia" w:hAnsi="Georgia"/>
        </w:rPr>
        <w:t xml:space="preserve">. Another typical type of conflict can be observed between the team and the teacher, primarily due to they could correctly perceive the necessity of the group learning, resulting in the low engagement in the group learning </w:t>
      </w:r>
      <w:r>
        <w:rPr>
          <w:rFonts w:ascii="Georgia" w:hAnsi="Georgia"/>
        </w:rPr>
        <w:fldChar w:fldCharType="begin" w:fldLock="1"/>
      </w:r>
      <w:r>
        <w:rPr>
          <w:rFonts w:ascii="Georgia" w:hAnsi="Georgia"/>
        </w:rPr>
        <w:instrText xml:space="preserve">ADDIN CSL_CITATION {"citationItems":[{"id":"ITEM-1","itemData":{"ISSN":"0034-6543","author":[{"dropping-particle":"","family":"Johnson","given":"David W","non-dropping-particle":"","parse-names":false,"suffix":""},{"dropping-particle":"","family":"Johnson","given":"Roger T","non-dropping-particle":"","parse-names":false,"suffix":""}],"container-title":"Review of educational research","id":"ITEM-1","issue":"1","issued":{"date-parts":[["1979"]]},"page":"51-69","publisher":"Sage Publications Sage CA: Thousand Oaks, CA","title":"Conflict in the classroom: Controversy and learning","type":"article-journal","volume":"49"},"uris":["http://www.mendeley.com/documents/?uuid=20666a09-0027-469b-a59c-54435a63aa55"]}],"mendeley":{"formattedCitation":"(Johnson and Johnson, 1979)","plainTextFormattedCitation":"(Johnson and Johnson, 1979)","previouslyFormattedCitation":"(Johnson and Johnson, 1979)"},"properties":{"noteIndex":0},"schema":"https://github.com/citation-style-language/schema/raw/master/csl-citation.json"}</w:instrText>
      </w:r>
      <w:r>
        <w:rPr>
          <w:rFonts w:ascii="Georgia" w:hAnsi="Georgia"/>
        </w:rPr>
        <w:fldChar w:fldCharType="separate"/>
      </w:r>
      <w:r>
        <w:rPr>
          <w:rFonts w:ascii="Georgia" w:hAnsi="Georgia"/>
        </w:rPr>
        <w:t>(Johnson and Johnson, 1979)</w:t>
      </w:r>
      <w:r>
        <w:rPr>
          <w:rFonts w:ascii="Georgia" w:hAnsi="Georgia"/>
        </w:rPr>
        <w:fldChar w:fldCharType="end"/>
      </w:r>
      <w:r>
        <w:rPr>
          <w:rFonts w:ascii="Georgia" w:hAnsi="Georgia"/>
        </w:rPr>
        <w:t xml:space="preserve">. </w:t>
      </w:r>
    </w:p>
    <w:p>
      <w:pPr>
        <w:spacing w:before="156" w:beforeLines="50" w:line="360" w:lineRule="auto"/>
        <w:rPr>
          <w:rFonts w:ascii="Georgia" w:hAnsi="Georgia"/>
        </w:rPr>
      </w:pPr>
      <w:r>
        <w:rPr>
          <w:rFonts w:ascii="Georgia" w:hAnsi="Georgia"/>
        </w:rPr>
        <w:t xml:space="preserve">Cooperative group learning should have a clear purpose and topic, specific steps and methods. In the practical research, there are many group learning that brings group members together for free discussion. The lack of design and organization of cooperative group learning often leads to problems such as taking too much time, failing to complete the learning tasks, not being able to discuss thoroughly and having only some members participate </w:t>
      </w:r>
      <w:r>
        <w:rPr>
          <w:rFonts w:ascii="Georgia" w:hAnsi="Georgia"/>
        </w:rPr>
        <w:fldChar w:fldCharType="begin" w:fldLock="1"/>
      </w:r>
      <w:r>
        <w:rPr>
          <w:rFonts w:ascii="Georgia" w:hAnsi="Georgia"/>
        </w:rPr>
        <w:instrText xml:space="preserve">ADDIN CSL_CITATION {"citationItems":[{"id":"ITEM-1","itemData":{"ISBN":"052148376X","author":[{"dropping-particle":"","family":"Hertz-Lazarowitz","given":"Rachel","non-dropping-particle":"","parse-names":false,"suffix":""},{"dropping-particle":"","family":"Miller","given":"Norman","non-dropping-particle":"","parse-names":false,"suffix":""}],"id":"ITEM-1","issued":{"date-parts":[["1995"]]},"publisher":"Cambridge University Press","title":"Interaction in cooperative groups: The theoretical anatomy of group learning","type":"book"},"uris":["http://www.mendeley.com/documents/?uuid=e12fbf91-c0a2-48ea-9294-c267ed961678"]}],"mendeley":{"formattedCitation":"(Hertz-Lazarowitz and Miller, 1995)","plainTextFormattedCitation":"(Hertz-Lazarowitz and Miller, 1995)","previouslyFormattedCitation":"(Hertz-Lazarowitz and Miller, 1995)"},"properties":{"noteIndex":0},"schema":"https://github.com/citation-style-language/schema/raw/master/csl-citation.json"}</w:instrText>
      </w:r>
      <w:r>
        <w:rPr>
          <w:rFonts w:ascii="Georgia" w:hAnsi="Georgia"/>
        </w:rPr>
        <w:fldChar w:fldCharType="separate"/>
      </w:r>
      <w:r>
        <w:rPr>
          <w:rFonts w:ascii="Georgia" w:hAnsi="Georgia"/>
        </w:rPr>
        <w:t>(Hertz-Lazarowitz and Miller, 1995)</w:t>
      </w:r>
      <w:r>
        <w:rPr>
          <w:rFonts w:ascii="Georgia" w:hAnsi="Georgia"/>
        </w:rPr>
        <w:fldChar w:fldCharType="end"/>
      </w:r>
      <w:r>
        <w:rPr>
          <w:rFonts w:ascii="Georgia" w:hAnsi="Georgia"/>
        </w:rPr>
        <w:t>.</w:t>
      </w:r>
    </w:p>
    <w:p>
      <w:pPr>
        <w:spacing w:before="156" w:beforeLines="50" w:line="360" w:lineRule="auto"/>
        <w:rPr>
          <w:rFonts w:ascii="Georgia" w:hAnsi="Georgia"/>
        </w:rPr>
      </w:pPr>
      <w:r>
        <w:rPr>
          <w:rFonts w:ascii="Georgia" w:hAnsi="Georgia"/>
        </w:rPr>
        <w:t xml:space="preserve">The main purpose of cooperative group learning is to strengthen the interaction and communication among students so that they can learn from each other, improve each other, and improve together. However, in the process of cooperative group learning, the teacher's work is not lightened. The teacher needs to observe students' learning throughout the whole process, and when problems and deviations are found, the teacher should promptly remind, point out, and guide in order to improve the effect of cooperative group learning. Cooperative group learning must be done under the guidance of the teacher. In the practical group learning, the teachers may be less incentivized and motivated to engage in the group learning </w:t>
      </w:r>
    </w:p>
    <w:p>
      <w:pPr>
        <w:spacing w:before="156" w:beforeLines="50" w:line="360" w:lineRule="auto"/>
        <w:rPr>
          <w:rFonts w:ascii="Georgia" w:hAnsi="Georgia"/>
        </w:rPr>
      </w:pPr>
      <w:r>
        <w:rPr>
          <w:rFonts w:hint="eastAsia" w:ascii="Georgia" w:hAnsi="Georgia"/>
        </w:rPr>
        <w:t>T</w:t>
      </w:r>
      <w:r>
        <w:rPr>
          <w:rFonts w:ascii="Georgia" w:hAnsi="Georgia"/>
        </w:rPr>
        <w:t xml:space="preserve">he above inherent limitations of the group learning indicate its relatively lower effectiveness the highly structured learning orientated by clear, precise, and measurable results but less oriented by the diversification and innovation in the solutions. </w:t>
      </w:r>
    </w:p>
    <w:p>
      <w:pPr>
        <w:spacing w:before="156" w:beforeLines="50" w:line="360" w:lineRule="auto"/>
        <w:rPr>
          <w:rFonts w:ascii="Georgia" w:hAnsi="Georgia"/>
        </w:rPr>
      </w:pPr>
    </w:p>
    <w:p>
      <w:pPr>
        <w:pStyle w:val="2"/>
        <w:bidi w:val="0"/>
        <w:rPr>
          <w:rFonts w:hint="default" w:ascii="Times New Roman" w:hAnsi="Times New Roman" w:cs="Times New Roman"/>
          <w:sz w:val="28"/>
          <w:szCs w:val="28"/>
          <w:lang w:val="en-US" w:eastAsia="zh-CN"/>
        </w:rPr>
      </w:pPr>
      <w:bookmarkStart w:id="16" w:name="_Toc27332"/>
      <w:r>
        <w:rPr>
          <w:rFonts w:hint="default" w:ascii="Times New Roman" w:hAnsi="Times New Roman" w:cs="Times New Roman"/>
          <w:sz w:val="28"/>
          <w:szCs w:val="28"/>
          <w:lang w:val="en-US" w:eastAsia="zh-CN"/>
        </w:rPr>
        <w:t>7.0 Recommendation</w:t>
      </w:r>
      <w:bookmarkEnd w:id="16"/>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above analysis indicates an evident truth that neither chosen learning method has absolute superiority over another, and each of them has some inherent pros and cons.  Therefore, it would be too arbitrary to draw a conclusion over which learning method should be recommended to develop innovation and creativity. This is especially true as there is no clear conceptualization of innovation and creativity, nor some specific skills under the broad concept. It is, therefore, recommended that learning methods should be adopted based on the specific innovation and creativity skills that the organization intends to develop, based on the advantages of each learning method. For instance, for more structured innovation skills with specific measurements, the Bloom’s education taxonomy may be more appropriate, but for more unstructured innovation skills with more attention being placed on hands-on experiences and that are highly conditional on the specific project or situation, group learning seems to be a more effective way of learning. </w:t>
      </w:r>
    </w:p>
    <w:p>
      <w:pPr>
        <w:rPr>
          <w:rFonts w:hint="default"/>
          <w:lang w:val="en-US" w:eastAsia="zh-CN"/>
        </w:rPr>
      </w:pPr>
    </w:p>
    <w:p>
      <w:pPr>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bookmarkStart w:id="17" w:name="_Toc9028"/>
      <w:r>
        <w:rPr>
          <w:rFonts w:hint="default" w:ascii="Times New Roman" w:hAnsi="Times New Roman" w:cs="Times New Roman"/>
          <w:sz w:val="28"/>
          <w:szCs w:val="28"/>
          <w:lang w:val="en-US" w:eastAsia="zh-CN"/>
        </w:rPr>
        <w:t>8.0 Conclusion</w:t>
      </w:r>
      <w:bookmarkEnd w:id="17"/>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second part of the report points out that for an enterprise, leadership's innovative skills can not only improve employees' innovation ability, but also improve their work efficiency. When employees' innovation confidence and enterprise innovation results form a virtuous circle, leaders can establish a basic institutional system based on innovation. The third part of the report provides a detailed group study plan. In the fourth part, by reviewing the past work experience, find out the rules of solutions, and follow these rules to work better. The limitations of Bloom's taxonomy are detailed in Section V of the report, which means that education and learning models using Bloom's taxonomy are generally less likely to achieve predetermined learning outcomes. The inherent limitations of small-group learning shown in Section V of the report show that its effectiveness is relatively low, that is, highly structured learning is oriented towards clear, precise, and measurable outcomes, but less oriented towards solution diversification and innovation.</w:t>
      </w:r>
    </w:p>
    <w:p>
      <w:pPr>
        <w:rPr>
          <w:rFonts w:hint="default"/>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8"/>
          <w:szCs w:val="28"/>
          <w:lang w:val="en-US" w:eastAsia="zh-CN"/>
        </w:rPr>
      </w:pPr>
      <w:bookmarkStart w:id="18" w:name="_Toc28992"/>
      <w:r>
        <w:rPr>
          <w:rFonts w:hint="default" w:ascii="Times New Roman" w:hAnsi="Times New Roman" w:cs="Times New Roman"/>
          <w:sz w:val="28"/>
          <w:szCs w:val="28"/>
          <w:lang w:val="en-US" w:eastAsia="zh-CN"/>
        </w:rPr>
        <w:t>9.0 References</w:t>
      </w:r>
      <w:bookmarkEnd w:id="18"/>
    </w:p>
    <w:p>
      <w:pPr>
        <w:autoSpaceDE w:val="0"/>
        <w:autoSpaceDN w:val="0"/>
        <w:adjustRightInd w:val="0"/>
        <w:spacing w:line="360" w:lineRule="auto"/>
        <w:jc w:val="left"/>
        <w:rPr>
          <w:rFonts w:hint="default" w:ascii="Times New Roman" w:hAnsi="Times New Roman" w:cs="Times New Roman"/>
          <w:kern w:val="0"/>
          <w:sz w:val="24"/>
          <w:szCs w:val="24"/>
        </w:rPr>
      </w:pPr>
      <w:r>
        <w:rPr>
          <w:rFonts w:hint="eastAsia" w:ascii="Times New Roman" w:hAnsi="Times New Roman" w:cs="Times New Roman"/>
          <w:kern w:val="0"/>
          <w:sz w:val="24"/>
          <w:szCs w:val="24"/>
          <w:lang w:val="en-US" w:eastAsia="zh-CN"/>
        </w:rPr>
        <w:t xml:space="preserve">1. </w:t>
      </w:r>
      <w:r>
        <w:rPr>
          <w:rFonts w:hint="default" w:ascii="Times New Roman" w:hAnsi="Times New Roman" w:cs="Times New Roman"/>
          <w:kern w:val="0"/>
          <w:sz w:val="24"/>
          <w:szCs w:val="24"/>
        </w:rPr>
        <w:t xml:space="preserve">Airasian, P. W. and Miranda, H. (2002) ‘The role of assessment in the revised taxonomy’, </w:t>
      </w:r>
      <w:r>
        <w:rPr>
          <w:rFonts w:hint="default" w:ascii="Times New Roman" w:hAnsi="Times New Roman" w:cs="Times New Roman"/>
          <w:i/>
          <w:iCs/>
          <w:kern w:val="0"/>
          <w:sz w:val="24"/>
          <w:szCs w:val="24"/>
        </w:rPr>
        <w:t>Theory into practice</w:t>
      </w:r>
      <w:r>
        <w:rPr>
          <w:rFonts w:hint="default" w:ascii="Times New Roman" w:hAnsi="Times New Roman" w:cs="Times New Roman"/>
          <w:kern w:val="0"/>
          <w:sz w:val="24"/>
          <w:szCs w:val="24"/>
        </w:rPr>
        <w:t>, 41(4), pp. 249–254.</w:t>
      </w:r>
    </w:p>
    <w:p>
      <w:pPr>
        <w:spacing w:line="360" w:lineRule="auto"/>
        <w:rPr>
          <w:rFonts w:hint="default" w:ascii="Times New Roman" w:hAnsi="Times New Roman" w:eastAsia="Helvetica" w:cs="Times New Roman"/>
          <w:i w:val="0"/>
          <w:iCs w:val="0"/>
          <w:caps w:val="0"/>
          <w:color w:val="3A3A3A"/>
          <w:spacing w:val="0"/>
          <w:sz w:val="24"/>
          <w:szCs w:val="24"/>
          <w:shd w:val="clear" w:fill="FFFFFF"/>
        </w:rPr>
      </w:pPr>
    </w:p>
    <w:p>
      <w:pPr>
        <w:numPr>
          <w:ilvl w:val="0"/>
          <w:numId w:val="1"/>
        </w:numPr>
        <w:autoSpaceDE w:val="0"/>
        <w:autoSpaceDN w:val="0"/>
        <w:adjustRightInd w:val="0"/>
        <w:spacing w:line="360" w:lineRule="auto"/>
        <w:jc w:val="left"/>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Anderson, L. W. and Krathwohl, D. R. (2001) </w:t>
      </w:r>
      <w:r>
        <w:rPr>
          <w:rFonts w:hint="default" w:ascii="Times New Roman" w:hAnsi="Times New Roman" w:cs="Times New Roman"/>
          <w:i/>
          <w:iCs/>
          <w:kern w:val="0"/>
          <w:sz w:val="24"/>
          <w:szCs w:val="24"/>
        </w:rPr>
        <w:t>A taxonomy for learning, teaching, and assessing: A revision of Bloom’s taxonomy of educational objectives</w:t>
      </w:r>
      <w:r>
        <w:rPr>
          <w:rFonts w:hint="default" w:ascii="Times New Roman" w:hAnsi="Times New Roman" w:cs="Times New Roman"/>
          <w:kern w:val="0"/>
          <w:sz w:val="24"/>
          <w:szCs w:val="24"/>
        </w:rPr>
        <w:t>. Longman,.</w:t>
      </w:r>
    </w:p>
    <w:p>
      <w:pPr>
        <w:spacing w:line="360" w:lineRule="auto"/>
        <w:rPr>
          <w:rFonts w:hint="default" w:ascii="Times New Roman" w:hAnsi="Times New Roman" w:eastAsia="Helvetica" w:cs="Times New Roman"/>
          <w:i w:val="0"/>
          <w:iCs w:val="0"/>
          <w:caps w:val="0"/>
          <w:color w:val="3A3A3A"/>
          <w:spacing w:val="0"/>
          <w:sz w:val="24"/>
          <w:szCs w:val="24"/>
          <w:shd w:val="clear" w:fill="FFFFFF"/>
        </w:rPr>
      </w:pPr>
    </w:p>
    <w:p>
      <w:pPr>
        <w:numPr>
          <w:ilvl w:val="0"/>
          <w:numId w:val="1"/>
        </w:numPr>
        <w:spacing w:line="360" w:lineRule="auto"/>
        <w:ind w:left="0" w:leftChars="0" w:firstLine="0" w:firstLineChars="0"/>
        <w:rPr>
          <w:rFonts w:hint="eastAsia" w:ascii="Times New Roman" w:hAnsi="Times New Roman" w:eastAsia="宋体" w:cs="Times New Roman"/>
          <w:i w:val="0"/>
          <w:iCs w:val="0"/>
          <w:caps w:val="0"/>
          <w:color w:val="3A3A3A"/>
          <w:spacing w:val="0"/>
          <w:sz w:val="24"/>
          <w:szCs w:val="24"/>
          <w:shd w:val="clear" w:fill="FFFFFF"/>
          <w:lang w:val="en-US" w:eastAsia="zh-CN"/>
        </w:rPr>
      </w:pPr>
      <w:r>
        <w:rPr>
          <w:rFonts w:hint="default" w:ascii="Times New Roman" w:hAnsi="Times New Roman" w:eastAsia="Helvetica" w:cs="Times New Roman"/>
          <w:i w:val="0"/>
          <w:iCs w:val="0"/>
          <w:caps w:val="0"/>
          <w:color w:val="3A3A3A"/>
          <w:spacing w:val="0"/>
          <w:sz w:val="24"/>
          <w:szCs w:val="24"/>
          <w:shd w:val="clear" w:fill="FFFFFF"/>
        </w:rPr>
        <w:t>Bessant, J.R. and Tidd, J. (2015) </w:t>
      </w:r>
      <w:r>
        <w:rPr>
          <w:rFonts w:hint="default" w:ascii="Times New Roman" w:hAnsi="Times New Roman" w:eastAsia="Helvetica" w:cs="Times New Roman"/>
          <w:i/>
          <w:iCs/>
          <w:caps w:val="0"/>
          <w:color w:val="3A3A3A"/>
          <w:spacing w:val="0"/>
          <w:sz w:val="24"/>
          <w:szCs w:val="24"/>
          <w:shd w:val="clear" w:fill="FFFFFF"/>
        </w:rPr>
        <w:t>Innovation and entrepreneurship</w:t>
      </w:r>
      <w:r>
        <w:rPr>
          <w:rFonts w:hint="default" w:ascii="Times New Roman" w:hAnsi="Times New Roman" w:eastAsia="Helvetica" w:cs="Times New Roman"/>
          <w:i w:val="0"/>
          <w:iCs w:val="0"/>
          <w:caps w:val="0"/>
          <w:color w:val="3A3A3A"/>
          <w:spacing w:val="0"/>
          <w:sz w:val="24"/>
          <w:szCs w:val="24"/>
          <w:shd w:val="clear" w:fill="FFFFFF"/>
        </w:rPr>
        <w:t>. 3rd ed. Chichester: Wiley.</w:t>
      </w:r>
      <w:r>
        <w:rPr>
          <w:rFonts w:hint="eastAsia" w:ascii="Times New Roman" w:hAnsi="Times New Roman" w:eastAsia="宋体" w:cs="Times New Roman"/>
          <w:i w:val="0"/>
          <w:iCs w:val="0"/>
          <w:caps w:val="0"/>
          <w:color w:val="3A3A3A"/>
          <w:spacing w:val="0"/>
          <w:sz w:val="24"/>
          <w:szCs w:val="24"/>
          <w:shd w:val="clear" w:fill="FFFFFF"/>
          <w:lang w:val="en-US" w:eastAsia="zh-CN"/>
        </w:rPr>
        <w:t xml:space="preserve"> </w:t>
      </w:r>
    </w:p>
    <w:p>
      <w:pPr>
        <w:spacing w:line="360" w:lineRule="auto"/>
        <w:rPr>
          <w:rFonts w:hint="eastAsia" w:ascii="Times New Roman" w:hAnsi="Times New Roman" w:eastAsia="宋体" w:cs="Times New Roman"/>
          <w:i w:val="0"/>
          <w:iCs w:val="0"/>
          <w:caps w:val="0"/>
          <w:color w:val="3A3A3A"/>
          <w:spacing w:val="0"/>
          <w:sz w:val="24"/>
          <w:szCs w:val="24"/>
          <w:shd w:val="clear" w:fill="FFFFFF"/>
          <w:lang w:val="en-US" w:eastAsia="zh-CN"/>
        </w:rPr>
      </w:pPr>
    </w:p>
    <w:p>
      <w:pPr>
        <w:numPr>
          <w:ilvl w:val="0"/>
          <w:numId w:val="1"/>
        </w:numPr>
        <w:spacing w:line="360" w:lineRule="auto"/>
        <w:ind w:left="0" w:leftChars="0" w:firstLine="0" w:firstLineChars="0"/>
        <w:rPr>
          <w:rFonts w:hint="default" w:ascii="Times New Roman" w:hAnsi="Times New Roman" w:eastAsia="宋体" w:cs="Times New Roman"/>
          <w:i w:val="0"/>
          <w:iCs w:val="0"/>
          <w:caps w:val="0"/>
          <w:color w:val="3A3A3A"/>
          <w:spacing w:val="0"/>
          <w:sz w:val="24"/>
          <w:szCs w:val="24"/>
          <w:shd w:val="clear" w:fill="FFFFFF"/>
          <w:lang w:val="en-US" w:eastAsia="zh-CN"/>
        </w:rPr>
      </w:pPr>
      <w:r>
        <w:rPr>
          <w:rFonts w:hint="default" w:ascii="Times New Roman" w:hAnsi="Times New Roman" w:cs="Times New Roman"/>
          <w:kern w:val="0"/>
          <w:sz w:val="24"/>
          <w:szCs w:val="24"/>
        </w:rPr>
        <w:t xml:space="preserve">Bloom, B. S. (1972) ‘Taxonomy of Educational Objectives: The Classification of Educational Goals, Parts 1-2’, in </w:t>
      </w:r>
      <w:r>
        <w:rPr>
          <w:rFonts w:hint="default" w:ascii="Times New Roman" w:hAnsi="Times New Roman" w:cs="Times New Roman"/>
          <w:i/>
          <w:iCs/>
          <w:kern w:val="0"/>
          <w:sz w:val="24"/>
          <w:szCs w:val="24"/>
        </w:rPr>
        <w:t>Handbook I: Cognitive Domain.</w:t>
      </w:r>
      <w:r>
        <w:rPr>
          <w:rFonts w:hint="default" w:ascii="Times New Roman" w:hAnsi="Times New Roman" w:cs="Times New Roman"/>
          <w:kern w:val="0"/>
          <w:sz w:val="24"/>
          <w:szCs w:val="24"/>
        </w:rPr>
        <w:t xml:space="preserve"> Available at: https://ci.nii.ac.jp/naid/10025289849/ (Accessed: 24 April 2022).</w:t>
      </w:r>
    </w:p>
    <w:p>
      <w:pPr>
        <w:spacing w:line="360" w:lineRule="auto"/>
        <w:rPr>
          <w:rFonts w:hint="eastAsia" w:ascii="Times New Roman" w:hAnsi="Times New Roman" w:eastAsia="宋体" w:cs="Times New Roman"/>
          <w:i w:val="0"/>
          <w:iCs w:val="0"/>
          <w:caps w:val="0"/>
          <w:color w:val="3A3A3A"/>
          <w:spacing w:val="0"/>
          <w:sz w:val="24"/>
          <w:szCs w:val="24"/>
          <w:shd w:val="clear" w:fill="FFFFFF"/>
          <w:lang w:val="en-US" w:eastAsia="zh-CN"/>
        </w:rPr>
      </w:pPr>
    </w:p>
    <w:p>
      <w:pPr>
        <w:numPr>
          <w:ilvl w:val="0"/>
          <w:numId w:val="1"/>
        </w:numPr>
        <w:spacing w:line="360" w:lineRule="auto"/>
        <w:ind w:left="0" w:leftChars="0" w:firstLine="0" w:firstLineChars="0"/>
        <w:rPr>
          <w:rFonts w:hint="default" w:ascii="Times New Roman" w:hAnsi="Times New Roman" w:eastAsia="Helvetica" w:cs="Times New Roman"/>
          <w:i w:val="0"/>
          <w:iCs w:val="0"/>
          <w:caps w:val="0"/>
          <w:color w:val="3A3A3A"/>
          <w:spacing w:val="0"/>
          <w:sz w:val="24"/>
          <w:szCs w:val="24"/>
          <w:shd w:val="clear" w:fill="FFFFFF"/>
        </w:rPr>
      </w:pPr>
      <w:r>
        <w:rPr>
          <w:rFonts w:hint="default" w:ascii="Times New Roman" w:hAnsi="Times New Roman" w:eastAsia="Helvetica" w:cs="Times New Roman"/>
          <w:i/>
          <w:iCs/>
          <w:caps w:val="0"/>
          <w:color w:val="3A3A3A"/>
          <w:spacing w:val="0"/>
          <w:sz w:val="24"/>
          <w:szCs w:val="24"/>
          <w:shd w:val="clear" w:fill="FFFFFF"/>
        </w:rPr>
        <w:t>Creativity and innovation management.</w:t>
      </w:r>
      <w:r>
        <w:rPr>
          <w:rFonts w:hint="default" w:ascii="Times New Roman" w:hAnsi="Times New Roman" w:eastAsia="Helvetica" w:cs="Times New Roman"/>
          <w:i w:val="0"/>
          <w:iCs w:val="0"/>
          <w:caps w:val="0"/>
          <w:color w:val="3A3A3A"/>
          <w:spacing w:val="0"/>
          <w:sz w:val="24"/>
          <w:szCs w:val="24"/>
          <w:shd w:val="clear" w:fill="FFFFFF"/>
        </w:rPr>
        <w:t> (1992). Oxford: Blackwell Publishers.</w:t>
      </w:r>
    </w:p>
    <w:p>
      <w:pPr>
        <w:numPr>
          <w:ilvl w:val="0"/>
          <w:numId w:val="0"/>
        </w:numPr>
        <w:spacing w:line="360" w:lineRule="auto"/>
        <w:ind w:leftChars="0"/>
        <w:rPr>
          <w:rFonts w:hint="default" w:ascii="Times New Roman" w:hAnsi="Times New Roman" w:eastAsia="Helvetica" w:cs="Times New Roman"/>
          <w:i w:val="0"/>
          <w:iCs w:val="0"/>
          <w:caps w:val="0"/>
          <w:color w:val="3A3A3A"/>
          <w:spacing w:val="0"/>
          <w:sz w:val="24"/>
          <w:szCs w:val="24"/>
          <w:shd w:val="clear" w:fill="FFFFFF"/>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Chen, Andrew NK, and Theresa M. Edgington. "Assessing value in organizational knowledge creation: Considerations for knowledge workers." MIS quarterly (2005): 279-309.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numPr>
          <w:ilvl w:val="0"/>
          <w:numId w:val="1"/>
        </w:numPr>
        <w:autoSpaceDE w:val="0"/>
        <w:autoSpaceDN w:val="0"/>
        <w:adjustRightInd w:val="0"/>
        <w:spacing w:line="360" w:lineRule="auto"/>
        <w:ind w:left="0" w:leftChars="0" w:firstLine="0" w:firstLineChars="0"/>
        <w:jc w:val="left"/>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cs="Times New Roman"/>
          <w:kern w:val="0"/>
          <w:sz w:val="24"/>
          <w:szCs w:val="24"/>
        </w:rPr>
        <w:t xml:space="preserve">Castle, A. (2003) ‘Demonstrating critical evaluation skills using Bloom’s taxonomy’, </w:t>
      </w:r>
      <w:r>
        <w:rPr>
          <w:rFonts w:hint="default" w:ascii="Times New Roman" w:hAnsi="Times New Roman" w:cs="Times New Roman"/>
          <w:i/>
          <w:iCs/>
          <w:kern w:val="0"/>
          <w:sz w:val="24"/>
          <w:szCs w:val="24"/>
        </w:rPr>
        <w:t>British Journal of Therapy and Rehabilitaiton</w:t>
      </w:r>
      <w:r>
        <w:rPr>
          <w:rFonts w:hint="default" w:ascii="Times New Roman" w:hAnsi="Times New Roman" w:cs="Times New Roman"/>
          <w:kern w:val="0"/>
          <w:sz w:val="24"/>
          <w:szCs w:val="24"/>
        </w:rPr>
        <w:t>, 10(8), pp. 369–373.</w:t>
      </w:r>
    </w:p>
    <w:p>
      <w:pPr>
        <w:numPr>
          <w:ilvl w:val="0"/>
          <w:numId w:val="0"/>
        </w:numPr>
        <w:spacing w:line="360" w:lineRule="auto"/>
        <w:ind w:leftChars="0"/>
        <w:rPr>
          <w:rFonts w:hint="default" w:ascii="Times New Roman" w:hAnsi="Times New Roman" w:eastAsia="Helvetica" w:cs="Times New Roman"/>
          <w:i w:val="0"/>
          <w:iCs w:val="0"/>
          <w:caps w:val="0"/>
          <w:color w:val="3A3A3A"/>
          <w:spacing w:val="0"/>
          <w:sz w:val="24"/>
          <w:szCs w:val="24"/>
          <w:shd w:val="clear" w:fill="FFFFFF"/>
        </w:rPr>
      </w:pPr>
    </w:p>
    <w:p>
      <w:pPr>
        <w:numPr>
          <w:ilvl w:val="0"/>
          <w:numId w:val="1"/>
        </w:numPr>
        <w:spacing w:line="360" w:lineRule="auto"/>
        <w:ind w:left="0" w:leftChars="0" w:firstLine="0" w:firstLineChars="0"/>
        <w:rPr>
          <w:rFonts w:ascii="Candara" w:hAnsi="Candara" w:cs="Times New Roman"/>
          <w:kern w:val="0"/>
          <w:sz w:val="20"/>
          <w:szCs w:val="24"/>
        </w:rPr>
      </w:pPr>
      <w:r>
        <w:rPr>
          <w:rFonts w:hint="default" w:ascii="Times New Roman" w:hAnsi="Times New Roman" w:cs="Times New Roman"/>
          <w:kern w:val="0"/>
          <w:sz w:val="24"/>
          <w:szCs w:val="24"/>
        </w:rPr>
        <w:t xml:space="preserve">Crowe, A., Dirks, C. and Wenderoth, M. P. (2008) ‘Biology in bloom: implementing Bloom’s taxonomy to enhance student learning in biology’, </w:t>
      </w:r>
      <w:r>
        <w:rPr>
          <w:rFonts w:hint="default" w:ascii="Times New Roman" w:hAnsi="Times New Roman" w:cs="Times New Roman"/>
          <w:i/>
          <w:iCs/>
          <w:kern w:val="0"/>
          <w:sz w:val="24"/>
          <w:szCs w:val="24"/>
        </w:rPr>
        <w:t>CBE-Life Sciences Education</w:t>
      </w:r>
      <w:r>
        <w:rPr>
          <w:rFonts w:hint="default" w:ascii="Times New Roman" w:hAnsi="Times New Roman" w:cs="Times New Roman"/>
          <w:kern w:val="0"/>
          <w:sz w:val="24"/>
          <w:szCs w:val="24"/>
        </w:rPr>
        <w:t>, 7(4), pp. 368–381.</w:t>
      </w:r>
    </w:p>
    <w:p>
      <w:pPr>
        <w:numPr>
          <w:ilvl w:val="0"/>
          <w:numId w:val="0"/>
        </w:numPr>
        <w:spacing w:line="360" w:lineRule="auto"/>
        <w:ind w:leftChars="0"/>
        <w:rPr>
          <w:rFonts w:hint="default" w:ascii="Candara" w:hAnsi="Candara" w:cs="Times New Roman"/>
          <w:kern w:val="0"/>
          <w:sz w:val="20"/>
          <w:szCs w:val="24"/>
        </w:rPr>
      </w:pPr>
    </w:p>
    <w:p>
      <w:pPr>
        <w:numPr>
          <w:ilvl w:val="0"/>
          <w:numId w:val="1"/>
        </w:numPr>
        <w:spacing w:line="360" w:lineRule="auto"/>
        <w:ind w:left="0" w:leftChars="0" w:firstLine="0" w:firstLineChars="0"/>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Crouch C, Finegold D, Sako M. Are skills the answer?: the political economy of skill creation in advanced industrial countries[M]. Oxford University Press, 2001.</w:t>
      </w:r>
    </w:p>
    <w:p>
      <w:pPr>
        <w:numPr>
          <w:ilvl w:val="0"/>
          <w:numId w:val="0"/>
        </w:numPr>
        <w:spacing w:line="360" w:lineRule="auto"/>
        <w:ind w:leftChars="0"/>
        <w:rPr>
          <w:rFonts w:hint="default" w:ascii="Times New Roman" w:hAnsi="Times New Roman" w:eastAsia="宋体" w:cs="Times New Roman"/>
          <w:i/>
          <w:iCs/>
          <w:caps w:val="0"/>
          <w:color w:val="222222"/>
          <w:spacing w:val="0"/>
          <w:sz w:val="24"/>
          <w:szCs w:val="24"/>
          <w:shd w:val="clear" w:color="auto" w:fill="FFFFFF"/>
        </w:rPr>
      </w:pPr>
    </w:p>
    <w:p>
      <w:pPr>
        <w:numPr>
          <w:ilvl w:val="0"/>
          <w:numId w:val="1"/>
        </w:numPr>
        <w:spacing w:line="360" w:lineRule="auto"/>
        <w:ind w:left="0" w:leftChars="0" w:firstLine="0" w:firstLineChars="0"/>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Correa T. The participation divide among “online experts”: Experience, skills and psychological factors as predictors of college students' web content creation[J]. Journal of computer-mediated communication, 2010, 16(1): 71-92</w:t>
      </w:r>
    </w:p>
    <w:p>
      <w:pPr>
        <w:numPr>
          <w:ilvl w:val="0"/>
          <w:numId w:val="1"/>
        </w:numPr>
        <w:autoSpaceDE w:val="0"/>
        <w:autoSpaceDN w:val="0"/>
        <w:adjustRightInd w:val="0"/>
        <w:spacing w:before="16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Deyle, R. and Schively Slotterback, C. (2009) ‘Group learning in participatory planning processes: An exploratory quasiexperimental analysis of local mitigation planning in Florida’, </w:t>
      </w:r>
      <w:r>
        <w:rPr>
          <w:rFonts w:hint="default" w:ascii="Times New Roman" w:hAnsi="Times New Roman" w:cs="Times New Roman"/>
          <w:i/>
          <w:iCs/>
          <w:kern w:val="0"/>
          <w:sz w:val="24"/>
          <w:szCs w:val="24"/>
        </w:rPr>
        <w:t>Journal of planning education and research</w:t>
      </w:r>
      <w:r>
        <w:rPr>
          <w:rFonts w:hint="default" w:ascii="Times New Roman" w:hAnsi="Times New Roman" w:cs="Times New Roman"/>
          <w:kern w:val="0"/>
          <w:sz w:val="24"/>
          <w:szCs w:val="24"/>
        </w:rPr>
        <w:t>, 29(1), pp. 23–38.</w:t>
      </w:r>
    </w:p>
    <w:p>
      <w:pPr>
        <w:numPr>
          <w:ilvl w:val="0"/>
          <w:numId w:val="0"/>
        </w:numPr>
        <w:spacing w:line="360" w:lineRule="auto"/>
        <w:ind w:leftChars="0"/>
        <w:rPr>
          <w:rFonts w:hint="default" w:ascii="Times New Roman" w:hAnsi="Times New Roman" w:eastAsia="Helvetica" w:cs="Times New Roman"/>
          <w:i w:val="0"/>
          <w:iCs w:val="0"/>
          <w:caps w:val="0"/>
          <w:color w:val="3A3A3A"/>
          <w:spacing w:val="0"/>
          <w:sz w:val="24"/>
          <w:szCs w:val="24"/>
          <w:shd w:val="clear" w:fill="FFFFFF"/>
        </w:rPr>
      </w:pPr>
    </w:p>
    <w:p>
      <w:pPr>
        <w:numPr>
          <w:ilvl w:val="0"/>
          <w:numId w:val="1"/>
        </w:numPr>
        <w:spacing w:line="360" w:lineRule="auto"/>
        <w:ind w:left="0" w:leftChars="0" w:firstLine="0" w:firstLineChars="0"/>
        <w:rPr>
          <w:rFonts w:hint="default" w:ascii="Times New Roman" w:hAnsi="Times New Roman" w:eastAsia="宋体" w:cs="Times New Roman"/>
          <w:i w:val="0"/>
          <w:iCs w:val="0"/>
          <w:caps w:val="0"/>
          <w:color w:val="3A3A3A"/>
          <w:spacing w:val="0"/>
          <w:sz w:val="24"/>
          <w:szCs w:val="24"/>
          <w:shd w:val="clear" w:fill="FFFFFF"/>
          <w:lang w:val="en-US" w:eastAsia="zh-CN"/>
        </w:rPr>
      </w:pPr>
      <w:r>
        <w:rPr>
          <w:rFonts w:hint="default" w:ascii="Times New Roman" w:hAnsi="Times New Roman" w:eastAsia="Helvetica" w:cs="Times New Roman"/>
          <w:i w:val="0"/>
          <w:iCs w:val="0"/>
          <w:caps w:val="0"/>
          <w:color w:val="3A3A3A"/>
          <w:spacing w:val="0"/>
          <w:sz w:val="24"/>
          <w:szCs w:val="24"/>
          <w:shd w:val="clear" w:fill="FFFFFF"/>
        </w:rPr>
        <w:t>Dawson, P., Andriopoulos, C. and Andriopoulos, C. (2014) </w:t>
      </w:r>
      <w:r>
        <w:rPr>
          <w:rFonts w:hint="default" w:ascii="Times New Roman" w:hAnsi="Times New Roman" w:eastAsia="Helvetica" w:cs="Times New Roman"/>
          <w:i/>
          <w:iCs/>
          <w:caps w:val="0"/>
          <w:color w:val="3A3A3A"/>
          <w:spacing w:val="0"/>
          <w:sz w:val="24"/>
          <w:szCs w:val="24"/>
          <w:shd w:val="clear" w:fill="FFFFFF"/>
        </w:rPr>
        <w:t>Managing change, creativity &amp; innovation</w:t>
      </w:r>
      <w:r>
        <w:rPr>
          <w:rFonts w:hint="default" w:ascii="Times New Roman" w:hAnsi="Times New Roman" w:eastAsia="Helvetica" w:cs="Times New Roman"/>
          <w:i w:val="0"/>
          <w:iCs w:val="0"/>
          <w:caps w:val="0"/>
          <w:color w:val="3A3A3A"/>
          <w:spacing w:val="0"/>
          <w:sz w:val="24"/>
          <w:szCs w:val="24"/>
          <w:shd w:val="clear" w:fill="FFFFFF"/>
        </w:rPr>
        <w:t>. Second edition. Los Angeles: SAGE.</w:t>
      </w:r>
    </w:p>
    <w:p>
      <w:pPr>
        <w:numPr>
          <w:ilvl w:val="0"/>
          <w:numId w:val="0"/>
        </w:numPr>
        <w:spacing w:line="360" w:lineRule="auto"/>
        <w:ind w:leftChars="0"/>
        <w:rPr>
          <w:rFonts w:hint="default" w:ascii="Times New Roman" w:hAnsi="Times New Roman" w:eastAsia="Helvetica" w:cs="Times New Roman"/>
          <w:i w:val="0"/>
          <w:iCs w:val="0"/>
          <w:caps w:val="0"/>
          <w:color w:val="3A3A3A"/>
          <w:spacing w:val="0"/>
          <w:sz w:val="24"/>
          <w:szCs w:val="24"/>
          <w:shd w:val="clear" w:fill="FFFFFF"/>
        </w:rPr>
      </w:pPr>
    </w:p>
    <w:p>
      <w:pPr>
        <w:numPr>
          <w:ilvl w:val="0"/>
          <w:numId w:val="1"/>
        </w:numPr>
        <w:ind w:left="0" w:leftChars="0" w:firstLine="0" w:firstLineChars="0"/>
        <w:rPr>
          <w:rFonts w:hint="default" w:ascii="Times New Roman" w:hAnsi="Times New Roman" w:eastAsia="Helvetica" w:cs="Times New Roman"/>
          <w:i w:val="0"/>
          <w:iCs w:val="0"/>
          <w:caps w:val="0"/>
          <w:color w:val="3A3A3A"/>
          <w:spacing w:val="0"/>
          <w:sz w:val="24"/>
          <w:szCs w:val="24"/>
          <w:shd w:val="clear" w:fill="FFFFFF"/>
        </w:rPr>
      </w:pPr>
      <w:r>
        <w:rPr>
          <w:rFonts w:hint="default" w:ascii="Times New Roman" w:hAnsi="Times New Roman" w:eastAsia="Helvetica" w:cs="Times New Roman"/>
          <w:i w:val="0"/>
          <w:iCs w:val="0"/>
          <w:caps w:val="0"/>
          <w:color w:val="3A3A3A"/>
          <w:spacing w:val="0"/>
          <w:sz w:val="24"/>
          <w:szCs w:val="24"/>
          <w:shd w:val="clear" w:fill="FFFFFF"/>
        </w:rPr>
        <w:t>Denning, S. (2012) ‘Gary Hamel: managing while under the influence of innovation’, Strategy &amp; leadership, 40(5), pp. 12–18. doi:10.1108/10878571211257131.</w:t>
      </w:r>
    </w:p>
    <w:p>
      <w:pPr>
        <w:numPr>
          <w:ilvl w:val="0"/>
          <w:numId w:val="0"/>
        </w:numPr>
        <w:ind w:leftChars="0"/>
        <w:rPr>
          <w:rFonts w:hint="default" w:ascii="Times New Roman" w:hAnsi="Times New Roman" w:eastAsia="Helvetica" w:cs="Times New Roman"/>
          <w:i w:val="0"/>
          <w:iCs w:val="0"/>
          <w:caps w:val="0"/>
          <w:color w:val="3A3A3A"/>
          <w:spacing w:val="0"/>
          <w:sz w:val="24"/>
          <w:szCs w:val="24"/>
          <w:shd w:val="clear" w:fill="FFFFFF"/>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Duan Li</w:t>
      </w:r>
      <w:r>
        <w:rPr>
          <w:rFonts w:hint="default" w:ascii="Times New Roman" w:hAnsi="Times New Roman" w:cs="Times New Roman"/>
          <w:sz w:val="24"/>
          <w:szCs w:val="24"/>
          <w:lang w:val="en-US" w:eastAsia="zh-CN"/>
        </w:rPr>
        <w:t xml:space="preserve">, (2021), </w:t>
      </w:r>
      <w:r>
        <w:rPr>
          <w:rFonts w:hint="eastAsia" w:ascii="Times New Roman" w:hAnsi="Times New Roman" w:cs="Times New Roman"/>
          <w:i/>
          <w:iCs/>
          <w:sz w:val="24"/>
          <w:szCs w:val="24"/>
          <w:lang w:val="en-US" w:eastAsia="zh-CN"/>
        </w:rPr>
        <w:t>Docin</w:t>
      </w:r>
      <w:r>
        <w:rPr>
          <w:rFonts w:hint="default" w:ascii="Times New Roman" w:hAnsi="Times New Roman" w:cs="Times New Roman"/>
          <w:sz w:val="24"/>
          <w:szCs w:val="24"/>
          <w:lang w:val="en-US" w:eastAsia="zh-CN"/>
        </w:rPr>
        <w:t>[online], available from:</w:t>
      </w:r>
      <w:r>
        <w:rPr>
          <w:rFonts w:hint="eastAsia" w:ascii="Times New Roman" w:hAnsi="Times New Roman" w:cs="Times New Roman"/>
          <w:sz w:val="24"/>
          <w:szCs w:val="24"/>
          <w:lang w:val="en-US" w:eastAsia="zh-CN"/>
        </w:rPr>
        <w:t xml:space="preserve"> https://www.docin.com/p-1581700245.html </w:t>
      </w:r>
      <w:r>
        <w:rPr>
          <w:rFonts w:hint="default" w:ascii="Times New Roman" w:hAnsi="Times New Roman" w:cs="Times New Roman"/>
          <w:sz w:val="24"/>
          <w:szCs w:val="24"/>
          <w:lang w:val="en-US" w:eastAsia="zh-CN"/>
        </w:rPr>
        <w:t xml:space="preserve">(Accessed </w:t>
      </w:r>
      <w:r>
        <w:rPr>
          <w:rFonts w:hint="eastAsia" w:ascii="Times New Roman" w:hAnsi="Times New Roman" w:cs="Times New Roman"/>
          <w:sz w:val="24"/>
          <w:szCs w:val="24"/>
          <w:lang w:val="en-US" w:eastAsia="zh-CN"/>
        </w:rPr>
        <w:t>16</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April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numPr>
          <w:ilvl w:val="0"/>
          <w:numId w:val="0"/>
        </w:numPr>
        <w:spacing w:line="360" w:lineRule="auto"/>
        <w:ind w:leftChars="0"/>
        <w:rPr>
          <w:rFonts w:hint="default" w:ascii="Times New Roman" w:hAnsi="Times New Roman" w:cs="Times New Roman"/>
          <w:sz w:val="24"/>
          <w:szCs w:val="24"/>
          <w:lang w:val="en-US" w:eastAsia="zh-CN"/>
        </w:rPr>
      </w:pPr>
    </w:p>
    <w:p>
      <w:pPr>
        <w:numPr>
          <w:ilvl w:val="0"/>
          <w:numId w:val="1"/>
        </w:numPr>
        <w:autoSpaceDE w:val="0"/>
        <w:autoSpaceDN w:val="0"/>
        <w:adjustRightInd w:val="0"/>
        <w:spacing w:before="156" w:beforeLines="5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Dolmans, D. H. J. M. and Schmidt, H. G. (2006) ‘What do we know about cognitive and motivational effects of small group tutorials in problem-based learning?’, </w:t>
      </w:r>
      <w:r>
        <w:rPr>
          <w:rFonts w:hint="default" w:ascii="Times New Roman" w:hAnsi="Times New Roman" w:cs="Times New Roman"/>
          <w:i/>
          <w:iCs/>
          <w:kern w:val="0"/>
          <w:sz w:val="24"/>
          <w:szCs w:val="24"/>
        </w:rPr>
        <w:t>Advances in health sciences education</w:t>
      </w:r>
      <w:r>
        <w:rPr>
          <w:rFonts w:hint="default" w:ascii="Times New Roman" w:hAnsi="Times New Roman" w:cs="Times New Roman"/>
          <w:kern w:val="0"/>
          <w:sz w:val="24"/>
          <w:szCs w:val="24"/>
        </w:rPr>
        <w:t>, 11(4), pp. 321–336.</w:t>
      </w:r>
    </w:p>
    <w:p>
      <w:pPr>
        <w:numPr>
          <w:ilvl w:val="0"/>
          <w:numId w:val="0"/>
        </w:numPr>
        <w:spacing w:line="360" w:lineRule="auto"/>
        <w:ind w:leftChars="0"/>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eastAsia="Helvetica" w:cs="Times New Roman"/>
          <w:i w:val="0"/>
          <w:iCs w:val="0"/>
          <w:caps w:val="0"/>
          <w:color w:val="3A3A3A"/>
          <w:spacing w:val="0"/>
          <w:sz w:val="24"/>
          <w:szCs w:val="24"/>
          <w:shd w:val="clear" w:fill="FFFFFF"/>
        </w:rPr>
      </w:pPr>
      <w:r>
        <w:rPr>
          <w:rFonts w:hint="default" w:ascii="Times New Roman" w:hAnsi="Times New Roman" w:eastAsia="Helvetica" w:cs="Times New Roman"/>
          <w:i w:val="0"/>
          <w:iCs w:val="0"/>
          <w:caps w:val="0"/>
          <w:color w:val="3A3A3A"/>
          <w:spacing w:val="0"/>
          <w:sz w:val="24"/>
          <w:szCs w:val="24"/>
          <w:shd w:val="clear" w:fill="FFFFFF"/>
        </w:rPr>
        <w:t>Gold, R. (2007) </w:t>
      </w:r>
      <w:r>
        <w:rPr>
          <w:rFonts w:hint="default" w:ascii="Times New Roman" w:hAnsi="Times New Roman" w:eastAsia="Helvetica" w:cs="Times New Roman"/>
          <w:i/>
          <w:iCs/>
          <w:caps w:val="0"/>
          <w:color w:val="3A3A3A"/>
          <w:spacing w:val="0"/>
          <w:sz w:val="24"/>
          <w:szCs w:val="24"/>
          <w:shd w:val="clear" w:fill="FFFFFF"/>
        </w:rPr>
        <w:t>The plenitude creativity, innovation, and making stuff</w:t>
      </w:r>
      <w:r>
        <w:rPr>
          <w:rFonts w:hint="default" w:ascii="Times New Roman" w:hAnsi="Times New Roman" w:eastAsia="Helvetica" w:cs="Times New Roman"/>
          <w:i w:val="0"/>
          <w:iCs w:val="0"/>
          <w:caps w:val="0"/>
          <w:color w:val="3A3A3A"/>
          <w:spacing w:val="0"/>
          <w:sz w:val="24"/>
          <w:szCs w:val="24"/>
          <w:shd w:val="clear" w:fill="FFFFFF"/>
        </w:rPr>
        <w:t>. Cambridge, Mass: MIT Press.</w:t>
      </w:r>
    </w:p>
    <w:p>
      <w:pPr>
        <w:numPr>
          <w:ilvl w:val="0"/>
          <w:numId w:val="0"/>
        </w:numPr>
        <w:rPr>
          <w:rFonts w:hint="default" w:ascii="Times New Roman" w:hAnsi="Times New Roman" w:eastAsia="Helvetica" w:cs="Times New Roman"/>
          <w:i w:val="0"/>
          <w:iCs w:val="0"/>
          <w:caps w:val="0"/>
          <w:color w:val="3A3A3A"/>
          <w:spacing w:val="0"/>
          <w:sz w:val="24"/>
          <w:szCs w:val="24"/>
          <w:shd w:val="clear" w:fill="FFFFFF"/>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Gilson R J. Value creation by business lawyers: Legal skills and asset pricing[J]. The Yale Law Journal, 1984, 94(2): 239-313.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numPr>
          <w:ilvl w:val="0"/>
          <w:numId w:val="1"/>
        </w:numPr>
        <w:autoSpaceDE w:val="0"/>
        <w:autoSpaceDN w:val="0"/>
        <w:adjustRightInd w:val="0"/>
        <w:spacing w:before="16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Gillies, R. M. (2006) ‘Teachers’ and students’ verbal behaviours during cooperative and small�\group learning’, </w:t>
      </w:r>
      <w:r>
        <w:rPr>
          <w:rFonts w:hint="default" w:ascii="Times New Roman" w:hAnsi="Times New Roman" w:cs="Times New Roman"/>
          <w:i/>
          <w:iCs/>
          <w:kern w:val="0"/>
          <w:sz w:val="24"/>
          <w:szCs w:val="24"/>
        </w:rPr>
        <w:t>British Journal of Educational Psychology</w:t>
      </w:r>
      <w:r>
        <w:rPr>
          <w:rFonts w:hint="default" w:ascii="Times New Roman" w:hAnsi="Times New Roman" w:cs="Times New Roman"/>
          <w:kern w:val="0"/>
          <w:sz w:val="24"/>
          <w:szCs w:val="24"/>
        </w:rPr>
        <w:t>, 76(2), pp. 271–287.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numPr>
          <w:ilvl w:val="0"/>
          <w:numId w:val="1"/>
        </w:numPr>
        <w:autoSpaceDE w:val="0"/>
        <w:autoSpaceDN w:val="0"/>
        <w:adjustRightInd w:val="0"/>
        <w:spacing w:line="360" w:lineRule="auto"/>
        <w:ind w:left="0" w:leftChars="0" w:firstLine="0" w:firstLineChars="0"/>
        <w:jc w:val="left"/>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Halawi, L. A., McCarthy, R. V and Pires, S. (2009) ‘An evaluation of e-learning on the basis of Bloom’s taxonomy: An exploratory study’, </w:t>
      </w:r>
      <w:r>
        <w:rPr>
          <w:rFonts w:hint="default" w:ascii="Times New Roman" w:hAnsi="Times New Roman" w:cs="Times New Roman"/>
          <w:i/>
          <w:iCs/>
          <w:kern w:val="0"/>
          <w:sz w:val="24"/>
          <w:szCs w:val="24"/>
        </w:rPr>
        <w:t>Journal of Education for Business</w:t>
      </w:r>
      <w:r>
        <w:rPr>
          <w:rFonts w:hint="default" w:ascii="Times New Roman" w:hAnsi="Times New Roman" w:cs="Times New Roman"/>
          <w:kern w:val="0"/>
          <w:sz w:val="24"/>
          <w:szCs w:val="24"/>
        </w:rPr>
        <w:t>, 84(6), pp. 374–380.</w:t>
      </w:r>
    </w:p>
    <w:p>
      <w:pPr>
        <w:autoSpaceDE w:val="0"/>
        <w:autoSpaceDN w:val="0"/>
        <w:adjustRightInd w:val="0"/>
        <w:spacing w:line="360" w:lineRule="auto"/>
        <w:jc w:val="left"/>
        <w:rPr>
          <w:rFonts w:hint="default" w:ascii="Times New Roman" w:hAnsi="Times New Roman" w:cs="Times New Roman"/>
          <w:kern w:val="0"/>
          <w:sz w:val="24"/>
          <w:szCs w:val="24"/>
        </w:rPr>
      </w:pPr>
    </w:p>
    <w:p>
      <w:pPr>
        <w:numPr>
          <w:ilvl w:val="0"/>
          <w:numId w:val="1"/>
        </w:numPr>
        <w:autoSpaceDE w:val="0"/>
        <w:autoSpaceDN w:val="0"/>
        <w:adjustRightInd w:val="0"/>
        <w:spacing w:before="156" w:beforeLines="5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Hertz-Lazarowitz, R. and Miller, N. (1995) </w:t>
      </w:r>
      <w:r>
        <w:rPr>
          <w:rFonts w:hint="default" w:ascii="Times New Roman" w:hAnsi="Times New Roman" w:cs="Times New Roman"/>
          <w:i/>
          <w:iCs/>
          <w:kern w:val="0"/>
          <w:sz w:val="24"/>
          <w:szCs w:val="24"/>
        </w:rPr>
        <w:t>Interaction in cooperative groups: The theoretical anatomy of group learning</w:t>
      </w:r>
      <w:r>
        <w:rPr>
          <w:rFonts w:hint="default" w:ascii="Times New Roman" w:hAnsi="Times New Roman" w:cs="Times New Roman"/>
          <w:kern w:val="0"/>
          <w:sz w:val="24"/>
          <w:szCs w:val="24"/>
        </w:rPr>
        <w:t>. Cambridge University Press.</w:t>
      </w:r>
    </w:p>
    <w:p>
      <w:pPr>
        <w:numPr>
          <w:ilvl w:val="0"/>
          <w:numId w:val="0"/>
        </w:numPr>
        <w:ind w:leftChars="0"/>
        <w:rPr>
          <w:rFonts w:hint="default" w:ascii="Times New Roman" w:hAnsi="Times New Roman" w:eastAsia="Helvetica" w:cs="Times New Roman"/>
          <w:i w:val="0"/>
          <w:iCs w:val="0"/>
          <w:caps w:val="0"/>
          <w:color w:val="3A3A3A"/>
          <w:spacing w:val="0"/>
          <w:sz w:val="24"/>
          <w:szCs w:val="24"/>
          <w:shd w:val="clear" w:fill="FFFFFF"/>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Innovation</w:t>
      </w:r>
      <w:r>
        <w:rPr>
          <w:rFonts w:hint="default" w:ascii="Times New Roman" w:hAnsi="Times New Roman" w:cs="Times New Roman"/>
          <w:sz w:val="24"/>
          <w:szCs w:val="24"/>
          <w:lang w:val="en-US" w:eastAsia="zh-CN"/>
        </w:rPr>
        <w:t xml:space="preserve">, (2021), </w:t>
      </w:r>
      <w:r>
        <w:rPr>
          <w:rFonts w:hint="eastAsia" w:ascii="Times New Roman" w:hAnsi="Times New Roman" w:cs="Times New Roman"/>
          <w:i/>
          <w:iCs/>
          <w:sz w:val="24"/>
          <w:szCs w:val="24"/>
          <w:lang w:val="en-US" w:eastAsia="zh-CN"/>
        </w:rPr>
        <w:t>Jian Shu</w:t>
      </w:r>
      <w:r>
        <w:rPr>
          <w:rFonts w:hint="default" w:ascii="Times New Roman" w:hAnsi="Times New Roman" w:cs="Times New Roman"/>
          <w:sz w:val="24"/>
          <w:szCs w:val="24"/>
          <w:lang w:val="en-US" w:eastAsia="zh-CN"/>
        </w:rPr>
        <w:t>[online], available from:</w:t>
      </w:r>
      <w:r>
        <w:rPr>
          <w:rFonts w:hint="eastAsia" w:ascii="Times New Roman" w:hAnsi="Times New Roman" w:cs="Times New Roman"/>
          <w:sz w:val="24"/>
          <w:szCs w:val="24"/>
          <w:lang w:val="en-US" w:eastAsia="zh-CN"/>
        </w:rPr>
        <w:t xml:space="preserve"> https://www.jianshu.com/p/6f6ea2c86ae4 </w:t>
      </w:r>
      <w:r>
        <w:rPr>
          <w:rFonts w:hint="default" w:ascii="Times New Roman" w:hAnsi="Times New Roman" w:cs="Times New Roman"/>
          <w:sz w:val="24"/>
          <w:szCs w:val="24"/>
          <w:lang w:val="en-US" w:eastAsia="zh-CN"/>
        </w:rPr>
        <w:t xml:space="preserve">(Accessed </w:t>
      </w:r>
      <w:r>
        <w:rPr>
          <w:rFonts w:hint="eastAsia" w:ascii="Times New Roman" w:hAnsi="Times New Roman" w:cs="Times New Roman"/>
          <w:sz w:val="24"/>
          <w:szCs w:val="24"/>
          <w:lang w:val="en-US" w:eastAsia="zh-CN"/>
        </w:rPr>
        <w:t>16</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April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numPr>
          <w:ilvl w:val="0"/>
          <w:numId w:val="0"/>
        </w:numPr>
        <w:spacing w:line="360" w:lineRule="auto"/>
        <w:ind w:leftChars="0"/>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Johnson, D.W., &amp; Johnson, F.P. (1997). Joining together: Group theory and group skills (6th ed.). </w:t>
      </w:r>
    </w:p>
    <w:p>
      <w:pPr>
        <w:rPr>
          <w:rFonts w:hint="default" w:ascii="Times New Roman" w:hAnsi="Times New Roman" w:cs="Times New Roman"/>
          <w:sz w:val="24"/>
          <w:szCs w:val="24"/>
          <w:lang w:val="en-US" w:eastAsia="zh-CN"/>
        </w:rPr>
      </w:pPr>
    </w:p>
    <w:p>
      <w:pPr>
        <w:numPr>
          <w:ilvl w:val="0"/>
          <w:numId w:val="1"/>
        </w:numPr>
        <w:autoSpaceDE w:val="0"/>
        <w:autoSpaceDN w:val="0"/>
        <w:adjustRightInd w:val="0"/>
        <w:spacing w:before="16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Jaques, D. (2000) </w:t>
      </w:r>
      <w:r>
        <w:rPr>
          <w:rFonts w:hint="default" w:ascii="Times New Roman" w:hAnsi="Times New Roman" w:cs="Times New Roman"/>
          <w:i/>
          <w:iCs/>
          <w:kern w:val="0"/>
          <w:sz w:val="24"/>
          <w:szCs w:val="24"/>
        </w:rPr>
        <w:t>Learning in groups: A handbook for improving group work</w:t>
      </w:r>
      <w:r>
        <w:rPr>
          <w:rFonts w:hint="default" w:ascii="Times New Roman" w:hAnsi="Times New Roman" w:cs="Times New Roman"/>
          <w:kern w:val="0"/>
          <w:sz w:val="24"/>
          <w:szCs w:val="24"/>
        </w:rPr>
        <w:t>. Psychology Press.</w:t>
      </w:r>
    </w:p>
    <w:p>
      <w:pPr>
        <w:numPr>
          <w:ilvl w:val="0"/>
          <w:numId w:val="0"/>
        </w:numPr>
        <w:spacing w:line="360" w:lineRule="auto"/>
        <w:ind w:leftChars="0"/>
        <w:rPr>
          <w:rFonts w:hint="default" w:ascii="Times New Roman" w:hAnsi="Times New Roman" w:cs="Times New Roman"/>
          <w:sz w:val="24"/>
          <w:szCs w:val="24"/>
          <w:lang w:val="en-US" w:eastAsia="zh-CN"/>
        </w:rPr>
      </w:pPr>
    </w:p>
    <w:p>
      <w:pPr>
        <w:numPr>
          <w:ilvl w:val="0"/>
          <w:numId w:val="1"/>
        </w:numPr>
        <w:autoSpaceDE w:val="0"/>
        <w:autoSpaceDN w:val="0"/>
        <w:adjustRightInd w:val="0"/>
        <w:spacing w:before="156" w:beforeLines="5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Johnson, D. W. and Johnson, R. T. (1979) ‘Conflict in the classroom: Controversy and learning’, </w:t>
      </w:r>
      <w:r>
        <w:rPr>
          <w:rFonts w:hint="default" w:ascii="Times New Roman" w:hAnsi="Times New Roman" w:cs="Times New Roman"/>
          <w:i/>
          <w:iCs/>
          <w:kern w:val="0"/>
          <w:sz w:val="24"/>
          <w:szCs w:val="24"/>
        </w:rPr>
        <w:t>Review of educational research</w:t>
      </w:r>
      <w:r>
        <w:rPr>
          <w:rFonts w:hint="default" w:ascii="Times New Roman" w:hAnsi="Times New Roman" w:cs="Times New Roman"/>
          <w:kern w:val="0"/>
          <w:sz w:val="24"/>
          <w:szCs w:val="24"/>
        </w:rPr>
        <w:t>, 49(1), pp. 51–69.</w:t>
      </w:r>
    </w:p>
    <w:p>
      <w:pPr>
        <w:numPr>
          <w:ilvl w:val="0"/>
          <w:numId w:val="0"/>
        </w:numPr>
        <w:spacing w:line="360" w:lineRule="auto"/>
        <w:ind w:leftChars="0"/>
        <w:rPr>
          <w:rFonts w:hint="default" w:ascii="Times New Roman" w:hAnsi="Times New Roman" w:cs="Times New Roman"/>
          <w:sz w:val="24"/>
          <w:szCs w:val="24"/>
          <w:lang w:val="en-US" w:eastAsia="zh-CN"/>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Kong Hang</w:t>
      </w:r>
      <w:r>
        <w:rPr>
          <w:rFonts w:hint="default" w:ascii="Times New Roman" w:hAnsi="Times New Roman" w:cs="Times New Roman"/>
          <w:sz w:val="24"/>
          <w:szCs w:val="24"/>
          <w:lang w:val="en-US" w:eastAsia="zh-CN"/>
        </w:rPr>
        <w:t>, (202</w:t>
      </w:r>
      <w:r>
        <w:rPr>
          <w:rFonts w:hint="eastAsia" w:ascii="Times New Roman" w:hAnsi="Times New Roman" w:cs="Times New Roman"/>
          <w:sz w:val="24"/>
          <w:szCs w:val="24"/>
          <w:lang w:val="en-US" w:eastAsia="zh-CN"/>
        </w:rPr>
        <w:t>0</w:t>
      </w:r>
      <w:r>
        <w:rPr>
          <w:rFonts w:hint="default" w:ascii="Times New Roman" w:hAnsi="Times New Roman" w:cs="Times New Roman"/>
          <w:sz w:val="24"/>
          <w:szCs w:val="24"/>
          <w:lang w:val="en-US" w:eastAsia="zh-CN"/>
        </w:rPr>
        <w:t xml:space="preserve">), </w:t>
      </w:r>
      <w:r>
        <w:rPr>
          <w:rFonts w:hint="eastAsia" w:ascii="Times New Roman" w:hAnsi="Times New Roman" w:cs="Times New Roman"/>
          <w:i/>
          <w:iCs/>
          <w:sz w:val="24"/>
          <w:szCs w:val="24"/>
          <w:lang w:val="en-US" w:eastAsia="zh-CN"/>
        </w:rPr>
        <w:t>Sohu</w:t>
      </w:r>
      <w:r>
        <w:rPr>
          <w:rFonts w:hint="default" w:ascii="Times New Roman" w:hAnsi="Times New Roman" w:cs="Times New Roman"/>
          <w:sz w:val="24"/>
          <w:szCs w:val="24"/>
          <w:lang w:val="en-US" w:eastAsia="zh-CN"/>
        </w:rPr>
        <w:t>[online], available from:</w:t>
      </w:r>
      <w:r>
        <w:rPr>
          <w:rFonts w:hint="eastAsia" w:ascii="Times New Roman" w:hAnsi="Times New Roman" w:cs="Times New Roman"/>
          <w:sz w:val="24"/>
          <w:szCs w:val="24"/>
          <w:lang w:val="en-US" w:eastAsia="zh-CN"/>
        </w:rPr>
        <w:t xml:space="preserve"> https://www.sohu.com/a/254132760_99943817 </w:t>
      </w:r>
      <w:r>
        <w:rPr>
          <w:rFonts w:hint="default" w:ascii="Times New Roman" w:hAnsi="Times New Roman" w:cs="Times New Roman"/>
          <w:sz w:val="24"/>
          <w:szCs w:val="24"/>
          <w:lang w:val="en-US" w:eastAsia="zh-CN"/>
        </w:rPr>
        <w:t xml:space="preserve">(Accessed </w:t>
      </w:r>
      <w:r>
        <w:rPr>
          <w:rFonts w:hint="eastAsia" w:ascii="Times New Roman" w:hAnsi="Times New Roman" w:cs="Times New Roman"/>
          <w:sz w:val="24"/>
          <w:szCs w:val="24"/>
          <w:lang w:val="en-US" w:eastAsia="zh-CN"/>
        </w:rPr>
        <w:t>16</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April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numPr>
          <w:ilvl w:val="0"/>
          <w:numId w:val="0"/>
        </w:numPr>
        <w:spacing w:line="360" w:lineRule="auto"/>
        <w:ind w:leftChars="0"/>
        <w:rPr>
          <w:rFonts w:hint="default" w:ascii="Times New Roman" w:hAnsi="Times New Roman" w:cs="Times New Roman"/>
          <w:sz w:val="24"/>
          <w:szCs w:val="24"/>
          <w:lang w:val="en-US" w:eastAsia="zh-CN"/>
        </w:rPr>
      </w:pPr>
    </w:p>
    <w:p>
      <w:pPr>
        <w:numPr>
          <w:ilvl w:val="0"/>
          <w:numId w:val="1"/>
        </w:numPr>
        <w:autoSpaceDE w:val="0"/>
        <w:autoSpaceDN w:val="0"/>
        <w:adjustRightInd w:val="0"/>
        <w:spacing w:before="156" w:beforeLines="5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Kim, J. and Maloney, E. J. (2020) </w:t>
      </w:r>
      <w:r>
        <w:rPr>
          <w:rFonts w:hint="default" w:ascii="Times New Roman" w:hAnsi="Times New Roman" w:cs="Times New Roman"/>
          <w:i/>
          <w:iCs/>
          <w:kern w:val="0"/>
          <w:sz w:val="24"/>
          <w:szCs w:val="24"/>
        </w:rPr>
        <w:t>Learning innovation and the future of higher education</w:t>
      </w:r>
      <w:r>
        <w:rPr>
          <w:rFonts w:hint="default" w:ascii="Times New Roman" w:hAnsi="Times New Roman" w:cs="Times New Roman"/>
          <w:kern w:val="0"/>
          <w:sz w:val="24"/>
          <w:szCs w:val="24"/>
        </w:rPr>
        <w:t>. JHU Press.</w:t>
      </w:r>
    </w:p>
    <w:p>
      <w:pPr>
        <w:numPr>
          <w:ilvl w:val="0"/>
          <w:numId w:val="0"/>
        </w:numPr>
        <w:spacing w:line="360" w:lineRule="auto"/>
        <w:ind w:leftChars="0"/>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Kale P, Dyer J, Singh H. Value creation and success in strategic alliances:: alliancing skills and the role of alliance structure and systems[J]. European Management Journal, 2001, 19(5): 463-471.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Kikoski C K, Kikoski J F. The inquiring organization: Tacit knowledge, conversation, and knowledge creation: Skills for 21st-century organizations[M]. Greenwood Publishing Group, 2004.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numPr>
          <w:ilvl w:val="0"/>
          <w:numId w:val="1"/>
        </w:numPr>
        <w:autoSpaceDE w:val="0"/>
        <w:autoSpaceDN w:val="0"/>
        <w:adjustRightInd w:val="0"/>
        <w:spacing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Krathwohl, D. R. (2002) ‘A revision of Bloom’s taxonomy: An overview’, </w:t>
      </w:r>
      <w:r>
        <w:rPr>
          <w:rFonts w:hint="default" w:ascii="Times New Roman" w:hAnsi="Times New Roman" w:cs="Times New Roman"/>
          <w:i/>
          <w:iCs/>
          <w:kern w:val="0"/>
          <w:sz w:val="24"/>
          <w:szCs w:val="24"/>
        </w:rPr>
        <w:t>Theory into practice</w:t>
      </w:r>
      <w:r>
        <w:rPr>
          <w:rFonts w:hint="default" w:ascii="Times New Roman" w:hAnsi="Times New Roman" w:cs="Times New Roman"/>
          <w:kern w:val="0"/>
          <w:sz w:val="24"/>
          <w:szCs w:val="24"/>
        </w:rPr>
        <w:t>, 41(4), pp. 212–218.</w:t>
      </w:r>
    </w:p>
    <w:p>
      <w:pPr>
        <w:pStyle w:val="12"/>
        <w:numPr>
          <w:ilvl w:val="0"/>
          <w:numId w:val="0"/>
        </w:numPr>
        <w:autoSpaceDE w:val="0"/>
        <w:autoSpaceDN w:val="0"/>
        <w:adjustRightInd w:val="0"/>
        <w:ind w:leftChars="0"/>
        <w:jc w:val="left"/>
        <w:rPr>
          <w:rFonts w:ascii="Candara" w:hAnsi="Candara" w:cs="Times New Roman"/>
          <w:color w:val="000000" w:themeColor="text1"/>
          <w:kern w:val="0"/>
          <w:sz w:val="20"/>
          <w:szCs w:val="24"/>
          <w14:textFill>
            <w14:solidFill>
              <w14:schemeClr w14:val="tx1"/>
            </w14:solidFill>
          </w14:textFill>
        </w:rPr>
      </w:pPr>
    </w:p>
    <w:p>
      <w:pPr>
        <w:pStyle w:val="12"/>
        <w:numPr>
          <w:ilvl w:val="0"/>
          <w:numId w:val="1"/>
        </w:numPr>
        <w:autoSpaceDE w:val="0"/>
        <w:autoSpaceDN w:val="0"/>
        <w:adjustRightInd w:val="0"/>
        <w:spacing w:line="360" w:lineRule="auto"/>
        <w:ind w:left="0" w:leftChars="0" w:firstLine="0" w:firstLineChars="0"/>
        <w:jc w:val="both"/>
        <w:rPr>
          <w:rFonts w:hint="default" w:ascii="Times New Roman" w:hAnsi="Times New Roman" w:cs="Times New Roman"/>
          <w:color w:val="000000" w:themeColor="text1"/>
          <w:kern w:val="0"/>
          <w:sz w:val="24"/>
          <w:szCs w:val="24"/>
          <w14:textFill>
            <w14:solidFill>
              <w14:schemeClr w14:val="tx1"/>
            </w14:solidFill>
          </w14:textFill>
        </w:rPr>
      </w:pPr>
      <w:r>
        <w:rPr>
          <w:rFonts w:hint="default" w:ascii="Times New Roman" w:hAnsi="Times New Roman" w:cs="Times New Roman"/>
          <w:color w:val="000000" w:themeColor="text1"/>
          <w:kern w:val="0"/>
          <w:sz w:val="24"/>
          <w:szCs w:val="24"/>
          <w14:textFill>
            <w14:solidFill>
              <w14:schemeClr w14:val="tx1"/>
            </w14:solidFill>
          </w14:textFill>
        </w:rPr>
        <w:t xml:space="preserve">Lajis, A., Md Nasir, H. and Aziz, N. A. (2018) ‘Proposed assessment framework based on bloom taxonomy cognitive competency: Introduction to programming’, in </w:t>
      </w:r>
      <w:r>
        <w:rPr>
          <w:rFonts w:hint="default" w:ascii="Times New Roman" w:hAnsi="Times New Roman" w:cs="Times New Roman"/>
          <w:i/>
          <w:iCs/>
          <w:color w:val="000000" w:themeColor="text1"/>
          <w:kern w:val="0"/>
          <w:sz w:val="24"/>
          <w:szCs w:val="24"/>
          <w14:textFill>
            <w14:solidFill>
              <w14:schemeClr w14:val="tx1"/>
            </w14:solidFill>
          </w14:textFill>
        </w:rPr>
        <w:t>ACM International Conference Proceeding Series</w:t>
      </w:r>
      <w:r>
        <w:rPr>
          <w:rFonts w:hint="default" w:ascii="Times New Roman" w:hAnsi="Times New Roman" w:cs="Times New Roman"/>
          <w:color w:val="000000" w:themeColor="text1"/>
          <w:kern w:val="0"/>
          <w:sz w:val="24"/>
          <w:szCs w:val="24"/>
          <w14:textFill>
            <w14:solidFill>
              <w14:schemeClr w14:val="tx1"/>
            </w14:solidFill>
          </w14:textFill>
        </w:rPr>
        <w:t>. Association for Computing Machinery, pp. 97–101. doi: 10.1145/3185089.3185149.</w:t>
      </w:r>
    </w:p>
    <w:p>
      <w:pPr>
        <w:autoSpaceDE w:val="0"/>
        <w:autoSpaceDN w:val="0"/>
        <w:adjustRightInd w:val="0"/>
        <w:spacing w:line="360" w:lineRule="auto"/>
        <w:jc w:val="both"/>
        <w:rPr>
          <w:rFonts w:hint="default" w:ascii="Times New Roman" w:hAnsi="Times New Roman" w:cs="Times New Roman"/>
          <w:kern w:val="0"/>
          <w:sz w:val="24"/>
          <w:szCs w:val="24"/>
        </w:rPr>
      </w:pPr>
    </w:p>
    <w:p>
      <w:pPr>
        <w:numPr>
          <w:ilvl w:val="0"/>
          <w:numId w:val="1"/>
        </w:numPr>
        <w:autoSpaceDE w:val="0"/>
        <w:autoSpaceDN w:val="0"/>
        <w:adjustRightInd w:val="0"/>
        <w:spacing w:line="360" w:lineRule="auto"/>
        <w:ind w:left="0" w:leftChars="0" w:firstLine="0" w:firstLineChars="0"/>
        <w:jc w:val="both"/>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cs="Times New Roman"/>
          <w:kern w:val="0"/>
          <w:sz w:val="24"/>
          <w:szCs w:val="24"/>
        </w:rPr>
        <w:t xml:space="preserve">Marzano, R. J. (2000) </w:t>
      </w:r>
      <w:r>
        <w:rPr>
          <w:rFonts w:hint="default" w:ascii="Times New Roman" w:hAnsi="Times New Roman" w:cs="Times New Roman"/>
          <w:i/>
          <w:iCs/>
          <w:kern w:val="0"/>
          <w:sz w:val="24"/>
          <w:szCs w:val="24"/>
        </w:rPr>
        <w:t>Transforming Classroom Grading.</w:t>
      </w:r>
      <w:r>
        <w:rPr>
          <w:rFonts w:hint="default" w:ascii="Times New Roman" w:hAnsi="Times New Roman" w:cs="Times New Roman"/>
          <w:kern w:val="0"/>
          <w:sz w:val="24"/>
          <w:szCs w:val="24"/>
        </w:rPr>
        <w:t xml:space="preserve"> ERIC.</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Nadler J, Thompson L, Boven L V. Learning negotiation skills: Four models of knowledge creation and transfer[J]. Management Science, 2003, 49(4): 529-540.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numPr>
          <w:ilvl w:val="0"/>
          <w:numId w:val="1"/>
        </w:numPr>
        <w:ind w:left="0" w:leftChars="0" w:firstLine="0" w:firstLineChars="0"/>
        <w:rPr>
          <w:rFonts w:hint="eastAsia"/>
          <w:lang w:val="en-US" w:eastAsia="zh-CN"/>
        </w:rPr>
      </w:pPr>
      <w:r>
        <w:rPr>
          <w:rFonts w:hint="default" w:ascii="Times New Roman" w:hAnsi="Times New Roman" w:cs="Times New Roman"/>
          <w:sz w:val="24"/>
          <w:szCs w:val="24"/>
          <w:lang w:val="en-US" w:eastAsia="zh-CN"/>
        </w:rPr>
        <w:t>Practical guide to teamwork, version 1.1. College of Engineering, Bucknell University.</w:t>
      </w:r>
      <w:r>
        <w:rPr>
          <w:rFonts w:hint="eastAsia"/>
          <w:lang w:val="en-US" w:eastAsia="zh-CN"/>
        </w:rPr>
        <w:t xml:space="preserve"> </w:t>
      </w:r>
    </w:p>
    <w:p>
      <w:pPr>
        <w:rPr>
          <w:rFonts w:hint="default"/>
          <w:lang w:val="en-US" w:eastAsia="zh-CN"/>
        </w:rPr>
      </w:pPr>
    </w:p>
    <w:p>
      <w:pPr>
        <w:numPr>
          <w:ilvl w:val="0"/>
          <w:numId w:val="1"/>
        </w:numPr>
        <w:autoSpaceDE w:val="0"/>
        <w:autoSpaceDN w:val="0"/>
        <w:adjustRightInd w:val="0"/>
        <w:spacing w:before="156" w:beforeLines="5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Phuong-Mai, N., Terlouw, C. and Pilot, A. (2005) ‘Cooperative learning vs Confucian heritage culture’s collectivism: confrontation to reveal some cultural conflicts and mismatch’, </w:t>
      </w:r>
      <w:r>
        <w:rPr>
          <w:rFonts w:hint="default" w:ascii="Times New Roman" w:hAnsi="Times New Roman" w:cs="Times New Roman"/>
          <w:i/>
          <w:iCs/>
          <w:kern w:val="0"/>
          <w:sz w:val="24"/>
          <w:szCs w:val="24"/>
        </w:rPr>
        <w:t>Asia Europe Journal</w:t>
      </w:r>
      <w:r>
        <w:rPr>
          <w:rFonts w:hint="default" w:ascii="Times New Roman" w:hAnsi="Times New Roman" w:cs="Times New Roman"/>
          <w:kern w:val="0"/>
          <w:sz w:val="24"/>
          <w:szCs w:val="24"/>
        </w:rPr>
        <w:t>, 3(3), pp. 403–419.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Raza A, Saeed A, Iqbal M K, et al. Linking corporate social responsibility to customer loyalty through co-creation and customer company identification: Exploring sequential mediation mechanism[J]. Sustainability, 2020, 12(6): 2525.</w:t>
      </w:r>
    </w:p>
    <w:p>
      <w:pPr>
        <w:pStyle w:val="12"/>
        <w:numPr>
          <w:ilvl w:val="0"/>
          <w:numId w:val="0"/>
        </w:numPr>
        <w:autoSpaceDE w:val="0"/>
        <w:autoSpaceDN w:val="0"/>
        <w:adjustRightInd w:val="0"/>
        <w:ind w:leftChars="0"/>
        <w:jc w:val="left"/>
        <w:rPr>
          <w:rFonts w:ascii="Candara" w:hAnsi="Candara" w:cs="Times New Roman"/>
          <w:color w:val="000000" w:themeColor="text1"/>
          <w:kern w:val="0"/>
          <w:sz w:val="20"/>
          <w:szCs w:val="24"/>
          <w14:textFill>
            <w14:solidFill>
              <w14:schemeClr w14:val="tx1"/>
            </w14:solidFill>
          </w14:textFill>
        </w:rPr>
      </w:pPr>
    </w:p>
    <w:p>
      <w:pPr>
        <w:pStyle w:val="12"/>
        <w:numPr>
          <w:ilvl w:val="0"/>
          <w:numId w:val="1"/>
        </w:numPr>
        <w:autoSpaceDE w:val="0"/>
        <w:autoSpaceDN w:val="0"/>
        <w:adjustRightInd w:val="0"/>
        <w:spacing w:line="360" w:lineRule="auto"/>
        <w:ind w:left="0" w:leftChars="0" w:firstLine="0" w:firstLineChars="0"/>
        <w:jc w:val="both"/>
        <w:rPr>
          <w:rFonts w:hint="default" w:ascii="Times New Roman" w:hAnsi="Times New Roman" w:eastAsia="宋体" w:cs="Times New Roman"/>
          <w:i/>
          <w:iCs/>
          <w:caps w:val="0"/>
          <w:color w:val="222222"/>
          <w:spacing w:val="0"/>
          <w:sz w:val="24"/>
          <w:szCs w:val="24"/>
          <w:shd w:val="clear" w:color="auto" w:fill="FFFFFF"/>
          <w:lang w:val="en-US" w:eastAsia="zh-CN"/>
        </w:rPr>
      </w:pPr>
      <w:r>
        <w:rPr>
          <w:rFonts w:hint="default" w:ascii="Times New Roman" w:hAnsi="Times New Roman" w:cs="Times New Roman"/>
          <w:color w:val="000000" w:themeColor="text1"/>
          <w:kern w:val="0"/>
          <w:sz w:val="24"/>
          <w:szCs w:val="24"/>
          <w14:textFill>
            <w14:solidFill>
              <w14:schemeClr w14:val="tx1"/>
            </w14:solidFill>
          </w14:textFill>
        </w:rPr>
        <w:t xml:space="preserve">Rahbarnia, F., Hamedian, S. and Radmehr, F. (2014) ‘A Study on the relationship between multiple Intelligences and mathematical problem solving based on Revised Bloom Taxonomy’, </w:t>
      </w:r>
      <w:r>
        <w:rPr>
          <w:rFonts w:hint="default" w:ascii="Times New Roman" w:hAnsi="Times New Roman" w:cs="Times New Roman"/>
          <w:i/>
          <w:iCs/>
          <w:color w:val="000000" w:themeColor="text1"/>
          <w:kern w:val="0"/>
          <w:sz w:val="24"/>
          <w:szCs w:val="24"/>
          <w14:textFill>
            <w14:solidFill>
              <w14:schemeClr w14:val="tx1"/>
            </w14:solidFill>
          </w14:textFill>
        </w:rPr>
        <w:t>Journal of Interdisciplinary Mathematics</w:t>
      </w:r>
      <w:r>
        <w:rPr>
          <w:rFonts w:hint="default" w:ascii="Times New Roman" w:hAnsi="Times New Roman" w:cs="Times New Roman"/>
          <w:color w:val="000000" w:themeColor="text1"/>
          <w:kern w:val="0"/>
          <w:sz w:val="24"/>
          <w:szCs w:val="24"/>
          <w14:textFill>
            <w14:solidFill>
              <w14:schemeClr w14:val="tx1"/>
            </w14:solidFill>
          </w14:textFill>
        </w:rPr>
        <w:t>, 17(2), pp. 109–134. doi: 10.1080/09720502.2013.842044.</w:t>
      </w:r>
    </w:p>
    <w:p>
      <w:pPr>
        <w:widowControl w:val="0"/>
        <w:numPr>
          <w:ilvl w:val="0"/>
          <w:numId w:val="0"/>
        </w:numPr>
        <w:spacing w:line="360" w:lineRule="auto"/>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eastAsia="Helvetica" w:cs="Times New Roman"/>
          <w:i w:val="0"/>
          <w:iCs w:val="0"/>
          <w:caps w:val="0"/>
          <w:color w:val="3A3A3A"/>
          <w:spacing w:val="0"/>
          <w:sz w:val="24"/>
          <w:szCs w:val="24"/>
          <w:shd w:val="clear" w:fill="FFFFFF"/>
        </w:rPr>
      </w:pPr>
      <w:r>
        <w:rPr>
          <w:rFonts w:hint="default" w:ascii="Times New Roman" w:hAnsi="Times New Roman" w:eastAsia="Helvetica" w:cs="Times New Roman"/>
          <w:i w:val="0"/>
          <w:iCs w:val="0"/>
          <w:caps w:val="0"/>
          <w:color w:val="3A3A3A"/>
          <w:spacing w:val="0"/>
          <w:sz w:val="24"/>
          <w:szCs w:val="24"/>
          <w:shd w:val="clear" w:fill="FFFFFF"/>
        </w:rPr>
        <w:t>Shalley, C.E., Hitt, M.A. and Zhou, J. (2015) </w:t>
      </w:r>
      <w:r>
        <w:rPr>
          <w:rFonts w:hint="default" w:ascii="Times New Roman" w:hAnsi="Times New Roman" w:eastAsia="Helvetica" w:cs="Times New Roman"/>
          <w:i/>
          <w:iCs/>
          <w:caps w:val="0"/>
          <w:color w:val="3A3A3A"/>
          <w:spacing w:val="0"/>
          <w:sz w:val="24"/>
          <w:szCs w:val="24"/>
          <w:shd w:val="clear" w:fill="FFFFFF"/>
        </w:rPr>
        <w:t>The Oxford handbook of creativity, innovation, and entrepreneurship</w:t>
      </w:r>
      <w:r>
        <w:rPr>
          <w:rFonts w:hint="default" w:ascii="Times New Roman" w:hAnsi="Times New Roman" w:eastAsia="Helvetica" w:cs="Times New Roman"/>
          <w:i w:val="0"/>
          <w:iCs w:val="0"/>
          <w:caps w:val="0"/>
          <w:color w:val="3A3A3A"/>
          <w:spacing w:val="0"/>
          <w:sz w:val="24"/>
          <w:szCs w:val="24"/>
          <w:shd w:val="clear" w:fill="FFFFFF"/>
        </w:rPr>
        <w:t>. Oxford, [England: Oxford University Press.</w:t>
      </w:r>
    </w:p>
    <w:p>
      <w:pPr>
        <w:widowControl w:val="0"/>
        <w:numPr>
          <w:ilvl w:val="0"/>
          <w:numId w:val="0"/>
        </w:numPr>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Stuetzer M, Goethner M, Cantner U. Do balanced skills help nascent entrepreneurs to make progress in the venture creation process?[J]. Economics Letters, 2012, 117(1): 186-188.</w:t>
      </w:r>
    </w:p>
    <w:p>
      <w:pPr>
        <w:widowControl w:val="0"/>
        <w:numPr>
          <w:ilvl w:val="0"/>
          <w:numId w:val="0"/>
        </w:numPr>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i/>
          <w:iCs/>
          <w:caps w:val="0"/>
          <w:color w:val="222222"/>
          <w:spacing w:val="0"/>
          <w:sz w:val="24"/>
          <w:szCs w:val="24"/>
          <w:shd w:val="clear" w:color="auto" w:fill="FFFFFF"/>
        </w:rPr>
      </w:pPr>
      <w:r>
        <w:rPr>
          <w:rFonts w:hint="default" w:ascii="Times New Roman" w:hAnsi="Times New Roman" w:eastAsia="宋体" w:cs="Times New Roman"/>
          <w:i/>
          <w:iCs/>
          <w:caps w:val="0"/>
          <w:color w:val="222222"/>
          <w:spacing w:val="0"/>
          <w:sz w:val="24"/>
          <w:szCs w:val="24"/>
          <w:shd w:val="clear" w:color="auto" w:fill="FFFFFF"/>
        </w:rPr>
        <w:t>Stuetzer M, Goethner M, Cantner U. Do balanced skills help nascent entrepreneurs to make progress in the venture creation process?[J]. Economics Letters, 2012, 117(1): 186-188.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numPr>
          <w:ilvl w:val="0"/>
          <w:numId w:val="1"/>
        </w:numPr>
        <w:autoSpaceDE w:val="0"/>
        <w:autoSpaceDN w:val="0"/>
        <w:adjustRightInd w:val="0"/>
        <w:spacing w:before="156" w:beforeLines="5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Skinner, K. L. </w:t>
      </w:r>
      <w:r>
        <w:rPr>
          <w:rFonts w:hint="default" w:ascii="Times New Roman" w:hAnsi="Times New Roman" w:cs="Times New Roman"/>
          <w:i/>
          <w:iCs/>
          <w:kern w:val="0"/>
          <w:sz w:val="24"/>
          <w:szCs w:val="24"/>
        </w:rPr>
        <w:t>et al.</w:t>
      </w:r>
      <w:r>
        <w:rPr>
          <w:rFonts w:hint="default" w:ascii="Times New Roman" w:hAnsi="Times New Roman" w:cs="Times New Roman"/>
          <w:kern w:val="0"/>
          <w:sz w:val="24"/>
          <w:szCs w:val="24"/>
        </w:rPr>
        <w:t xml:space="preserve"> (2016) ‘Improving Students’ Interpersonal Skills through Experiential Small Group Learning.’, </w:t>
      </w:r>
      <w:r>
        <w:rPr>
          <w:rFonts w:hint="default" w:ascii="Times New Roman" w:hAnsi="Times New Roman" w:cs="Times New Roman"/>
          <w:i/>
          <w:iCs/>
          <w:kern w:val="0"/>
          <w:sz w:val="24"/>
          <w:szCs w:val="24"/>
        </w:rPr>
        <w:t>Journal of Learning Design</w:t>
      </w:r>
      <w:r>
        <w:rPr>
          <w:rFonts w:hint="default" w:ascii="Times New Roman" w:hAnsi="Times New Roman" w:cs="Times New Roman"/>
          <w:kern w:val="0"/>
          <w:sz w:val="24"/>
          <w:szCs w:val="24"/>
        </w:rPr>
        <w:t>, 9(1), pp. 21–36.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aps w:val="0"/>
          <w:color w:val="222222"/>
          <w:spacing w:val="0"/>
          <w:sz w:val="24"/>
          <w:szCs w:val="24"/>
          <w:shd w:val="clear" w:color="auto" w:fill="FFFFFF"/>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benifits of group discussion(2018).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"https://zhidao.baidu.com/question/1445780462234737260.html"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https://zhidao.baidu.com/question/1445780462234737260.html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eastAsia="zh-CN"/>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benifits of group discussion(2022).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"https://baijiahao.baidu.com/s?id=1724367595985868487"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https://baijiahao.baidu.com/s?id=1724367595985868487</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eastAsia="zh-CN"/>
        </w:rPr>
      </w:pPr>
    </w:p>
    <w:p>
      <w:pPr>
        <w:numPr>
          <w:ilvl w:val="0"/>
          <w:numId w:val="1"/>
        </w:numPr>
        <w:autoSpaceDE w:val="0"/>
        <w:autoSpaceDN w:val="0"/>
        <w:adjustRightInd w:val="0"/>
        <w:spacing w:before="156" w:beforeLines="50" w:line="360" w:lineRule="auto"/>
        <w:ind w:left="0" w:leftChars="0" w:firstLine="0" w:firstLineChars="0"/>
        <w:jc w:val="both"/>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Tan, O.-S. (2021) </w:t>
      </w:r>
      <w:r>
        <w:rPr>
          <w:rFonts w:hint="default" w:ascii="Times New Roman" w:hAnsi="Times New Roman" w:cs="Times New Roman"/>
          <w:i/>
          <w:iCs/>
          <w:kern w:val="0"/>
          <w:sz w:val="24"/>
          <w:szCs w:val="24"/>
        </w:rPr>
        <w:t>Problem-based learning innovation: Using problems to power learning in the 21st century</w:t>
      </w:r>
      <w:r>
        <w:rPr>
          <w:rFonts w:hint="default" w:ascii="Times New Roman" w:hAnsi="Times New Roman" w:cs="Times New Roman"/>
          <w:kern w:val="0"/>
          <w:sz w:val="24"/>
          <w:szCs w:val="24"/>
        </w:rPr>
        <w:t>. Gale Cengage Learning.</w:t>
      </w:r>
    </w:p>
    <w:p>
      <w:pPr>
        <w:spacing w:line="360" w:lineRule="auto"/>
        <w:rPr>
          <w:rFonts w:hint="default" w:ascii="Times New Roman" w:hAnsi="Times New Roman" w:cs="Times New Roman"/>
          <w:sz w:val="24"/>
          <w:szCs w:val="24"/>
          <w:lang w:val="en-US" w:eastAsia="zh-CN"/>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benefits of review(2021).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"https://zhidao.baidu.com/question/271935598721848925.html"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https://zhidao.baidu.com/question/271935598721848925.html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Journal of Effective Teaching, Vol. 11, No. 2, 2011, 87-95 </w:t>
      </w:r>
    </w:p>
    <w:p>
      <w:pPr>
        <w:spacing w:line="360" w:lineRule="auto"/>
        <w:rPr>
          <w:rFonts w:hint="default" w:ascii="Times New Roman" w:hAnsi="Times New Roman" w:cs="Times New Roman"/>
          <w:sz w:val="24"/>
          <w:szCs w:val="24"/>
          <w:lang w:val="en-US" w:eastAsia="zh-CN"/>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purpose of teamwork(2015).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"https://zhidao.baidu.com/question/982230596243200219.html"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https://zhidao.baidu.com/question/982230596243200219.html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lang w:val="en-US" w:eastAsia="zh-CN"/>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proble basec learning(2017). [Online] Avalable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"https://jingyan.baidu.com/article/b907e627e27cea46e6891c58.html"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https://jingyan.baidu.com/article/b907e627e27cea46e6891c58.html</w:t>
      </w:r>
      <w:r>
        <w:rPr>
          <w:rFonts w:hint="default" w:ascii="Times New Roman" w:hAnsi="Times New Roman" w:cs="Times New Roman"/>
          <w:sz w:val="24"/>
          <w:szCs w:val="24"/>
          <w:lang w:val="en-US" w:eastAsia="zh-CN"/>
        </w:rPr>
        <w:fldChar w:fldCharType="end"/>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role of summary(2022).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"https://www.yebaike.com/21/202201/3433961.html"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https://www.yebaike.com/21/202201/3433961.html</w:t>
      </w:r>
      <w:r>
        <w:rPr>
          <w:rFonts w:hint="default" w:ascii="Times New Roman" w:hAnsi="Times New Roman" w:cs="Times New Roman"/>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numPr>
          <w:ilvl w:val="0"/>
          <w:numId w:val="1"/>
        </w:numPr>
        <w:autoSpaceDE w:val="0"/>
        <w:autoSpaceDN w:val="0"/>
        <w:adjustRightInd w:val="0"/>
        <w:spacing w:before="156" w:beforeLines="50"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kern w:val="0"/>
          <w:sz w:val="24"/>
          <w:szCs w:val="24"/>
        </w:rPr>
        <w:t xml:space="preserve">Van Woerkom, M. and Van Engen, M. L. (2009) ‘Learning from conflicts? The relations between task and relationship conflicts, team learning and team performance’, </w:t>
      </w:r>
      <w:r>
        <w:rPr>
          <w:rFonts w:hint="default" w:ascii="Times New Roman" w:hAnsi="Times New Roman" w:cs="Times New Roman"/>
          <w:i/>
          <w:iCs/>
          <w:kern w:val="0"/>
          <w:sz w:val="24"/>
          <w:szCs w:val="24"/>
        </w:rPr>
        <w:t>European Journal of Work and Organizational Psychology</w:t>
      </w:r>
      <w:r>
        <w:rPr>
          <w:rFonts w:hint="default" w:ascii="Times New Roman" w:hAnsi="Times New Roman" w:cs="Times New Roman"/>
          <w:kern w:val="0"/>
          <w:sz w:val="24"/>
          <w:szCs w:val="24"/>
        </w:rPr>
        <w:t>, 18(4), pp. 381–404.</w:t>
      </w:r>
    </w:p>
    <w:p>
      <w:pPr>
        <w:widowControl w:val="0"/>
        <w:numPr>
          <w:ilvl w:val="0"/>
          <w:numId w:val="0"/>
        </w:numPr>
        <w:spacing w:line="360" w:lineRule="auto"/>
        <w:jc w:val="both"/>
        <w:rPr>
          <w:rFonts w:hint="default" w:ascii="Times New Roman" w:hAnsi="Times New Roman" w:cs="Times New Roman"/>
          <w:sz w:val="24"/>
          <w:szCs w:val="24"/>
          <w:lang w:val="en-US" w:eastAsia="zh-CN"/>
        </w:rPr>
      </w:pPr>
    </w:p>
    <w:p>
      <w:pPr>
        <w:widowControl w:val="0"/>
        <w:numPr>
          <w:ilvl w:val="0"/>
          <w:numId w:val="1"/>
        </w:numPr>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Wang Yu</w:t>
      </w:r>
      <w:r>
        <w:rPr>
          <w:rFonts w:hint="default" w:ascii="Times New Roman" w:hAnsi="Times New Roman" w:cs="Times New Roman"/>
          <w:sz w:val="24"/>
          <w:szCs w:val="24"/>
          <w:lang w:val="en-US" w:eastAsia="zh-CN"/>
        </w:rPr>
        <w:t>, (202</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CSDN</w:t>
      </w:r>
      <w:r>
        <w:rPr>
          <w:rFonts w:hint="default" w:ascii="Times New Roman" w:hAnsi="Times New Roman" w:cs="Times New Roman"/>
          <w:sz w:val="24"/>
          <w:szCs w:val="24"/>
          <w:lang w:val="en-US" w:eastAsia="zh-CN"/>
        </w:rPr>
        <w:t xml:space="preserve">[online], available from:https://blog.csdn.net/lilifff/article/details/17677431(Accessed </w:t>
      </w:r>
      <w:r>
        <w:rPr>
          <w:rFonts w:hint="eastAsia" w:ascii="Times New Roman" w:hAnsi="Times New Roman" w:cs="Times New Roman"/>
          <w:sz w:val="24"/>
          <w:szCs w:val="24"/>
          <w:lang w:val="en-US" w:eastAsia="zh-CN"/>
        </w:rPr>
        <w:t>16</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April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spacing w:line="360" w:lineRule="auto"/>
        <w:jc w:val="both"/>
        <w:rPr>
          <w:rFonts w:hint="default" w:ascii="Times New Roman" w:hAnsi="Times New Roman" w:eastAsia="Helvetica" w:cs="Times New Roman"/>
          <w:i w:val="0"/>
          <w:iCs w:val="0"/>
          <w:caps w:val="0"/>
          <w:color w:val="3A3A3A"/>
          <w:spacing w:val="0"/>
          <w:sz w:val="24"/>
          <w:szCs w:val="24"/>
          <w:shd w:val="clear" w:fill="FFFFFF"/>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What is the group discussion(2021).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"https://zhidao.baidu.com/question/719852129775519445.html"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https://zhidao.baidu.com/question/719852129775519445.html</w:t>
      </w:r>
      <w:r>
        <w:rPr>
          <w:rFonts w:hint="default" w:ascii="Times New Roman" w:hAnsi="Times New Roman" w:cs="Times New Roman"/>
          <w:sz w:val="24"/>
          <w:szCs w:val="24"/>
          <w:lang w:val="en-US" w:eastAsia="zh-CN"/>
        </w:rPr>
        <w:fldChar w:fldCharType="end"/>
      </w:r>
    </w:p>
    <w:p>
      <w:pPr>
        <w:spacing w:line="360" w:lineRule="auto"/>
        <w:rPr>
          <w:rFonts w:hint="default" w:ascii="Times New Roman" w:hAnsi="Times New Roman" w:cs="Times New Roman"/>
          <w:sz w:val="24"/>
          <w:szCs w:val="24"/>
          <w:lang w:val="en-US" w:eastAsia="zh-CN"/>
        </w:rPr>
      </w:pPr>
    </w:p>
    <w:p>
      <w:pPr>
        <w:pStyle w:val="12"/>
        <w:numPr>
          <w:ilvl w:val="0"/>
          <w:numId w:val="1"/>
        </w:numPr>
        <w:autoSpaceDE w:val="0"/>
        <w:autoSpaceDN w:val="0"/>
        <w:adjustRightInd w:val="0"/>
        <w:spacing w:line="360" w:lineRule="auto"/>
        <w:ind w:left="0" w:leftChars="0" w:firstLine="0" w:firstLineChars="0"/>
        <w:jc w:val="both"/>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kern w:val="0"/>
          <w:sz w:val="24"/>
          <w:szCs w:val="24"/>
          <w14:textFill>
            <w14:solidFill>
              <w14:schemeClr w14:val="tx1"/>
            </w14:solidFill>
          </w14:textFill>
        </w:rPr>
        <w:t xml:space="preserve">Weay, A. L., Masood, M. and Abdullah, S. H. (2017) ‘Systematic Review of Revised Bloom Taxonomy, SOLO Taxonomy and Webb’s Depth of Knowledge (DOK) in Assessing Students’ Historical Understanding in Learning History.’, </w:t>
      </w:r>
      <w:r>
        <w:rPr>
          <w:rFonts w:hint="default" w:ascii="Times New Roman" w:hAnsi="Times New Roman" w:cs="Times New Roman"/>
          <w:i/>
          <w:iCs/>
          <w:color w:val="000000" w:themeColor="text1"/>
          <w:kern w:val="0"/>
          <w:sz w:val="24"/>
          <w:szCs w:val="24"/>
          <w14:textFill>
            <w14:solidFill>
              <w14:schemeClr w14:val="tx1"/>
            </w14:solidFill>
          </w14:textFill>
        </w:rPr>
        <w:t>Malaysian Journal Of Higher Order Thinking Skills In Education</w:t>
      </w:r>
      <w:r>
        <w:rPr>
          <w:rFonts w:hint="default" w:ascii="Times New Roman" w:hAnsi="Times New Roman" w:cs="Times New Roman"/>
          <w:color w:val="000000" w:themeColor="text1"/>
          <w:kern w:val="0"/>
          <w:sz w:val="24"/>
          <w:szCs w:val="24"/>
          <w14:textFill>
            <w14:solidFill>
              <w14:schemeClr w14:val="tx1"/>
            </w14:solidFill>
          </w14:textFill>
        </w:rPr>
        <w:t>, 3(2), pp. 1–27. doi: 10.13140/RG.2.2.30423.47526.</w:t>
      </w:r>
    </w:p>
    <w:p>
      <w:pPr>
        <w:pStyle w:val="12"/>
        <w:widowControl w:val="0"/>
        <w:numPr>
          <w:numId w:val="0"/>
        </w:numPr>
        <w:autoSpaceDE w:val="0"/>
        <w:autoSpaceDN w:val="0"/>
        <w:adjustRightInd w:val="0"/>
        <w:spacing w:line="360" w:lineRule="auto"/>
        <w:jc w:val="both"/>
        <w:rPr>
          <w:rFonts w:hint="default" w:ascii="Times New Roman" w:hAnsi="Times New Roman" w:cs="Times New Roman"/>
          <w:color w:val="000000" w:themeColor="text1"/>
          <w:kern w:val="0"/>
          <w:sz w:val="24"/>
          <w:szCs w:val="24"/>
          <w14:textFill>
            <w14:solidFill>
              <w14:schemeClr w14:val="tx1"/>
            </w14:solidFill>
          </w14:textFill>
        </w:rPr>
      </w:pPr>
    </w:p>
    <w:p>
      <w:pPr>
        <w:pStyle w:val="12"/>
        <w:widowControl w:val="0"/>
        <w:numPr>
          <w:numId w:val="0"/>
        </w:numPr>
        <w:autoSpaceDE w:val="0"/>
        <w:autoSpaceDN w:val="0"/>
        <w:adjustRightInd w:val="0"/>
        <w:spacing w:line="360" w:lineRule="auto"/>
        <w:jc w:val="both"/>
        <w:rPr>
          <w:rFonts w:hint="default" w:ascii="Times New Roman" w:hAnsi="Times New Roman" w:cs="Times New Roman"/>
          <w:color w:val="000000" w:themeColor="text1"/>
          <w:kern w:val="0"/>
          <w:sz w:val="24"/>
          <w:szCs w:val="24"/>
          <w14:textFill>
            <w14:solidFill>
              <w14:schemeClr w14:val="tx1"/>
            </w14:solidFill>
          </w14:textFill>
        </w:rPr>
      </w:pPr>
    </w:p>
    <w:p>
      <w:pPr>
        <w:pStyle w:val="12"/>
        <w:widowControl w:val="0"/>
        <w:numPr>
          <w:numId w:val="0"/>
        </w:numPr>
        <w:autoSpaceDE w:val="0"/>
        <w:autoSpaceDN w:val="0"/>
        <w:adjustRightInd w:val="0"/>
        <w:spacing w:line="360" w:lineRule="auto"/>
        <w:jc w:val="both"/>
        <w:rPr>
          <w:rFonts w:hint="default" w:ascii="Times New Roman" w:hAnsi="Times New Roman" w:cs="Times New Roman"/>
          <w:color w:val="000000" w:themeColor="text1"/>
          <w:kern w:val="0"/>
          <w:sz w:val="24"/>
          <w:szCs w:val="24"/>
          <w14:textFill>
            <w14:solidFill>
              <w14:schemeClr w14:val="tx1"/>
            </w14:solidFill>
          </w14:textFill>
        </w:rPr>
      </w:pPr>
    </w:p>
    <w:p>
      <w:pPr>
        <w:pStyle w:val="12"/>
        <w:widowControl w:val="0"/>
        <w:numPr>
          <w:numId w:val="0"/>
        </w:numPr>
        <w:autoSpaceDE w:val="0"/>
        <w:autoSpaceDN w:val="0"/>
        <w:adjustRightInd w:val="0"/>
        <w:spacing w:line="360" w:lineRule="auto"/>
        <w:jc w:val="both"/>
        <w:rPr>
          <w:rFonts w:hint="default" w:ascii="Times New Roman" w:hAnsi="Times New Roman" w:cs="Times New Roman"/>
          <w:color w:val="000000" w:themeColor="text1"/>
          <w:kern w:val="0"/>
          <w:sz w:val="24"/>
          <w:szCs w:val="24"/>
          <w14:textFill>
            <w14:solidFill>
              <w14:schemeClr w14:val="tx1"/>
            </w14:solidFill>
          </w14:textFill>
        </w:rPr>
      </w:pPr>
    </w:p>
    <w:p>
      <w:pPr>
        <w:pStyle w:val="2"/>
        <w:bidi w:val="0"/>
        <w:spacing w:line="360" w:lineRule="auto"/>
        <w:rPr>
          <w:rFonts w:hint="default" w:ascii="Times New Roman" w:hAnsi="Times New Roman" w:cs="Times New Roman"/>
          <w:sz w:val="28"/>
          <w:szCs w:val="28"/>
          <w:lang w:val="en-US" w:eastAsia="zh-CN"/>
        </w:rPr>
      </w:pPr>
      <w:bookmarkStart w:id="19" w:name="_Toc12355"/>
      <w:r>
        <w:rPr>
          <w:rFonts w:hint="default" w:ascii="Times New Roman" w:hAnsi="Times New Roman" w:cs="Times New Roman"/>
          <w:sz w:val="28"/>
          <w:szCs w:val="28"/>
          <w:lang w:val="en-US" w:eastAsia="zh-CN"/>
        </w:rPr>
        <w:t>10.0 Appendix</w:t>
      </w:r>
      <w:bookmarkEnd w:id="19"/>
    </w:p>
    <w:p>
      <w:r>
        <w:drawing>
          <wp:inline distT="0" distB="0" distL="114300" distR="114300">
            <wp:extent cx="5273040" cy="2966085"/>
            <wp:effectExtent l="0" t="0" r="0" b="571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7"/>
                    <a:stretch>
                      <a:fillRect/>
                    </a:stretch>
                  </pic:blipFill>
                  <pic:spPr>
                    <a:xfrm>
                      <a:off x="0" y="0"/>
                      <a:ext cx="5273040" cy="2966085"/>
                    </a:xfrm>
                    <a:prstGeom prst="rect">
                      <a:avLst/>
                    </a:prstGeom>
                    <a:noFill/>
                    <a:ln>
                      <a:noFill/>
                    </a:ln>
                  </pic:spPr>
                </pic:pic>
              </a:graphicData>
            </a:graphic>
          </wp:inline>
        </w:drawing>
      </w:r>
    </w:p>
    <w:p/>
    <w:p/>
    <w:p>
      <w:r>
        <w:drawing>
          <wp:inline distT="0" distB="0" distL="114300" distR="114300">
            <wp:extent cx="5273040" cy="2966085"/>
            <wp:effectExtent l="0" t="0" r="0" b="571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8"/>
                    <a:stretch>
                      <a:fillRect/>
                    </a:stretch>
                  </pic:blipFill>
                  <pic:spPr>
                    <a:xfrm>
                      <a:off x="0" y="0"/>
                      <a:ext cx="5273040" cy="2966085"/>
                    </a:xfrm>
                    <a:prstGeom prst="rect">
                      <a:avLst/>
                    </a:prstGeom>
                    <a:noFill/>
                    <a:ln>
                      <a:noFill/>
                    </a:ln>
                  </pic:spPr>
                </pic:pic>
              </a:graphicData>
            </a:graphic>
          </wp:inline>
        </w:drawing>
      </w:r>
    </w:p>
    <w:p>
      <w:r>
        <w:drawing>
          <wp:inline distT="0" distB="0" distL="114300" distR="114300">
            <wp:extent cx="5273040" cy="2966085"/>
            <wp:effectExtent l="0" t="0" r="0" b="5715"/>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9"/>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4"/>
                    <pic:cNvPicPr>
                      <a:picLocks noChangeAspect="1"/>
                    </pic:cNvPicPr>
                  </pic:nvPicPr>
                  <pic:blipFill>
                    <a:blip r:embed="rId10"/>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5"/>
                    <pic:cNvPicPr>
                      <a:picLocks noChangeAspect="1"/>
                    </pic:cNvPicPr>
                  </pic:nvPicPr>
                  <pic:blipFill>
                    <a:blip r:embed="rId11"/>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6"/>
                    <pic:cNvPicPr>
                      <a:picLocks noChangeAspect="1"/>
                    </pic:cNvPicPr>
                  </pic:nvPicPr>
                  <pic:blipFill>
                    <a:blip r:embed="rId12"/>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7"/>
                    <pic:cNvPicPr>
                      <a:picLocks noChangeAspect="1"/>
                    </pic:cNvPicPr>
                  </pic:nvPicPr>
                  <pic:blipFill>
                    <a:blip r:embed="rId13"/>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11"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8"/>
                    <pic:cNvPicPr>
                      <a:picLocks noChangeAspect="1"/>
                    </pic:cNvPicPr>
                  </pic:nvPicPr>
                  <pic:blipFill>
                    <a:blip r:embed="rId14"/>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4572000" cy="3429000"/>
            <wp:effectExtent l="0" t="0" r="0" b="0"/>
            <wp:docPr id="1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9"/>
                    <pic:cNvPicPr>
                      <a:picLocks noChangeAspect="1"/>
                    </pic:cNvPicPr>
                  </pic:nvPicPr>
                  <pic:blipFill>
                    <a:blip r:embed="rId15"/>
                    <a:stretch>
                      <a:fillRect/>
                    </a:stretch>
                  </pic:blipFill>
                  <pic:spPr>
                    <a:xfrm>
                      <a:off x="0" y="0"/>
                      <a:ext cx="4572000" cy="3429000"/>
                    </a:xfrm>
                    <a:prstGeom prst="rect">
                      <a:avLst/>
                    </a:prstGeom>
                    <a:noFill/>
                    <a:ln>
                      <a:noFill/>
                    </a:ln>
                  </pic:spPr>
                </pic:pic>
              </a:graphicData>
            </a:graphic>
          </wp:inline>
        </w:drawing>
      </w:r>
    </w:p>
    <w:p/>
    <w:p>
      <w:r>
        <w:drawing>
          <wp:inline distT="0" distB="0" distL="114300" distR="114300">
            <wp:extent cx="4572000" cy="3429000"/>
            <wp:effectExtent l="0" t="0" r="0" b="0"/>
            <wp:docPr id="1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0"/>
                    <pic:cNvPicPr>
                      <a:picLocks noChangeAspect="1"/>
                    </pic:cNvPicPr>
                  </pic:nvPicPr>
                  <pic:blipFill>
                    <a:blip r:embed="rId16"/>
                    <a:stretch>
                      <a:fillRect/>
                    </a:stretch>
                  </pic:blipFill>
                  <pic:spPr>
                    <a:xfrm>
                      <a:off x="0" y="0"/>
                      <a:ext cx="4572000" cy="3429000"/>
                    </a:xfrm>
                    <a:prstGeom prst="rect">
                      <a:avLst/>
                    </a:prstGeom>
                    <a:noFill/>
                    <a:ln>
                      <a:noFill/>
                    </a:ln>
                  </pic:spPr>
                </pic:pic>
              </a:graphicData>
            </a:graphic>
          </wp:inline>
        </w:drawing>
      </w:r>
    </w:p>
    <w:p/>
    <w:p>
      <w:r>
        <w:drawing>
          <wp:inline distT="0" distB="0" distL="114300" distR="114300">
            <wp:extent cx="4572000" cy="3429000"/>
            <wp:effectExtent l="0" t="0" r="0" b="0"/>
            <wp:docPr id="14"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1"/>
                    <pic:cNvPicPr>
                      <a:picLocks noChangeAspect="1"/>
                    </pic:cNvPicPr>
                  </pic:nvPicPr>
                  <pic:blipFill>
                    <a:blip r:embed="rId17"/>
                    <a:stretch>
                      <a:fillRect/>
                    </a:stretch>
                  </pic:blipFill>
                  <pic:spPr>
                    <a:xfrm>
                      <a:off x="0" y="0"/>
                      <a:ext cx="4572000" cy="3429000"/>
                    </a:xfrm>
                    <a:prstGeom prst="rect">
                      <a:avLst/>
                    </a:prstGeom>
                    <a:noFill/>
                    <a:ln>
                      <a:noFill/>
                    </a:ln>
                  </pic:spPr>
                </pic:pic>
              </a:graphicData>
            </a:graphic>
          </wp:inline>
        </w:drawing>
      </w:r>
    </w:p>
    <w:p/>
    <w:p>
      <w:r>
        <w:drawing>
          <wp:inline distT="0" distB="0" distL="114300" distR="114300">
            <wp:extent cx="4572000" cy="3429000"/>
            <wp:effectExtent l="0" t="0" r="0" b="0"/>
            <wp:docPr id="15"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2"/>
                    <pic:cNvPicPr>
                      <a:picLocks noChangeAspect="1"/>
                    </pic:cNvPicPr>
                  </pic:nvPicPr>
                  <pic:blipFill>
                    <a:blip r:embed="rId18"/>
                    <a:stretch>
                      <a:fillRect/>
                    </a:stretch>
                  </pic:blipFill>
                  <pic:spPr>
                    <a:xfrm>
                      <a:off x="0" y="0"/>
                      <a:ext cx="4572000" cy="3429000"/>
                    </a:xfrm>
                    <a:prstGeom prst="rect">
                      <a:avLst/>
                    </a:prstGeom>
                    <a:noFill/>
                    <a:ln>
                      <a:noFill/>
                    </a:ln>
                  </pic:spPr>
                </pic:pic>
              </a:graphicData>
            </a:graphic>
          </wp:inline>
        </w:drawing>
      </w:r>
    </w:p>
    <w:p/>
    <w:p>
      <w:r>
        <w:drawing>
          <wp:inline distT="0" distB="0" distL="114300" distR="114300">
            <wp:extent cx="4572000" cy="3429000"/>
            <wp:effectExtent l="0" t="0" r="0" b="0"/>
            <wp:docPr id="16"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3"/>
                    <pic:cNvPicPr>
                      <a:picLocks noChangeAspect="1"/>
                    </pic:cNvPicPr>
                  </pic:nvPicPr>
                  <pic:blipFill>
                    <a:blip r:embed="rId19"/>
                    <a:stretch>
                      <a:fillRect/>
                    </a:stretch>
                  </pic:blipFill>
                  <pic:spPr>
                    <a:xfrm>
                      <a:off x="0" y="0"/>
                      <a:ext cx="4572000" cy="3429000"/>
                    </a:xfrm>
                    <a:prstGeom prst="rect">
                      <a:avLst/>
                    </a:prstGeom>
                    <a:noFill/>
                    <a:ln>
                      <a:noFill/>
                    </a:ln>
                  </pic:spPr>
                </pic:pic>
              </a:graphicData>
            </a:graphic>
          </wp:inline>
        </w:drawing>
      </w:r>
    </w:p>
    <w:p/>
    <w:p>
      <w:r>
        <w:drawing>
          <wp:inline distT="0" distB="0" distL="114300" distR="114300">
            <wp:extent cx="4572000" cy="3429000"/>
            <wp:effectExtent l="0" t="0" r="0" b="0"/>
            <wp:docPr id="17"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4"/>
                    <pic:cNvPicPr>
                      <a:picLocks noChangeAspect="1"/>
                    </pic:cNvPicPr>
                  </pic:nvPicPr>
                  <pic:blipFill>
                    <a:blip r:embed="rId20"/>
                    <a:stretch>
                      <a:fillRect/>
                    </a:stretch>
                  </pic:blipFill>
                  <pic:spPr>
                    <a:xfrm>
                      <a:off x="0" y="0"/>
                      <a:ext cx="4572000" cy="3429000"/>
                    </a:xfrm>
                    <a:prstGeom prst="rect">
                      <a:avLst/>
                    </a:prstGeom>
                    <a:noFill/>
                    <a:ln>
                      <a:noFill/>
                    </a:ln>
                  </pic:spPr>
                </pic:pic>
              </a:graphicData>
            </a:graphic>
          </wp:inline>
        </w:drawing>
      </w:r>
    </w:p>
    <w:p/>
    <w:p>
      <w:r>
        <w:drawing>
          <wp:inline distT="0" distB="0" distL="114300" distR="114300">
            <wp:extent cx="4572000" cy="3429000"/>
            <wp:effectExtent l="0" t="0" r="0" b="0"/>
            <wp:docPr id="18"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5"/>
                    <pic:cNvPicPr>
                      <a:picLocks noChangeAspect="1"/>
                    </pic:cNvPicPr>
                  </pic:nvPicPr>
                  <pic:blipFill>
                    <a:blip r:embed="rId21"/>
                    <a:stretch>
                      <a:fillRect/>
                    </a:stretch>
                  </pic:blipFill>
                  <pic:spPr>
                    <a:xfrm>
                      <a:off x="0" y="0"/>
                      <a:ext cx="4572000" cy="3429000"/>
                    </a:xfrm>
                    <a:prstGeom prst="rect">
                      <a:avLst/>
                    </a:prstGeom>
                    <a:noFill/>
                    <a:ln>
                      <a:noFill/>
                    </a:ln>
                  </pic:spPr>
                </pic:pic>
              </a:graphicData>
            </a:graphic>
          </wp:inline>
        </w:drawing>
      </w:r>
    </w:p>
    <w:p/>
    <w:p>
      <w:r>
        <w:drawing>
          <wp:inline distT="0" distB="0" distL="114300" distR="114300">
            <wp:extent cx="5273040" cy="2966085"/>
            <wp:effectExtent l="0" t="0" r="0" b="5715"/>
            <wp:docPr id="19"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6"/>
                    <pic:cNvPicPr>
                      <a:picLocks noChangeAspect="1"/>
                    </pic:cNvPicPr>
                  </pic:nvPicPr>
                  <pic:blipFill>
                    <a:blip r:embed="rId22"/>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0"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7"/>
                    <pic:cNvPicPr>
                      <a:picLocks noChangeAspect="1"/>
                    </pic:cNvPicPr>
                  </pic:nvPicPr>
                  <pic:blipFill>
                    <a:blip r:embed="rId23"/>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1"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8"/>
                    <pic:cNvPicPr>
                      <a:picLocks noChangeAspect="1"/>
                    </pic:cNvPicPr>
                  </pic:nvPicPr>
                  <pic:blipFill>
                    <a:blip r:embed="rId24"/>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2"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19"/>
                    <pic:cNvPicPr>
                      <a:picLocks noChangeAspect="1"/>
                    </pic:cNvPicPr>
                  </pic:nvPicPr>
                  <pic:blipFill>
                    <a:blip r:embed="rId25"/>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3"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0"/>
                    <pic:cNvPicPr>
                      <a:picLocks noChangeAspect="1"/>
                    </pic:cNvPicPr>
                  </pic:nvPicPr>
                  <pic:blipFill>
                    <a:blip r:embed="rId26"/>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4"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1"/>
                    <pic:cNvPicPr>
                      <a:picLocks noChangeAspect="1"/>
                    </pic:cNvPicPr>
                  </pic:nvPicPr>
                  <pic:blipFill>
                    <a:blip r:embed="rId27"/>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5"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2"/>
                    <pic:cNvPicPr>
                      <a:picLocks noChangeAspect="1"/>
                    </pic:cNvPicPr>
                  </pic:nvPicPr>
                  <pic:blipFill>
                    <a:blip r:embed="rId28"/>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6"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3"/>
                    <pic:cNvPicPr>
                      <a:picLocks noChangeAspect="1"/>
                    </pic:cNvPicPr>
                  </pic:nvPicPr>
                  <pic:blipFill>
                    <a:blip r:embed="rId29"/>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7"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4"/>
                    <pic:cNvPicPr>
                      <a:picLocks noChangeAspect="1"/>
                    </pic:cNvPicPr>
                  </pic:nvPicPr>
                  <pic:blipFill>
                    <a:blip r:embed="rId30"/>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8"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5"/>
                    <pic:cNvPicPr>
                      <a:picLocks noChangeAspect="1"/>
                    </pic:cNvPicPr>
                  </pic:nvPicPr>
                  <pic:blipFill>
                    <a:blip r:embed="rId31"/>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29"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6"/>
                    <pic:cNvPicPr>
                      <a:picLocks noChangeAspect="1"/>
                    </pic:cNvPicPr>
                  </pic:nvPicPr>
                  <pic:blipFill>
                    <a:blip r:embed="rId32"/>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30"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27"/>
                    <pic:cNvPicPr>
                      <a:picLocks noChangeAspect="1"/>
                    </pic:cNvPicPr>
                  </pic:nvPicPr>
                  <pic:blipFill>
                    <a:blip r:embed="rId33"/>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31"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28"/>
                    <pic:cNvPicPr>
                      <a:picLocks noChangeAspect="1"/>
                    </pic:cNvPicPr>
                  </pic:nvPicPr>
                  <pic:blipFill>
                    <a:blip r:embed="rId34"/>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32"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29"/>
                    <pic:cNvPicPr>
                      <a:picLocks noChangeAspect="1"/>
                    </pic:cNvPicPr>
                  </pic:nvPicPr>
                  <pic:blipFill>
                    <a:blip r:embed="rId35"/>
                    <a:stretch>
                      <a:fillRect/>
                    </a:stretch>
                  </pic:blipFill>
                  <pic:spPr>
                    <a:xfrm>
                      <a:off x="0" y="0"/>
                      <a:ext cx="5273040" cy="2966085"/>
                    </a:xfrm>
                    <a:prstGeom prst="rect">
                      <a:avLst/>
                    </a:prstGeom>
                    <a:noFill/>
                    <a:ln>
                      <a:noFill/>
                    </a:ln>
                  </pic:spPr>
                </pic:pic>
              </a:graphicData>
            </a:graphic>
          </wp:inline>
        </w:drawing>
      </w:r>
    </w:p>
    <w:p/>
    <w:p>
      <w:r>
        <w:drawing>
          <wp:inline distT="0" distB="0" distL="114300" distR="114300">
            <wp:extent cx="5273040" cy="2966085"/>
            <wp:effectExtent l="0" t="0" r="0" b="5715"/>
            <wp:docPr id="33"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0"/>
                    <pic:cNvPicPr>
                      <a:picLocks noChangeAspect="1"/>
                    </pic:cNvPicPr>
                  </pic:nvPicPr>
                  <pic:blipFill>
                    <a:blip r:embed="rId36"/>
                    <a:stretch>
                      <a:fillRect/>
                    </a:stretch>
                  </pic:blipFill>
                  <pic:spPr>
                    <a:xfrm>
                      <a:off x="0" y="0"/>
                      <a:ext cx="5273040" cy="2966085"/>
                    </a:xfrm>
                    <a:prstGeom prst="rect">
                      <a:avLst/>
                    </a:prstGeom>
                    <a:noFill/>
                    <a:ln>
                      <a:noFill/>
                    </a:ln>
                  </pic:spPr>
                </pic:pic>
              </a:graphicData>
            </a:graphic>
          </wp:inline>
        </w:drawing>
      </w:r>
    </w:p>
    <w:p/>
    <w:p>
      <w:pPr>
        <w:rPr>
          <w:rFonts w:hint="default"/>
          <w:lang w:val="en-US" w:eastAsia="zh-CN"/>
        </w:rPr>
      </w:pPr>
      <w:r>
        <w:drawing>
          <wp:inline distT="0" distB="0" distL="114300" distR="114300">
            <wp:extent cx="5273040" cy="2966085"/>
            <wp:effectExtent l="0" t="0" r="0" b="5715"/>
            <wp:docPr id="34"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1"/>
                    <pic:cNvPicPr>
                      <a:picLocks noChangeAspect="1"/>
                    </pic:cNvPicPr>
                  </pic:nvPicPr>
                  <pic:blipFill>
                    <a:blip r:embed="rId37"/>
                    <a:stretch>
                      <a:fillRect/>
                    </a:stretch>
                  </pic:blipFill>
                  <pic:spPr>
                    <a:xfrm>
                      <a:off x="0" y="0"/>
                      <a:ext cx="5273040" cy="2966085"/>
                    </a:xfrm>
                    <a:prstGeom prst="rect">
                      <a:avLst/>
                    </a:prstGeom>
                    <a:noFill/>
                    <a:ln>
                      <a:noFill/>
                    </a:ln>
                  </pic:spPr>
                </pic:pic>
              </a:graphicData>
            </a:graphic>
          </wp:inline>
        </w:drawing>
      </w:r>
    </w:p>
    <w:p>
      <w:pPr>
        <w:spacing w:line="360" w:lineRule="auto"/>
        <w:rPr>
          <w:rFonts w:hint="default" w:ascii="Times New Roman" w:hAnsi="Times New Roman" w:cs="Times New Roman"/>
          <w:sz w:val="24"/>
          <w:szCs w:val="24"/>
          <w:lang w:val="en-US" w:eastAsia="zh-CN"/>
        </w:rPr>
      </w:pPr>
    </w:p>
    <w:p>
      <w:pPr>
        <w:widowControl w:val="0"/>
        <w:numPr>
          <w:ilvl w:val="0"/>
          <w:numId w:val="0"/>
        </w:numPr>
        <w:spacing w:line="360" w:lineRule="auto"/>
        <w:jc w:val="both"/>
        <w:rPr>
          <w:rFonts w:hint="default" w:ascii="Times New Roman" w:hAnsi="Times New Roman" w:eastAsia="Helvetica" w:cs="Times New Roman"/>
          <w:i w:val="0"/>
          <w:iCs w:val="0"/>
          <w:caps w:val="0"/>
          <w:color w:val="3A3A3A"/>
          <w:spacing w:val="0"/>
          <w:sz w:val="24"/>
          <w:szCs w:val="24"/>
          <w:shd w:val="clear" w:fill="FFFFFF"/>
        </w:rPr>
      </w:pPr>
    </w:p>
    <w:p>
      <w:pPr>
        <w:widowControl w:val="0"/>
        <w:numPr>
          <w:ilvl w:val="0"/>
          <w:numId w:val="0"/>
        </w:numPr>
        <w:spacing w:line="360" w:lineRule="auto"/>
        <w:ind w:leftChars="0"/>
        <w:jc w:val="both"/>
        <w:rPr>
          <w:rFonts w:hint="default" w:ascii="Times New Roman" w:hAnsi="Times New Roman" w:eastAsia="宋体" w:cs="Times New Roman"/>
          <w:i w:val="0"/>
          <w:iCs w:val="0"/>
          <w:caps w:val="0"/>
          <w:color w:val="3A3A3A"/>
          <w:spacing w:val="0"/>
          <w:sz w:val="24"/>
          <w:szCs w:val="24"/>
          <w:shd w:val="clear" w:fill="FFFFFF"/>
          <w:lang w:val="en-US" w:eastAsia="zh-CN"/>
        </w:rPr>
      </w:pPr>
    </w:p>
    <w:bookmarkEnd w:id="8"/>
    <w:p>
      <w:pPr>
        <w:numPr>
          <w:ilvl w:val="0"/>
          <w:numId w:val="0"/>
        </w:numPr>
        <w:spacing w:line="360" w:lineRule="auto"/>
        <w:ind w:leftChars="0"/>
        <w:rPr>
          <w:rFonts w:hint="default" w:ascii="Times New Roman" w:hAnsi="Times New Roman" w:eastAsia="Helvetica" w:cs="Times New Roman"/>
          <w:i w:val="0"/>
          <w:iCs w:val="0"/>
          <w:caps w:val="0"/>
          <w:color w:val="3A3A3A"/>
          <w:spacing w:val="0"/>
          <w:sz w:val="24"/>
          <w:szCs w:val="24"/>
          <w:shd w:val="clear" w:fill="FFFFFF"/>
          <w:lang w:val="en-US" w:eastAsia="zh-CN"/>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Helvetica">
    <w:altName w:val="Arial"/>
    <w:panose1 w:val="00000000000000000000"/>
    <w:charset w:val="00"/>
    <w:family w:val="auto"/>
    <w:pitch w:val="default"/>
    <w:sig w:usb0="00000000" w:usb1="00000000" w:usb2="00000000" w:usb3="00000000" w:csb0="00000000" w:csb1="00000000"/>
  </w:font>
  <w:font w:name="Candara">
    <w:panose1 w:val="020E0502030303020204"/>
    <w:charset w:val="00"/>
    <w:family w:val="swiss"/>
    <w:pitch w:val="default"/>
    <w:sig w:usb0="A00002EF" w:usb1="4000A44B" w:usb2="00000000" w:usb3="00000000" w:csb0="2000019F" w:csb1="00000000"/>
  </w:font>
  <w:font w:name="Georgia">
    <w:panose1 w:val="02040502050405020303"/>
    <w:charset w:val="00"/>
    <w:family w:val="roman"/>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B2876C"/>
    <w:multiLevelType w:val="singleLevel"/>
    <w:tmpl w:val="02B2876C"/>
    <w:lvl w:ilvl="0" w:tentative="0">
      <w:start w:val="2"/>
      <w:numFmt w:val="decimal"/>
      <w:suff w:val="space"/>
      <w:lvlText w:val="%1."/>
      <w:lvlJc w:val="left"/>
      <w:rPr>
        <w:rFonts w:hint="default"/>
        <w:b w:val="0"/>
        <w:bCs w:val="0"/>
        <w:i w:val="0"/>
        <w:iCs w:val="0"/>
        <w:sz w:val="24"/>
        <w:szCs w:val="24"/>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JhYTkxOWM4ZDVmNDUxMWNlNmIzYmE4MzhiOWE1MWUifQ=="/>
  </w:docVars>
  <w:rsids>
    <w:rsidRoot w:val="1EB60C93"/>
    <w:rsid w:val="184C36F9"/>
    <w:rsid w:val="1E756E01"/>
    <w:rsid w:val="1EB60C93"/>
    <w:rsid w:val="26733F28"/>
    <w:rsid w:val="27BA00F8"/>
    <w:rsid w:val="487E5D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4"/>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Hyperlink"/>
    <w:basedOn w:val="10"/>
    <w:qFormat/>
    <w:uiPriority w:val="0"/>
    <w:rPr>
      <w:color w:val="0000FF"/>
      <w:u w:val="single"/>
    </w:rPr>
  </w:style>
  <w:style w:type="paragraph" w:styleId="12">
    <w:name w:val="List Paragraph"/>
    <w:basedOn w:val="1"/>
    <w:qFormat/>
    <w:uiPriority w:val="34"/>
    <w:pPr>
      <w:ind w:firstLine="420" w:firstLineChars="200"/>
    </w:p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character" w:customStyle="1" w:styleId="14">
    <w:name w:val="标题 2 Char"/>
    <w:link w:val="3"/>
    <w:uiPriority w:val="0"/>
    <w:rPr>
      <w:rFonts w:ascii="Arial" w:hAnsi="Arial" w:eastAsia="黑体"/>
      <w:b/>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0" Type="http://schemas.openxmlformats.org/officeDocument/2006/relationships/fontTable" Target="fontTable.xml"/><Relationship Id="rId4" Type="http://schemas.openxmlformats.org/officeDocument/2006/relationships/theme" Target="theme/theme1.xml"/><Relationship Id="rId39" Type="http://schemas.openxmlformats.org/officeDocument/2006/relationships/numbering" Target="numbering.xml"/><Relationship Id="rId38" Type="http://schemas.openxmlformats.org/officeDocument/2006/relationships/customXml" Target="../customXml/item1.xml"/><Relationship Id="rId37" Type="http://schemas.openxmlformats.org/officeDocument/2006/relationships/image" Target="media/image33.png"/><Relationship Id="rId36" Type="http://schemas.openxmlformats.org/officeDocument/2006/relationships/image" Target="media/image32.png"/><Relationship Id="rId35" Type="http://schemas.openxmlformats.org/officeDocument/2006/relationships/image" Target="media/image31.png"/><Relationship Id="rId34" Type="http://schemas.openxmlformats.org/officeDocument/2006/relationships/image" Target="media/image30.png"/><Relationship Id="rId33" Type="http://schemas.openxmlformats.org/officeDocument/2006/relationships/image" Target="media/image29.png"/><Relationship Id="rId32" Type="http://schemas.openxmlformats.org/officeDocument/2006/relationships/image" Target="media/image28.png"/><Relationship Id="rId31" Type="http://schemas.openxmlformats.org/officeDocument/2006/relationships/image" Target="media/image27.png"/><Relationship Id="rId30" Type="http://schemas.openxmlformats.org/officeDocument/2006/relationships/image" Target="media/image26.png"/><Relationship Id="rId3" Type="http://schemas.openxmlformats.org/officeDocument/2006/relationships/footer" Target="footer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31</Pages>
  <Words>6414</Words>
  <Characters>37781</Characters>
  <Lines>0</Lines>
  <Paragraphs>0</Paragraphs>
  <TotalTime>5</TotalTime>
  <ScaleCrop>false</ScaleCrop>
  <LinksUpToDate>false</LinksUpToDate>
  <CharactersWithSpaces>44080</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2022-04-27T06:53:00Z</dcterms:created>
  <dc:creator>WPS_1547003711</dc:creator>
  <cp:lastModifiedBy>WPS_1547003711</cp:lastModifiedBy>
  <dcterms:modified xsi:type="dcterms:W3CDTF">2022-05-03T15:37:20Z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4D88CF07EFDA40E58E7DDB2C8C96CEA9</vt:lpwstr>
  </property>
</Properties>
</file>