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14F" w:rsidRDefault="009D514F" w:rsidP="009D514F"/>
    <w:p w:rsidR="009D514F" w:rsidRDefault="009D514F" w:rsidP="009D514F"/>
    <w:p w:rsidR="009D514F" w:rsidRDefault="009D514F" w:rsidP="009D514F"/>
    <w:p w:rsidR="009D514F" w:rsidRDefault="009D514F" w:rsidP="009D514F"/>
    <w:p w:rsidR="009D514F" w:rsidRDefault="009D514F" w:rsidP="009D514F"/>
    <w:p w:rsidR="009D514F" w:rsidRDefault="009D514F" w:rsidP="009D514F"/>
    <w:p w:rsidR="009D514F" w:rsidRDefault="009D514F" w:rsidP="009D514F"/>
    <w:p w:rsidR="009D514F" w:rsidRDefault="009D514F" w:rsidP="009D514F"/>
    <w:p w:rsidR="009D514F" w:rsidRDefault="009D514F" w:rsidP="009D514F"/>
    <w:p w:rsidR="009D514F" w:rsidRDefault="009D514F" w:rsidP="009D514F"/>
    <w:p w:rsidR="009D514F" w:rsidRPr="00751E0D" w:rsidRDefault="009D514F" w:rsidP="009D514F"/>
    <w:p w:rsidR="009D514F" w:rsidRPr="00AD7F13" w:rsidRDefault="009D514F" w:rsidP="009D514F">
      <w:pPr>
        <w:rPr>
          <w:sz w:val="32"/>
        </w:rPr>
      </w:pPr>
    </w:p>
    <w:p w:rsidR="009D514F" w:rsidRPr="00AD7F13" w:rsidRDefault="009D514F" w:rsidP="00AD7F13">
      <w:pPr>
        <w:jc w:val="center"/>
        <w:rPr>
          <w:b/>
          <w:sz w:val="32"/>
        </w:rPr>
      </w:pPr>
      <w:r w:rsidRPr="00AD7F13">
        <w:rPr>
          <w:b/>
          <w:sz w:val="32"/>
        </w:rPr>
        <w:t>ACCA</w:t>
      </w:r>
      <w:r w:rsidR="00B90B5F">
        <w:rPr>
          <w:b/>
          <w:sz w:val="32"/>
        </w:rPr>
        <w:t>6024</w:t>
      </w:r>
    </w:p>
    <w:p w:rsidR="009D514F" w:rsidRPr="00AD7F13" w:rsidRDefault="00B90B5F" w:rsidP="00AD7F13">
      <w:pPr>
        <w:jc w:val="center"/>
        <w:rPr>
          <w:b/>
          <w:sz w:val="32"/>
        </w:rPr>
      </w:pPr>
      <w:r>
        <w:rPr>
          <w:b/>
          <w:sz w:val="32"/>
        </w:rPr>
        <w:t>Cloud Based Web Services</w:t>
      </w:r>
    </w:p>
    <w:p w:rsidR="009D514F" w:rsidRPr="00AD7F13" w:rsidRDefault="009D514F" w:rsidP="00AD7F13">
      <w:pPr>
        <w:jc w:val="center"/>
        <w:rPr>
          <w:b/>
          <w:sz w:val="32"/>
        </w:rPr>
      </w:pPr>
    </w:p>
    <w:p w:rsidR="009D514F" w:rsidRPr="00AD7F13" w:rsidRDefault="00B90B5F" w:rsidP="00AD7F13">
      <w:pPr>
        <w:jc w:val="center"/>
        <w:rPr>
          <w:b/>
          <w:sz w:val="32"/>
        </w:rPr>
      </w:pPr>
      <w:r>
        <w:rPr>
          <w:b/>
          <w:sz w:val="32"/>
        </w:rPr>
        <w:t>Assignment 2</w:t>
      </w:r>
    </w:p>
    <w:p w:rsidR="009D514F" w:rsidRDefault="009D514F" w:rsidP="009D514F"/>
    <w:p w:rsidR="009D514F" w:rsidRDefault="009D514F" w:rsidP="009D514F">
      <w:r w:rsidRPr="00751E0D">
        <w:rPr>
          <w:b/>
          <w:noProof/>
          <w:sz w:val="32"/>
        </w:rPr>
        <mc:AlternateContent>
          <mc:Choice Requires="wps">
            <w:drawing>
              <wp:anchor distT="45720" distB="45720" distL="114300" distR="114300" simplePos="0" relativeHeight="251662336" behindDoc="0" locked="0" layoutInCell="1" allowOverlap="1" wp14:anchorId="4C1F9489" wp14:editId="72922A67">
                <wp:simplePos x="0" y="0"/>
                <wp:positionH relativeFrom="margin">
                  <wp:align>right</wp:align>
                </wp:positionH>
                <wp:positionV relativeFrom="paragraph">
                  <wp:posOffset>6223000</wp:posOffset>
                </wp:positionV>
                <wp:extent cx="57150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00"/>
                        </a:xfrm>
                        <a:prstGeom prst="rect">
                          <a:avLst/>
                        </a:prstGeom>
                        <a:solidFill>
                          <a:srgbClr val="FFFFFF"/>
                        </a:solidFill>
                        <a:ln w="9525">
                          <a:noFill/>
                          <a:miter lim="800000"/>
                          <a:headEnd/>
                          <a:tailEnd/>
                        </a:ln>
                      </wps:spPr>
                      <wps:txbx>
                        <w:txbxContent>
                          <w:p w:rsidR="00C21890" w:rsidRPr="00AD7F13" w:rsidRDefault="00C21890" w:rsidP="009D514F">
                            <w:pPr>
                              <w:rPr>
                                <w:b/>
                                <w:sz w:val="24"/>
                              </w:rPr>
                            </w:pPr>
                            <w:r w:rsidRPr="00AD7F13">
                              <w:rPr>
                                <w:b/>
                                <w:sz w:val="24"/>
                              </w:rPr>
                              <w:t>1809125</w:t>
                            </w:r>
                            <w:r w:rsidRPr="00AD7F13">
                              <w:rPr>
                                <w:b/>
                                <w:sz w:val="24"/>
                              </w:rPr>
                              <w:tab/>
                            </w:r>
                            <w:r w:rsidRPr="00AD7F13">
                              <w:rPr>
                                <w:b/>
                                <w:sz w:val="24"/>
                              </w:rPr>
                              <w:tab/>
                            </w:r>
                            <w:r w:rsidRPr="00AD7F13">
                              <w:rPr>
                                <w:b/>
                                <w:sz w:val="24"/>
                              </w:rPr>
                              <w:tab/>
                            </w:r>
                            <w:r w:rsidRPr="00AD7F13">
                              <w:rPr>
                                <w:b/>
                                <w:i/>
                                <w:sz w:val="24"/>
                              </w:rPr>
                              <w:t xml:space="preserve">    Thomas Pritchard</w:t>
                            </w:r>
                            <w:r w:rsidRPr="00AD7F13">
                              <w:rPr>
                                <w:b/>
                                <w:sz w:val="24"/>
                              </w:rPr>
                              <w:t xml:space="preserve"> </w:t>
                            </w:r>
                            <w:r w:rsidRPr="00AD7F13">
                              <w:rPr>
                                <w:b/>
                                <w:sz w:val="24"/>
                              </w:rPr>
                              <w:tab/>
                            </w:r>
                            <w:r w:rsidRPr="00AD7F13">
                              <w:rPr>
                                <w:b/>
                                <w:sz w:val="24"/>
                              </w:rPr>
                              <w:tab/>
                              <w:t xml:space="preserve">  </w:t>
                            </w:r>
                            <w:r w:rsidRPr="00AD7F13">
                              <w:rPr>
                                <w:b/>
                                <w:sz w:val="24"/>
                              </w:rPr>
                              <w:tab/>
                              <w:t xml:space="preserve">   </w:t>
                            </w:r>
                            <w:r w:rsidR="00B90B5F">
                              <w:rPr>
                                <w:b/>
                                <w:sz w:val="24"/>
                              </w:rPr>
                              <w:t>02/05</w:t>
                            </w:r>
                            <w:r w:rsidRPr="00AD7F13">
                              <w:rPr>
                                <w:b/>
                                <w:sz w:val="24"/>
                              </w:rPr>
                              <w:t>/21</w:t>
                            </w:r>
                          </w:p>
                          <w:p w:rsidR="00C21890" w:rsidRDefault="00C21890" w:rsidP="009D51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1F9489" id="_x0000_t202" coordsize="21600,21600" o:spt="202" path="m,l,21600r21600,l21600,xe">
                <v:stroke joinstyle="miter"/>
                <v:path gradientshapeok="t" o:connecttype="rect"/>
              </v:shapetype>
              <v:shape id="Text Box 2" o:spid="_x0000_s1026" type="#_x0000_t202" style="position:absolute;margin-left:398.8pt;margin-top:490pt;width:450pt;height:33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hHwIAAB0EAAAOAAAAZHJzL2Uyb0RvYy54bWysU9uO2yAQfa/Uf0C8N74oaTZWnNU221SV&#10;thdptx+AMY5RgaFAYqdf3wFns2n7VpUHNMMMhzNnhvXtqBU5CuclmJoWs5wSYTi00uxr+u1p9+aG&#10;Eh+YaZkCI2p6Ep7ebl6/Wg+2EiX0oFrhCIIYXw22pn0Itsoyz3uhmZ+BFQaDHTjNArpun7WODYiu&#10;VVbm+dtsANdaB1x4j6f3U5BuEn7XCR6+dJ0XgaiaIreQdpf2Ju7ZZs2qvWO2l/xMg/0DC82kwUcv&#10;UPcsMHJw8i8oLbkDD12YcdAZdJ3kItWA1RT5H9U89syKVAuK4+1FJv//YPnn41dHZFvTslhSYpjG&#10;Jj2JMZB3MJIy6jNYX2Hao8XEMOIx9jnV6u0D8O+eGNj2zOzFnXMw9IK1yK+IN7OrqxOOjyDN8Ala&#10;fIYdAiSgsXM6iodyEETHPp0uvYlUOB4ulsUizzHEMTYvVgXa8QlWPd+2zocPAjSJRk0d9j6hs+OD&#10;D1Pqc0p8zIOS7U4qlRy3b7bKkSPDOdmldUb/LU0ZMtR0tSgXCdlAvI/QrNIy4BwrqWt6gzQncqyK&#10;arw3bUoJTKrJRtLKnOWJikzahLEZMTFq1kB7QqEcTPOK/wuNHtxPSgac1Zr6HwfmBCXqo0GxV8V8&#10;Hoc7OfPFskTHXUea6wgzHKFqGiiZzG1IHyKWYeAOm9LJpNcLkzNXnMGk+Pm/xCG/9lPWy6/e/AIA&#10;AP//AwBQSwMEFAAGAAgAAAAhALUfEv3cAAAACQEAAA8AAABkcnMvZG93bnJldi54bWxMj81OwzAQ&#10;hO9IvIO1SFwQtUElbUKcCpBAXPvzAJtkm0TE6yh2m/Tt2Z7gNqsZzX6Tb2bXqzONofNs4WlhQBFX&#10;vu64sXDYfz6uQYWIXGPvmSxcKMCmuL3JMav9xFs672KjpIRDhhbaGIdM61C15DAs/EAs3tGPDqOc&#10;Y6PrEScpd71+NibRDjuWDy0O9NFS9bM7OQvH7+nhJZ3Kr3hYbZfJO3ar0l+svb+b315BRZrjXxiu&#10;+IIOhTCV/sR1UL0FGRItpGsjQuzUXEUpObNMDOgi1/8XFL8AAAD//wMAUEsBAi0AFAAGAAgAAAAh&#10;ALaDOJL+AAAA4QEAABMAAAAAAAAAAAAAAAAAAAAAAFtDb250ZW50X1R5cGVzXS54bWxQSwECLQAU&#10;AAYACAAAACEAOP0h/9YAAACUAQAACwAAAAAAAAAAAAAAAAAvAQAAX3JlbHMvLnJlbHNQSwECLQAU&#10;AAYACAAAACEA5MU0oR8CAAAdBAAADgAAAAAAAAAAAAAAAAAuAgAAZHJzL2Uyb0RvYy54bWxQSwEC&#10;LQAUAAYACAAAACEAtR8S/dwAAAAJAQAADwAAAAAAAAAAAAAAAAB5BAAAZHJzL2Rvd25yZXYueG1s&#10;UEsFBgAAAAAEAAQA8wAAAIIFAAAAAA==&#10;" stroked="f">
                <v:textbox>
                  <w:txbxContent>
                    <w:p w:rsidR="00C21890" w:rsidRPr="00AD7F13" w:rsidRDefault="00C21890" w:rsidP="009D514F">
                      <w:pPr>
                        <w:rPr>
                          <w:b/>
                          <w:sz w:val="24"/>
                        </w:rPr>
                      </w:pPr>
                      <w:r w:rsidRPr="00AD7F13">
                        <w:rPr>
                          <w:b/>
                          <w:sz w:val="24"/>
                        </w:rPr>
                        <w:t>1809125</w:t>
                      </w:r>
                      <w:r w:rsidRPr="00AD7F13">
                        <w:rPr>
                          <w:b/>
                          <w:sz w:val="24"/>
                        </w:rPr>
                        <w:tab/>
                      </w:r>
                      <w:r w:rsidRPr="00AD7F13">
                        <w:rPr>
                          <w:b/>
                          <w:sz w:val="24"/>
                        </w:rPr>
                        <w:tab/>
                      </w:r>
                      <w:r w:rsidRPr="00AD7F13">
                        <w:rPr>
                          <w:b/>
                          <w:sz w:val="24"/>
                        </w:rPr>
                        <w:tab/>
                      </w:r>
                      <w:r w:rsidRPr="00AD7F13">
                        <w:rPr>
                          <w:b/>
                          <w:i/>
                          <w:sz w:val="24"/>
                        </w:rPr>
                        <w:t xml:space="preserve">    Thomas Pritchard</w:t>
                      </w:r>
                      <w:r w:rsidRPr="00AD7F13">
                        <w:rPr>
                          <w:b/>
                          <w:sz w:val="24"/>
                        </w:rPr>
                        <w:t xml:space="preserve"> </w:t>
                      </w:r>
                      <w:r w:rsidRPr="00AD7F13">
                        <w:rPr>
                          <w:b/>
                          <w:sz w:val="24"/>
                        </w:rPr>
                        <w:tab/>
                      </w:r>
                      <w:r w:rsidRPr="00AD7F13">
                        <w:rPr>
                          <w:b/>
                          <w:sz w:val="24"/>
                        </w:rPr>
                        <w:tab/>
                        <w:t xml:space="preserve">  </w:t>
                      </w:r>
                      <w:r w:rsidRPr="00AD7F13">
                        <w:rPr>
                          <w:b/>
                          <w:sz w:val="24"/>
                        </w:rPr>
                        <w:tab/>
                        <w:t xml:space="preserve">   </w:t>
                      </w:r>
                      <w:r w:rsidR="00B90B5F">
                        <w:rPr>
                          <w:b/>
                          <w:sz w:val="24"/>
                        </w:rPr>
                        <w:t>02/05</w:t>
                      </w:r>
                      <w:r w:rsidRPr="00AD7F13">
                        <w:rPr>
                          <w:b/>
                          <w:sz w:val="24"/>
                        </w:rPr>
                        <w:t>/21</w:t>
                      </w:r>
                    </w:p>
                    <w:p w:rsidR="00C21890" w:rsidRDefault="00C21890" w:rsidP="009D514F"/>
                  </w:txbxContent>
                </v:textbox>
                <w10:wrap type="square" anchorx="margin"/>
              </v:shape>
            </w:pict>
          </mc:Fallback>
        </mc:AlternateContent>
      </w:r>
      <w:r>
        <w:br w:type="page"/>
      </w:r>
    </w:p>
    <w:sdt>
      <w:sdtPr>
        <w:rPr>
          <w:rFonts w:eastAsia="Arial" w:cstheme="majorHAnsi"/>
          <w:color w:val="auto"/>
          <w:sz w:val="22"/>
          <w:szCs w:val="22"/>
          <w:lang w:val="en-GB" w:eastAsia="en-GB"/>
        </w:rPr>
        <w:id w:val="-334844011"/>
        <w:docPartObj>
          <w:docPartGallery w:val="Table of Contents"/>
          <w:docPartUnique/>
        </w:docPartObj>
      </w:sdtPr>
      <w:sdtEndPr>
        <w:rPr>
          <w:noProof/>
        </w:rPr>
      </w:sdtEndPr>
      <w:sdtContent>
        <w:p w:rsidR="009D514F" w:rsidRPr="009D514F" w:rsidRDefault="009D514F" w:rsidP="009D514F">
          <w:pPr>
            <w:pStyle w:val="TOCHeading"/>
          </w:pPr>
          <w:r w:rsidRPr="009D514F">
            <w:t>Contents</w:t>
          </w:r>
          <w:bookmarkStart w:id="0" w:name="_GoBack"/>
          <w:bookmarkEnd w:id="0"/>
        </w:p>
        <w:p w:rsidR="00C7463F" w:rsidRDefault="009D514F">
          <w:pPr>
            <w:pStyle w:val="TOC1"/>
            <w:tabs>
              <w:tab w:val="left" w:pos="440"/>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0884215" w:history="1">
            <w:r w:rsidR="00C7463F" w:rsidRPr="005F5DE8">
              <w:rPr>
                <w:rStyle w:val="Hyperlink"/>
                <w:noProof/>
              </w:rPr>
              <w:t>1.</w:t>
            </w:r>
            <w:r w:rsidR="00C7463F">
              <w:rPr>
                <w:rFonts w:asciiTheme="minorHAnsi" w:eastAsiaTheme="minorEastAsia" w:hAnsiTheme="minorHAnsi" w:cstheme="minorBidi"/>
                <w:noProof/>
              </w:rPr>
              <w:tab/>
            </w:r>
            <w:r w:rsidR="00C7463F" w:rsidRPr="005F5DE8">
              <w:rPr>
                <w:rStyle w:val="Hyperlink"/>
                <w:noProof/>
              </w:rPr>
              <w:t>Abstract</w:t>
            </w:r>
            <w:r w:rsidR="00C7463F">
              <w:rPr>
                <w:noProof/>
                <w:webHidden/>
              </w:rPr>
              <w:tab/>
            </w:r>
            <w:r w:rsidR="00C7463F">
              <w:rPr>
                <w:noProof/>
                <w:webHidden/>
              </w:rPr>
              <w:fldChar w:fldCharType="begin"/>
            </w:r>
            <w:r w:rsidR="00C7463F">
              <w:rPr>
                <w:noProof/>
                <w:webHidden/>
              </w:rPr>
              <w:instrText xml:space="preserve"> PAGEREF _Toc70884215 \h </w:instrText>
            </w:r>
            <w:r w:rsidR="00C7463F">
              <w:rPr>
                <w:noProof/>
                <w:webHidden/>
              </w:rPr>
            </w:r>
            <w:r w:rsidR="00C7463F">
              <w:rPr>
                <w:noProof/>
                <w:webHidden/>
              </w:rPr>
              <w:fldChar w:fldCharType="separate"/>
            </w:r>
            <w:r w:rsidR="00944070">
              <w:rPr>
                <w:noProof/>
                <w:webHidden/>
              </w:rPr>
              <w:t>1</w:t>
            </w:r>
            <w:r w:rsidR="00C7463F">
              <w:rPr>
                <w:noProof/>
                <w:webHidden/>
              </w:rPr>
              <w:fldChar w:fldCharType="end"/>
            </w:r>
          </w:hyperlink>
        </w:p>
        <w:p w:rsidR="00C7463F" w:rsidRDefault="00147404">
          <w:pPr>
            <w:pStyle w:val="TOC1"/>
            <w:tabs>
              <w:tab w:val="left" w:pos="440"/>
              <w:tab w:val="right" w:leader="dot" w:pos="9019"/>
            </w:tabs>
            <w:rPr>
              <w:rFonts w:asciiTheme="minorHAnsi" w:eastAsiaTheme="minorEastAsia" w:hAnsiTheme="minorHAnsi" w:cstheme="minorBidi"/>
              <w:noProof/>
            </w:rPr>
          </w:pPr>
          <w:hyperlink w:anchor="_Toc70884216" w:history="1">
            <w:r w:rsidR="00C7463F" w:rsidRPr="005F5DE8">
              <w:rPr>
                <w:rStyle w:val="Hyperlink"/>
                <w:noProof/>
              </w:rPr>
              <w:t>2.</w:t>
            </w:r>
            <w:r w:rsidR="00C7463F">
              <w:rPr>
                <w:rFonts w:asciiTheme="minorHAnsi" w:eastAsiaTheme="minorEastAsia" w:hAnsiTheme="minorHAnsi" w:cstheme="minorBidi"/>
                <w:noProof/>
              </w:rPr>
              <w:tab/>
            </w:r>
            <w:r w:rsidR="00C7463F" w:rsidRPr="005F5DE8">
              <w:rPr>
                <w:rStyle w:val="Hyperlink"/>
                <w:noProof/>
              </w:rPr>
              <w:t>Cloud Computing</w:t>
            </w:r>
            <w:r w:rsidR="00C7463F">
              <w:rPr>
                <w:noProof/>
                <w:webHidden/>
              </w:rPr>
              <w:tab/>
            </w:r>
            <w:r w:rsidR="00C7463F">
              <w:rPr>
                <w:noProof/>
                <w:webHidden/>
              </w:rPr>
              <w:fldChar w:fldCharType="begin"/>
            </w:r>
            <w:r w:rsidR="00C7463F">
              <w:rPr>
                <w:noProof/>
                <w:webHidden/>
              </w:rPr>
              <w:instrText xml:space="preserve"> PAGEREF _Toc70884216 \h </w:instrText>
            </w:r>
            <w:r w:rsidR="00C7463F">
              <w:rPr>
                <w:noProof/>
                <w:webHidden/>
              </w:rPr>
            </w:r>
            <w:r w:rsidR="00C7463F">
              <w:rPr>
                <w:noProof/>
                <w:webHidden/>
              </w:rPr>
              <w:fldChar w:fldCharType="separate"/>
            </w:r>
            <w:r w:rsidR="00944070">
              <w:rPr>
                <w:noProof/>
                <w:webHidden/>
              </w:rPr>
              <w:t>1</w:t>
            </w:r>
            <w:r w:rsidR="00C7463F">
              <w:rPr>
                <w:noProof/>
                <w:webHidden/>
              </w:rPr>
              <w:fldChar w:fldCharType="end"/>
            </w:r>
          </w:hyperlink>
        </w:p>
        <w:p w:rsidR="00C7463F" w:rsidRDefault="00147404">
          <w:pPr>
            <w:pStyle w:val="TOC2"/>
            <w:tabs>
              <w:tab w:val="left" w:pos="880"/>
              <w:tab w:val="right" w:leader="dot" w:pos="9019"/>
            </w:tabs>
            <w:rPr>
              <w:rFonts w:asciiTheme="minorHAnsi" w:eastAsiaTheme="minorEastAsia" w:hAnsiTheme="minorHAnsi" w:cstheme="minorBidi"/>
              <w:noProof/>
            </w:rPr>
          </w:pPr>
          <w:hyperlink w:anchor="_Toc70884217" w:history="1">
            <w:r w:rsidR="00C7463F" w:rsidRPr="005F5DE8">
              <w:rPr>
                <w:rStyle w:val="Hyperlink"/>
                <w:noProof/>
              </w:rPr>
              <w:t>2.1.</w:t>
            </w:r>
            <w:r w:rsidR="00C7463F">
              <w:rPr>
                <w:rFonts w:asciiTheme="minorHAnsi" w:eastAsiaTheme="minorEastAsia" w:hAnsiTheme="minorHAnsi" w:cstheme="minorBidi"/>
                <w:noProof/>
              </w:rPr>
              <w:tab/>
            </w:r>
            <w:r w:rsidR="00C7463F" w:rsidRPr="005F5DE8">
              <w:rPr>
                <w:rStyle w:val="Hyperlink"/>
                <w:noProof/>
              </w:rPr>
              <w:t>Benefits and Drawbacks</w:t>
            </w:r>
            <w:r w:rsidR="00C7463F">
              <w:rPr>
                <w:noProof/>
                <w:webHidden/>
              </w:rPr>
              <w:tab/>
            </w:r>
            <w:r w:rsidR="00C7463F">
              <w:rPr>
                <w:noProof/>
                <w:webHidden/>
              </w:rPr>
              <w:fldChar w:fldCharType="begin"/>
            </w:r>
            <w:r w:rsidR="00C7463F">
              <w:rPr>
                <w:noProof/>
                <w:webHidden/>
              </w:rPr>
              <w:instrText xml:space="preserve"> PAGEREF _Toc70884217 \h </w:instrText>
            </w:r>
            <w:r w:rsidR="00C7463F">
              <w:rPr>
                <w:noProof/>
                <w:webHidden/>
              </w:rPr>
            </w:r>
            <w:r w:rsidR="00C7463F">
              <w:rPr>
                <w:noProof/>
                <w:webHidden/>
              </w:rPr>
              <w:fldChar w:fldCharType="separate"/>
            </w:r>
            <w:r w:rsidR="00944070">
              <w:rPr>
                <w:noProof/>
                <w:webHidden/>
              </w:rPr>
              <w:t>1</w:t>
            </w:r>
            <w:r w:rsidR="00C7463F">
              <w:rPr>
                <w:noProof/>
                <w:webHidden/>
              </w:rPr>
              <w:fldChar w:fldCharType="end"/>
            </w:r>
          </w:hyperlink>
        </w:p>
        <w:p w:rsidR="00C7463F" w:rsidRDefault="00147404">
          <w:pPr>
            <w:pStyle w:val="TOC2"/>
            <w:tabs>
              <w:tab w:val="left" w:pos="880"/>
              <w:tab w:val="right" w:leader="dot" w:pos="9019"/>
            </w:tabs>
            <w:rPr>
              <w:rFonts w:asciiTheme="minorHAnsi" w:eastAsiaTheme="minorEastAsia" w:hAnsiTheme="minorHAnsi" w:cstheme="minorBidi"/>
              <w:noProof/>
            </w:rPr>
          </w:pPr>
          <w:hyperlink w:anchor="_Toc70884218" w:history="1">
            <w:r w:rsidR="00C7463F" w:rsidRPr="005F5DE8">
              <w:rPr>
                <w:rStyle w:val="Hyperlink"/>
                <w:noProof/>
              </w:rPr>
              <w:t>2.2.</w:t>
            </w:r>
            <w:r w:rsidR="00C7463F">
              <w:rPr>
                <w:rFonts w:asciiTheme="minorHAnsi" w:eastAsiaTheme="minorEastAsia" w:hAnsiTheme="minorHAnsi" w:cstheme="minorBidi"/>
                <w:noProof/>
              </w:rPr>
              <w:tab/>
            </w:r>
            <w:r w:rsidR="00C7463F" w:rsidRPr="005F5DE8">
              <w:rPr>
                <w:rStyle w:val="Hyperlink"/>
                <w:noProof/>
              </w:rPr>
              <w:t>Cost and Example Scenarios</w:t>
            </w:r>
            <w:r w:rsidR="00C7463F">
              <w:rPr>
                <w:noProof/>
                <w:webHidden/>
              </w:rPr>
              <w:tab/>
            </w:r>
            <w:r w:rsidR="00C7463F">
              <w:rPr>
                <w:noProof/>
                <w:webHidden/>
              </w:rPr>
              <w:fldChar w:fldCharType="begin"/>
            </w:r>
            <w:r w:rsidR="00C7463F">
              <w:rPr>
                <w:noProof/>
                <w:webHidden/>
              </w:rPr>
              <w:instrText xml:space="preserve"> PAGEREF _Toc70884218 \h </w:instrText>
            </w:r>
            <w:r w:rsidR="00C7463F">
              <w:rPr>
                <w:noProof/>
                <w:webHidden/>
              </w:rPr>
            </w:r>
            <w:r w:rsidR="00C7463F">
              <w:rPr>
                <w:noProof/>
                <w:webHidden/>
              </w:rPr>
              <w:fldChar w:fldCharType="separate"/>
            </w:r>
            <w:r w:rsidR="00944070">
              <w:rPr>
                <w:noProof/>
                <w:webHidden/>
              </w:rPr>
              <w:t>2</w:t>
            </w:r>
            <w:r w:rsidR="00C7463F">
              <w:rPr>
                <w:noProof/>
                <w:webHidden/>
              </w:rPr>
              <w:fldChar w:fldCharType="end"/>
            </w:r>
          </w:hyperlink>
        </w:p>
        <w:p w:rsidR="00C7463F" w:rsidRDefault="00147404">
          <w:pPr>
            <w:pStyle w:val="TOC2"/>
            <w:tabs>
              <w:tab w:val="left" w:pos="880"/>
              <w:tab w:val="right" w:leader="dot" w:pos="9019"/>
            </w:tabs>
            <w:rPr>
              <w:rFonts w:asciiTheme="minorHAnsi" w:eastAsiaTheme="minorEastAsia" w:hAnsiTheme="minorHAnsi" w:cstheme="minorBidi"/>
              <w:noProof/>
            </w:rPr>
          </w:pPr>
          <w:hyperlink w:anchor="_Toc70884219" w:history="1">
            <w:r w:rsidR="00C7463F" w:rsidRPr="005F5DE8">
              <w:rPr>
                <w:rStyle w:val="Hyperlink"/>
                <w:noProof/>
              </w:rPr>
              <w:t>2.3.</w:t>
            </w:r>
            <w:r w:rsidR="00C7463F">
              <w:rPr>
                <w:rFonts w:asciiTheme="minorHAnsi" w:eastAsiaTheme="minorEastAsia" w:hAnsiTheme="minorHAnsi" w:cstheme="minorBidi"/>
                <w:noProof/>
              </w:rPr>
              <w:tab/>
            </w:r>
            <w:r w:rsidR="00C7463F" w:rsidRPr="005F5DE8">
              <w:rPr>
                <w:rStyle w:val="Hyperlink"/>
                <w:noProof/>
              </w:rPr>
              <w:t>Reliability and Scalability</w:t>
            </w:r>
            <w:r w:rsidR="00C7463F">
              <w:rPr>
                <w:noProof/>
                <w:webHidden/>
              </w:rPr>
              <w:tab/>
            </w:r>
            <w:r w:rsidR="00C7463F">
              <w:rPr>
                <w:noProof/>
                <w:webHidden/>
              </w:rPr>
              <w:fldChar w:fldCharType="begin"/>
            </w:r>
            <w:r w:rsidR="00C7463F">
              <w:rPr>
                <w:noProof/>
                <w:webHidden/>
              </w:rPr>
              <w:instrText xml:space="preserve"> PAGEREF _Toc70884219 \h </w:instrText>
            </w:r>
            <w:r w:rsidR="00C7463F">
              <w:rPr>
                <w:noProof/>
                <w:webHidden/>
              </w:rPr>
            </w:r>
            <w:r w:rsidR="00C7463F">
              <w:rPr>
                <w:noProof/>
                <w:webHidden/>
              </w:rPr>
              <w:fldChar w:fldCharType="separate"/>
            </w:r>
            <w:r w:rsidR="00944070">
              <w:rPr>
                <w:noProof/>
                <w:webHidden/>
              </w:rPr>
              <w:t>3</w:t>
            </w:r>
            <w:r w:rsidR="00C7463F">
              <w:rPr>
                <w:noProof/>
                <w:webHidden/>
              </w:rPr>
              <w:fldChar w:fldCharType="end"/>
            </w:r>
          </w:hyperlink>
        </w:p>
        <w:p w:rsidR="00C7463F" w:rsidRDefault="00147404">
          <w:pPr>
            <w:pStyle w:val="TOC1"/>
            <w:tabs>
              <w:tab w:val="left" w:pos="440"/>
              <w:tab w:val="right" w:leader="dot" w:pos="9019"/>
            </w:tabs>
            <w:rPr>
              <w:rFonts w:asciiTheme="minorHAnsi" w:eastAsiaTheme="minorEastAsia" w:hAnsiTheme="minorHAnsi" w:cstheme="minorBidi"/>
              <w:noProof/>
            </w:rPr>
          </w:pPr>
          <w:hyperlink w:anchor="_Toc70884220" w:history="1">
            <w:r w:rsidR="00C7463F" w:rsidRPr="005F5DE8">
              <w:rPr>
                <w:rStyle w:val="Hyperlink"/>
                <w:noProof/>
              </w:rPr>
              <w:t>3.</w:t>
            </w:r>
            <w:r w:rsidR="00C7463F">
              <w:rPr>
                <w:rFonts w:asciiTheme="minorHAnsi" w:eastAsiaTheme="minorEastAsia" w:hAnsiTheme="minorHAnsi" w:cstheme="minorBidi"/>
                <w:noProof/>
              </w:rPr>
              <w:tab/>
            </w:r>
            <w:r w:rsidR="00C7463F" w:rsidRPr="005F5DE8">
              <w:rPr>
                <w:rStyle w:val="Hyperlink"/>
                <w:noProof/>
              </w:rPr>
              <w:t>Virtualisation and Docker</w:t>
            </w:r>
            <w:r w:rsidR="00C7463F">
              <w:rPr>
                <w:noProof/>
                <w:webHidden/>
              </w:rPr>
              <w:tab/>
            </w:r>
            <w:r w:rsidR="00C7463F">
              <w:rPr>
                <w:noProof/>
                <w:webHidden/>
              </w:rPr>
              <w:fldChar w:fldCharType="begin"/>
            </w:r>
            <w:r w:rsidR="00C7463F">
              <w:rPr>
                <w:noProof/>
                <w:webHidden/>
              </w:rPr>
              <w:instrText xml:space="preserve"> PAGEREF _Toc70884220 \h </w:instrText>
            </w:r>
            <w:r w:rsidR="00C7463F">
              <w:rPr>
                <w:noProof/>
                <w:webHidden/>
              </w:rPr>
            </w:r>
            <w:r w:rsidR="00C7463F">
              <w:rPr>
                <w:noProof/>
                <w:webHidden/>
              </w:rPr>
              <w:fldChar w:fldCharType="separate"/>
            </w:r>
            <w:r w:rsidR="00944070">
              <w:rPr>
                <w:noProof/>
                <w:webHidden/>
              </w:rPr>
              <w:t>4</w:t>
            </w:r>
            <w:r w:rsidR="00C7463F">
              <w:rPr>
                <w:noProof/>
                <w:webHidden/>
              </w:rPr>
              <w:fldChar w:fldCharType="end"/>
            </w:r>
          </w:hyperlink>
        </w:p>
        <w:p w:rsidR="00C7463F" w:rsidRDefault="00147404">
          <w:pPr>
            <w:pStyle w:val="TOC1"/>
            <w:tabs>
              <w:tab w:val="left" w:pos="440"/>
              <w:tab w:val="right" w:leader="dot" w:pos="9019"/>
            </w:tabs>
            <w:rPr>
              <w:rFonts w:asciiTheme="minorHAnsi" w:eastAsiaTheme="minorEastAsia" w:hAnsiTheme="minorHAnsi" w:cstheme="minorBidi"/>
              <w:noProof/>
            </w:rPr>
          </w:pPr>
          <w:hyperlink w:anchor="_Toc70884221" w:history="1">
            <w:r w:rsidR="00C7463F" w:rsidRPr="005F5DE8">
              <w:rPr>
                <w:rStyle w:val="Hyperlink"/>
                <w:noProof/>
              </w:rPr>
              <w:t>4.</w:t>
            </w:r>
            <w:r w:rsidR="00C7463F">
              <w:rPr>
                <w:rFonts w:asciiTheme="minorHAnsi" w:eastAsiaTheme="minorEastAsia" w:hAnsiTheme="minorHAnsi" w:cstheme="minorBidi"/>
                <w:noProof/>
              </w:rPr>
              <w:tab/>
            </w:r>
            <w:r w:rsidR="00C7463F" w:rsidRPr="005F5DE8">
              <w:rPr>
                <w:rStyle w:val="Hyperlink"/>
                <w:noProof/>
              </w:rPr>
              <w:t>Development in Node.JS and Docker</w:t>
            </w:r>
            <w:r w:rsidR="00C7463F">
              <w:rPr>
                <w:noProof/>
                <w:webHidden/>
              </w:rPr>
              <w:tab/>
            </w:r>
            <w:r w:rsidR="00C7463F">
              <w:rPr>
                <w:noProof/>
                <w:webHidden/>
              </w:rPr>
              <w:fldChar w:fldCharType="begin"/>
            </w:r>
            <w:r w:rsidR="00C7463F">
              <w:rPr>
                <w:noProof/>
                <w:webHidden/>
              </w:rPr>
              <w:instrText xml:space="preserve"> PAGEREF _Toc70884221 \h </w:instrText>
            </w:r>
            <w:r w:rsidR="00C7463F">
              <w:rPr>
                <w:noProof/>
                <w:webHidden/>
              </w:rPr>
            </w:r>
            <w:r w:rsidR="00C7463F">
              <w:rPr>
                <w:noProof/>
                <w:webHidden/>
              </w:rPr>
              <w:fldChar w:fldCharType="separate"/>
            </w:r>
            <w:r w:rsidR="00944070">
              <w:rPr>
                <w:noProof/>
                <w:webHidden/>
              </w:rPr>
              <w:t>5</w:t>
            </w:r>
            <w:r w:rsidR="00C7463F">
              <w:rPr>
                <w:noProof/>
                <w:webHidden/>
              </w:rPr>
              <w:fldChar w:fldCharType="end"/>
            </w:r>
          </w:hyperlink>
        </w:p>
        <w:p w:rsidR="00C7463F" w:rsidRDefault="00147404">
          <w:pPr>
            <w:pStyle w:val="TOC2"/>
            <w:tabs>
              <w:tab w:val="left" w:pos="880"/>
              <w:tab w:val="right" w:leader="dot" w:pos="9019"/>
            </w:tabs>
            <w:rPr>
              <w:rFonts w:asciiTheme="minorHAnsi" w:eastAsiaTheme="minorEastAsia" w:hAnsiTheme="minorHAnsi" w:cstheme="minorBidi"/>
              <w:noProof/>
            </w:rPr>
          </w:pPr>
          <w:hyperlink w:anchor="_Toc70884222" w:history="1">
            <w:r w:rsidR="00C7463F" w:rsidRPr="005F5DE8">
              <w:rPr>
                <w:rStyle w:val="Hyperlink"/>
                <w:noProof/>
              </w:rPr>
              <w:t>4.1.</w:t>
            </w:r>
            <w:r w:rsidR="00C7463F">
              <w:rPr>
                <w:rFonts w:asciiTheme="minorHAnsi" w:eastAsiaTheme="minorEastAsia" w:hAnsiTheme="minorHAnsi" w:cstheme="minorBidi"/>
                <w:noProof/>
              </w:rPr>
              <w:tab/>
            </w:r>
            <w:r w:rsidR="00C7463F" w:rsidRPr="005F5DE8">
              <w:rPr>
                <w:rStyle w:val="Hyperlink"/>
                <w:noProof/>
              </w:rPr>
              <w:t>Evaluation</w:t>
            </w:r>
            <w:r w:rsidR="00C7463F">
              <w:rPr>
                <w:noProof/>
                <w:webHidden/>
              </w:rPr>
              <w:tab/>
            </w:r>
            <w:r w:rsidR="00C7463F">
              <w:rPr>
                <w:noProof/>
                <w:webHidden/>
              </w:rPr>
              <w:fldChar w:fldCharType="begin"/>
            </w:r>
            <w:r w:rsidR="00C7463F">
              <w:rPr>
                <w:noProof/>
                <w:webHidden/>
              </w:rPr>
              <w:instrText xml:space="preserve"> PAGEREF _Toc70884222 \h </w:instrText>
            </w:r>
            <w:r w:rsidR="00C7463F">
              <w:rPr>
                <w:noProof/>
                <w:webHidden/>
              </w:rPr>
            </w:r>
            <w:r w:rsidR="00C7463F">
              <w:rPr>
                <w:noProof/>
                <w:webHidden/>
              </w:rPr>
              <w:fldChar w:fldCharType="separate"/>
            </w:r>
            <w:r w:rsidR="00944070">
              <w:rPr>
                <w:noProof/>
                <w:webHidden/>
              </w:rPr>
              <w:t>5</w:t>
            </w:r>
            <w:r w:rsidR="00C7463F">
              <w:rPr>
                <w:noProof/>
                <w:webHidden/>
              </w:rPr>
              <w:fldChar w:fldCharType="end"/>
            </w:r>
          </w:hyperlink>
        </w:p>
        <w:p w:rsidR="00C7463F" w:rsidRDefault="00147404">
          <w:pPr>
            <w:pStyle w:val="TOC2"/>
            <w:tabs>
              <w:tab w:val="left" w:pos="880"/>
              <w:tab w:val="right" w:leader="dot" w:pos="9019"/>
            </w:tabs>
            <w:rPr>
              <w:rFonts w:asciiTheme="minorHAnsi" w:eastAsiaTheme="minorEastAsia" w:hAnsiTheme="minorHAnsi" w:cstheme="minorBidi"/>
              <w:noProof/>
            </w:rPr>
          </w:pPr>
          <w:hyperlink w:anchor="_Toc70884223" w:history="1">
            <w:r w:rsidR="00C7463F" w:rsidRPr="005F5DE8">
              <w:rPr>
                <w:rStyle w:val="Hyperlink"/>
                <w:noProof/>
              </w:rPr>
              <w:t>4.2.</w:t>
            </w:r>
            <w:r w:rsidR="00C7463F">
              <w:rPr>
                <w:rFonts w:asciiTheme="minorHAnsi" w:eastAsiaTheme="minorEastAsia" w:hAnsiTheme="minorHAnsi" w:cstheme="minorBidi"/>
                <w:noProof/>
              </w:rPr>
              <w:tab/>
            </w:r>
            <w:r w:rsidR="00C7463F" w:rsidRPr="005F5DE8">
              <w:rPr>
                <w:rStyle w:val="Hyperlink"/>
                <w:noProof/>
              </w:rPr>
              <w:t>eCommerce Code</w:t>
            </w:r>
            <w:r w:rsidR="00C7463F">
              <w:rPr>
                <w:noProof/>
                <w:webHidden/>
              </w:rPr>
              <w:tab/>
            </w:r>
            <w:r w:rsidR="00C7463F">
              <w:rPr>
                <w:noProof/>
                <w:webHidden/>
              </w:rPr>
              <w:fldChar w:fldCharType="begin"/>
            </w:r>
            <w:r w:rsidR="00C7463F">
              <w:rPr>
                <w:noProof/>
                <w:webHidden/>
              </w:rPr>
              <w:instrText xml:space="preserve"> PAGEREF _Toc70884223 \h </w:instrText>
            </w:r>
            <w:r w:rsidR="00C7463F">
              <w:rPr>
                <w:noProof/>
                <w:webHidden/>
              </w:rPr>
            </w:r>
            <w:r w:rsidR="00C7463F">
              <w:rPr>
                <w:noProof/>
                <w:webHidden/>
              </w:rPr>
              <w:fldChar w:fldCharType="separate"/>
            </w:r>
            <w:r w:rsidR="00944070">
              <w:rPr>
                <w:noProof/>
                <w:webHidden/>
              </w:rPr>
              <w:t>7</w:t>
            </w:r>
            <w:r w:rsidR="00C7463F">
              <w:rPr>
                <w:noProof/>
                <w:webHidden/>
              </w:rPr>
              <w:fldChar w:fldCharType="end"/>
            </w:r>
          </w:hyperlink>
        </w:p>
        <w:p w:rsidR="00C7463F" w:rsidRDefault="00147404">
          <w:pPr>
            <w:pStyle w:val="TOC1"/>
            <w:tabs>
              <w:tab w:val="left" w:pos="440"/>
              <w:tab w:val="right" w:leader="dot" w:pos="9019"/>
            </w:tabs>
            <w:rPr>
              <w:rFonts w:asciiTheme="minorHAnsi" w:eastAsiaTheme="minorEastAsia" w:hAnsiTheme="minorHAnsi" w:cstheme="minorBidi"/>
              <w:noProof/>
            </w:rPr>
          </w:pPr>
          <w:hyperlink w:anchor="_Toc70884224" w:history="1">
            <w:r w:rsidR="00C7463F" w:rsidRPr="005F5DE8">
              <w:rPr>
                <w:rStyle w:val="Hyperlink"/>
                <w:noProof/>
              </w:rPr>
              <w:t>5.</w:t>
            </w:r>
            <w:r w:rsidR="00C7463F">
              <w:rPr>
                <w:rFonts w:asciiTheme="minorHAnsi" w:eastAsiaTheme="minorEastAsia" w:hAnsiTheme="minorHAnsi" w:cstheme="minorBidi"/>
                <w:noProof/>
              </w:rPr>
              <w:tab/>
            </w:r>
            <w:r w:rsidR="00C7463F" w:rsidRPr="005F5DE8">
              <w:rPr>
                <w:rStyle w:val="Hyperlink"/>
                <w:noProof/>
              </w:rPr>
              <w:t>Abstract</w:t>
            </w:r>
            <w:r w:rsidR="00C7463F">
              <w:rPr>
                <w:noProof/>
                <w:webHidden/>
              </w:rPr>
              <w:tab/>
            </w:r>
            <w:r w:rsidR="00C7463F">
              <w:rPr>
                <w:noProof/>
                <w:webHidden/>
              </w:rPr>
              <w:fldChar w:fldCharType="begin"/>
            </w:r>
            <w:r w:rsidR="00C7463F">
              <w:rPr>
                <w:noProof/>
                <w:webHidden/>
              </w:rPr>
              <w:instrText xml:space="preserve"> PAGEREF _Toc70884224 \h </w:instrText>
            </w:r>
            <w:r w:rsidR="00C7463F">
              <w:rPr>
                <w:noProof/>
                <w:webHidden/>
              </w:rPr>
            </w:r>
            <w:r w:rsidR="00C7463F">
              <w:rPr>
                <w:noProof/>
                <w:webHidden/>
              </w:rPr>
              <w:fldChar w:fldCharType="separate"/>
            </w:r>
            <w:r w:rsidR="00944070">
              <w:rPr>
                <w:noProof/>
                <w:webHidden/>
              </w:rPr>
              <w:t>7</w:t>
            </w:r>
            <w:r w:rsidR="00C7463F">
              <w:rPr>
                <w:noProof/>
                <w:webHidden/>
              </w:rPr>
              <w:fldChar w:fldCharType="end"/>
            </w:r>
          </w:hyperlink>
        </w:p>
        <w:p w:rsidR="00C7463F" w:rsidRDefault="00147404">
          <w:pPr>
            <w:pStyle w:val="TOC1"/>
            <w:tabs>
              <w:tab w:val="left" w:pos="440"/>
              <w:tab w:val="right" w:leader="dot" w:pos="9019"/>
            </w:tabs>
            <w:rPr>
              <w:rFonts w:asciiTheme="minorHAnsi" w:eastAsiaTheme="minorEastAsia" w:hAnsiTheme="minorHAnsi" w:cstheme="minorBidi"/>
              <w:noProof/>
            </w:rPr>
          </w:pPr>
          <w:hyperlink w:anchor="_Toc70884225" w:history="1">
            <w:r w:rsidR="00C7463F" w:rsidRPr="005F5DE8">
              <w:rPr>
                <w:rStyle w:val="Hyperlink"/>
                <w:noProof/>
              </w:rPr>
              <w:t>6.</w:t>
            </w:r>
            <w:r w:rsidR="00C7463F">
              <w:rPr>
                <w:rFonts w:asciiTheme="minorHAnsi" w:eastAsiaTheme="minorEastAsia" w:hAnsiTheme="minorHAnsi" w:cstheme="minorBidi"/>
                <w:noProof/>
              </w:rPr>
              <w:tab/>
            </w:r>
            <w:r w:rsidR="00C7463F" w:rsidRPr="005F5DE8">
              <w:rPr>
                <w:rStyle w:val="Hyperlink"/>
                <w:noProof/>
              </w:rPr>
              <w:t>Bibliography</w:t>
            </w:r>
            <w:r w:rsidR="00C7463F">
              <w:rPr>
                <w:noProof/>
                <w:webHidden/>
              </w:rPr>
              <w:tab/>
            </w:r>
            <w:r w:rsidR="00C7463F">
              <w:rPr>
                <w:noProof/>
                <w:webHidden/>
              </w:rPr>
              <w:fldChar w:fldCharType="begin"/>
            </w:r>
            <w:r w:rsidR="00C7463F">
              <w:rPr>
                <w:noProof/>
                <w:webHidden/>
              </w:rPr>
              <w:instrText xml:space="preserve"> PAGEREF _Toc70884225 \h </w:instrText>
            </w:r>
            <w:r w:rsidR="00C7463F">
              <w:rPr>
                <w:noProof/>
                <w:webHidden/>
              </w:rPr>
            </w:r>
            <w:r w:rsidR="00C7463F">
              <w:rPr>
                <w:noProof/>
                <w:webHidden/>
              </w:rPr>
              <w:fldChar w:fldCharType="separate"/>
            </w:r>
            <w:r w:rsidR="00944070">
              <w:rPr>
                <w:noProof/>
                <w:webHidden/>
              </w:rPr>
              <w:t>7</w:t>
            </w:r>
            <w:r w:rsidR="00C7463F">
              <w:rPr>
                <w:noProof/>
                <w:webHidden/>
              </w:rPr>
              <w:fldChar w:fldCharType="end"/>
            </w:r>
          </w:hyperlink>
        </w:p>
        <w:p w:rsidR="009D514F" w:rsidRDefault="009D514F" w:rsidP="009D514F">
          <w:r>
            <w:rPr>
              <w:noProof/>
            </w:rPr>
            <w:fldChar w:fldCharType="end"/>
          </w:r>
        </w:p>
      </w:sdtContent>
    </w:sdt>
    <w:p w:rsidR="009D514F" w:rsidRDefault="009D514F" w:rsidP="009D514F"/>
    <w:p w:rsidR="00AD7F13" w:rsidRDefault="009D514F" w:rsidP="009D514F">
      <w:pPr>
        <w:sectPr w:rsidR="00AD7F13" w:rsidSect="005C28C3">
          <w:footerReference w:type="default" r:id="rId8"/>
          <w:pgSz w:w="11909" w:h="16834"/>
          <w:pgMar w:top="1440" w:right="1440" w:bottom="1440" w:left="1440" w:header="720" w:footer="720" w:gutter="0"/>
          <w:pgNumType w:start="1"/>
          <w:cols w:space="720"/>
          <w:docGrid w:linePitch="299"/>
        </w:sectPr>
      </w:pPr>
      <w:r>
        <w:br w:type="page"/>
      </w:r>
    </w:p>
    <w:p w:rsidR="00A10335" w:rsidRDefault="00ED5420" w:rsidP="00E45C14">
      <w:pPr>
        <w:pStyle w:val="Heading1"/>
        <w:spacing w:before="0"/>
      </w:pPr>
      <w:bookmarkStart w:id="1" w:name="_Toc70884215"/>
      <w:r>
        <w:lastRenderedPageBreak/>
        <w:t>Abstract</w:t>
      </w:r>
      <w:bookmarkEnd w:id="1"/>
    </w:p>
    <w:p w:rsidR="00ED5420" w:rsidRPr="00ED5420" w:rsidRDefault="00ED5420" w:rsidP="00ED5420">
      <w:r>
        <w:t>The following report looks into multiple aspects of cloud computing, including the reasons why a cloud solution may be c</w:t>
      </w:r>
      <w:r w:rsidR="00C7463F">
        <w:t xml:space="preserve">onsidered over a traditional on </w:t>
      </w:r>
      <w:r>
        <w:t>premise solution, and both the benefits and drawbacks that may need to be considered as part of this decision. The report also considers the differences between virtualisation concepts and looks specifically at Docker and its related toolsets. Finally, the report provides evaluation surrounding usage of Node.JS and Docker for development.</w:t>
      </w:r>
    </w:p>
    <w:p w:rsidR="00ED5420" w:rsidRPr="00ED5420" w:rsidRDefault="00ED5420" w:rsidP="00ED5420">
      <w:pPr>
        <w:pStyle w:val="Heading1"/>
      </w:pPr>
      <w:bookmarkStart w:id="2" w:name="_Toc70884216"/>
      <w:r>
        <w:t>Cloud Computing</w:t>
      </w:r>
      <w:bookmarkEnd w:id="2"/>
    </w:p>
    <w:p w:rsidR="00B90B5F" w:rsidRPr="00B90B5F" w:rsidRDefault="00B90B5F" w:rsidP="00B90B5F">
      <w:pPr>
        <w:spacing w:after="0" w:line="240" w:lineRule="auto"/>
      </w:pPr>
      <w:r w:rsidRPr="00B90B5F">
        <w:t xml:space="preserve">In its simplest form, cloud computing can be defined as delivery of computing services over the internet. Cloud computing offers the ability for aspects of computing traditionally considered an </w:t>
      </w:r>
      <w:r w:rsidR="000876C5">
        <w:t xml:space="preserve">on </w:t>
      </w:r>
      <w:r w:rsidRPr="00B90B5F">
        <w:t>premise requirement, to be instead outsourced to an external provider; owing to the flexibility of cloud computing, the extent to which this outsourcing takes place may vary dramatically between users, applications, organisations and sectors. Using cloud computing to enhance an on</w:t>
      </w:r>
      <w:r w:rsidR="000876C5">
        <w:t xml:space="preserve"> </w:t>
      </w:r>
      <w:r w:rsidRPr="00B90B5F">
        <w:t>premise environment could be as simple as archiving backup data with a cloud storage provider, but could also be as compl</w:t>
      </w:r>
      <w:r w:rsidR="000231A4">
        <w:t xml:space="preserve">ex as completely outsourcing a </w:t>
      </w:r>
      <w:r w:rsidRPr="00B90B5F">
        <w:t>network and all related systems, with access only being through virtual machines in the cloud environment. Most organisations adopting the use of cloud will opt for an approach in between these two, allowing a good realisation of the benefits cloud computing can provide, without relinquishing full control</w:t>
      </w:r>
      <w:r w:rsidR="000231A4">
        <w:t xml:space="preserve"> of their assets to a cloud provider</w:t>
      </w:r>
      <w:r w:rsidRPr="00B90B5F">
        <w:t>.</w:t>
      </w:r>
    </w:p>
    <w:p w:rsidR="00B90B5F" w:rsidRPr="00B90B5F" w:rsidRDefault="00B90B5F" w:rsidP="00B90B5F">
      <w:pPr>
        <w:spacing w:after="0" w:line="240" w:lineRule="auto"/>
      </w:pPr>
    </w:p>
    <w:p w:rsidR="00B90B5F" w:rsidRPr="00B90B5F" w:rsidRDefault="00B90B5F" w:rsidP="00B90B5F">
      <w:pPr>
        <w:spacing w:after="0" w:line="240" w:lineRule="auto"/>
      </w:pPr>
      <w:r w:rsidRPr="00B90B5F">
        <w:t>Cloud computing is an all-encompassing term which can be split into smaller sectors. Concerning the type of service required, the following types can be identified:</w:t>
      </w:r>
    </w:p>
    <w:p w:rsidR="00B90B5F" w:rsidRPr="00B90B5F" w:rsidRDefault="00B90B5F" w:rsidP="00B90B5F">
      <w:pPr>
        <w:numPr>
          <w:ilvl w:val="0"/>
          <w:numId w:val="35"/>
        </w:numPr>
        <w:spacing w:after="0" w:line="240" w:lineRule="auto"/>
        <w:textAlignment w:val="baseline"/>
      </w:pPr>
      <w:r w:rsidRPr="00B90B5F">
        <w:t>Infrastructure as a Service (IaaS) - access to fundamental computing resources</w:t>
      </w:r>
    </w:p>
    <w:p w:rsidR="00B90B5F" w:rsidRPr="00B90B5F" w:rsidRDefault="00B90B5F" w:rsidP="00B90B5F">
      <w:pPr>
        <w:numPr>
          <w:ilvl w:val="0"/>
          <w:numId w:val="35"/>
        </w:numPr>
        <w:spacing w:after="0" w:line="240" w:lineRule="auto"/>
        <w:textAlignment w:val="baseline"/>
      </w:pPr>
      <w:r w:rsidRPr="00B90B5F">
        <w:t>Platform as a Service (PaaS) - access to a cloud environment for application development and hosting</w:t>
      </w:r>
    </w:p>
    <w:p w:rsidR="00B90B5F" w:rsidRPr="00B90B5F" w:rsidRDefault="00B90B5F" w:rsidP="00B90B5F">
      <w:pPr>
        <w:numPr>
          <w:ilvl w:val="0"/>
          <w:numId w:val="35"/>
        </w:numPr>
        <w:spacing w:after="0" w:line="240" w:lineRule="auto"/>
        <w:textAlignment w:val="baseline"/>
      </w:pPr>
      <w:r w:rsidRPr="00B90B5F">
        <w:t>Software as a Service (SaaS) - access to hosted software</w:t>
      </w:r>
    </w:p>
    <w:p w:rsidR="00ED2489" w:rsidRDefault="00B90B5F" w:rsidP="009D514F">
      <w:pPr>
        <w:pStyle w:val="Heading2"/>
      </w:pPr>
      <w:bookmarkStart w:id="3" w:name="_Toc70884217"/>
      <w:r>
        <w:t>Benefits and Drawbacks</w:t>
      </w:r>
      <w:bookmarkEnd w:id="3"/>
    </w:p>
    <w:p w:rsidR="00B90B5F" w:rsidRDefault="00B90B5F" w:rsidP="00B90B5F">
      <w:r>
        <w:t>Opting to use cloud computing can offer a myriad of benefits to an organisation</w:t>
      </w:r>
      <w:r w:rsidR="00ED5420">
        <w:t xml:space="preserve"> </w:t>
      </w:r>
      <w:r w:rsidR="00ED5420">
        <w:fldChar w:fldCharType="begin"/>
      </w:r>
      <w:r w:rsidR="00ED5420">
        <w:instrText xml:space="preserve"> ADDIN ZOTERO_ITEM CSL_CITATION {"citationID":"veVwJSLm","properties":{"formattedCitation":"[1]","plainCitation":"[1]","noteIndex":0},"citationItems":[{"id":280,"uris":["http://zotero.org/users/local/scBqMw08/items/4394XDR5"],"uri":["http://zotero.org/users/local/scBqMw08/items/4394XDR5"],"itemData":{"id":280,"type":"article-journal","abstract":"In today’s business world with the amount of economic downturn and loss happening every day, the need for reliable, yet affordable technology is needed more than ever; cloud computing fills that void. Cloud computing offers its customers reliable service at flexible prices that do not break the bank. However, as good and innovative as cloud computing may be, it does not necessarily mean that cloud computing is good for all businesses. By researching the cloud computing services available, this paper explores the benefits, as well as the drawbacks of cloud computing within the business realm. By using Amazon’s cloud computing services as a model, this paper determines which types of businesses would most benefit from using cloud computing as part of their everyday operations. The author finds that in most situations small businesses reap the most benefits of cloud computing. Finally, looking to the future of cloud computing, the author comments on the role that cloud computing can play in businesses in the future.","issue":"1","language":"en","page":"6","source":"Zotero","title":"Cloud Computing for Increased Business Value","volume":"3","author":[{"family":"Aljabre","given":"Abdulaziz"}],"issued":{"date-parts":[["2012"]]}}}],"schema":"https://github.com/citation-style-language/schema/raw/master/csl-citation.json"} </w:instrText>
      </w:r>
      <w:r w:rsidR="00ED5420">
        <w:fldChar w:fldCharType="separate"/>
      </w:r>
      <w:r w:rsidR="00ED5420" w:rsidRPr="00ED5420">
        <w:rPr>
          <w:rFonts w:ascii="Calibri" w:hAnsi="Calibri" w:cs="Calibri"/>
        </w:rPr>
        <w:t>[1]</w:t>
      </w:r>
      <w:r w:rsidR="00ED5420">
        <w:fldChar w:fldCharType="end"/>
      </w:r>
      <w:r>
        <w:t>, including reliability and availability improvements, reduction in unused computing capacity, automatic resource scaling</w:t>
      </w:r>
      <w:r w:rsidR="000231A4">
        <w:t>,</w:t>
      </w:r>
      <w:r>
        <w:t xml:space="preserve"> alongside flexibility and quick adoption of new technologies. As well as this, cloud computing offers generous flexibility in terms of working location and the ability of </w:t>
      </w:r>
      <w:r w:rsidR="00ED5420">
        <w:t>users</w:t>
      </w:r>
      <w:r>
        <w:t xml:space="preserve"> to access services remotely and in collaboration - the benefits of which have become further evident throughout the COVID-19 pandemic which has seen a large influx in businesses becoming reliant on remote working solutions</w:t>
      </w:r>
      <w:r w:rsidR="00ED5420">
        <w:t xml:space="preserve"> </w:t>
      </w:r>
      <w:r w:rsidR="00ED5420">
        <w:fldChar w:fldCharType="begin"/>
      </w:r>
      <w:r w:rsidR="00ED5420">
        <w:instrText xml:space="preserve"> ADDIN ZOTERO_ITEM CSL_CITATION {"citationID":"jb2rBeb6","properties":{"formattedCitation":"[2]","plainCitation":"[2]","noteIndex":0},"citationItems":[{"id":281,"uris":["http://zotero.org/users/local/scBqMw08/items/2MGIRL2M"],"uri":["http://zotero.org/users/local/scBqMw08/items/2MGIRL2M"],"itemData":{"id":281,"type":"post-weblog","abstract":"Trends, technologies, key topics, and issues around Cloud Computing that are shaping up the industry in the COVID-19 era.","container-title":"Capgemini UK","language":"en-GB","title":"COVID-19 Conversations: Cloud Computing","title-short":"COVID-19 Conversations","URL":"https://www.capgemini.com/gb-en/2020/11/covid-19-conversations-cloud-computing/","accessed":{"date-parts":[["2021",4,22]]},"issued":{"date-parts":[["2020",11,17]]}}}],"schema":"https://github.com/citation-style-language/schema/raw/master/csl-citation.json"} </w:instrText>
      </w:r>
      <w:r w:rsidR="00ED5420">
        <w:fldChar w:fldCharType="separate"/>
      </w:r>
      <w:r w:rsidR="00ED5420" w:rsidRPr="00ED5420">
        <w:rPr>
          <w:rFonts w:ascii="Calibri" w:hAnsi="Calibri" w:cs="Calibri"/>
        </w:rPr>
        <w:t>[2]</w:t>
      </w:r>
      <w:r w:rsidR="00ED5420">
        <w:fldChar w:fldCharType="end"/>
      </w:r>
      <w:r w:rsidR="00ED5420">
        <w:t>.</w:t>
      </w:r>
    </w:p>
    <w:p w:rsidR="00B90B5F" w:rsidRDefault="00B90B5F" w:rsidP="00B90B5F">
      <w:r>
        <w:t xml:space="preserve">From a business perspective, of vital importance is that these benefits work together to reduce running costs, which are explored in section 2.2. The ‘pay-as-you-go’ pricing model offered by cloud providers provides a scaling capability but crucially offers a low bar for entry with next to no </w:t>
      </w:r>
      <w:proofErr w:type="spellStart"/>
      <w:r w:rsidR="00ED5420">
        <w:t>start up</w:t>
      </w:r>
      <w:proofErr w:type="spellEnd"/>
      <w:r>
        <w:t xml:space="preserve"> costs, as a result cloud computing is very attractive for newer businesses and small to medium-sized enterprises (SMEs)</w:t>
      </w:r>
      <w:r w:rsidR="00ED5420">
        <w:t xml:space="preserve"> </w:t>
      </w:r>
      <w:r w:rsidR="00ED5420">
        <w:fldChar w:fldCharType="begin"/>
      </w:r>
      <w:r w:rsidR="00ED5420">
        <w:instrText xml:space="preserve"> ADDIN ZOTERO_ITEM CSL_CITATION {"citationID":"GxEBaDmM","properties":{"formattedCitation":"[3]","plainCitation":"[3]","noteIndex":0},"citationItems":[{"id":243,"uris":["http://zotero.org/users/local/scBqMw08/items/LZTEL9GU"],"uri":["http://zotero.org/users/local/scBqMw08/items/LZTEL9GU"],"itemData":{"id":243,"type":"article-journal","abstract":"Cloud computing is a new information technology (IT) paradigm that promises to revolutionize traditional IT delivery through reduced costs, greater elasticity, and ubiquitous access. On the surface, adopting cloud computing requires a firm to address many of the same concerns they face in adopting any enterprise IT. However, cloud technologies also offer new pricing and deployment strategies that are unavailable in traditional enterprise solutions. It is unclear how previous research frameworks of enterprise IT adoption relate to these new adoption strategies. To bridge this gap in the literature, our study uses the technology–organization–environment (TOE) framework of innovation diffusion theory to develop a cloud service adoption model that deals with not only adoption intention, but also pricing mechanisms and deployment models. Our research model has been empirically tested using 200 Taiwanese firms. We found that: (1) Cloud adoption is still at its initial stage, since the adoption rates are very low; (2) the perceived benefits, business concerns, and IT capability within the TOE framework are significant determinants of cloud computing adoption, while external pressure is not; (3) firms with greater IT capability tend to choose the pay-as-you-go pricing mechanism; (4) business concern is the most important factor influencing the choice of deployment model, with higher concerns leading to private deployment options.","container-title":"International Journal of Information Management","DOI":"10.1016/j.ijinfomgt.2014.04.006","ISSN":"0268-4012","issue":"4","journalAbbreviation":"International Journal of Information Management","language":"en","page":"474-488","source":"ScienceDirect","title":"Examining cloud computing adoption intention, pricing mechanism, and deployment model","volume":"34","author":[{"family":"Hsu","given":"Pei-Fang"},{"family":"Ray","given":"Soumya"},{"family":"Li-Hsieh","given":"Yu-Yu"}],"issued":{"date-parts":[["2014",8,1]]}}}],"schema":"https://github.com/citation-style-language/schema/raw/master/csl-citation.json"} </w:instrText>
      </w:r>
      <w:r w:rsidR="00ED5420">
        <w:fldChar w:fldCharType="separate"/>
      </w:r>
      <w:r w:rsidR="00ED5420" w:rsidRPr="00ED5420">
        <w:rPr>
          <w:rFonts w:ascii="Calibri" w:hAnsi="Calibri" w:cs="Calibri"/>
        </w:rPr>
        <w:t>[3]</w:t>
      </w:r>
      <w:r w:rsidR="00ED5420">
        <w:fldChar w:fldCharType="end"/>
      </w:r>
      <w:r>
        <w:t xml:space="preserve">. In a study on Cloud computing adoption by SMEs in the North East of England </w:t>
      </w:r>
      <w:r w:rsidR="00C7463F">
        <w:fldChar w:fldCharType="begin"/>
      </w:r>
      <w:r w:rsidR="00C7463F">
        <w:instrText xml:space="preserve"> ADDIN ZOTERO_ITEM CSL_CITATION {"citationID":"iBg5e0Nz","properties":{"formattedCitation":"[4]","plainCitation":"[4]","noteIndex":0},"citationItems":[{"id":245,"uris":["http://zotero.org/users/local/scBqMw08/items/PHDECSZF"],"uri":["http://zotero.org/users/local/scBqMw08/items/PHDECSZF"],"itemData":{"id":245,"type":"article-journal","container-title":"Journal of enterprise information management","DOI":"10.1108/17410391311325225","ISSN":"1741-0398","issue":"3","language":"eng","page":"250–275","source":"whel-primo.com","title":"Cloud computing adoption by SMEs in the north east of England: A multi‐perspective framework","title-short":"Cloud computing adoption by SMEs in the north east of England","volume":"26","author":[{"family":"Alshamaila","given":"Yazn"},{"family":"Papagiannidis","given":"Savvas"},{"family":"Li","given":"Feng"}],"issued":{"date-parts":[["2013"]]}}}],"schema":"https://github.com/citation-style-language/schema/raw/master/csl-citation.json"} </w:instrText>
      </w:r>
      <w:r w:rsidR="00C7463F">
        <w:fldChar w:fldCharType="separate"/>
      </w:r>
      <w:r w:rsidR="00C7463F" w:rsidRPr="00C7463F">
        <w:rPr>
          <w:rFonts w:ascii="Calibri" w:hAnsi="Calibri" w:cs="Calibri"/>
        </w:rPr>
        <w:t>[4]</w:t>
      </w:r>
      <w:r w:rsidR="00C7463F">
        <w:fldChar w:fldCharType="end"/>
      </w:r>
      <w:r>
        <w:rPr>
          <w:b/>
        </w:rPr>
        <w:t xml:space="preserve"> </w:t>
      </w:r>
      <w:r>
        <w:t xml:space="preserve">it was identified that cloud computing allowed SMEs to compete with larger corporations by offering services at a scale only previously possible with a large </w:t>
      </w:r>
      <w:r w:rsidR="00ED5420">
        <w:t>upfront</w:t>
      </w:r>
      <w:r>
        <w:t xml:space="preserve"> investment, making smaller firms likely to adopt cloud computing due to a perceived relative advantage.</w:t>
      </w:r>
    </w:p>
    <w:p w:rsidR="00B90B5F" w:rsidRDefault="00B90B5F" w:rsidP="00B90B5F">
      <w:r>
        <w:t xml:space="preserve">However, an important drawback of cloud services is their reliance on an internet connection - where a user or organisation becomes reliant on cloud providers to deliver content and service to </w:t>
      </w:r>
      <w:r>
        <w:lastRenderedPageBreak/>
        <w:t>their customers, as well as a working environment for their staff, they become equally reliant on a stable, reliable internet connection to provide access to these services</w:t>
      </w:r>
      <w:r w:rsidR="00C7463F">
        <w:t xml:space="preserve"> </w:t>
      </w:r>
      <w:r w:rsidR="00C7463F">
        <w:fldChar w:fldCharType="begin"/>
      </w:r>
      <w:r w:rsidR="00C7463F">
        <w:instrText xml:space="preserve"> ADDIN ZOTERO_ITEM CSL_CITATION {"citationID":"mTAQVFwG","properties":{"formattedCitation":"[1]","plainCitation":"[1]","noteIndex":0},"citationItems":[{"id":280,"uris":["http://zotero.org/users/local/scBqMw08/items/4394XDR5"],"uri":["http://zotero.org/users/local/scBqMw08/items/4394XDR5"],"itemData":{"id":280,"type":"article-journal","abstract":"In today’s business world with the amount of economic downturn and loss happening every day, the need for reliable, yet affordable technology is needed more than ever; cloud computing fills that void. Cloud computing offers its customers reliable service at flexible prices that do not break the bank. However, as good and innovative as cloud computing may be, it does not necessarily mean that cloud computing is good for all businesses. By researching the cloud computing services available, this paper explores the benefits, as well as the drawbacks of cloud computing within the business realm. By using Amazon’s cloud computing services as a model, this paper determines which types of businesses would most benefit from using cloud computing as part of their everyday operations. The author finds that in most situations small businesses reap the most benefits of cloud computing. Finally, looking to the future of cloud computing, the author comments on the role that cloud computing can play in businesses in the future.","issue":"1","language":"en","page":"6","source":"Zotero","title":"Cloud Computing for Increased Business Value","volume":"3","author":[{"family":"Aljabre","given":"Abdulaziz"}],"issued":{"date-parts":[["2012"]]}}}],"schema":"https://github.com/citation-style-language/schema/raw/master/csl-citation.json"} </w:instrText>
      </w:r>
      <w:r w:rsidR="00C7463F">
        <w:fldChar w:fldCharType="separate"/>
      </w:r>
      <w:r w:rsidR="00C7463F" w:rsidRPr="00C7463F">
        <w:rPr>
          <w:rFonts w:ascii="Calibri" w:hAnsi="Calibri" w:cs="Calibri"/>
        </w:rPr>
        <w:t>[1]</w:t>
      </w:r>
      <w:r w:rsidR="00C7463F">
        <w:fldChar w:fldCharType="end"/>
      </w:r>
      <w:r>
        <w:t>.</w:t>
      </w:r>
    </w:p>
    <w:p w:rsidR="00B90B5F" w:rsidRDefault="00B90B5F" w:rsidP="00B90B5F">
      <w:r>
        <w:t xml:space="preserve">From a security perspective there are also a number of considerations, as discussed in a conference talk and subsequent report compiled for the European Network and Information Security Agency </w:t>
      </w:r>
      <w:r w:rsidR="00C7463F">
        <w:fldChar w:fldCharType="begin"/>
      </w:r>
      <w:r w:rsidR="00C7463F">
        <w:instrText xml:space="preserve"> ADDIN ZOTERO_ITEM CSL_CITATION {"citationID":"bijDODAu","properties":{"formattedCitation":"[5]","plainCitation":"[5]","noteIndex":0},"citationItems":[{"id":278,"uris":["http://zotero.org/users/local/scBqMw08/items/Y5XDNBQV"],"uri":["http://zotero.org/users/local/scBqMw08/items/Y5XDNBQV"],"itemData":{"id":278,"type":"chapter","container-title":"Web Application Security","event-place":"Berlin, Heidelberg","ISBN":"978-3-642-16119-3","language":"en","note":"collection-title: Communications in Computer and Information Science\nDOI: 10.1007/978-3-642-16120-9_9","page":"17-17","publisher":"Springer Berlin Heidelberg","publisher-place":"Berlin, Heidelberg","source":"DOI.org (Crossref)","title":"Cloud Computing: Benefits, Risks and Recommendations for Information Security","title-short":"Cloud Computing","URL":"http://link.springer.com/10.1007/978-3-642-16120-9_9","volume":"72","editor":[{"family":"Serrão","given":"Carlos"},{"family":"Aguilera Díaz","given":"Vicente"},{"family":"Cerullo","given":"Fabio"}],"author":[{"family":"Catteddu","given":"Daniele"}],"accessed":{"date-parts":[["2021",4,22]]},"issued":{"date-parts":[["2010"]]}}}],"schema":"https://github.com/citation-style-language/schema/raw/master/csl-citation.json"} </w:instrText>
      </w:r>
      <w:r w:rsidR="00C7463F">
        <w:fldChar w:fldCharType="separate"/>
      </w:r>
      <w:r w:rsidR="00C7463F" w:rsidRPr="00C7463F">
        <w:rPr>
          <w:rFonts w:ascii="Calibri" w:hAnsi="Calibri" w:cs="Calibri"/>
        </w:rPr>
        <w:t>[5]</w:t>
      </w:r>
      <w:r w:rsidR="00C7463F">
        <w:fldChar w:fldCharType="end"/>
      </w:r>
      <w:r>
        <w:t xml:space="preserve"> </w:t>
      </w:r>
      <w:r w:rsidR="00C7463F">
        <w:fldChar w:fldCharType="begin"/>
      </w:r>
      <w:r w:rsidR="00C7463F">
        <w:instrText xml:space="preserve"> ADDIN ZOTERO_ITEM CSL_CITATION {"citationID":"1hvx8Jt0","properties":{"formattedCitation":"[6]","plainCitation":"[6]","noteIndex":0},"citationItems":[{"id":275,"uris":["http://zotero.org/users/local/scBqMw08/items/HT7SDAS4"],"uri":["http://zotero.org/users/local/scBqMw08/items/HT7SDAS4"],"itemData":{"id":275,"type":"webpage","abstract":", Rev.B – December 2012 -x- Since the publication of the 2009 Cloud Risk Assessment study, the perception of Cloud computing has changed, and so has the perception of the associated risks. However, the 2009 Cloud Risk Assessment continues to be one of the most downloaded documents on the ENISA website. It is therefore worthwhile to revise the document in general, but especially have a new look at the risks and try to re-assess them, taking the developments of the last three years into account. This document is the result of a first review round carried out by ENISA with the assistance of external experts. , Rev.B – December 2012 -x- Since the publication of the 2009 Cloud Risk Assessment study, the perception of Cloud computing has changed, and so has the perception of the associated risks. However, the 2009 Cloud Risk Assessment continues to be one of the most downloaded documents on the ENISA website. It is therefore worthwhile to revise the document in general, but especially have a new look at the risks and try to re-assess them, taking the developments of the last three years into account. This document is the result of a first review round carried out by ENISA with the assistance of external experts.","language":"en","title":"Cloud Computing: Benefits, risks and recommendations for information security","title-short":"Cloud Computing","URL":"https://resilience.enisa.europa.eu/cloud-security-and-resilience/publications/cloud-computing-benefits-risks-and-recommendations-for-information-security","accessed":{"date-parts":[["2021",4,22]]}}}],"schema":"https://github.com/citation-style-language/schema/raw/master/csl-citation.json"} </w:instrText>
      </w:r>
      <w:r w:rsidR="00C7463F">
        <w:fldChar w:fldCharType="separate"/>
      </w:r>
      <w:r w:rsidR="00C7463F" w:rsidRPr="00C7463F">
        <w:rPr>
          <w:rFonts w:ascii="Calibri" w:hAnsi="Calibri" w:cs="Calibri"/>
        </w:rPr>
        <w:t>[6]</w:t>
      </w:r>
      <w:r w:rsidR="00C7463F">
        <w:fldChar w:fldCharType="end"/>
      </w:r>
      <w:r w:rsidR="000876C5">
        <w:t>. Security b</w:t>
      </w:r>
      <w:r>
        <w:t>enefits include timely and efficient updates, scaling of resources to offer resilience under an attack and the benefit of scale to make security features more cost effective to implement. Security is however an area where there are many potential drawbacks to a cloud ecosystem, examples include a loss of governance over many procedures including data protection, provider lock-in preventing portability and termination of services with individual providers, and the inevitable risks surrounding bringing on an external provider</w:t>
      </w:r>
      <w:r w:rsidR="000876C5">
        <w:t>; these risks include</w:t>
      </w:r>
      <w:r>
        <w:t xml:space="preserve"> the potential for malicious insiders, a failure to correctly isolate data on shared resources or compromise of the connection between the provider and customer including via the management interface.</w:t>
      </w:r>
    </w:p>
    <w:p w:rsidR="00ED2489" w:rsidRDefault="00B90B5F" w:rsidP="009D514F">
      <w:pPr>
        <w:pStyle w:val="Heading2"/>
      </w:pPr>
      <w:bookmarkStart w:id="4" w:name="_Toc70884218"/>
      <w:r>
        <w:t>Cost and Example Scenarios</w:t>
      </w:r>
      <w:bookmarkEnd w:id="4"/>
    </w:p>
    <w:p w:rsidR="00B90B5F" w:rsidRDefault="00B90B5F" w:rsidP="00B90B5F">
      <w:r>
        <w:t>There are many cloud providers on the market today, with global expenditure for 2020 closing at $142 billion</w:t>
      </w:r>
      <w:r w:rsidR="00C7463F">
        <w:t xml:space="preserve"> </w:t>
      </w:r>
      <w:r w:rsidR="00C7463F">
        <w:fldChar w:fldCharType="begin"/>
      </w:r>
      <w:r w:rsidR="00C7463F">
        <w:instrText xml:space="preserve"> ADDIN ZOTERO_ITEM CSL_CITATION {"citationID":"gC1fWWIw","properties":{"formattedCitation":"[7]","plainCitation":"[7]","noteIndex":0},"citationItems":[{"id":259,"uris":["http://zotero.org/users/local/scBqMw08/items/7TEHXG9K"],"uri":["http://zotero.org/users/local/scBqMw08/items/7TEHXG9K"],"itemData":{"id":259,"type":"webpage","abstract":"Global cloud infrastructure market Q4 2020","language":"en-US","title":"Global cloud infrastructure market Q4 2020","URL":"https://www.canalys.com/newsroom/global-cloud-market-q4-2020?time=1619094267","accessed":{"date-parts":[["2021",4,22]]}}}],"schema":"https://github.com/citation-style-language/schema/raw/master/csl-citation.json"} </w:instrText>
      </w:r>
      <w:r w:rsidR="00C7463F">
        <w:fldChar w:fldCharType="separate"/>
      </w:r>
      <w:r w:rsidR="00C7463F" w:rsidRPr="00C7463F">
        <w:rPr>
          <w:rFonts w:ascii="Calibri" w:hAnsi="Calibri" w:cs="Calibri"/>
        </w:rPr>
        <w:t>[7]</w:t>
      </w:r>
      <w:r w:rsidR="00C7463F">
        <w:fldChar w:fldCharType="end"/>
      </w:r>
      <w:r>
        <w:t>, an increase of 33% over $107 billion in 2019. Of this figure, the biggest shares are Amazon Web Services (AWS), Microsoft Azure, Google Cloud Platform (GCP) and Alibaba Cloud, who together capture 64% of the market (31% AWS, 20% Azure, 7% GCP. 6% Alibaba).</w:t>
      </w:r>
    </w:p>
    <w:p w:rsidR="00B90B5F" w:rsidRDefault="00B90B5F" w:rsidP="00B90B5F">
      <w:r>
        <w:t>One of the biggest benefits of cloud computing</w:t>
      </w:r>
      <w:r w:rsidR="000876C5">
        <w:t xml:space="preserve"> over traditional solutions</w:t>
      </w:r>
      <w:r>
        <w:t>, as well as one of the most quantifiable, is cost savings. Cost benefits are drawn primarily from:</w:t>
      </w:r>
    </w:p>
    <w:p w:rsidR="00B90B5F" w:rsidRDefault="00B90B5F" w:rsidP="00B90B5F">
      <w:pPr>
        <w:numPr>
          <w:ilvl w:val="0"/>
          <w:numId w:val="36"/>
        </w:numPr>
        <w:spacing w:after="0"/>
      </w:pPr>
      <w:r>
        <w:t>Reduction in need for in house hardware</w:t>
      </w:r>
    </w:p>
    <w:p w:rsidR="00B90B5F" w:rsidRDefault="00B90B5F" w:rsidP="00B90B5F">
      <w:pPr>
        <w:numPr>
          <w:ilvl w:val="0"/>
          <w:numId w:val="36"/>
        </w:numPr>
        <w:spacing w:after="0"/>
      </w:pPr>
      <w:r>
        <w:t>Reduction in data centre running costs including electricity</w:t>
      </w:r>
      <w:r w:rsidR="000876C5">
        <w:t>, HVAC</w:t>
      </w:r>
      <w:r>
        <w:t xml:space="preserve"> and </w:t>
      </w:r>
      <w:r w:rsidR="000876C5">
        <w:t>estate</w:t>
      </w:r>
      <w:r>
        <w:t xml:space="preserve"> costs</w:t>
      </w:r>
    </w:p>
    <w:p w:rsidR="00B90B5F" w:rsidRDefault="00B90B5F" w:rsidP="00B90B5F">
      <w:pPr>
        <w:numPr>
          <w:ilvl w:val="0"/>
          <w:numId w:val="36"/>
        </w:numPr>
        <w:spacing w:after="0"/>
      </w:pPr>
      <w:r>
        <w:t>Reduction in need for in house technicians (although this is offset slightly by a need for technicians with a cloud computing skillset)</w:t>
      </w:r>
    </w:p>
    <w:p w:rsidR="00B90B5F" w:rsidRDefault="00B90B5F" w:rsidP="00B90B5F">
      <w:pPr>
        <w:numPr>
          <w:ilvl w:val="0"/>
          <w:numId w:val="36"/>
        </w:numPr>
        <w:spacing w:after="0"/>
      </w:pPr>
      <w:r>
        <w:t>Reduction in wasted capacity from hardware only used for peaks in demand</w:t>
      </w:r>
    </w:p>
    <w:p w:rsidR="000876C5" w:rsidRDefault="000876C5" w:rsidP="000876C5">
      <w:pPr>
        <w:spacing w:after="0"/>
        <w:ind w:left="720"/>
      </w:pPr>
    </w:p>
    <w:p w:rsidR="00B90B5F" w:rsidRDefault="00B90B5F" w:rsidP="00B90B5F">
      <w:r>
        <w:t>Two major drivers of business adoption of cloud technologies are aversion of the cost impact from over-provisioning or under-provisioning</w:t>
      </w:r>
      <w:r w:rsidR="00C7463F">
        <w:t xml:space="preserve"> </w:t>
      </w:r>
      <w:r w:rsidR="00C7463F">
        <w:fldChar w:fldCharType="begin"/>
      </w:r>
      <w:r w:rsidR="00C7463F">
        <w:instrText xml:space="preserve"> ADDIN ZOTERO_ITEM CSL_CITATION {"citationID":"eGXBkajq","properties":{"formattedCitation":"[8]","plainCitation":"[8]","noteIndex":0},"citationItems":[{"id":231,"uris":["http://zotero.org/users/local/scBqMw08/items/TQDGTVLZ"],"uri":["http://zotero.org/users/local/scBqMw08/items/TQDGTVLZ"],"itemData":{"id":231,"type":"book","abstract":"Cloud computing is considered to be one of the main business drivers for growth and innovation, and a global survey by Gartner listed cloud computing as one of the top three technology priorities for CIOs in 2012. Yet debate continues around its real benefits, security and data protection issues. The articles in this ebook look at different aspects of cloud computing, from strategic and infrastructure considerations to legal and security issues, aiming to provide practical advice and a clearer picture of its benefits and drawbacks.","event-place":"[Swindon, England]","ISBN":"978-1-78017-130-2","language":"English","publisher":"BCS, The Chartered Institute for IT","publisher-place":"[Swindon, England]","source":"EBSCOhost","title":"Cloud Computing : Moving IT Out of the Office","title-short":"Cloud Computing","URL":"https://ezproxy.uwtsd.ac.uk/login?url=https://search.ebscohost.com/login.aspx?direct=true&amp;db=nlebk&amp;AN=452109&amp;site=ehost-live","author":[{"family":"Bcs","given":"The Chartered Institute for IT"}],"accessed":{"date-parts":[["2021",4,22]]},"issued":{"date-parts":[["2012"]]}}}],"schema":"https://github.com/citation-style-language/schema/raw/master/csl-citation.json"} </w:instrText>
      </w:r>
      <w:r w:rsidR="00C7463F">
        <w:fldChar w:fldCharType="separate"/>
      </w:r>
      <w:r w:rsidR="00C7463F" w:rsidRPr="00C7463F">
        <w:rPr>
          <w:rFonts w:ascii="Calibri" w:hAnsi="Calibri" w:cs="Calibri"/>
        </w:rPr>
        <w:t>[8]</w:t>
      </w:r>
      <w:r w:rsidR="00C7463F">
        <w:fldChar w:fldCharType="end"/>
      </w:r>
      <w:r>
        <w:t>, namely the reduction in spending for unused services whilst demand is low, and the ability to increase resources quickly when demand is high to reduce lost opportunity cost resulting from unavailability.</w:t>
      </w:r>
      <w:r w:rsidR="00C7463F">
        <w:t xml:space="preserve"> The capacity utilisation curve </w:t>
      </w:r>
      <w:r w:rsidR="00C7463F">
        <w:fldChar w:fldCharType="begin"/>
      </w:r>
      <w:r w:rsidR="00C7463F">
        <w:instrText xml:space="preserve"> ADDIN ZOTERO_ITEM CSL_CITATION {"citationID":"Cm1113eI","properties":{"formattedCitation":"[9]","plainCitation":"[9]","noteIndex":0},"citationItems":[{"id":265,"uris":["http://zotero.org/users/local/scBqMw08/items/IJX3ITNT"],"uri":["http://zotero.org/users/local/scBqMw08/items/IJX3ITNT"],"itemData":{"id":265,"type":"article-journal","abstract":"Cloud computing has become the most promising way of purchasing computing resources over the Internet. The main advantage of.cloud computing is its economic advantages over the traditional computing resource provisioning. For cloud computing to become acceptable to wider audience, it is necessary to maintain the quality of service (QoS) commitments specified in the service level agreement. In this paper, the authors propose a robust multi-level trust computing mechanism that can be used to track the performance of cloud systems using multiple QoS attributes. In addition, tests carried out show that the proposed mechanism is more robust than the ones published in the literature.","container-title":"Jurnal Teknologi","DOI":"10.11113/jt.v69.3096","journalAbbreviation":"Jurnal Teknologi","source":"ResearchGate","title":"Robust Multi-Dimensional Trust Computing Mechanism for Cloud Computing","volume":"69","author":[{"family":"Firdhous","given":"Mohamed"},{"family":"Ghazali","given":"Osman"},{"family":"Hassan","given":"Suhaidi"}],"issued":{"date-parts":[["2014",6,22]]}}}],"schema":"https://github.com/citation-style-language/schema/raw/master/csl-citation.json"} </w:instrText>
      </w:r>
      <w:r w:rsidR="00C7463F">
        <w:fldChar w:fldCharType="separate"/>
      </w:r>
      <w:r w:rsidR="00C7463F" w:rsidRPr="00C7463F">
        <w:rPr>
          <w:rFonts w:ascii="Calibri" w:hAnsi="Calibri" w:cs="Calibri"/>
        </w:rPr>
        <w:t>[9]</w:t>
      </w:r>
      <w:r w:rsidR="00C7463F">
        <w:fldChar w:fldCharType="end"/>
      </w:r>
      <w:r>
        <w:rPr>
          <w:b/>
        </w:rPr>
        <w:t xml:space="preserve"> </w:t>
      </w:r>
      <w:r>
        <w:t xml:space="preserve">developed by AWS showcases how fluctuations in demand can be </w:t>
      </w:r>
      <w:r w:rsidR="000876C5">
        <w:t xml:space="preserve">near </w:t>
      </w:r>
      <w:r>
        <w:t>impossible to counteract in a cost effective manner with traditional hardware provisioning.</w:t>
      </w:r>
    </w:p>
    <w:p w:rsidR="00B90B5F" w:rsidRDefault="00B90B5F" w:rsidP="00B90B5F">
      <w:r>
        <w:t>AWS have recently reconfigured their Total Cost of Ownership (TCO) calculator to be part of their new Migration Evaluator tool</w:t>
      </w:r>
      <w:r w:rsidR="00C7463F">
        <w:t xml:space="preserve"> </w:t>
      </w:r>
      <w:r w:rsidR="00C7463F">
        <w:fldChar w:fldCharType="begin"/>
      </w:r>
      <w:r w:rsidR="00C7463F">
        <w:instrText xml:space="preserve"> ADDIN ZOTERO_ITEM CSL_CITATION {"citationID":"GQBF3Gl5","properties":{"formattedCitation":"[10]","plainCitation":"[10]","noteIndex":0},"citationItems":[{"id":261,"uris":["http://zotero.org/users/local/scBqMw08/items/Q8Y96INV"],"uri":["http://zotero.org/users/local/scBqMw08/items/Q8Y96INV"],"itemData":{"id":261,"type":"webpage","title":"AWS Pricing/TCO Tools - How AWS Pricing Works","URL":"https://docs.aws.amazon.com/whitepapers/latest/how-aws-pricing-works/aws-pricingtco-tools.html","accessed":{"date-parts":[["2021",4,22]]}}}],"schema":"https://github.com/citation-style-language/schema/raw/master/csl-citation.json"} </w:instrText>
      </w:r>
      <w:r w:rsidR="00C7463F">
        <w:fldChar w:fldCharType="separate"/>
      </w:r>
      <w:r w:rsidR="00C7463F" w:rsidRPr="00C7463F">
        <w:rPr>
          <w:rFonts w:ascii="Calibri" w:hAnsi="Calibri" w:cs="Calibri"/>
        </w:rPr>
        <w:t>[10]</w:t>
      </w:r>
      <w:r w:rsidR="00C7463F">
        <w:fldChar w:fldCharType="end"/>
      </w:r>
      <w:r>
        <w:t>, which makes comparisons for academic purposes more difficult. They do also offer a simple Pricing Calculator which provides a pricing estimate but does not offer a comparison against an on</w:t>
      </w:r>
      <w:r w:rsidR="000876C5">
        <w:t xml:space="preserve"> </w:t>
      </w:r>
      <w:r>
        <w:t>premise alternative. However Microsoft do provide a TCO tool for their Azure services</w:t>
      </w:r>
      <w:r w:rsidR="00C7463F">
        <w:t xml:space="preserve"> </w:t>
      </w:r>
      <w:r w:rsidR="00C7463F">
        <w:fldChar w:fldCharType="begin"/>
      </w:r>
      <w:r w:rsidR="00C7463F">
        <w:instrText xml:space="preserve"> ADDIN ZOTERO_ITEM CSL_CITATION {"citationID":"1wy86G6U","properties":{"formattedCitation":"[11]","plainCitation":"[11]","noteIndex":0},"citationItems":[{"id":263,"uris":["http://zotero.org/users/local/scBqMw08/items/A3JI8ST4"],"uri":["http://zotero.org/users/local/scBqMw08/items/A3JI8ST4"],"itemData":{"id":263,"type":"webpage","abstract":"The Azure Total Cost of Ownership(TCO) Calculator is used to estimate the cost savings you can achieve by migrating your application workloads to Microsoft Azure.","language":"en","title":"Total Cost of Ownership (TCO) Calculator | Microsoft Azure","URL":"https://azure.microsoft.com/en-us/pricing/tco/calculator/","accessed":{"date-parts":[["2021",4,22]]}}}],"schema":"https://github.com/citation-style-language/schema/raw/master/csl-citation.json"} </w:instrText>
      </w:r>
      <w:r w:rsidR="00C7463F">
        <w:fldChar w:fldCharType="separate"/>
      </w:r>
      <w:r w:rsidR="00C7463F" w:rsidRPr="00C7463F">
        <w:rPr>
          <w:rFonts w:ascii="Calibri" w:hAnsi="Calibri" w:cs="Calibri"/>
        </w:rPr>
        <w:t>[11]</w:t>
      </w:r>
      <w:r w:rsidR="00C7463F">
        <w:fldChar w:fldCharType="end"/>
      </w:r>
      <w:r>
        <w:t>, for which some example figures are provided below (</w:t>
      </w:r>
      <w:r>
        <w:rPr>
          <w:i/>
        </w:rPr>
        <w:t>fig 1)</w:t>
      </w:r>
      <w:r>
        <w:t xml:space="preserve"> using the default provided servers (10x), the default database (1x) and the default storage and network bandwidth (1TB and 1GB respectively):</w:t>
      </w:r>
    </w:p>
    <w:p w:rsidR="00B90B5F" w:rsidRDefault="00B90B5F" w:rsidP="00B90B5F">
      <w:r>
        <w:rPr>
          <w:noProof/>
        </w:rPr>
        <w:lastRenderedPageBreak/>
        <w:drawing>
          <wp:inline distT="114300" distB="114300" distL="114300" distR="114300" wp14:anchorId="10FD338E" wp14:editId="5CAF9684">
            <wp:extent cx="5731200" cy="24257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425700"/>
                    </a:xfrm>
                    <a:prstGeom prst="rect">
                      <a:avLst/>
                    </a:prstGeom>
                    <a:ln/>
                  </pic:spPr>
                </pic:pic>
              </a:graphicData>
            </a:graphic>
          </wp:inline>
        </w:drawing>
      </w:r>
    </w:p>
    <w:p w:rsidR="00B90B5F" w:rsidRDefault="00B90B5F" w:rsidP="00B90B5F">
      <w:pPr>
        <w:rPr>
          <w:i/>
        </w:rPr>
      </w:pPr>
      <w:r>
        <w:rPr>
          <w:i/>
        </w:rPr>
        <w:t>Fig 1</w:t>
      </w:r>
    </w:p>
    <w:p w:rsidR="00B90B5F" w:rsidRDefault="00B90B5F" w:rsidP="00B90B5F">
      <w:r>
        <w:t>This serves to evidence the cost savings possible with a cloud solution. However, it is important to consider that</w:t>
      </w:r>
      <w:r w:rsidR="000876C5">
        <w:t xml:space="preserve"> the above is a vendor provided tool and therefore likely to show a best case scenario,</w:t>
      </w:r>
      <w:r>
        <w:t xml:space="preserve"> any potential savings will differ dramatically between organisations and use cases as different services will be required. </w:t>
      </w:r>
    </w:p>
    <w:p w:rsidR="00B90B5F" w:rsidRDefault="00B90B5F" w:rsidP="00B90B5F">
      <w:r>
        <w:t xml:space="preserve">Cost savings will also vary across </w:t>
      </w:r>
      <w:r w:rsidR="000876C5">
        <w:t xml:space="preserve">cloud </w:t>
      </w:r>
      <w:r>
        <w:t>providers, with no clear winner in terms of pricing alone. Costs are frequently compared between the largest providers</w:t>
      </w:r>
      <w:r w:rsidR="00C7463F">
        <w:t xml:space="preserve"> </w:t>
      </w:r>
      <w:r w:rsidR="00C7463F">
        <w:fldChar w:fldCharType="begin"/>
      </w:r>
      <w:r w:rsidR="00C7463F">
        <w:instrText xml:space="preserve"> ADDIN ZOTERO_ITEM CSL_CITATION {"citationID":"4ftgAOrF","properties":{"formattedCitation":"[12]\\uc0\\u8211{}[15]","plainCitation":"[12]–[15]","noteIndex":0},"citationItems":[{"id":257,"uris":["http://zotero.org/users/local/scBqMw08/items/727AB6AN"],"uri":["http://zotero.org/users/local/scBqMw08/items/727AB6AN"],"itemData":{"id":257,"type":"webpage","abstract":"Today, we’ll take a brief look at cloud storage cost comparison from the three major cloud service providers. When it comes to finding a…","container-title":"Medium","language":"en","title":"Cloud Storage Cost Comparison: AWS vs. Azure vs. Google","title-short":"Cloud Storage Cost Comparison","URL":"https://jaychapel.medium.com/cloud-storage-cost-comparison-aws-vs-azure-vs-google-844dfff3d324","author":[{"family":"Chapel","given":"Jay"}],"accessed":{"date-parts":[["2021",4,22]]},"issued":{"date-parts":[["2019",7,1]]}}},{"id":253,"uris":["http://zotero.org/users/local/scBqMw08/items/99ZRFRV2"],"uri":["http://zotero.org/users/local/scBqMw08/items/99ZRFRV2"],"itemData":{"id":253,"type":"post-weblog","abstract":"Cloud pricing comparison of AWS, Azure and Google Cloud to help users identify the cheapest instances for similar requirements.","container-title":"Insights on Latest Technologies - Simform Blog","language":"en-US","title":"Cloud Pricing Comparison 2021: AWS vs Azure vs Google Cloud","title-short":"Cloud Pricing Comparison 2021","URL":"https://www.simform.com/compute-pricing-comparison-aws-azure-googlecloud/","author":[{"family":"February 19","given":"Bruno"},{"literal":"2020"}],"accessed":{"date-parts":[["2021",4,22]]},"issued":{"date-parts":[["2021",2,1]]}}},{"id":251,"uris":["http://zotero.org/users/local/scBqMw08/items/KPI3XJPD"],"uri":["http://zotero.org/users/local/scBqMw08/items/KPI3XJPD"],"itemData":{"id":251,"type":"webpage","abstract":"The objective of an Azure vs AWS pricing comparison is not necessarily to make a decision between which of the cloud service providers you should use exclusively, but to identify where costs can be saved by using some services provided by Azure and other services provided by AWS.","container-title":"CloudHealth by VMware","language":"en","title":"A Look At Azure vs AWS Pricing In 2020-2021","URL":"https://www.cloudhealthtech.com/blog/azure-vs-aws-pricing","accessed":{"date-parts":[["2021",4,22]]}}},{"id":249,"uris":["http://zotero.org/users/local/scBqMw08/items/3PKX72GL"],"uri":["http://zotero.org/users/local/scBqMw08/items/3PKX72GL"],"itemData":{"id":249,"type":"webpage","abstract":"Azure and AWS have different offerings and pricing models. Learn how their models differ, which services are directly comparable, and how common services compare.","language":"en-us","title":"Azure vs AWS Pricing: Comparing Apples to Apples","title-short":"Azure vs AWS Pricing","URL":"https://cloud.netapp.com/blog/azure-vs-aws-pricing-comparing-apples-to-apples-azure-aws-cvo-blg","author":[{"family":"Lead","given":"Yifat Perry","suffix":"Product Marketing"}],"accessed":{"date-parts":[["2021",4,22]]}}}],"schema":"https://github.com/citation-style-language/schema/raw/master/csl-citation.json"} </w:instrText>
      </w:r>
      <w:r w:rsidR="00C7463F">
        <w:fldChar w:fldCharType="separate"/>
      </w:r>
      <w:r w:rsidR="00C7463F" w:rsidRPr="00C7463F">
        <w:rPr>
          <w:rFonts w:ascii="Calibri" w:hAnsi="Calibri" w:cs="Calibri"/>
          <w:szCs w:val="24"/>
        </w:rPr>
        <w:t>[12]–[15]</w:t>
      </w:r>
      <w:r w:rsidR="00C7463F">
        <w:fldChar w:fldCharType="end"/>
      </w:r>
      <w:r>
        <w:t xml:space="preserve">, although consensus differs depending on the services included in comparisons, especially when taking into account differing pricing structures (such as varying discounts for reserved instances). </w:t>
      </w:r>
      <w:r w:rsidR="000876C5">
        <w:t>I</w:t>
      </w:r>
      <w:r>
        <w:t xml:space="preserve">t has been identified that cloud computing costs can vary by up to 17% </w:t>
      </w:r>
      <w:r w:rsidR="00C7463F">
        <w:fldChar w:fldCharType="begin"/>
      </w:r>
      <w:r w:rsidR="00C7463F">
        <w:instrText xml:space="preserve"> ADDIN ZOTERO_ITEM CSL_CITATION {"citationID":"kqmjVtPA","properties":{"formattedCitation":"[16]","plainCitation":"[16]","noteIndex":0},"citationItems":[{"id":283,"uris":["http://zotero.org/users/local/scBqMw08/items/62UDIZUD"],"uri":["http://zotero.org/users/local/scBqMw08/items/62UDIZUD"],"itemData":{"id":283,"type":"article-journal","abstract":"There are wide range of cloud services commercially available.However there is limited research that investigates the strengths and weaknesses of their cost models in relation to different types of usage requirements. We propose a new costing model that systematically evaluates cloud services,and which combines compute, disk storage, and memory requirements. This paper demonstrates the proposed costing model on a data set that was derived from a real-world industrial data centre workload by calculating the precise cost of service provision from two leading cloud providers.","container-title":"Wireless Networks","DOI":"10.1007/s11276-018-1881-2","ISSN":"1572-8196","journalAbbreviation":"Wireless Netw","language":"en","source":"Springer Link","title":"Cloud computing deployment: a cost-modelling case-study","title-short":"Cloud computing deployment","URL":"https://doi.org/10.1007/s11276-018-1881-2","author":[{"family":"Ellman","given":"Jeremy"},{"family":"Lee","given":"Nathan"},{"family":"Jin","given":"Nanlin"}],"accessed":{"date-parts":[["2021",4,22]]},"issued":{"date-parts":[["2018",12,5]]}}}],"schema":"https://github.com/citation-style-language/schema/raw/master/csl-citation.json"} </w:instrText>
      </w:r>
      <w:r w:rsidR="00C7463F">
        <w:fldChar w:fldCharType="separate"/>
      </w:r>
      <w:r w:rsidR="00C7463F" w:rsidRPr="00C7463F">
        <w:rPr>
          <w:rFonts w:ascii="Calibri" w:hAnsi="Calibri" w:cs="Calibri"/>
        </w:rPr>
        <w:t>[16]</w:t>
      </w:r>
      <w:r w:rsidR="00C7463F">
        <w:fldChar w:fldCharType="end"/>
      </w:r>
      <w:r>
        <w:t xml:space="preserve"> between providers for equivalent circumstances. The </w:t>
      </w:r>
      <w:proofErr w:type="spellStart"/>
      <w:r>
        <w:t>drawable</w:t>
      </w:r>
      <w:proofErr w:type="spellEnd"/>
      <w:r>
        <w:t xml:space="preserve"> conclusion is that cost differences are highly specialised and reliant on each individual use case, and would need to be considered on a case-by-case basis</w:t>
      </w:r>
      <w:r w:rsidR="000876C5">
        <w:t>; a</w:t>
      </w:r>
      <w:r>
        <w:t xml:space="preserve"> cost model such as that proposed in a 2018 case study </w:t>
      </w:r>
      <w:r w:rsidR="00C7463F">
        <w:fldChar w:fldCharType="begin"/>
      </w:r>
      <w:r w:rsidR="00C7463F">
        <w:instrText xml:space="preserve"> ADDIN ZOTERO_ITEM CSL_CITATION {"citationID":"Y7zXUYww","properties":{"formattedCitation":"[16]","plainCitation":"[16]","noteIndex":0},"citationItems":[{"id":283,"uris":["http://zotero.org/users/local/scBqMw08/items/62UDIZUD"],"uri":["http://zotero.org/users/local/scBqMw08/items/62UDIZUD"],"itemData":{"id":283,"type":"article-journal","abstract":"There are wide range of cloud services commercially available.However there is limited research that investigates the strengths and weaknesses of their cost models in relation to different types of usage requirements. We propose a new costing model that systematically evaluates cloud services,and which combines compute, disk storage, and memory requirements. This paper demonstrates the proposed costing model on a data set that was derived from a real-world industrial data centre workload by calculating the precise cost of service provision from two leading cloud providers.","container-title":"Wireless Networks","DOI":"10.1007/s11276-018-1881-2","ISSN":"1572-8196","journalAbbreviation":"Wireless Netw","language":"en","source":"Springer Link","title":"Cloud computing deployment: a cost-modelling case-study","title-short":"Cloud computing deployment","URL":"https://doi.org/10.1007/s11276-018-1881-2","author":[{"family":"Ellman","given":"Jeremy"},{"family":"Lee","given":"Nathan"},{"family":"Jin","given":"Nanlin"}],"accessed":{"date-parts":[["2021",4,22]]},"issued":{"date-parts":[["2018",12,5]]}}}],"schema":"https://github.com/citation-style-language/schema/raw/master/csl-citation.json"} </w:instrText>
      </w:r>
      <w:r w:rsidR="00C7463F">
        <w:fldChar w:fldCharType="separate"/>
      </w:r>
      <w:r w:rsidR="00C7463F" w:rsidRPr="00C7463F">
        <w:rPr>
          <w:rFonts w:ascii="Calibri" w:hAnsi="Calibri" w:cs="Calibri"/>
        </w:rPr>
        <w:t>[16]</w:t>
      </w:r>
      <w:r w:rsidR="00C7463F">
        <w:fldChar w:fldCharType="end"/>
      </w:r>
      <w:r>
        <w:rPr>
          <w:b/>
        </w:rPr>
        <w:t xml:space="preserve"> </w:t>
      </w:r>
      <w:r>
        <w:t>can be used to draw this comparison.</w:t>
      </w:r>
    </w:p>
    <w:p w:rsidR="00B90B5F" w:rsidRDefault="00B90B5F" w:rsidP="00B90B5F">
      <w:r>
        <w:t>It is also difficult to compare accurately</w:t>
      </w:r>
      <w:r w:rsidR="000876C5">
        <w:t xml:space="preserve"> and directly</w:t>
      </w:r>
      <w:r>
        <w:t xml:space="preserve"> between an </w:t>
      </w:r>
      <w:r w:rsidR="00C7463F">
        <w:t>on premise</w:t>
      </w:r>
      <w:r>
        <w:t xml:space="preserve"> and cloud solution</w:t>
      </w:r>
      <w:r w:rsidR="000876C5">
        <w:t>,</w:t>
      </w:r>
      <w:r>
        <w:t xml:space="preserve"> as cloud architecture will often differ drastically to </w:t>
      </w:r>
      <w:r w:rsidR="00C7463F">
        <w:t>on premise</w:t>
      </w:r>
      <w:r>
        <w:t>, due to a reconfiguration of resources to better make use of cloud tools, services and pricing discounts</w:t>
      </w:r>
      <w:r w:rsidR="00C7463F">
        <w:t xml:space="preserve"> </w:t>
      </w:r>
      <w:r w:rsidR="00C7463F">
        <w:fldChar w:fldCharType="begin"/>
      </w:r>
      <w:r w:rsidR="00C7463F">
        <w:instrText xml:space="preserve"> ADDIN ZOTERO_ITEM CSL_CITATION {"citationID":"ZNR8r5iL","properties":{"formattedCitation":"[3]","plainCitation":"[3]","noteIndex":0},"citationItems":[{"id":243,"uris":["http://zotero.org/users/local/scBqMw08/items/LZTEL9GU"],"uri":["http://zotero.org/users/local/scBqMw08/items/LZTEL9GU"],"itemData":{"id":243,"type":"article-journal","abstract":"Cloud computing is a new information technology (IT) paradigm that promises to revolutionize traditional IT delivery through reduced costs, greater elasticity, and ubiquitous access. On the surface, adopting cloud computing requires a firm to address many of the same concerns they face in adopting any enterprise IT. However, cloud technologies also offer new pricing and deployment strategies that are unavailable in traditional enterprise solutions. It is unclear how previous research frameworks of enterprise IT adoption relate to these new adoption strategies. To bridge this gap in the literature, our study uses the technology–organization–environment (TOE) framework of innovation diffusion theory to develop a cloud service adoption model that deals with not only adoption intention, but also pricing mechanisms and deployment models. Our research model has been empirically tested using 200 Taiwanese firms. We found that: (1) Cloud adoption is still at its initial stage, since the adoption rates are very low; (2) the perceived benefits, business concerns, and IT capability within the TOE framework are significant determinants of cloud computing adoption, while external pressure is not; (3) firms with greater IT capability tend to choose the pay-as-you-go pricing mechanism; (4) business concern is the most important factor influencing the choice of deployment model, with higher concerns leading to private deployment options.","container-title":"International Journal of Information Management","DOI":"10.1016/j.ijinfomgt.2014.04.006","ISSN":"0268-4012","issue":"4","journalAbbreviation":"International Journal of Information Management","language":"en","page":"474-488","source":"ScienceDirect","title":"Examining cloud computing adoption intention, pricing mechanism, and deployment model","volume":"34","author":[{"family":"Hsu","given":"Pei-Fang"},{"family":"Ray","given":"Soumya"},{"family":"Li-Hsieh","given":"Yu-Yu"}],"issued":{"date-parts":[["2014",8,1]]}}}],"schema":"https://github.com/citation-style-language/schema/raw/master/csl-citation.json"} </w:instrText>
      </w:r>
      <w:r w:rsidR="00C7463F">
        <w:fldChar w:fldCharType="separate"/>
      </w:r>
      <w:r w:rsidR="00C7463F" w:rsidRPr="00C7463F">
        <w:rPr>
          <w:rFonts w:ascii="Calibri" w:hAnsi="Calibri" w:cs="Calibri"/>
        </w:rPr>
        <w:t>[3]</w:t>
      </w:r>
      <w:r w:rsidR="00C7463F">
        <w:fldChar w:fldCharType="end"/>
      </w:r>
      <w:r>
        <w:t>. However, in individual case studies, cost savings can be realised and compared. To illustrate:</w:t>
      </w:r>
    </w:p>
    <w:p w:rsidR="00B90B5F" w:rsidRDefault="00B90B5F" w:rsidP="00B90B5F">
      <w:pPr>
        <w:numPr>
          <w:ilvl w:val="0"/>
          <w:numId w:val="37"/>
        </w:numPr>
        <w:spacing w:after="0"/>
      </w:pPr>
      <w:proofErr w:type="spellStart"/>
      <w:r>
        <w:t>Adroll</w:t>
      </w:r>
      <w:proofErr w:type="spellEnd"/>
      <w:r>
        <w:t xml:space="preserve">, a digital advertising provider, was able to reduce their “fixed costs by 75% and operational costs by 83%” by utilising AWS </w:t>
      </w:r>
      <w:r w:rsidR="00C7463F">
        <w:fldChar w:fldCharType="begin"/>
      </w:r>
      <w:r w:rsidR="00C7463F">
        <w:instrText xml:space="preserve"> ADDIN ZOTERO_ITEM CSL_CITATION {"citationID":"kv3B5QnW","properties":{"formattedCitation":"[17]","plainCitation":"[17]","noteIndex":0},"citationItems":[{"id":285,"uris":["http://zotero.org/users/local/scBqMw08/items/83BZ2C9V"],"uri":["http://zotero.org/users/local/scBqMw08/items/83BZ2C9V"],"itemData":{"id":285,"type":"webpage","container-title":"Amazon Web Services, Inc.","language":"en-US","title":"AWS Case Study: How AdRoll Lowers Costs with AWS","title-short":"AWS Case Study","URL":"https://aws.amazon.com/solutions/case-studies/adroll-tco/","accessed":{"date-parts":[["2021",4,22]]}}}],"schema":"https://github.com/citation-style-language/schema/raw/master/csl-citation.json"} </w:instrText>
      </w:r>
      <w:r w:rsidR="00C7463F">
        <w:fldChar w:fldCharType="separate"/>
      </w:r>
      <w:r w:rsidR="00C7463F" w:rsidRPr="00C7463F">
        <w:rPr>
          <w:rFonts w:ascii="Calibri" w:hAnsi="Calibri" w:cs="Calibri"/>
        </w:rPr>
        <w:t>[17]</w:t>
      </w:r>
      <w:r w:rsidR="00C7463F">
        <w:fldChar w:fldCharType="end"/>
      </w:r>
    </w:p>
    <w:p w:rsidR="00B90B5F" w:rsidRDefault="00B90B5F" w:rsidP="00B90B5F">
      <w:pPr>
        <w:numPr>
          <w:ilvl w:val="0"/>
          <w:numId w:val="37"/>
        </w:numPr>
        <w:spacing w:after="0"/>
      </w:pPr>
      <w:r>
        <w:t>Insight, a global technology provider, state that they “gained costs benefits and freed up expert personnel to develop new infrastructure projects” by moving their data replication solution to Azure</w:t>
      </w:r>
      <w:r w:rsidR="00C7463F">
        <w:t xml:space="preserve"> </w:t>
      </w:r>
      <w:r w:rsidR="00C7463F">
        <w:fldChar w:fldCharType="begin"/>
      </w:r>
      <w:r w:rsidR="00C7463F">
        <w:instrText xml:space="preserve"> ADDIN ZOTERO_ITEM CSL_CITATION {"citationID":"VAfF5GFq","properties":{"formattedCitation":"[18]","plainCitation":"[18]","noteIndex":0},"citationItems":[{"id":288,"uris":["http://zotero.org/users/local/scBqMw08/items/BJUUABDV"],"uri":["http://zotero.org/users/local/scBqMw08/items/BJUUABDV"],"itemData":{"id":288,"type":"webpage","title":"Scale up Business While Making Cost Savings | Insight UK","URL":"https://www.uk.insight.com/en-gb/content-and-resources/2019/case-studies/2019-07-12-microsoft-azure-cold-storage-case-study","accessed":{"date-parts":[["2021",4,22]]}}}],"schema":"https://github.com/citation-style-language/schema/raw/master/csl-citation.json"} </w:instrText>
      </w:r>
      <w:r w:rsidR="00C7463F">
        <w:fldChar w:fldCharType="separate"/>
      </w:r>
      <w:r w:rsidR="00C7463F" w:rsidRPr="00C7463F">
        <w:rPr>
          <w:rFonts w:ascii="Calibri" w:hAnsi="Calibri" w:cs="Calibri"/>
        </w:rPr>
        <w:t>[18]</w:t>
      </w:r>
      <w:r w:rsidR="00C7463F">
        <w:fldChar w:fldCharType="end"/>
      </w:r>
    </w:p>
    <w:p w:rsidR="00B90B5F" w:rsidRDefault="00B90B5F" w:rsidP="00B90B5F">
      <w:pPr>
        <w:numPr>
          <w:ilvl w:val="0"/>
          <w:numId w:val="37"/>
        </w:numPr>
        <w:spacing w:after="0"/>
      </w:pPr>
      <w:r>
        <w:t xml:space="preserve">A 2020 IDC study found that for an SME moving to Google Cloud Platform, the average annual benefit equated $1.09 million per year </w:t>
      </w:r>
      <w:r w:rsidR="00C7463F">
        <w:fldChar w:fldCharType="begin"/>
      </w:r>
      <w:r w:rsidR="00C7463F">
        <w:instrText xml:space="preserve"> ADDIN ZOTERO_ITEM CSL_CITATION {"citationID":"ZEZXtbNu","properties":{"formattedCitation":"[19]","plainCitation":"[19]","noteIndex":0},"citationItems":[{"id":290,"uris":["http://zotero.org/users/local/scBqMw08/items/XWW7I9N9"],"uri":["http://zotero.org/users/local/scBqMw08/items/XWW7I9N9"],"itemData":{"id":290,"type":"webpage","abstract":"Google Cloud Platform helps small and medium businesses accelerate growth with 222% three-year ROI. Check out the IDC’s findings on the benefits of GCP.","language":"en","title":"Achieve a 222% 3-year ROI by using Google Cloud Platform","URL":"https://gcloud.devoteam.com/blog/achieve-a-222-3-year-roi-by-using-google-cloud-platform","author":[{"family":"Verbrugghe","given":"Charlotte"}],"accessed":{"date-parts":[["2021",4,22]]}}}],"schema":"https://github.com/citation-style-language/schema/raw/master/csl-citation.json"} </w:instrText>
      </w:r>
      <w:r w:rsidR="00C7463F">
        <w:fldChar w:fldCharType="separate"/>
      </w:r>
      <w:r w:rsidR="00C7463F" w:rsidRPr="00C7463F">
        <w:rPr>
          <w:rFonts w:ascii="Calibri" w:hAnsi="Calibri" w:cs="Calibri"/>
        </w:rPr>
        <w:t>[19]</w:t>
      </w:r>
      <w:r w:rsidR="00C7463F">
        <w:fldChar w:fldCharType="end"/>
      </w:r>
    </w:p>
    <w:p w:rsidR="009D514F" w:rsidRDefault="00B90B5F" w:rsidP="005C28C3">
      <w:pPr>
        <w:pStyle w:val="Heading2"/>
      </w:pPr>
      <w:bookmarkStart w:id="5" w:name="_Toc70884219"/>
      <w:r>
        <w:t>Reliability and Scalability</w:t>
      </w:r>
      <w:bookmarkEnd w:id="5"/>
    </w:p>
    <w:p w:rsidR="00B90B5F" w:rsidRDefault="00B90B5F" w:rsidP="00B90B5F">
      <w:r>
        <w:t>Aside from cost, reliability and scalability are important principles in cloud computing, and are large drivers of business change towards cloud solutions</w:t>
      </w:r>
      <w:r w:rsidR="00C7463F">
        <w:t xml:space="preserve"> </w:t>
      </w:r>
      <w:r w:rsidR="00C7463F">
        <w:fldChar w:fldCharType="begin"/>
      </w:r>
      <w:r w:rsidR="00C7463F">
        <w:instrText xml:space="preserve"> ADDIN ZOTERO_ITEM CSL_CITATION {"citationID":"wHCuO3X7","properties":{"formattedCitation":"[20]","plainCitation":"[20]","noteIndex":0},"citationItems":[{"id":238,"uris":["http://zotero.org/users/local/scBqMw08/items/XPS49ZBH"],"uri":["http://zotero.org/users/local/scBqMw08/items/XPS49ZBH"],"itemData":{"id":238,"type":"book","abstract":"Clouds are distributed technology platforms that leverage sophisticated technology innovations to provide highly scalable and resilient environments that can be remotely utilized by organizations in a multitude of powerful ways. To successfully build upon, integrate with, or even create a cloud environment requires an understanding of its common inner mechanics, architectural layers, and models, as well as an understanding of the business and economic factors that result from the adoption and real-world use of cloud-based services. In Cloud Computing: Concepts, Technology &amp; Architecture , Thomas Erl, one of the world’s top-selling IT authors, teams up with cloud computing experts and researchers to break down proven and mature cloud computing technologies and practices into a series of well-defined concepts, models, technology mechanisms, and technology architectures, all from an industry-centric and vendor-neutral point of view. In doing so, the book establishes concrete, academic coverage with a focus on structure, clarity, and well-defined building blocks for mainstream cloud computing platforms and solutions. Subsequent to technology-centric coverage, the book proceeds to establish business-centric models and metrics that allow for the financial assessment of cloud-based IT resources and their comparison to those hosted on traditional IT enterprise premises. Also provided are templates and formulas for calculating SLA-related quality-of-service values and numerous explorations of the SaaS, PaaS, and IaaS delivery models. With more than 260 figures, 29 architectural models, and 20 mechanisms, this indispensable guide provides a comprehensive education of cloud computing essentials that will never leave your side.","edition":"1st edition.","ISBN":"978-0-13-338751-3","language":"eng","publisher":"Place of publication not identified Prentice Hall","source":"whel-primo.com","title":"Cloud computing: concepts, technology, &amp; architecture","title-short":"Cloud computing","author":[{"family":"Erl","given":"Thomas Author"}],"issued":{"date-parts":[["2013"]]}}}],"schema":"https://github.com/citation-style-language/schema/raw/master/csl-citation.json"} </w:instrText>
      </w:r>
      <w:r w:rsidR="00C7463F">
        <w:fldChar w:fldCharType="separate"/>
      </w:r>
      <w:r w:rsidR="00C7463F" w:rsidRPr="00C7463F">
        <w:rPr>
          <w:rFonts w:ascii="Calibri" w:hAnsi="Calibri" w:cs="Calibri"/>
        </w:rPr>
        <w:t>[20]</w:t>
      </w:r>
      <w:r w:rsidR="00C7463F">
        <w:fldChar w:fldCharType="end"/>
      </w:r>
      <w:r>
        <w:t xml:space="preserve">. As defined by Martin </w:t>
      </w:r>
      <w:proofErr w:type="spellStart"/>
      <w:r>
        <w:t>Kleppman</w:t>
      </w:r>
      <w:proofErr w:type="spellEnd"/>
      <w:r>
        <w:t xml:space="preserve"> in a book written for O’Reilly</w:t>
      </w:r>
      <w:r w:rsidR="00C7463F">
        <w:t xml:space="preserve"> </w:t>
      </w:r>
      <w:r w:rsidR="00C7463F">
        <w:fldChar w:fldCharType="begin"/>
      </w:r>
      <w:r w:rsidR="00C7463F">
        <w:instrText xml:space="preserve"> ADDIN ZOTERO_ITEM CSL_CITATION {"citationID":"G1UxzUt0","properties":{"formattedCitation":"[21]","plainCitation":"[21]","noteIndex":0},"citationItems":[{"id":301,"uris":["http://zotero.org/users/local/scBqMw08/items/5GCDQGC5"],"uri":["http://zotero.org/users/local/scBqMw08/items/5GCDQGC5"],"itemData":{"id":301,"type":"book","abstract":"Data is at the center of many challenges in system design today. Difficult issues need to be figured out, such as scalability, consistency, reliability, efficiency, and mainteinability. In addition, we have an overwhelming variet of tools, including relational databases, NoSQL datastores, stream or batch processors, and message brokers. What are the right choices for your application? How do you make sense of all these buzzwords? In this practical and comprehensive gjuide, author Martin Kleppmann helps you navigate this diverse landscape by examining the pros and cons of various technologies for processing and storing data. Software keeps changing, but the fundamental principles remain the same. With this book, software engineers and architects will learn how to apply those ideas in practice, and how to make full use of data in modern applications.","ISBN":"978-1-4493-7332-0","language":"English","note":"OCLC: 1042165662","source":"Open WorldCat","title":"Designing data-intensive applications: the big ideas behind reliable, scalable, and maintainable systems","title-short":"Designing data-intensive applications","author":[{"family":"Kleppmann","given":"Martin"}],"issued":{"date-parts":[["2018"]]}}}],"schema":"https://github.com/citation-style-language/schema/raw/master/csl-citation.json"} </w:instrText>
      </w:r>
      <w:r w:rsidR="00C7463F">
        <w:fldChar w:fldCharType="separate"/>
      </w:r>
      <w:r w:rsidR="00C7463F" w:rsidRPr="00C7463F">
        <w:rPr>
          <w:rFonts w:ascii="Calibri" w:hAnsi="Calibri" w:cs="Calibri"/>
        </w:rPr>
        <w:t>[21]</w:t>
      </w:r>
      <w:r w:rsidR="00C7463F">
        <w:fldChar w:fldCharType="end"/>
      </w:r>
      <w:r>
        <w:t>:</w:t>
      </w:r>
    </w:p>
    <w:p w:rsidR="00B90B5F" w:rsidRDefault="00B90B5F" w:rsidP="00B90B5F">
      <w:pPr>
        <w:numPr>
          <w:ilvl w:val="0"/>
          <w:numId w:val="38"/>
        </w:numPr>
        <w:spacing w:after="0"/>
      </w:pPr>
      <w:r>
        <w:t>“Reliability means making systems work correctly, even when faults occur.”</w:t>
      </w:r>
    </w:p>
    <w:p w:rsidR="00B90B5F" w:rsidRDefault="00B90B5F" w:rsidP="00B90B5F">
      <w:pPr>
        <w:numPr>
          <w:ilvl w:val="0"/>
          <w:numId w:val="38"/>
        </w:numPr>
        <w:spacing w:after="0"/>
      </w:pPr>
      <w:r>
        <w:lastRenderedPageBreak/>
        <w:t>“Scalability means having strategies for keeping performance good, even when load increases.”</w:t>
      </w:r>
    </w:p>
    <w:p w:rsidR="000876C5" w:rsidRDefault="000876C5" w:rsidP="000876C5">
      <w:pPr>
        <w:spacing w:after="0"/>
        <w:ind w:left="720"/>
      </w:pPr>
    </w:p>
    <w:p w:rsidR="00B90B5F" w:rsidRDefault="00B90B5F" w:rsidP="00B90B5F">
      <w:r>
        <w:t>Both are frequently occurring concepts in cloud architecture, and deal with previously mentioned issues surrounding lost opportunity cost and the capacity utilisation curve</w:t>
      </w:r>
      <w:r w:rsidR="00C7463F">
        <w:t xml:space="preserve"> </w:t>
      </w:r>
      <w:r w:rsidR="00C7463F">
        <w:fldChar w:fldCharType="begin"/>
      </w:r>
      <w:r w:rsidR="00C7463F">
        <w:instrText xml:space="preserve"> ADDIN ZOTERO_ITEM CSL_CITATION {"citationID":"OSpY6kX1","properties":{"formattedCitation":"[9]","plainCitation":"[9]","noteIndex":0},"citationItems":[{"id":265,"uris":["http://zotero.org/users/local/scBqMw08/items/IJX3ITNT"],"uri":["http://zotero.org/users/local/scBqMw08/items/IJX3ITNT"],"itemData":{"id":265,"type":"article-journal","abstract":"Cloud computing has become the most promising way of purchasing computing resources over the Internet. The main advantage of.cloud computing is its economic advantages over the traditional computing resource provisioning. For cloud computing to become acceptable to wider audience, it is necessary to maintain the quality of service (QoS) commitments specified in the service level agreement. In this paper, the authors propose a robust multi-level trust computing mechanism that can be used to track the performance of cloud systems using multiple QoS attributes. In addition, tests carried out show that the proposed mechanism is more robust than the ones published in the literature.","container-title":"Jurnal Teknologi","DOI":"10.11113/jt.v69.3096","journalAbbreviation":"Jurnal Teknologi","source":"ResearchGate","title":"Robust Multi-Dimensional Trust Computing Mechanism for Cloud Computing","volume":"69","author":[{"family":"Firdhous","given":"Mohamed"},{"family":"Ghazali","given":"Osman"},{"family":"Hassan","given":"Suhaidi"}],"issued":{"date-parts":[["2014",6,22]]}}}],"schema":"https://github.com/citation-style-language/schema/raw/master/csl-citation.json"} </w:instrText>
      </w:r>
      <w:r w:rsidR="00C7463F">
        <w:fldChar w:fldCharType="separate"/>
      </w:r>
      <w:r w:rsidR="00C7463F" w:rsidRPr="00C7463F">
        <w:rPr>
          <w:rFonts w:ascii="Calibri" w:hAnsi="Calibri" w:cs="Calibri"/>
        </w:rPr>
        <w:t>[9]</w:t>
      </w:r>
      <w:r w:rsidR="00C7463F">
        <w:fldChar w:fldCharType="end"/>
      </w:r>
      <w:r>
        <w:t>.</w:t>
      </w:r>
    </w:p>
    <w:p w:rsidR="00B90B5F" w:rsidRDefault="00B90B5F" w:rsidP="00B90B5F">
      <w:r>
        <w:t xml:space="preserve">A traditional method of looking at availability is the concept of nines </w:t>
      </w:r>
      <w:r w:rsidR="00C7463F">
        <w:fldChar w:fldCharType="begin"/>
      </w:r>
      <w:r w:rsidR="00C7463F">
        <w:instrText xml:space="preserve"> ADDIN ZOTERO_ITEM CSL_CITATION {"citationID":"KpU6N8Dv","properties":{"formattedCitation":"[22]","plainCitation":"[22]","noteIndex":0},"citationItems":[{"id":303,"uris":["http://zotero.org/users/local/scBqMw08/items/ETWM3WM9"],"uri":["http://zotero.org/users/local/scBqMw08/items/ETWM3WM9"],"itemData":{"id":303,"type":"article-journal","language":"en","page":"14","source":"Zotero","title":"Carrier-Grade: Five Nines, the Myth and the Reality","author":[{"family":"Greene","given":"Wedge"},{"family":"Lancaster","given":"Barbara"}],"issued":{"date-parts":[["2006"]]}}}],"schema":"https://github.com/citation-style-language/schema/raw/master/csl-citation.json"} </w:instrText>
      </w:r>
      <w:r w:rsidR="00C7463F">
        <w:fldChar w:fldCharType="separate"/>
      </w:r>
      <w:r w:rsidR="00C7463F" w:rsidRPr="00C7463F">
        <w:rPr>
          <w:rFonts w:ascii="Calibri" w:hAnsi="Calibri" w:cs="Calibri"/>
        </w:rPr>
        <w:t>[22]</w:t>
      </w:r>
      <w:r w:rsidR="00C7463F">
        <w:fldChar w:fldCharType="end"/>
      </w:r>
      <w:r>
        <w:rPr>
          <w:b/>
        </w:rPr>
        <w:t xml:space="preserve"> </w:t>
      </w:r>
      <w:r>
        <w:t>with a higher number of nines equating to a higher level of availability (e.g. five nines would equate to 99.999% uptime, or ~5 minutes of downtime per year). A figure of nines is often used as a target for IT professionals, and equ</w:t>
      </w:r>
      <w:r w:rsidR="000876C5">
        <w:t>ally applies to cloud computing.</w:t>
      </w:r>
      <w:r>
        <w:t xml:space="preserve"> </w:t>
      </w:r>
      <w:r w:rsidR="000876C5">
        <w:t>M</w:t>
      </w:r>
      <w:r>
        <w:t>ission critical applications and services might require an extremely high level of availability, whilst those less critical may be able to tolerate lower levels.</w:t>
      </w:r>
    </w:p>
    <w:p w:rsidR="00B90B5F" w:rsidRDefault="00B90B5F" w:rsidP="00B90B5F">
      <w:r>
        <w:t>Reliability in the cloud space feeds into this concept of availability, with multiple instances being able to be spun up at one time, across multiple availability zones to balance workload and allow for work to be passed to a peer should an element fail. A</w:t>
      </w:r>
      <w:r w:rsidR="000876C5">
        <w:t xml:space="preserve"> demonstration of this can be seen in a</w:t>
      </w:r>
      <w:r>
        <w:t xml:space="preserve"> 2020 AWS study </w:t>
      </w:r>
      <w:r w:rsidR="00C7463F">
        <w:fldChar w:fldCharType="begin"/>
      </w:r>
      <w:r w:rsidR="00C7463F">
        <w:instrText xml:space="preserve"> ADDIN ZOTERO_ITEM CSL_CITATION {"citationID":"DtrsZ4h7","properties":{"formattedCitation":"[23]","plainCitation":"[23]","noteIndex":0},"citationItems":[{"id":304,"uris":["http://zotero.org/users/local/scBqMw08/items/8Y247MS7"],"uri":["http://zotero.org/users/local/scBqMw08/items/8Y247MS7"],"itemData":{"id":304,"type":"webpage","abstract":"Every hour of every day, our nation’s first responders and 9-1-1 personnel rely on a patchwork of telecommunications and public safety applications to protect their residents and save lives. Whether it’s a 9-1-1 answering point, a computer aided dispatch (CAD) system, a records management (RMS) system, or a mobile communications network, emergency response systems must be available and operational at all times. The accepted availability standard for emergency response systems is 99.999% or “five nines” – or about five minutes and 15 seconds of downtime per year.","container-title":"Amazon Web Services","language":"en-US","note":"section: Government","title":"Achieving “five nines” in the cloud for justice and public safety","URL":"https://aws.amazon.com/blogs/publicsector/achieving-five-nines-cloud-justice-public-safety/","accessed":{"date-parts":[["2021",4,22]]},"issued":{"date-parts":[["2020",3,17]]}}}],"schema":"https://github.com/citation-style-language/schema/raw/master/csl-citation.json"} </w:instrText>
      </w:r>
      <w:r w:rsidR="00C7463F">
        <w:fldChar w:fldCharType="separate"/>
      </w:r>
      <w:r w:rsidR="00C7463F" w:rsidRPr="00C7463F">
        <w:rPr>
          <w:rFonts w:ascii="Calibri" w:hAnsi="Calibri" w:cs="Calibri"/>
        </w:rPr>
        <w:t>[23]</w:t>
      </w:r>
      <w:r w:rsidR="00C7463F">
        <w:fldChar w:fldCharType="end"/>
      </w:r>
      <w:r>
        <w:rPr>
          <w:b/>
        </w:rPr>
        <w:t xml:space="preserve"> </w:t>
      </w:r>
      <w:r w:rsidR="000876C5" w:rsidRPr="000876C5">
        <w:t>which</w:t>
      </w:r>
      <w:r w:rsidR="000876C5">
        <w:rPr>
          <w:b/>
        </w:rPr>
        <w:t xml:space="preserve"> </w:t>
      </w:r>
      <w:r>
        <w:t>looked at achieving five nines in the public safety communications sector</w:t>
      </w:r>
      <w:r w:rsidR="0012516C">
        <w:t>. The study puts</w:t>
      </w:r>
      <w:r>
        <w:t xml:space="preserve"> together a fault-tolerant solution using services such as Amazon Elastic Compute Cloud (EC2), Elastic Load Balancing (ELB), Amazon Aurora, Amazon Route 53 and multiple availability zones to demonstrate how this is achievable, as well as considering a </w:t>
      </w:r>
      <w:proofErr w:type="spellStart"/>
      <w:r>
        <w:t>serverless</w:t>
      </w:r>
      <w:proofErr w:type="spellEnd"/>
      <w:r>
        <w:t xml:space="preserve"> approach which adds simplification and provides high availability as default</w:t>
      </w:r>
      <w:r w:rsidR="00C7463F">
        <w:t xml:space="preserve"> </w:t>
      </w:r>
      <w:r w:rsidR="00C7463F">
        <w:fldChar w:fldCharType="begin"/>
      </w:r>
      <w:r w:rsidR="00C7463F">
        <w:instrText xml:space="preserve"> ADDIN ZOTERO_ITEM CSL_CITATION {"citationID":"XgnfcY5T","properties":{"formattedCitation":"[24]","plainCitation":"[24]","noteIndex":0},"citationItems":[{"id":306,"uris":["http://zotero.org/users/local/scBqMw08/items/BEN32HM9"],"uri":["http://zotero.org/users/local/scBqMw08/items/BEN32HM9"],"itemData":{"id":306,"type":"webpage","title":"Using Serverless Architectures for High Availability - Fault-Tolerant Components on AWS","URL":"https://docs.aws.amazon.com/whitepapers/latest/fault-tolerant-components/using-serverless-architectures-for-high-availability.html","accessed":{"date-parts":[["2021",4,22]]}}}],"schema":"https://github.com/citation-style-language/schema/raw/master/csl-citation.json"} </w:instrText>
      </w:r>
      <w:r w:rsidR="00C7463F">
        <w:fldChar w:fldCharType="separate"/>
      </w:r>
      <w:r w:rsidR="00C7463F" w:rsidRPr="00C7463F">
        <w:rPr>
          <w:rFonts w:ascii="Calibri" w:hAnsi="Calibri" w:cs="Calibri"/>
        </w:rPr>
        <w:t>[24]</w:t>
      </w:r>
      <w:r w:rsidR="00C7463F">
        <w:fldChar w:fldCharType="end"/>
      </w:r>
      <w:r>
        <w:t>.</w:t>
      </w:r>
    </w:p>
    <w:p w:rsidR="00B90B5F" w:rsidRDefault="00B90B5F" w:rsidP="00B90B5F">
      <w:r>
        <w:t>Scalability is another feature feeding into availability, in cloud environment instances can be ‘spun-up’ and ‘wound-down’ as and when required, enabling high performance to meet peaks in demand, and a reduction in running costs through low periods. This is in</w:t>
      </w:r>
      <w:r w:rsidR="00C7463F">
        <w:t xml:space="preserve"> comparison to a traditional on </w:t>
      </w:r>
      <w:r>
        <w:t xml:space="preserve">premise solution where a decision would need to be made to either offer large overheads that are infrequently used, or reduced performance when demand is high. Consideration does need to be given however to setting limits to prevent a malicious actor causing excessive cloud usage (such as through a </w:t>
      </w:r>
      <w:proofErr w:type="spellStart"/>
      <w:r>
        <w:t>DDoS</w:t>
      </w:r>
      <w:proofErr w:type="spellEnd"/>
      <w:r>
        <w:t xml:space="preserve"> attack), although generally cloud providers offer solutions to mitigate this sort of economic damage</w:t>
      </w:r>
      <w:r w:rsidR="00C7463F">
        <w:t xml:space="preserve"> </w:t>
      </w:r>
      <w:r w:rsidR="00C7463F">
        <w:fldChar w:fldCharType="begin"/>
      </w:r>
      <w:r w:rsidR="00C7463F">
        <w:instrText xml:space="preserve"> ADDIN ZOTERO_ITEM CSL_CITATION {"citationID":"cSe1lB3q","properties":{"formattedCitation":"[25]","plainCitation":"[25]","noteIndex":0},"citationItems":[{"id":308,"uris":["http://zotero.org/users/local/scBqMw08/items/GUX4N6KR"],"uri":["http://zotero.org/users/local/scBqMw08/items/GUX4N6KR"],"itemData":{"id":308,"type":"post-weblog","abstract":"Never mind the hype about serverless. Never mind about whether the word “serverless” is even the right word. We need to start thinking about whether AWS Lambda and similar services are potentially opening up a way for the malicious to hit companies where it hurts the most: the bank balance. Hosting Costs Under Attack If […]","container-title":"The New Stack","language":"en-US","title":"Could Zombie Toasters DDoS My Serverless Deployment?","URL":"https://thenewstack.io/zombie-toasters-eat-startup/","accessed":{"date-parts":[["2021",4,22]]},"issued":{"date-parts":[["2017",1,10]]}}}],"schema":"https://github.com/citation-style-language/schema/raw/master/csl-citation.json"} </w:instrText>
      </w:r>
      <w:r w:rsidR="00C7463F">
        <w:fldChar w:fldCharType="separate"/>
      </w:r>
      <w:r w:rsidR="00C7463F" w:rsidRPr="00C7463F">
        <w:rPr>
          <w:rFonts w:ascii="Calibri" w:hAnsi="Calibri" w:cs="Calibri"/>
        </w:rPr>
        <w:t>[25]</w:t>
      </w:r>
      <w:r w:rsidR="00C7463F">
        <w:fldChar w:fldCharType="end"/>
      </w:r>
      <w:r>
        <w:t>.</w:t>
      </w:r>
    </w:p>
    <w:p w:rsidR="00C07D61" w:rsidRDefault="00B90B5F" w:rsidP="00C07D61">
      <w:pPr>
        <w:pStyle w:val="Heading1"/>
      </w:pPr>
      <w:bookmarkStart w:id="6" w:name="_Toc70884220"/>
      <w:r>
        <w:t>Virtualisation and Docker</w:t>
      </w:r>
      <w:bookmarkEnd w:id="6"/>
    </w:p>
    <w:p w:rsidR="00B90B5F" w:rsidRDefault="00B90B5F" w:rsidP="00B90B5F">
      <w:r>
        <w:t>A traditional method for splitting computing capacity is the idea of virtualisation, where virtualised computers can sit on top of a single host, meaning one piece of hardware can provide an environment for multiple separate virtual machines. Especially when looking at cloud computing, this resource sharing is vital as it is first and foremost what allows cloud providers to utilise economies of scale to offer a reduced cost to customers as compared to running their own dedicated hardware. However, with this pooling of resources in a multi-tenancy arrangement comes a need for isolation, meaning data for one customer is not available to that of another, even if they are both running applications on the same underlying hardware.</w:t>
      </w:r>
    </w:p>
    <w:p w:rsidR="00B90B5F" w:rsidRDefault="00B90B5F" w:rsidP="00B90B5F">
      <w:r>
        <w:t>Virtual machines have for a long time been the default approach here</w:t>
      </w:r>
      <w:r w:rsidR="00C7463F">
        <w:t xml:space="preserve"> </w:t>
      </w:r>
      <w:r w:rsidR="00C7463F">
        <w:fldChar w:fldCharType="begin"/>
      </w:r>
      <w:r w:rsidR="00C7463F">
        <w:instrText xml:space="preserve"> ADDIN ZOTERO_ITEM CSL_CITATION {"citationID":"S5BqzEns","properties":{"formattedCitation":"[26]","plainCitation":"[26]","noteIndex":0},"citationItems":[{"id":322,"uris":["http://zotero.org/users/local/scBqMw08/items/V2M55WNF"],"uri":["http://zotero.org/users/local/scBqMw08/items/V2M55WNF"],"itemData":{"id":322,"type":"book","abstract":"Learn virtualization skills by building your own virtual machine Virtualization Essentials, Second Edition provides new and aspiring IT professionals with immersive training in working with virtualization environments. Clear, straightforward discussion simplifies complex concepts, and the hands-on tutorial approach helps you quickly get up to speed on the fundamentals. You'll begin by learning what virtualization is and how it works within the computing environment, then you'll dive right into building your own virtual machine. You'll learn how to set up the CPU, memory, storage, networking, and more as you master the skills that put you in-demand on the job market. Each chapter focuses on a specific goal, and concludes with review questions that test your understanding as well as suggested exercises that help you reinforce what you've learned. As more and more companies are leveraging virtualization, it's imperative that IT professionals have the skills and knowledge to interface with virtualization-centric infrastructures. This book takes a learning-by-doing approach to give you hands-on training and a core understanding of virtualization. Understand how virtualization works Create a virtual machine by scratch and migration Configure and manage basic components and supporting devices Develop the necessary skill set to work in today's virtual world Virtualization was initially used to build test labs, but its use has expanded to become best practice for a tremendous variety of IT solutions including high availability, business continuity, dynamic IT, and more. Cloud computing and DevOps rely on virtualization technologies, and the exponential spread of these and similar applications make virtualization proficiency a major value-add for any IT professional. Virtualization Essentials, Second Edition provides accessible, user-friendly, informative virtualization training for the forward-looking pro.","event-place":"Newark, UNITED STATES","ISBN":"978-1-119-26774-4","publisher":"John Wiley &amp; Sons, Incorporated","publisher-place":"Newark, UNITED STATES","source":"ProQuest Ebook Central","title":"Virtualization Essentials","URL":"http://ebookcentral.proquest.com/lib/trinity/detail.action?docID=4644086","author":[{"family":"Portnoy","given":"Matthew"}],"accessed":{"date-parts":[["2021",4,24]]},"issued":{"date-parts":[["2016"]]}}}],"schema":"https://github.com/citation-style-language/schema/raw/master/csl-citation.json"} </w:instrText>
      </w:r>
      <w:r w:rsidR="00C7463F">
        <w:fldChar w:fldCharType="separate"/>
      </w:r>
      <w:r w:rsidR="00C7463F" w:rsidRPr="00C7463F">
        <w:rPr>
          <w:rFonts w:ascii="Calibri" w:hAnsi="Calibri" w:cs="Calibri"/>
        </w:rPr>
        <w:t>[26]</w:t>
      </w:r>
      <w:r w:rsidR="00C7463F">
        <w:fldChar w:fldCharType="end"/>
      </w:r>
      <w:r>
        <w:t xml:space="preserve">, with a host operating system (OS) sitting on top of the hardware, and a type 2 hypervisor sitting on this host OS. Type 1 hypervisors are also available, which sit directly on the hardware and remove the need for a host OS. Each virtual machine then operates its own guest OS, with its own bins, libraries and applications. This approach can be considered analogous to a traditional set up where each machine would run on </w:t>
      </w:r>
      <w:r>
        <w:lastRenderedPageBreak/>
        <w:t>completely separate hardware, and by the nature of this form of virtualisation this does result in a resource intensive set up with potentially bloated system requirements.</w:t>
      </w:r>
    </w:p>
    <w:p w:rsidR="00B90B5F" w:rsidRDefault="00B90B5F" w:rsidP="00B90B5F">
      <w:r>
        <w:t xml:space="preserve">Over time, a new concept has evolved in containerisation </w:t>
      </w:r>
      <w:r w:rsidR="00C7463F">
        <w:fldChar w:fldCharType="begin"/>
      </w:r>
      <w:r w:rsidR="00C7463F">
        <w:instrText xml:space="preserve"> ADDIN ZOTERO_ITEM CSL_CITATION {"citationID":"qkRPOZML","properties":{"formattedCitation":"[27]","plainCitation":"[27]","noteIndex":0},"citationItems":[{"id":324,"uris":["http://zotero.org/users/local/scBqMw08/items/W6ZLIYC2"],"uri":["http://zotero.org/users/local/scBqMw08/items/W6ZLIYC2"],"itemData":{"id":324,"type":"article-journal","abstract":"Containerization is revolutionizing the way that many industries operate, provisioning major impact to modern computing technologies because it is extra lightweight, highly portable, energy, resource and storage efficient, cost-effective, performance efficient, and extremely quick during boot up. These often facilitate efficient load balancing, low-level system maintenance, server consolidation (for efficient energy and resource utilization) and replication of instances over geographical locations for better fault tolerance to escalate application reliability. However, some recent literature have addressed various challenges (such as complex networking, persistent storage facilities, cross data centers and multicloud supports, security issues, and lack of available, capable container management APIs, etc.) regarding successful container adoption in industries, which might have resulted in a seemingly meager increase in industrial deployments of containerization over the past few years despite bestowing efficient lightweight virtualization. Moreover, a comprehensive overview of containerizations along with their popularity dynamics has still not been found in contemporary literature, which further extends knowledge gap between developers and available technologies. Hence, current study touches upon different technicalities involved in containerization with potential problems and possible solutions along with various important industrial applications to manifest its existing supports and technical hardships. Finally, we have conducted a comprehensive experimental study to compare the performance of VMs, containers and unikernels in terms of CPU utilization, memory footprints, network bandwidth, execution time and technological maturity using standard benchmarks and observed containers to deliver satisfactory performance in almost all aspects, however, are still not free from issues regarding isolation &amp; security, performance stability, lack of available efficient tools for crossplatform support and persistent storage. Unikernels deliver good performance with VM-like isolation but still need to achieve desired technical maturity (in terms of microprocessor stability, process containment, persistent storage, etc.). VMs, on the other hand, are found to provide stable performance throughout, though bigger memory footprints and slower spin up/down remain their biggest weaknesses.","container-title":"IEEE Access","DOI":"10.1109/ACCESS.2019.2945930","ISSN":"2169-3536","note":"event: IEEE Access","page":"152443-152472","source":"IEEE Xplore","title":"Emerging Trends, Techniques and Open Issues of Containerization: A Review","title-short":"Emerging Trends, Techniques and Open Issues of Containerization","volume":"7","author":[{"family":"Watada","given":"Junzo"},{"family":"Roy","given":"Arunava"},{"family":"Kadikar","given":"Ruturaj"},{"family":"Pham","given":"Hoang"},{"family":"Xu","given":"Bing"}],"issued":{"date-parts":[["2019"]]}}}],"schema":"https://github.com/citation-style-language/schema/raw/master/csl-citation.json"} </w:instrText>
      </w:r>
      <w:r w:rsidR="00C7463F">
        <w:fldChar w:fldCharType="separate"/>
      </w:r>
      <w:r w:rsidR="00C7463F" w:rsidRPr="00C7463F">
        <w:rPr>
          <w:rFonts w:ascii="Calibri" w:hAnsi="Calibri" w:cs="Calibri"/>
        </w:rPr>
        <w:t>[27]</w:t>
      </w:r>
      <w:r w:rsidR="00C7463F">
        <w:fldChar w:fldCharType="end"/>
      </w:r>
      <w:hyperlink r:id="rId10"/>
      <w:r>
        <w:t xml:space="preserve">. This removes the need for a hypervisor and replaces instead with a lightweight engine (such as Docker), on which applications can sit directly, with no need for a guest OS - the OS is shared. A containerised set up also provides opportunity for shared bins and libraries between applications, if required. The lightweight nature of containerisation does away with the heaviness of a virtual machine. According to Rad et Al. performance of Docker in terms of speed is improved in comparison to a virtual machine equivalent in all scenarios tested </w:t>
      </w:r>
      <w:r w:rsidR="00C7463F">
        <w:fldChar w:fldCharType="begin"/>
      </w:r>
      <w:r w:rsidR="00C7463F">
        <w:instrText xml:space="preserve"> ADDIN ZOTERO_ITEM CSL_CITATION {"citationID":"DdPfT29X","properties":{"formattedCitation":"[28]","plainCitation":"[28]","noteIndex":0},"citationItems":[{"id":311,"uris":["http://zotero.org/users/local/scBqMw08/items/KR8846ES"],"uri":["http://zotero.org/users/local/scBqMw08/items/KR8846ES"],"itemData":{"id":311,"type":"article-journal","abstract":"Docker provide some facilities, which are useful for developers and administrators. It is an open platform can be used for building, distributing, and running applications in a portable, lightweight runtime and packaging tool, known as Docker Engine. It also provide Docker Hub, which is a cloud service for sharing applications. Costs can be reduced by replacing traditional virtual machine with docker container. It excellently reduces the cost of re-building the cloud development platform.","language":"en","page":"8","source":"Zotero","title":"An Introduction to Docker and Analysis of its Performance","author":[{"family":"Rad","given":"Babak Bashari"},{"family":"Bhatti","given":"Harrison John"},{"family":"Ahmadi","given":"Mohammad"}],"issued":{"date-parts":[["2017"]]}}}],"schema":"https://github.com/citation-style-language/schema/raw/master/csl-citation.json"} </w:instrText>
      </w:r>
      <w:r w:rsidR="00C7463F">
        <w:fldChar w:fldCharType="separate"/>
      </w:r>
      <w:r w:rsidR="00C7463F" w:rsidRPr="00C7463F">
        <w:rPr>
          <w:rFonts w:ascii="Calibri" w:hAnsi="Calibri" w:cs="Calibri"/>
        </w:rPr>
        <w:t>[28]</w:t>
      </w:r>
      <w:r w:rsidR="00C7463F">
        <w:fldChar w:fldCharType="end"/>
      </w:r>
      <w:hyperlink r:id="rId11"/>
      <w:r>
        <w:t>.</w:t>
      </w:r>
    </w:p>
    <w:p w:rsidR="00B90B5F" w:rsidRDefault="00B90B5F" w:rsidP="00B90B5F">
      <w:r>
        <w:t>Additionally, containerisation fits into the continuous integration/continuous deployment (CI/CD) methodology, which makes it simple and beneficial for developers to utilise a shared repository, and therefore to aid efficient code deployment. For this reason, container usage is growing at great speed, with month</w:t>
      </w:r>
      <w:r w:rsidR="0012516C">
        <w:t>ly</w:t>
      </w:r>
      <w:r>
        <w:t xml:space="preserve"> pulls from Docker Hub roughly doubling in a six month timescale </w:t>
      </w:r>
      <w:r w:rsidR="00C7463F">
        <w:fldChar w:fldCharType="begin"/>
      </w:r>
      <w:r w:rsidR="00C7463F">
        <w:instrText xml:space="preserve"> ADDIN ZOTERO_ITEM CSL_CITATION {"citationID":"b3o3gWQq","properties":{"formattedCitation":"[29]","plainCitation":"[29]","noteIndex":0},"citationItems":[{"id":316,"uris":["http://zotero.org/users/local/scBqMw08/items/ICIKL4SR"],"uri":["http://zotero.org/users/local/scBqMw08/items/ICIKL4SR"],"itemData":{"id":316,"type":"post-weblog","abstract":"Learn from Docker experts to simplify and advance your app development and management with Docker. Stay up to date on Docker events and new version announcements!","container-title":"Docker Blog","language":"en-US","title":"Docker Index: Dramatic Growth in Docker Usage Affirms the Continued Rising Power of Developers","title-short":"Docker Index","URL":"https://www.docker.com/blog/docker-index-dramatic-growth-in-docker-usage-affirms-the-continued-rising-power-of-developers/","accessed":{"date-parts":[["2021",4,24]]},"issued":{"date-parts":[["2020",7,30]]}}}],"schema":"https://github.com/citation-style-language/schema/raw/master/csl-citation.json"} </w:instrText>
      </w:r>
      <w:r w:rsidR="00C7463F">
        <w:fldChar w:fldCharType="separate"/>
      </w:r>
      <w:r w:rsidR="00C7463F" w:rsidRPr="00C7463F">
        <w:rPr>
          <w:rFonts w:ascii="Calibri" w:hAnsi="Calibri" w:cs="Calibri"/>
        </w:rPr>
        <w:t>[29]</w:t>
      </w:r>
      <w:r w:rsidR="00C7463F">
        <w:fldChar w:fldCharType="end"/>
      </w:r>
      <w:hyperlink r:id="rId12"/>
      <w:r>
        <w:t xml:space="preserve"> according to figures released by Docker in July 2020. However, with Kubernetes announcing the imminent deprecation of Docker as it is currently known in 2021 </w:t>
      </w:r>
      <w:r w:rsidR="00C7463F">
        <w:fldChar w:fldCharType="begin"/>
      </w:r>
      <w:r w:rsidR="00C7463F">
        <w:instrText xml:space="preserve"> ADDIN ZOTERO_ITEM CSL_CITATION {"citationID":"MkV2vNeO","properties":{"formattedCitation":"[30]","plainCitation":"[30]","noteIndex":0},"citationItems":[{"id":318,"uris":["http://zotero.org/users/local/scBqMw08/items/PVYQL6RE"],"uri":["http://zotero.org/users/local/scBqMw08/items/PVYQL6RE"],"itemData":{"id":318,"type":"webpage","abstract":"Authors: Jorge Castro, Duffie Cooley, Kat Cosgrove, Justin Garrison, Noah Kantrowitz, Bob Killen, Rey Lejano, Dan “POP” Papandrea, Jeffrey Sica, Davanum “Dims” Srinivas\nKubernetes is deprecating Docker as a container runtime after v1.20.\nYou do not need to panic. It’s not as dramatic as it sounds.\nTL;DR Docker as an underlying runtime is being deprecated in favor of runtimes that use the Container Runtime Interface (CRI) created for Kubernetes. Docker-produced images will continue to work in your cluster with all runtimes, as they always have.","container-title":"Kubernetes","language":"en","note":"section: blog","title":"Don't Panic: Kubernetes and Docker","title-short":"Don't Panic","URL":"https://kubernetes.io/blog/2020/12/02/dont-panic-kubernetes-and-docker/","accessed":{"date-parts":[["2021",4,24]]},"issued":{"date-parts":[["2020",12,2]]}}}],"schema":"https://github.com/citation-style-language/schema/raw/master/csl-citation.json"} </w:instrText>
      </w:r>
      <w:r w:rsidR="00C7463F">
        <w:fldChar w:fldCharType="separate"/>
      </w:r>
      <w:r w:rsidR="00C7463F" w:rsidRPr="00C7463F">
        <w:rPr>
          <w:rFonts w:ascii="Calibri" w:hAnsi="Calibri" w:cs="Calibri"/>
        </w:rPr>
        <w:t>[30]</w:t>
      </w:r>
      <w:r w:rsidR="00C7463F">
        <w:fldChar w:fldCharType="end"/>
      </w:r>
      <w:r>
        <w:t xml:space="preserve"> an evidential shift is taking place according to research completed by </w:t>
      </w:r>
      <w:proofErr w:type="spellStart"/>
      <w:r>
        <w:t>Sysdig</w:t>
      </w:r>
      <w:proofErr w:type="spellEnd"/>
      <w:r>
        <w:t xml:space="preserve"> </w:t>
      </w:r>
      <w:r w:rsidR="00C7463F">
        <w:fldChar w:fldCharType="begin"/>
      </w:r>
      <w:r w:rsidR="00C7463F">
        <w:instrText xml:space="preserve"> ADDIN ZOTERO_ITEM CSL_CITATION {"citationID":"qfgAZktG","properties":{"formattedCitation":"[31]","plainCitation":"[31]","noteIndex":0},"citationItems":[{"id":320,"uris":["http://zotero.org/users/local/scBqMw08/items/DD36KSRE"],"uri":["http://zotero.org/users/local/scBqMw08/items/DD36KSRE"],"itemData":{"id":320,"type":"webpage","abstract":"Sysdig 2021 Container Security and Usage Report.","container-title":"Sysdig","language":"en","title":"REPORT. 2021 Container Security And Usage Report","URL":"https://dig.sysdig.com/c/pf-2021-container-security-and-usage-report?x=u_WFRi&amp;utm_source=gated-organic&amp;utm_medium=website","accessed":{"date-parts":[["2021",4,24]]}}}],"schema":"https://github.com/citation-style-language/schema/raw/master/csl-citation.json"} </w:instrText>
      </w:r>
      <w:r w:rsidR="00C7463F">
        <w:fldChar w:fldCharType="separate"/>
      </w:r>
      <w:r w:rsidR="00C7463F" w:rsidRPr="00C7463F">
        <w:rPr>
          <w:rFonts w:ascii="Calibri" w:hAnsi="Calibri" w:cs="Calibri"/>
        </w:rPr>
        <w:t>[31]</w:t>
      </w:r>
      <w:r w:rsidR="00C7463F">
        <w:fldChar w:fldCharType="end"/>
      </w:r>
      <w:hyperlink r:id="rId13"/>
      <w:r>
        <w:t xml:space="preserve">, a reduction in Docker deployment is being met by an increase for tools such as </w:t>
      </w:r>
      <w:proofErr w:type="spellStart"/>
      <w:r>
        <w:t>Containerd</w:t>
      </w:r>
      <w:proofErr w:type="spellEnd"/>
      <w:r>
        <w:t xml:space="preserve"> and Cri-o; this is not however necessarily indicative of market share loss for Docker, only that it is splitting it’s runtime features into separate entities (including </w:t>
      </w:r>
      <w:proofErr w:type="spellStart"/>
      <w:r>
        <w:t>Containerd</w:t>
      </w:r>
      <w:proofErr w:type="spellEnd"/>
      <w:r>
        <w:t>).</w:t>
      </w:r>
    </w:p>
    <w:p w:rsidR="00B90B5F" w:rsidRDefault="00B90B5F" w:rsidP="00B90B5F">
      <w:r>
        <w:t xml:space="preserve">Alongside this, Docker containers are easily portable - they are self-sufficient and all required code can be encapsulated into a single container. Due to this self-sufficiency alongside their low performance requirements, Docker containers are quick to boot up and therefore lend themselves well to cloud scalability where new application instances can be started up as required and at great speed using a service such as Amazon’s Elastic Container Service (ECS) </w:t>
      </w:r>
      <w:r w:rsidR="00C7463F">
        <w:fldChar w:fldCharType="begin"/>
      </w:r>
      <w:r w:rsidR="00C7463F">
        <w:instrText xml:space="preserve"> ADDIN ZOTERO_ITEM CSL_CITATION {"citationID":"4D927MPP","properties":{"formattedCitation":"[32]","plainCitation":"[32]","noteIndex":0},"citationItems":[{"id":327,"uris":["http://zotero.org/users/local/scBqMw08/items/BGBKUPQI"],"uri":["http://zotero.org/users/local/scBqMw08/items/BGBKUPQI"],"itemData":{"id":327,"type":"webpage","title":"What is Amazon Elastic Container Service? - Amazon Elastic Container Service","URL":"https://docs.aws.amazon.com/AmazonECS/latest/developerguide/Welcome.html","accessed":{"date-parts":[["2021",4,24]]}}}],"schema":"https://github.com/citation-style-language/schema/raw/master/csl-citation.json"} </w:instrText>
      </w:r>
      <w:r w:rsidR="00C7463F">
        <w:fldChar w:fldCharType="separate"/>
      </w:r>
      <w:r w:rsidR="00C7463F" w:rsidRPr="00C7463F">
        <w:rPr>
          <w:rFonts w:ascii="Calibri" w:hAnsi="Calibri" w:cs="Calibri"/>
        </w:rPr>
        <w:t>[32]</w:t>
      </w:r>
      <w:r w:rsidR="00C7463F">
        <w:fldChar w:fldCharType="end"/>
      </w:r>
      <w:hyperlink r:id="rId14"/>
      <w:r>
        <w:t>.</w:t>
      </w:r>
    </w:p>
    <w:p w:rsidR="00B90B5F" w:rsidRDefault="00B90B5F" w:rsidP="00B90B5F">
      <w:r>
        <w:t>Node.js is an open-source server environment which uses lightweight event-driven programming and can be used with a containerisation suite such as Docker to help deliver the full benefits of scalability in a cloud environment</w:t>
      </w:r>
      <w:r w:rsidR="00C7463F">
        <w:t xml:space="preserve"> </w:t>
      </w:r>
      <w:r w:rsidR="00C7463F">
        <w:fldChar w:fldCharType="begin"/>
      </w:r>
      <w:r w:rsidR="00C7463F">
        <w:instrText xml:space="preserve"> ADDIN ZOTERO_ITEM CSL_CITATION {"citationID":"otYvyGqI","properties":{"formattedCitation":"[33]","plainCitation":"[33]","noteIndex":0},"citationItems":[{"id":314,"uris":["http://zotero.org/users/local/scBqMw08/items/V5567MP8"],"uri":["http://zotero.org/users/local/scBqMw08/items/V5567MP8"],"itemData":{"id":314,"type":"webpage","abstract":"Node.js® is a JavaScript runtime built on Chrome's V8 JavaScript engine.","container-title":"Node.js","language":"en","title":"About","URL":"https://nodejs.org/en/about/","author":[{"family":"Node.js","given":""}],"accessed":{"date-parts":[["2021",4,24]]}}}],"schema":"https://github.com/citation-style-language/schema/raw/master/csl-citation.json"} </w:instrText>
      </w:r>
      <w:r w:rsidR="00C7463F">
        <w:fldChar w:fldCharType="separate"/>
      </w:r>
      <w:r w:rsidR="00C7463F" w:rsidRPr="00C7463F">
        <w:rPr>
          <w:rFonts w:ascii="Calibri" w:hAnsi="Calibri" w:cs="Calibri"/>
        </w:rPr>
        <w:t>[33]</w:t>
      </w:r>
      <w:r w:rsidR="00C7463F">
        <w:fldChar w:fldCharType="end"/>
      </w:r>
      <w:r>
        <w:t xml:space="preserve">. Node.js uses asynchronous JavaScript to deliver speed, agility and efficient performance due to its ability to handle a large number of simultaneous connections, typically in a web server set up. A recent study </w:t>
      </w:r>
      <w:r w:rsidR="00C7463F">
        <w:fldChar w:fldCharType="begin"/>
      </w:r>
      <w:r w:rsidR="00C7463F">
        <w:instrText xml:space="preserve"> ADDIN ZOTERO_ITEM CSL_CITATION {"citationID":"3fNUeSKL","properties":{"formattedCitation":"[34]","plainCitation":"[34]","noteIndex":0},"citationItems":[{"id":331,"uris":["http://zotero.org/users/local/scBqMw08/items/QUKGYMW8"],"uri":["http://zotero.org/users/local/scBqMw08/items/QUKGYMW8"],"itemData":{"id":331,"type":"article-journal","abstract":"We examine the implications of end-to-end web application development, in the social web era. The paper describes a distributed architecture, suitable for modern web application development, as well as the interactivity components associated with it. Furthermore, we conducted a series of stress tests, on popular server side technologies. The PHP/Apache stack was found inefficient to address the increasing demand in network traffic. Nginx was found more than 2.5 times faster in input/output (I/O) operations than Apache, whereas Node.js outperformed both. Node.js, although excellent in I/O operations and resource utilization, was found lacking in serving static files using its built in HTTP server, while Nginx performed great at this task. So, in order to address efficiency, an Nginx server could be placed in-front and proxy static file requests, allowing the Node.js processes to only handle dynamic content. Such a configuration can offer a better infrastructure in terms of efficiency and scalability, replacing the aged PHP/Apache stack. Furthermore we have found that building cross platform applications based on web technologies, is both feasible and highly productive, especially when addressing stationary and mobile devices, as well as the fragmentation among them. Our study concludes that Node.js offers client-server development integration, aiding code reusability in web applications, and is the perfect tool for developing fast, scalable network applications.","container-title":"Computing","DOI":"10.1007/s00607-014-0394-9","ISSN":"1436-5057","issue":"10","journalAbbreviation":"Computing","language":"en","page":"1023-1044","source":"Springer Link","title":"Is Node.js a viable option for building modern web applications? A performance evaluation study","title-short":"Is Node.js a viable option for building modern web applications?","volume":"97","author":[{"family":"Chaniotis","given":"Ioannis K."},{"family":"Kyriakou","given":"Kyriakos-Ioannis D."},{"family":"Tselikas","given":"Nikolaos D."}],"issued":{"date-parts":[["2015",10,1]]}}}],"schema":"https://github.com/citation-style-language/schema/raw/master/csl-citation.json"} </w:instrText>
      </w:r>
      <w:r w:rsidR="00C7463F">
        <w:fldChar w:fldCharType="separate"/>
      </w:r>
      <w:r w:rsidR="00C7463F" w:rsidRPr="00C7463F">
        <w:rPr>
          <w:rFonts w:ascii="Calibri" w:hAnsi="Calibri" w:cs="Calibri"/>
        </w:rPr>
        <w:t>[34]</w:t>
      </w:r>
      <w:r w:rsidR="00C7463F">
        <w:fldChar w:fldCharType="end"/>
      </w:r>
      <w:r>
        <w:t xml:space="preserve"> comparing node.js against other web server setups established that node.js outperforms PHP in computational performance, by being more memory efficient and utilising all available processing power. However the study did also show that a more traditional Nginx server did perform at a higher level for serving static content, therefore depending on the requirements of a particular use case a hybrid approach may be the most optimal.</w:t>
      </w:r>
    </w:p>
    <w:p w:rsidR="00B90B5F" w:rsidRPr="00B90B5F" w:rsidRDefault="00B90B5F" w:rsidP="00B90B5F">
      <w:pPr>
        <w:pStyle w:val="Heading1"/>
      </w:pPr>
      <w:bookmarkStart w:id="7" w:name="_Toc70884221"/>
      <w:r>
        <w:t>Development in Node.JS and Docker</w:t>
      </w:r>
      <w:bookmarkEnd w:id="7"/>
    </w:p>
    <w:p w:rsidR="00C07D61" w:rsidRDefault="00B90B5F" w:rsidP="00C07D61">
      <w:pPr>
        <w:pStyle w:val="Heading2"/>
      </w:pPr>
      <w:bookmarkStart w:id="8" w:name="_Toc70884222"/>
      <w:r>
        <w:t>Evaluation</w:t>
      </w:r>
      <w:bookmarkEnd w:id="8"/>
    </w:p>
    <w:p w:rsidR="000231A4" w:rsidRDefault="00B90B5F" w:rsidP="00B90B5F">
      <w:r>
        <w:t xml:space="preserve">Assuming node.js is installed, a new </w:t>
      </w:r>
      <w:proofErr w:type="spellStart"/>
      <w:r>
        <w:t>package.json</w:t>
      </w:r>
      <w:proofErr w:type="spellEnd"/>
      <w:r>
        <w:t xml:space="preserve"> file is required which holds information about the project, as well as a list of dependencies for the project. Dependencies can be either modules required for the project itself to run, or those required for development alone, and can be installed using Node Package Manager (NPM). Separating in this manner allows for easy deployment with the minimal required dependencies included. These modules are similar to the concept of </w:t>
      </w:r>
      <w:r w:rsidR="00C7463F">
        <w:t>JavaScript</w:t>
      </w:r>
      <w:r>
        <w:t xml:space="preserve"> </w:t>
      </w:r>
      <w:r>
        <w:lastRenderedPageBreak/>
        <w:t>libraries, and can be used to add a large variety of functionalities. Similar to libraries, they may also be frequently updated, and functionality should be checked within a project following an update to ensure behaviour remains consistent. Node.js has seen strong community uptake and as a result offers a huge selection of modules to cater to any requirements, this largely speeds up development and makes for a very flexible development process.</w:t>
      </w:r>
    </w:p>
    <w:p w:rsidR="00B90B5F" w:rsidRDefault="00B90B5F" w:rsidP="00B90B5F">
      <w:r>
        <w:t>Using the Server class, node.js can be used to create a simple network service; node.js and the server class already contain much of the pre</w:t>
      </w:r>
      <w:r w:rsidR="00C7463F">
        <w:t>-</w:t>
      </w:r>
      <w:r>
        <w:t>configuration to get this up and running so it is just a case of passing some required parameters such as the response type, and assigning a port and IP to listen for incoming connections. Following this, content can be served by the web server. An example is seen below of a server.js file which sits at 127.0.0.1 and listens on 8124, passing back a 200 response code (OK, success) with the text ‘Hello World’ followed by the content, in this case a message stating ‘Server running’. Back in the command line, a simple ‘node’ followed by the file name ‘server.js’ gets the server running, from this example it can be seen how efficient creating a listening server is in node.js.</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B90B5F" w:rsidTr="006D7F46">
        <w:tc>
          <w:tcPr>
            <w:tcW w:w="9029" w:type="dxa"/>
            <w:shd w:val="clear" w:color="auto" w:fill="EFEFEF"/>
          </w:tcPr>
          <w:p w:rsidR="00B90B5F" w:rsidRPr="00B90B5F" w:rsidRDefault="00B90B5F" w:rsidP="00B90B5F">
            <w:pPr>
              <w:keepNext/>
              <w:keepLines/>
              <w:widowControl w:val="0"/>
              <w:spacing w:after="0" w:line="240" w:lineRule="auto"/>
              <w:rPr>
                <w:rFonts w:ascii="Consolas" w:eastAsia="Consolas" w:hAnsi="Consolas" w:cs="Consolas"/>
                <w:sz w:val="20"/>
              </w:rPr>
            </w:pPr>
            <w:proofErr w:type="spellStart"/>
            <w:r w:rsidRPr="00B90B5F">
              <w:rPr>
                <w:rFonts w:ascii="Consolas" w:eastAsia="Consolas" w:hAnsi="Consolas" w:cs="Consolas"/>
                <w:sz w:val="20"/>
              </w:rPr>
              <w:t>const</w:t>
            </w:r>
            <w:proofErr w:type="spellEnd"/>
            <w:r w:rsidRPr="00B90B5F">
              <w:rPr>
                <w:rFonts w:ascii="Consolas" w:eastAsia="Consolas" w:hAnsi="Consolas" w:cs="Consolas"/>
                <w:sz w:val="20"/>
              </w:rPr>
              <w:t xml:space="preserve"> http = require('http'); </w:t>
            </w:r>
          </w:p>
          <w:p w:rsidR="00B90B5F" w:rsidRPr="00B90B5F" w:rsidRDefault="00B90B5F" w:rsidP="00B90B5F">
            <w:pPr>
              <w:keepNext/>
              <w:keepLines/>
              <w:widowControl w:val="0"/>
              <w:spacing w:after="0" w:line="240" w:lineRule="auto"/>
              <w:rPr>
                <w:rFonts w:ascii="Consolas" w:eastAsia="Consolas" w:hAnsi="Consolas" w:cs="Consolas"/>
                <w:sz w:val="20"/>
              </w:rPr>
            </w:pPr>
            <w:r w:rsidRPr="00B90B5F">
              <w:rPr>
                <w:rFonts w:ascii="Consolas" w:eastAsia="Consolas" w:hAnsi="Consolas" w:cs="Consolas"/>
                <w:sz w:val="20"/>
              </w:rPr>
              <w:t xml:space="preserve">server = </w:t>
            </w:r>
            <w:proofErr w:type="spellStart"/>
            <w:r w:rsidRPr="00B90B5F">
              <w:rPr>
                <w:rFonts w:ascii="Consolas" w:eastAsia="Consolas" w:hAnsi="Consolas" w:cs="Consolas"/>
                <w:sz w:val="20"/>
              </w:rPr>
              <w:t>http.createServer</w:t>
            </w:r>
            <w:proofErr w:type="spellEnd"/>
            <w:r w:rsidRPr="00B90B5F">
              <w:rPr>
                <w:rFonts w:ascii="Consolas" w:eastAsia="Consolas" w:hAnsi="Consolas" w:cs="Consolas"/>
                <w:sz w:val="20"/>
              </w:rPr>
              <w:t>(function (</w:t>
            </w:r>
            <w:proofErr w:type="spellStart"/>
            <w:r w:rsidRPr="00B90B5F">
              <w:rPr>
                <w:rFonts w:ascii="Consolas" w:eastAsia="Consolas" w:hAnsi="Consolas" w:cs="Consolas"/>
                <w:sz w:val="20"/>
              </w:rPr>
              <w:t>req</w:t>
            </w:r>
            <w:proofErr w:type="spellEnd"/>
            <w:r w:rsidRPr="00B90B5F">
              <w:rPr>
                <w:rFonts w:ascii="Consolas" w:eastAsia="Consolas" w:hAnsi="Consolas" w:cs="Consolas"/>
                <w:sz w:val="20"/>
              </w:rPr>
              <w:t xml:space="preserve">, res) { </w:t>
            </w:r>
          </w:p>
          <w:p w:rsidR="00B90B5F" w:rsidRPr="00B90B5F" w:rsidRDefault="00B90B5F" w:rsidP="00B90B5F">
            <w:pPr>
              <w:keepNext/>
              <w:keepLines/>
              <w:widowControl w:val="0"/>
              <w:spacing w:after="0" w:line="240" w:lineRule="auto"/>
              <w:rPr>
                <w:rFonts w:ascii="Consolas" w:eastAsia="Consolas" w:hAnsi="Consolas" w:cs="Consolas"/>
                <w:sz w:val="20"/>
              </w:rPr>
            </w:pPr>
            <w:r w:rsidRPr="00B90B5F">
              <w:rPr>
                <w:rFonts w:ascii="Consolas" w:eastAsia="Consolas" w:hAnsi="Consolas" w:cs="Consolas"/>
                <w:sz w:val="20"/>
              </w:rPr>
              <w:t xml:space="preserve">  </w:t>
            </w:r>
            <w:proofErr w:type="spellStart"/>
            <w:r w:rsidRPr="00B90B5F">
              <w:rPr>
                <w:rFonts w:ascii="Consolas" w:eastAsia="Consolas" w:hAnsi="Consolas" w:cs="Consolas"/>
                <w:sz w:val="20"/>
              </w:rPr>
              <w:t>res.writeHead</w:t>
            </w:r>
            <w:proofErr w:type="spellEnd"/>
            <w:r w:rsidRPr="00B90B5F">
              <w:rPr>
                <w:rFonts w:ascii="Consolas" w:eastAsia="Consolas" w:hAnsi="Consolas" w:cs="Consolas"/>
                <w:sz w:val="20"/>
              </w:rPr>
              <w:t xml:space="preserve">(200, {'Content-Type': 'text/plain'}); </w:t>
            </w:r>
          </w:p>
          <w:p w:rsidR="00B90B5F" w:rsidRPr="00B90B5F" w:rsidRDefault="00B90B5F" w:rsidP="00B90B5F">
            <w:pPr>
              <w:keepNext/>
              <w:keepLines/>
              <w:widowControl w:val="0"/>
              <w:spacing w:after="0" w:line="240" w:lineRule="auto"/>
              <w:rPr>
                <w:rFonts w:ascii="Consolas" w:eastAsia="Consolas" w:hAnsi="Consolas" w:cs="Consolas"/>
                <w:sz w:val="20"/>
              </w:rPr>
            </w:pPr>
            <w:r w:rsidRPr="00B90B5F">
              <w:rPr>
                <w:rFonts w:ascii="Consolas" w:eastAsia="Consolas" w:hAnsi="Consolas" w:cs="Consolas"/>
                <w:sz w:val="20"/>
              </w:rPr>
              <w:t xml:space="preserve">  </w:t>
            </w:r>
            <w:proofErr w:type="spellStart"/>
            <w:r w:rsidRPr="00B90B5F">
              <w:rPr>
                <w:rFonts w:ascii="Consolas" w:eastAsia="Consolas" w:hAnsi="Consolas" w:cs="Consolas"/>
                <w:sz w:val="20"/>
              </w:rPr>
              <w:t>res.end</w:t>
            </w:r>
            <w:proofErr w:type="spellEnd"/>
            <w:r w:rsidRPr="00B90B5F">
              <w:rPr>
                <w:rFonts w:ascii="Consolas" w:eastAsia="Consolas" w:hAnsi="Consolas" w:cs="Consolas"/>
                <w:sz w:val="20"/>
              </w:rPr>
              <w:t xml:space="preserve">('Hello, World!\n'); </w:t>
            </w:r>
          </w:p>
          <w:p w:rsidR="00B90B5F" w:rsidRPr="00B90B5F" w:rsidRDefault="00B90B5F" w:rsidP="00B90B5F">
            <w:pPr>
              <w:keepNext/>
              <w:keepLines/>
              <w:widowControl w:val="0"/>
              <w:spacing w:after="0" w:line="240" w:lineRule="auto"/>
              <w:rPr>
                <w:rFonts w:ascii="Consolas" w:eastAsia="Consolas" w:hAnsi="Consolas" w:cs="Consolas"/>
                <w:sz w:val="20"/>
              </w:rPr>
            </w:pPr>
            <w:r w:rsidRPr="00B90B5F">
              <w:rPr>
                <w:rFonts w:ascii="Consolas" w:eastAsia="Consolas" w:hAnsi="Consolas" w:cs="Consolas"/>
                <w:sz w:val="20"/>
              </w:rPr>
              <w:t>});</w:t>
            </w:r>
          </w:p>
          <w:p w:rsidR="00B90B5F" w:rsidRPr="00B90B5F" w:rsidRDefault="00B90B5F" w:rsidP="00B90B5F">
            <w:pPr>
              <w:keepNext/>
              <w:keepLines/>
              <w:widowControl w:val="0"/>
              <w:spacing w:after="0" w:line="240" w:lineRule="auto"/>
              <w:rPr>
                <w:rFonts w:ascii="Consolas" w:eastAsia="Consolas" w:hAnsi="Consolas" w:cs="Consolas"/>
                <w:sz w:val="20"/>
              </w:rPr>
            </w:pPr>
          </w:p>
          <w:p w:rsidR="00B90B5F" w:rsidRPr="00B90B5F" w:rsidRDefault="00B90B5F" w:rsidP="00B90B5F">
            <w:pPr>
              <w:keepNext/>
              <w:keepLines/>
              <w:widowControl w:val="0"/>
              <w:spacing w:after="0" w:line="240" w:lineRule="auto"/>
              <w:rPr>
                <w:rFonts w:ascii="Consolas" w:eastAsia="Consolas" w:hAnsi="Consolas" w:cs="Consolas"/>
                <w:sz w:val="20"/>
              </w:rPr>
            </w:pPr>
            <w:proofErr w:type="spellStart"/>
            <w:r w:rsidRPr="00B90B5F">
              <w:rPr>
                <w:rFonts w:ascii="Consolas" w:eastAsia="Consolas" w:hAnsi="Consolas" w:cs="Consolas"/>
                <w:sz w:val="20"/>
              </w:rPr>
              <w:t>server.listen</w:t>
            </w:r>
            <w:proofErr w:type="spellEnd"/>
            <w:r w:rsidRPr="00B90B5F">
              <w:rPr>
                <w:rFonts w:ascii="Consolas" w:eastAsia="Consolas" w:hAnsi="Consolas" w:cs="Consolas"/>
                <w:sz w:val="20"/>
              </w:rPr>
              <w:t>(8124, '127.0.0.1', () =&gt; {console.log('Server running');</w:t>
            </w:r>
          </w:p>
          <w:p w:rsidR="00B90B5F" w:rsidRDefault="00B90B5F" w:rsidP="00B90B5F">
            <w:pPr>
              <w:keepNext/>
              <w:keepLines/>
              <w:spacing w:after="0" w:line="240" w:lineRule="auto"/>
              <w:rPr>
                <w:rFonts w:ascii="Consolas" w:eastAsia="Consolas" w:hAnsi="Consolas" w:cs="Consolas"/>
              </w:rPr>
            </w:pPr>
            <w:r w:rsidRPr="00B90B5F">
              <w:rPr>
                <w:rFonts w:ascii="Consolas" w:eastAsia="Consolas" w:hAnsi="Consolas" w:cs="Consolas"/>
                <w:sz w:val="20"/>
              </w:rPr>
              <w:t>});</w:t>
            </w:r>
          </w:p>
        </w:tc>
      </w:tr>
    </w:tbl>
    <w:p w:rsidR="00B90B5F" w:rsidRDefault="00B90B5F" w:rsidP="00B90B5F"/>
    <w:p w:rsidR="00B90B5F" w:rsidRDefault="00C7463F" w:rsidP="00B90B5F">
      <w:r>
        <w:t xml:space="preserve">A module such as </w:t>
      </w:r>
      <w:proofErr w:type="spellStart"/>
      <w:r>
        <w:t>TypeScript</w:t>
      </w:r>
      <w:proofErr w:type="spellEnd"/>
      <w:r>
        <w:t xml:space="preserve"> </w:t>
      </w:r>
      <w:r w:rsidR="00B90B5F">
        <w:t xml:space="preserve">which is a strongly typed, compiled language, offers enhancements over the standard JavaScript for developers; </w:t>
      </w:r>
      <w:r w:rsidR="0012516C">
        <w:t xml:space="preserve">although </w:t>
      </w:r>
      <w:proofErr w:type="spellStart"/>
      <w:r w:rsidR="00B90B5F">
        <w:t>TypeScript</w:t>
      </w:r>
      <w:proofErr w:type="spellEnd"/>
      <w:r w:rsidR="00B90B5F">
        <w:t xml:space="preserve"> compiles to standard JavaScript. It is interoperable with the majority of ECMAScript standards and therefore has wide compatibility across JavaScript runtimes, allowing safe usage of newer functions, modules, functions and other features whilst maintaining backwards compatibility. Because of its strongly typed nature, </w:t>
      </w:r>
      <w:proofErr w:type="spellStart"/>
      <w:r w:rsidR="00B90B5F">
        <w:t>TypeScript</w:t>
      </w:r>
      <w:proofErr w:type="spellEnd"/>
      <w:r w:rsidR="00B90B5F">
        <w:t xml:space="preserve"> is able to identify certain errors (such as type errors) at the moment it is compiled rather than run, offering early detection of bugs and speeding up whilst offering </w:t>
      </w:r>
      <w:proofErr w:type="spellStart"/>
      <w:r w:rsidR="00B90B5F">
        <w:t>assurity</w:t>
      </w:r>
      <w:proofErr w:type="spellEnd"/>
      <w:r w:rsidR="00B90B5F">
        <w:t xml:space="preserve"> to the development process.</w:t>
      </w:r>
    </w:p>
    <w:p w:rsidR="00B90B5F" w:rsidRDefault="00B90B5F" w:rsidP="00B90B5F">
      <w:r>
        <w:t xml:space="preserve">A third party library such as Express can be used to offer assistance with the backbone of a running web server, it can assist with architecture organisation of the server and is designed to make web development simpler. Express can be used to create RESTful APIs which can </w:t>
      </w:r>
      <w:r w:rsidR="00C7463F">
        <w:t>delivered</w:t>
      </w:r>
      <w:r>
        <w:t xml:space="preserve"> by responding to particular URLs and HTTP commands.</w:t>
      </w:r>
    </w:p>
    <w:p w:rsidR="000231A4" w:rsidRDefault="000231A4" w:rsidP="00B90B5F">
      <w:r>
        <w:t xml:space="preserve">A module such as </w:t>
      </w:r>
      <w:proofErr w:type="spellStart"/>
      <w:r>
        <w:t>nodemon</w:t>
      </w:r>
      <w:proofErr w:type="spellEnd"/>
      <w:r>
        <w:t xml:space="preserve"> speeds up development to a great degree, as it automatically restarts the node application following any file changes. This means the result of a change can be instantly tested and verified, enabled errors to be ironed out early on in the development process.</w:t>
      </w:r>
    </w:p>
    <w:p w:rsidR="00B90B5F" w:rsidRDefault="00B90B5F" w:rsidP="00B90B5F">
      <w:r>
        <w:t xml:space="preserve">Much of Node.js is actioned via the Linux command line (Git Bash can be used to emulate this in a windows environment), which makes for a quick an efficient method of operation, however this does come with a steeper learning curve than a GUI equivalent for those unfamiliar with command line operations. Once the basics were learned, this was found to be a very easy method of turning on and off services, error checking and troubleshooting, and obtaining status reports. </w:t>
      </w:r>
    </w:p>
    <w:p w:rsidR="00B90B5F" w:rsidRDefault="00B90B5F" w:rsidP="00B90B5F">
      <w:r>
        <w:t xml:space="preserve">Additionally, Docker can be used </w:t>
      </w:r>
      <w:r w:rsidR="0012516C">
        <w:t xml:space="preserve">on top of the above </w:t>
      </w:r>
      <w:r>
        <w:t xml:space="preserve">to containerise a node.js project, adding portability by wrapping the project into </w:t>
      </w:r>
      <w:r w:rsidR="00C7463F">
        <w:t>its</w:t>
      </w:r>
      <w:r>
        <w:t xml:space="preserve"> required components, and on first run getting all </w:t>
      </w:r>
      <w:r>
        <w:lastRenderedPageBreak/>
        <w:t xml:space="preserve">dependencies set up and running so the application can start as soon as possible. </w:t>
      </w:r>
      <w:r w:rsidR="000231A4">
        <w:t>Using the a Docker-compose file automate</w:t>
      </w:r>
      <w:r w:rsidR="0012516C">
        <w:t>s</w:t>
      </w:r>
      <w:r w:rsidR="000231A4">
        <w:t xml:space="preserve"> the start-up process so that during development an environment with all required applications and dependencies can be set up quickly and with minimal work. In a live environment, </w:t>
      </w:r>
      <w:r>
        <w:t>Node.js and Docker work well together</w:t>
      </w:r>
      <w:r w:rsidR="000231A4">
        <w:t xml:space="preserve"> for the same reason,</w:t>
      </w:r>
      <w:r>
        <w:t xml:space="preserve"> to offer a solution</w:t>
      </w:r>
      <w:r w:rsidR="000231A4">
        <w:t xml:space="preserve"> for secure development and provisioning of quickly scalable</w:t>
      </w:r>
      <w:r>
        <w:t xml:space="preserve"> applications to be hosted in the cloud.</w:t>
      </w:r>
    </w:p>
    <w:p w:rsidR="008C5ACA" w:rsidRDefault="00B90B5F" w:rsidP="008C5ACA">
      <w:pPr>
        <w:pStyle w:val="Heading2"/>
      </w:pPr>
      <w:bookmarkStart w:id="9" w:name="_Toc70884223"/>
      <w:proofErr w:type="spellStart"/>
      <w:proofErr w:type="gramStart"/>
      <w:r>
        <w:t>eCommerce</w:t>
      </w:r>
      <w:proofErr w:type="spellEnd"/>
      <w:proofErr w:type="gramEnd"/>
      <w:r>
        <w:t xml:space="preserve"> Code</w:t>
      </w:r>
      <w:bookmarkEnd w:id="9"/>
    </w:p>
    <w:p w:rsidR="008C5ACA" w:rsidRDefault="0012516C" w:rsidP="00B90B5F">
      <w:r>
        <w:t>An example has been put together which</w:t>
      </w:r>
      <w:r w:rsidR="00B90B5F">
        <w:t xml:space="preserve"> demonstrates an </w:t>
      </w:r>
      <w:proofErr w:type="spellStart"/>
      <w:r w:rsidR="00B90B5F">
        <w:t>eCommerce</w:t>
      </w:r>
      <w:proofErr w:type="spellEnd"/>
      <w:r w:rsidR="00B90B5F">
        <w:t xml:space="preserve"> application developed with the use of HTML, JavaScript, Docker, Node.JS, Express and </w:t>
      </w:r>
      <w:proofErr w:type="spellStart"/>
      <w:r w:rsidR="00B90B5F">
        <w:t>Axios</w:t>
      </w:r>
      <w:proofErr w:type="spellEnd"/>
      <w:r w:rsidR="00B90B5F">
        <w:t>. The code for this will be delivered separately</w:t>
      </w:r>
      <w:r w:rsidR="00D3036E">
        <w:t xml:space="preserve">, and a short run through showing the solution in action can be </w:t>
      </w:r>
      <w:r w:rsidR="00A679BF">
        <w:t>viewed at the following link</w:t>
      </w:r>
      <w:r w:rsidR="00D3036E">
        <w:t>:</w:t>
      </w:r>
      <w:r w:rsidR="00A679BF">
        <w:t xml:space="preserve"> </w:t>
      </w:r>
      <w:hyperlink r:id="rId15" w:history="1">
        <w:r w:rsidR="00A679BF" w:rsidRPr="006F0D7B">
          <w:rPr>
            <w:rStyle w:val="Hyperlink"/>
          </w:rPr>
          <w:t>https://youtu.be/weSoDnnpW9U</w:t>
        </w:r>
      </w:hyperlink>
    </w:p>
    <w:p w:rsidR="00ED5420" w:rsidRDefault="00ED5420" w:rsidP="00ED5420">
      <w:pPr>
        <w:pStyle w:val="Heading1"/>
      </w:pPr>
      <w:bookmarkStart w:id="10" w:name="_Toc70884224"/>
      <w:r>
        <w:t>Abstract</w:t>
      </w:r>
      <w:bookmarkEnd w:id="10"/>
    </w:p>
    <w:p w:rsidR="00ED5420" w:rsidRDefault="00ED5420" w:rsidP="00ED5420">
      <w:r>
        <w:t>The above report provides insight into when a cloud platform may be</w:t>
      </w:r>
      <w:r w:rsidR="008F2FBC">
        <w:t xml:space="preserve"> a</w:t>
      </w:r>
      <w:r>
        <w:t xml:space="preserve"> preferred</w:t>
      </w:r>
      <w:r w:rsidR="00C7463F">
        <w:t xml:space="preserve"> </w:t>
      </w:r>
      <w:r w:rsidR="008F2FBC">
        <w:t xml:space="preserve">solution over </w:t>
      </w:r>
      <w:r w:rsidR="00C7463F">
        <w:t xml:space="preserve">on </w:t>
      </w:r>
      <w:r>
        <w:t>premise, as well as evidencing the potentially significant cost savings that may be achievable with a migration to cloud. It also compares the performance of Docker to virtual machines with favourable results, and Node.JS to competing tools and makes recommendations for when a particular solution can, or cannot provide benefits. It also provides insight into a development journey using these toolsets.</w:t>
      </w:r>
    </w:p>
    <w:p w:rsidR="00ED5420" w:rsidRDefault="00ED5420" w:rsidP="00ED5420">
      <w:pPr>
        <w:pStyle w:val="Heading1"/>
      </w:pPr>
      <w:bookmarkStart w:id="11" w:name="_Toc70884225"/>
      <w:r>
        <w:t>Bibliography</w:t>
      </w:r>
      <w:bookmarkEnd w:id="11"/>
    </w:p>
    <w:p w:rsidR="00C7463F" w:rsidRPr="00C7463F" w:rsidRDefault="00C7463F" w:rsidP="00C7463F">
      <w:pPr>
        <w:pStyle w:val="Bibliography"/>
        <w:rPr>
          <w:rFonts w:ascii="Calibri" w:hAnsi="Calibri" w:cs="Calibri"/>
        </w:rPr>
      </w:pPr>
      <w:r>
        <w:fldChar w:fldCharType="begin"/>
      </w:r>
      <w:r>
        <w:instrText xml:space="preserve"> ADDIN ZOTERO_BIBL {"uncited":[],"omitted":[],"custom":[]} CSL_BIBLIOGRAPHY </w:instrText>
      </w:r>
      <w:r>
        <w:fldChar w:fldCharType="separate"/>
      </w:r>
      <w:r w:rsidRPr="00C7463F">
        <w:rPr>
          <w:rFonts w:ascii="Calibri" w:hAnsi="Calibri" w:cs="Calibri"/>
        </w:rPr>
        <w:t>[1]</w:t>
      </w:r>
      <w:r w:rsidRPr="00C7463F">
        <w:rPr>
          <w:rFonts w:ascii="Calibri" w:hAnsi="Calibri" w:cs="Calibri"/>
        </w:rPr>
        <w:tab/>
        <w:t>A. Aljabre, ‘Cloud Computing for Increased Business Value’, vol. 3, no. 1, p. 6, 2012.</w:t>
      </w:r>
    </w:p>
    <w:p w:rsidR="00C7463F" w:rsidRPr="00C7463F" w:rsidRDefault="00C7463F" w:rsidP="00C7463F">
      <w:pPr>
        <w:pStyle w:val="Bibliography"/>
        <w:rPr>
          <w:rFonts w:ascii="Calibri" w:hAnsi="Calibri" w:cs="Calibri"/>
        </w:rPr>
      </w:pPr>
      <w:r w:rsidRPr="00C7463F">
        <w:rPr>
          <w:rFonts w:ascii="Calibri" w:hAnsi="Calibri" w:cs="Calibri"/>
        </w:rPr>
        <w:t>[2]</w:t>
      </w:r>
      <w:r w:rsidRPr="00C7463F">
        <w:rPr>
          <w:rFonts w:ascii="Calibri" w:hAnsi="Calibri" w:cs="Calibri"/>
        </w:rPr>
        <w:tab/>
        <w:t xml:space="preserve">‘COVID-19 Conversations: Cloud Computing’, </w:t>
      </w:r>
      <w:r w:rsidRPr="00C7463F">
        <w:rPr>
          <w:rFonts w:ascii="Calibri" w:hAnsi="Calibri" w:cs="Calibri"/>
          <w:i/>
          <w:iCs/>
        </w:rPr>
        <w:t>Capgemini UK</w:t>
      </w:r>
      <w:r w:rsidRPr="00C7463F">
        <w:rPr>
          <w:rFonts w:ascii="Calibri" w:hAnsi="Calibri" w:cs="Calibri"/>
        </w:rPr>
        <w:t>, Nov. 17, 2020. https://www.capgemini.com/gb-en/2020/11/covid-19-conversations-cloud-computing/ (accessed Apr. 22, 2021).</w:t>
      </w:r>
    </w:p>
    <w:p w:rsidR="00C7463F" w:rsidRPr="00C7463F" w:rsidRDefault="00C7463F" w:rsidP="00C7463F">
      <w:pPr>
        <w:pStyle w:val="Bibliography"/>
        <w:rPr>
          <w:rFonts w:ascii="Calibri" w:hAnsi="Calibri" w:cs="Calibri"/>
        </w:rPr>
      </w:pPr>
      <w:r w:rsidRPr="00C7463F">
        <w:rPr>
          <w:rFonts w:ascii="Calibri" w:hAnsi="Calibri" w:cs="Calibri"/>
        </w:rPr>
        <w:t>[3]</w:t>
      </w:r>
      <w:r w:rsidRPr="00C7463F">
        <w:rPr>
          <w:rFonts w:ascii="Calibri" w:hAnsi="Calibri" w:cs="Calibri"/>
        </w:rPr>
        <w:tab/>
        <w:t xml:space="preserve">P.-F. Hsu, S. Ray, and Y.-Y. Li-Hsieh, ‘Examining cloud computing adoption intention, pricing mechanism, and deployment model’, </w:t>
      </w:r>
      <w:r w:rsidRPr="00C7463F">
        <w:rPr>
          <w:rFonts w:ascii="Calibri" w:hAnsi="Calibri" w:cs="Calibri"/>
          <w:i/>
          <w:iCs/>
        </w:rPr>
        <w:t>Int. J. Inf. Manag.</w:t>
      </w:r>
      <w:r w:rsidRPr="00C7463F">
        <w:rPr>
          <w:rFonts w:ascii="Calibri" w:hAnsi="Calibri" w:cs="Calibri"/>
        </w:rPr>
        <w:t>, vol. 34, no. 4, pp. 474–488, Aug. 2014, doi: 10.1016/j.ijinfomgt.2014.04.006.</w:t>
      </w:r>
    </w:p>
    <w:p w:rsidR="00C7463F" w:rsidRPr="00C7463F" w:rsidRDefault="00C7463F" w:rsidP="00C7463F">
      <w:pPr>
        <w:pStyle w:val="Bibliography"/>
        <w:rPr>
          <w:rFonts w:ascii="Calibri" w:hAnsi="Calibri" w:cs="Calibri"/>
        </w:rPr>
      </w:pPr>
      <w:r w:rsidRPr="00C7463F">
        <w:rPr>
          <w:rFonts w:ascii="Calibri" w:hAnsi="Calibri" w:cs="Calibri"/>
        </w:rPr>
        <w:t>[4]</w:t>
      </w:r>
      <w:r w:rsidRPr="00C7463F">
        <w:rPr>
          <w:rFonts w:ascii="Calibri" w:hAnsi="Calibri" w:cs="Calibri"/>
        </w:rPr>
        <w:tab/>
        <w:t xml:space="preserve">Y. Alshamaila, S. Papagiannidis, and F. Li, ‘Cloud computing adoption by SMEs in the north east of England: A multi‐perspective framework’, </w:t>
      </w:r>
      <w:r w:rsidRPr="00C7463F">
        <w:rPr>
          <w:rFonts w:ascii="Calibri" w:hAnsi="Calibri" w:cs="Calibri"/>
          <w:i/>
          <w:iCs/>
        </w:rPr>
        <w:t>J. Enterp. Inf. Manag.</w:t>
      </w:r>
      <w:r w:rsidRPr="00C7463F">
        <w:rPr>
          <w:rFonts w:ascii="Calibri" w:hAnsi="Calibri" w:cs="Calibri"/>
        </w:rPr>
        <w:t>, vol. 26, no. 3, pp. 250–275, 2013, doi: 10.1108/17410391311325225.</w:t>
      </w:r>
    </w:p>
    <w:p w:rsidR="00C7463F" w:rsidRPr="00C7463F" w:rsidRDefault="00C7463F" w:rsidP="00C7463F">
      <w:pPr>
        <w:pStyle w:val="Bibliography"/>
        <w:rPr>
          <w:rFonts w:ascii="Calibri" w:hAnsi="Calibri" w:cs="Calibri"/>
        </w:rPr>
      </w:pPr>
      <w:r w:rsidRPr="00C7463F">
        <w:rPr>
          <w:rFonts w:ascii="Calibri" w:hAnsi="Calibri" w:cs="Calibri"/>
        </w:rPr>
        <w:t>[5]</w:t>
      </w:r>
      <w:r w:rsidRPr="00C7463F">
        <w:rPr>
          <w:rFonts w:ascii="Calibri" w:hAnsi="Calibri" w:cs="Calibri"/>
        </w:rPr>
        <w:tab/>
        <w:t xml:space="preserve">D. Catteddu, ‘Cloud Computing: Benefits, Risks and Recommendations for Information Security’, in </w:t>
      </w:r>
      <w:r w:rsidRPr="00C7463F">
        <w:rPr>
          <w:rFonts w:ascii="Calibri" w:hAnsi="Calibri" w:cs="Calibri"/>
          <w:i/>
          <w:iCs/>
        </w:rPr>
        <w:t>Web Application Security</w:t>
      </w:r>
      <w:r w:rsidRPr="00C7463F">
        <w:rPr>
          <w:rFonts w:ascii="Calibri" w:hAnsi="Calibri" w:cs="Calibri"/>
        </w:rPr>
        <w:t>, vol. 72, C. Serrão, V. Aguilera Díaz, and F. Cerullo, Eds. Berlin, Heidelberg: Springer Berlin Heidelberg, 2010, pp. 17–17.</w:t>
      </w:r>
    </w:p>
    <w:p w:rsidR="00C7463F" w:rsidRPr="00C7463F" w:rsidRDefault="00C7463F" w:rsidP="00C7463F">
      <w:pPr>
        <w:pStyle w:val="Bibliography"/>
        <w:rPr>
          <w:rFonts w:ascii="Calibri" w:hAnsi="Calibri" w:cs="Calibri"/>
        </w:rPr>
      </w:pPr>
      <w:r w:rsidRPr="00C7463F">
        <w:rPr>
          <w:rFonts w:ascii="Calibri" w:hAnsi="Calibri" w:cs="Calibri"/>
        </w:rPr>
        <w:t>[6]</w:t>
      </w:r>
      <w:r w:rsidRPr="00C7463F">
        <w:rPr>
          <w:rFonts w:ascii="Calibri" w:hAnsi="Calibri" w:cs="Calibri"/>
        </w:rPr>
        <w:tab/>
        <w:t>‘Cloud Computing: Benefits, risks and recommendations for information security’. https://resilience.enisa.europa.eu/cloud-security-and-resilience/publications/cloud-computing-benefits-risks-and-recommendations-for-information-security (accessed Apr. 22, 2021).</w:t>
      </w:r>
    </w:p>
    <w:p w:rsidR="00C7463F" w:rsidRPr="00C7463F" w:rsidRDefault="00C7463F" w:rsidP="00C7463F">
      <w:pPr>
        <w:pStyle w:val="Bibliography"/>
        <w:rPr>
          <w:rFonts w:ascii="Calibri" w:hAnsi="Calibri" w:cs="Calibri"/>
        </w:rPr>
      </w:pPr>
      <w:r w:rsidRPr="00C7463F">
        <w:rPr>
          <w:rFonts w:ascii="Calibri" w:hAnsi="Calibri" w:cs="Calibri"/>
        </w:rPr>
        <w:t>[7]</w:t>
      </w:r>
      <w:r w:rsidRPr="00C7463F">
        <w:rPr>
          <w:rFonts w:ascii="Calibri" w:hAnsi="Calibri" w:cs="Calibri"/>
        </w:rPr>
        <w:tab/>
        <w:t>‘Global cloud infrastructure market Q4 2020’. https://www.canalys.com/newsroom/global-cloud-market-q4-2020?time=1619094267 (accessed Apr. 22, 2021).</w:t>
      </w:r>
    </w:p>
    <w:p w:rsidR="00C7463F" w:rsidRPr="00C7463F" w:rsidRDefault="00C7463F" w:rsidP="00C7463F">
      <w:pPr>
        <w:pStyle w:val="Bibliography"/>
        <w:rPr>
          <w:rFonts w:ascii="Calibri" w:hAnsi="Calibri" w:cs="Calibri"/>
        </w:rPr>
      </w:pPr>
      <w:r w:rsidRPr="00C7463F">
        <w:rPr>
          <w:rFonts w:ascii="Calibri" w:hAnsi="Calibri" w:cs="Calibri"/>
        </w:rPr>
        <w:t>[8]</w:t>
      </w:r>
      <w:r w:rsidRPr="00C7463F">
        <w:rPr>
          <w:rFonts w:ascii="Calibri" w:hAnsi="Calibri" w:cs="Calibri"/>
        </w:rPr>
        <w:tab/>
        <w:t xml:space="preserve">T. C. I. for I. Bcs, </w:t>
      </w:r>
      <w:r w:rsidRPr="00C7463F">
        <w:rPr>
          <w:rFonts w:ascii="Calibri" w:hAnsi="Calibri" w:cs="Calibri"/>
          <w:i/>
          <w:iCs/>
        </w:rPr>
        <w:t>Cloud Computing : Moving IT Out of the Office</w:t>
      </w:r>
      <w:r w:rsidRPr="00C7463F">
        <w:rPr>
          <w:rFonts w:ascii="Calibri" w:hAnsi="Calibri" w:cs="Calibri"/>
        </w:rPr>
        <w:t>. [Swindon, England]: BCS, The Chartered Institute for IT, 2012.</w:t>
      </w:r>
    </w:p>
    <w:p w:rsidR="00C7463F" w:rsidRPr="00C7463F" w:rsidRDefault="00C7463F" w:rsidP="00C7463F">
      <w:pPr>
        <w:pStyle w:val="Bibliography"/>
        <w:rPr>
          <w:rFonts w:ascii="Calibri" w:hAnsi="Calibri" w:cs="Calibri"/>
        </w:rPr>
      </w:pPr>
      <w:r w:rsidRPr="00C7463F">
        <w:rPr>
          <w:rFonts w:ascii="Calibri" w:hAnsi="Calibri" w:cs="Calibri"/>
        </w:rPr>
        <w:t>[9]</w:t>
      </w:r>
      <w:r w:rsidRPr="00C7463F">
        <w:rPr>
          <w:rFonts w:ascii="Calibri" w:hAnsi="Calibri" w:cs="Calibri"/>
        </w:rPr>
        <w:tab/>
        <w:t xml:space="preserve">M. Firdhous, O. Ghazali, and S. Hassan, ‘Robust Multi-Dimensional Trust Computing Mechanism for Cloud Computing’, </w:t>
      </w:r>
      <w:r w:rsidRPr="00C7463F">
        <w:rPr>
          <w:rFonts w:ascii="Calibri" w:hAnsi="Calibri" w:cs="Calibri"/>
          <w:i/>
          <w:iCs/>
        </w:rPr>
        <w:t>J. Teknol.</w:t>
      </w:r>
      <w:r w:rsidRPr="00C7463F">
        <w:rPr>
          <w:rFonts w:ascii="Calibri" w:hAnsi="Calibri" w:cs="Calibri"/>
        </w:rPr>
        <w:t>, vol. 69, Jun. 2014, doi: 10.11113/jt.v69.3096.</w:t>
      </w:r>
    </w:p>
    <w:p w:rsidR="00C7463F" w:rsidRPr="00C7463F" w:rsidRDefault="00C7463F" w:rsidP="00C7463F">
      <w:pPr>
        <w:pStyle w:val="Bibliography"/>
        <w:rPr>
          <w:rFonts w:ascii="Calibri" w:hAnsi="Calibri" w:cs="Calibri"/>
        </w:rPr>
      </w:pPr>
      <w:r w:rsidRPr="00C7463F">
        <w:rPr>
          <w:rFonts w:ascii="Calibri" w:hAnsi="Calibri" w:cs="Calibri"/>
        </w:rPr>
        <w:lastRenderedPageBreak/>
        <w:t>[10]</w:t>
      </w:r>
      <w:r w:rsidRPr="00C7463F">
        <w:rPr>
          <w:rFonts w:ascii="Calibri" w:hAnsi="Calibri" w:cs="Calibri"/>
        </w:rPr>
        <w:tab/>
        <w:t>‘AWS Pricing/TCO Tools - How AWS Pricing Works’. https://docs.aws.amazon.com/whitepapers/latest/how-aws-pricing-works/aws-pricingtco-tools.html (accessed Apr. 22, 2021).</w:t>
      </w:r>
    </w:p>
    <w:p w:rsidR="00C7463F" w:rsidRPr="00C7463F" w:rsidRDefault="00C7463F" w:rsidP="00C7463F">
      <w:pPr>
        <w:pStyle w:val="Bibliography"/>
        <w:rPr>
          <w:rFonts w:ascii="Calibri" w:hAnsi="Calibri" w:cs="Calibri"/>
        </w:rPr>
      </w:pPr>
      <w:r w:rsidRPr="00C7463F">
        <w:rPr>
          <w:rFonts w:ascii="Calibri" w:hAnsi="Calibri" w:cs="Calibri"/>
        </w:rPr>
        <w:t>[11]</w:t>
      </w:r>
      <w:r w:rsidRPr="00C7463F">
        <w:rPr>
          <w:rFonts w:ascii="Calibri" w:hAnsi="Calibri" w:cs="Calibri"/>
        </w:rPr>
        <w:tab/>
        <w:t>‘Total Cost of Ownership (TCO) Calculator | Microsoft Azure’. https://azure.microsoft.com/en-us/pricing/tco/calculator/ (accessed Apr. 22, 2021).</w:t>
      </w:r>
    </w:p>
    <w:p w:rsidR="00C7463F" w:rsidRPr="00C7463F" w:rsidRDefault="00C7463F" w:rsidP="00C7463F">
      <w:pPr>
        <w:pStyle w:val="Bibliography"/>
        <w:rPr>
          <w:rFonts w:ascii="Calibri" w:hAnsi="Calibri" w:cs="Calibri"/>
        </w:rPr>
      </w:pPr>
      <w:r w:rsidRPr="00C7463F">
        <w:rPr>
          <w:rFonts w:ascii="Calibri" w:hAnsi="Calibri" w:cs="Calibri"/>
        </w:rPr>
        <w:t>[12]</w:t>
      </w:r>
      <w:r w:rsidRPr="00C7463F">
        <w:rPr>
          <w:rFonts w:ascii="Calibri" w:hAnsi="Calibri" w:cs="Calibri"/>
        </w:rPr>
        <w:tab/>
        <w:t xml:space="preserve">J. Chapel, ‘Cloud Storage Cost Comparison: AWS vs. Azure vs. Google’, </w:t>
      </w:r>
      <w:r w:rsidRPr="00C7463F">
        <w:rPr>
          <w:rFonts w:ascii="Calibri" w:hAnsi="Calibri" w:cs="Calibri"/>
          <w:i/>
          <w:iCs/>
        </w:rPr>
        <w:t>Medium</w:t>
      </w:r>
      <w:r w:rsidRPr="00C7463F">
        <w:rPr>
          <w:rFonts w:ascii="Calibri" w:hAnsi="Calibri" w:cs="Calibri"/>
        </w:rPr>
        <w:t>, Jul. 01, 2019. https://jaychapel.medium.com/cloud-storage-cost-comparison-aws-vs-azure-vs-google-844dfff3d324 (accessed Apr. 22, 2021).</w:t>
      </w:r>
    </w:p>
    <w:p w:rsidR="00C7463F" w:rsidRPr="00C7463F" w:rsidRDefault="00C7463F" w:rsidP="00C7463F">
      <w:pPr>
        <w:pStyle w:val="Bibliography"/>
        <w:rPr>
          <w:rFonts w:ascii="Calibri" w:hAnsi="Calibri" w:cs="Calibri"/>
        </w:rPr>
      </w:pPr>
      <w:r w:rsidRPr="00C7463F">
        <w:rPr>
          <w:rFonts w:ascii="Calibri" w:hAnsi="Calibri" w:cs="Calibri"/>
        </w:rPr>
        <w:t>[13]</w:t>
      </w:r>
      <w:r w:rsidRPr="00C7463F">
        <w:rPr>
          <w:rFonts w:ascii="Calibri" w:hAnsi="Calibri" w:cs="Calibri"/>
        </w:rPr>
        <w:tab/>
        <w:t xml:space="preserve">B. February 19 and 2020, ‘Cloud Pricing Comparison 2021: AWS vs Azure vs Google Cloud’, </w:t>
      </w:r>
      <w:r w:rsidRPr="00C7463F">
        <w:rPr>
          <w:rFonts w:ascii="Calibri" w:hAnsi="Calibri" w:cs="Calibri"/>
          <w:i/>
          <w:iCs/>
        </w:rPr>
        <w:t>Insights on Latest Technologies - Simform Blog</w:t>
      </w:r>
      <w:r w:rsidRPr="00C7463F">
        <w:rPr>
          <w:rFonts w:ascii="Calibri" w:hAnsi="Calibri" w:cs="Calibri"/>
        </w:rPr>
        <w:t>, Feb. 01, 2021. https://www.simform.com/compute-pricing-comparison-aws-azure-googlecloud/ (accessed Apr. 22, 2021).</w:t>
      </w:r>
    </w:p>
    <w:p w:rsidR="00C7463F" w:rsidRPr="00C7463F" w:rsidRDefault="00C7463F" w:rsidP="00C7463F">
      <w:pPr>
        <w:pStyle w:val="Bibliography"/>
        <w:rPr>
          <w:rFonts w:ascii="Calibri" w:hAnsi="Calibri" w:cs="Calibri"/>
        </w:rPr>
      </w:pPr>
      <w:r w:rsidRPr="00C7463F">
        <w:rPr>
          <w:rFonts w:ascii="Calibri" w:hAnsi="Calibri" w:cs="Calibri"/>
        </w:rPr>
        <w:t>[14]</w:t>
      </w:r>
      <w:r w:rsidRPr="00C7463F">
        <w:rPr>
          <w:rFonts w:ascii="Calibri" w:hAnsi="Calibri" w:cs="Calibri"/>
        </w:rPr>
        <w:tab/>
        <w:t xml:space="preserve">‘A Look At Azure vs AWS Pricing In 2020-2021’, </w:t>
      </w:r>
      <w:r w:rsidRPr="00C7463F">
        <w:rPr>
          <w:rFonts w:ascii="Calibri" w:hAnsi="Calibri" w:cs="Calibri"/>
          <w:i/>
          <w:iCs/>
        </w:rPr>
        <w:t>CloudHealth by VMware</w:t>
      </w:r>
      <w:r w:rsidRPr="00C7463F">
        <w:rPr>
          <w:rFonts w:ascii="Calibri" w:hAnsi="Calibri" w:cs="Calibri"/>
        </w:rPr>
        <w:t>. https://www.cloudhealthtech.com/blog/azure-vs-aws-pricing (accessed Apr. 22, 2021).</w:t>
      </w:r>
    </w:p>
    <w:p w:rsidR="00C7463F" w:rsidRPr="00C7463F" w:rsidRDefault="00C7463F" w:rsidP="00C7463F">
      <w:pPr>
        <w:pStyle w:val="Bibliography"/>
        <w:rPr>
          <w:rFonts w:ascii="Calibri" w:hAnsi="Calibri" w:cs="Calibri"/>
        </w:rPr>
      </w:pPr>
      <w:r w:rsidRPr="00C7463F">
        <w:rPr>
          <w:rFonts w:ascii="Calibri" w:hAnsi="Calibri" w:cs="Calibri"/>
        </w:rPr>
        <w:t>[15]</w:t>
      </w:r>
      <w:r w:rsidRPr="00C7463F">
        <w:rPr>
          <w:rFonts w:ascii="Calibri" w:hAnsi="Calibri" w:cs="Calibri"/>
        </w:rPr>
        <w:tab/>
        <w:t>Y. P. Lead Product Marketing, ‘Azure vs AWS Pricing: Comparing Apples to Apples’. https://cloud.netapp.com/blog/azure-vs-aws-pricing-comparing-apples-to-apples-azure-aws-cvo-blg (accessed Apr. 22, 2021).</w:t>
      </w:r>
    </w:p>
    <w:p w:rsidR="00C7463F" w:rsidRPr="00C7463F" w:rsidRDefault="00C7463F" w:rsidP="00C7463F">
      <w:pPr>
        <w:pStyle w:val="Bibliography"/>
        <w:rPr>
          <w:rFonts w:ascii="Calibri" w:hAnsi="Calibri" w:cs="Calibri"/>
        </w:rPr>
      </w:pPr>
      <w:r w:rsidRPr="00C7463F">
        <w:rPr>
          <w:rFonts w:ascii="Calibri" w:hAnsi="Calibri" w:cs="Calibri"/>
        </w:rPr>
        <w:t>[16]</w:t>
      </w:r>
      <w:r w:rsidRPr="00C7463F">
        <w:rPr>
          <w:rFonts w:ascii="Calibri" w:hAnsi="Calibri" w:cs="Calibri"/>
        </w:rPr>
        <w:tab/>
        <w:t xml:space="preserve">J. Ellman, N. Lee, and N. Jin, ‘Cloud computing deployment: a cost-modelling case-study’, </w:t>
      </w:r>
      <w:r w:rsidRPr="00C7463F">
        <w:rPr>
          <w:rFonts w:ascii="Calibri" w:hAnsi="Calibri" w:cs="Calibri"/>
          <w:i/>
          <w:iCs/>
        </w:rPr>
        <w:t>Wirel. Netw.</w:t>
      </w:r>
      <w:r w:rsidRPr="00C7463F">
        <w:rPr>
          <w:rFonts w:ascii="Calibri" w:hAnsi="Calibri" w:cs="Calibri"/>
        </w:rPr>
        <w:t>, Dec. 2018, doi: 10.1007/s11276-018-1881-2.</w:t>
      </w:r>
    </w:p>
    <w:p w:rsidR="00C7463F" w:rsidRPr="00C7463F" w:rsidRDefault="00C7463F" w:rsidP="00C7463F">
      <w:pPr>
        <w:pStyle w:val="Bibliography"/>
        <w:rPr>
          <w:rFonts w:ascii="Calibri" w:hAnsi="Calibri" w:cs="Calibri"/>
        </w:rPr>
      </w:pPr>
      <w:r w:rsidRPr="00C7463F">
        <w:rPr>
          <w:rFonts w:ascii="Calibri" w:hAnsi="Calibri" w:cs="Calibri"/>
        </w:rPr>
        <w:t>[17]</w:t>
      </w:r>
      <w:r w:rsidRPr="00C7463F">
        <w:rPr>
          <w:rFonts w:ascii="Calibri" w:hAnsi="Calibri" w:cs="Calibri"/>
        </w:rPr>
        <w:tab/>
        <w:t xml:space="preserve">‘AWS Case Study: How AdRoll Lowers Costs with AWS’, </w:t>
      </w:r>
      <w:r w:rsidRPr="00C7463F">
        <w:rPr>
          <w:rFonts w:ascii="Calibri" w:hAnsi="Calibri" w:cs="Calibri"/>
          <w:i/>
          <w:iCs/>
        </w:rPr>
        <w:t>Amazon Web Services, Inc.</w:t>
      </w:r>
      <w:r w:rsidRPr="00C7463F">
        <w:rPr>
          <w:rFonts w:ascii="Calibri" w:hAnsi="Calibri" w:cs="Calibri"/>
        </w:rPr>
        <w:t xml:space="preserve"> https://aws.amazon.com/solutions/case-studies/adroll-tco/ (accessed Apr. 22, 2021).</w:t>
      </w:r>
    </w:p>
    <w:p w:rsidR="00C7463F" w:rsidRPr="00C7463F" w:rsidRDefault="00C7463F" w:rsidP="00C7463F">
      <w:pPr>
        <w:pStyle w:val="Bibliography"/>
        <w:rPr>
          <w:rFonts w:ascii="Calibri" w:hAnsi="Calibri" w:cs="Calibri"/>
        </w:rPr>
      </w:pPr>
      <w:r w:rsidRPr="00C7463F">
        <w:rPr>
          <w:rFonts w:ascii="Calibri" w:hAnsi="Calibri" w:cs="Calibri"/>
        </w:rPr>
        <w:t>[18]</w:t>
      </w:r>
      <w:r w:rsidRPr="00C7463F">
        <w:rPr>
          <w:rFonts w:ascii="Calibri" w:hAnsi="Calibri" w:cs="Calibri"/>
        </w:rPr>
        <w:tab/>
        <w:t>‘Scale up Business While Making Cost Savings | Insight UK’. https://www.uk.insight.com/en-gb/content-and-resources/2019/case-studies/2019-07-12-microsoft-azure-cold-storage-case-study (accessed Apr. 22, 2021).</w:t>
      </w:r>
    </w:p>
    <w:p w:rsidR="00C7463F" w:rsidRPr="00C7463F" w:rsidRDefault="00C7463F" w:rsidP="00C7463F">
      <w:pPr>
        <w:pStyle w:val="Bibliography"/>
        <w:rPr>
          <w:rFonts w:ascii="Calibri" w:hAnsi="Calibri" w:cs="Calibri"/>
        </w:rPr>
      </w:pPr>
      <w:r w:rsidRPr="00C7463F">
        <w:rPr>
          <w:rFonts w:ascii="Calibri" w:hAnsi="Calibri" w:cs="Calibri"/>
        </w:rPr>
        <w:t>[19]</w:t>
      </w:r>
      <w:r w:rsidRPr="00C7463F">
        <w:rPr>
          <w:rFonts w:ascii="Calibri" w:hAnsi="Calibri" w:cs="Calibri"/>
        </w:rPr>
        <w:tab/>
        <w:t>C. Verbrugghe, ‘Achieve a 222% 3-year ROI by using Google Cloud Platform’. https://gcloud.devoteam.com/blog/achieve-a-222-3-year-roi-by-using-google-cloud-platform (accessed Apr. 22, 2021).</w:t>
      </w:r>
    </w:p>
    <w:p w:rsidR="00C7463F" w:rsidRPr="00C7463F" w:rsidRDefault="00C7463F" w:rsidP="00C7463F">
      <w:pPr>
        <w:pStyle w:val="Bibliography"/>
        <w:rPr>
          <w:rFonts w:ascii="Calibri" w:hAnsi="Calibri" w:cs="Calibri"/>
        </w:rPr>
      </w:pPr>
      <w:r w:rsidRPr="00C7463F">
        <w:rPr>
          <w:rFonts w:ascii="Calibri" w:hAnsi="Calibri" w:cs="Calibri"/>
        </w:rPr>
        <w:t>[20]</w:t>
      </w:r>
      <w:r w:rsidRPr="00C7463F">
        <w:rPr>
          <w:rFonts w:ascii="Calibri" w:hAnsi="Calibri" w:cs="Calibri"/>
        </w:rPr>
        <w:tab/>
        <w:t xml:space="preserve">T. A. Erl, </w:t>
      </w:r>
      <w:r w:rsidRPr="00C7463F">
        <w:rPr>
          <w:rFonts w:ascii="Calibri" w:hAnsi="Calibri" w:cs="Calibri"/>
          <w:i/>
          <w:iCs/>
        </w:rPr>
        <w:t>Cloud computing: concepts, technology, &amp; architecture</w:t>
      </w:r>
      <w:r w:rsidRPr="00C7463F">
        <w:rPr>
          <w:rFonts w:ascii="Calibri" w:hAnsi="Calibri" w:cs="Calibri"/>
        </w:rPr>
        <w:t>, 1st edition. Place of publication not identified Prentice Hall, 2013.</w:t>
      </w:r>
    </w:p>
    <w:p w:rsidR="00C7463F" w:rsidRPr="00C7463F" w:rsidRDefault="00C7463F" w:rsidP="00C7463F">
      <w:pPr>
        <w:pStyle w:val="Bibliography"/>
        <w:rPr>
          <w:rFonts w:ascii="Calibri" w:hAnsi="Calibri" w:cs="Calibri"/>
        </w:rPr>
      </w:pPr>
      <w:r w:rsidRPr="00C7463F">
        <w:rPr>
          <w:rFonts w:ascii="Calibri" w:hAnsi="Calibri" w:cs="Calibri"/>
        </w:rPr>
        <w:t>[21]</w:t>
      </w:r>
      <w:r w:rsidRPr="00C7463F">
        <w:rPr>
          <w:rFonts w:ascii="Calibri" w:hAnsi="Calibri" w:cs="Calibri"/>
        </w:rPr>
        <w:tab/>
        <w:t xml:space="preserve">M. Kleppmann, </w:t>
      </w:r>
      <w:r w:rsidRPr="00C7463F">
        <w:rPr>
          <w:rFonts w:ascii="Calibri" w:hAnsi="Calibri" w:cs="Calibri"/>
          <w:i/>
          <w:iCs/>
        </w:rPr>
        <w:t>Designing data-intensive applications: the big ideas behind reliable, scalable, and maintainable systems</w:t>
      </w:r>
      <w:r w:rsidRPr="00C7463F">
        <w:rPr>
          <w:rFonts w:ascii="Calibri" w:hAnsi="Calibri" w:cs="Calibri"/>
        </w:rPr>
        <w:t>. 2018.</w:t>
      </w:r>
    </w:p>
    <w:p w:rsidR="00C7463F" w:rsidRPr="00C7463F" w:rsidRDefault="00C7463F" w:rsidP="00C7463F">
      <w:pPr>
        <w:pStyle w:val="Bibliography"/>
        <w:rPr>
          <w:rFonts w:ascii="Calibri" w:hAnsi="Calibri" w:cs="Calibri"/>
        </w:rPr>
      </w:pPr>
      <w:r w:rsidRPr="00C7463F">
        <w:rPr>
          <w:rFonts w:ascii="Calibri" w:hAnsi="Calibri" w:cs="Calibri"/>
        </w:rPr>
        <w:t>[22]</w:t>
      </w:r>
      <w:r w:rsidRPr="00C7463F">
        <w:rPr>
          <w:rFonts w:ascii="Calibri" w:hAnsi="Calibri" w:cs="Calibri"/>
        </w:rPr>
        <w:tab/>
        <w:t>W. Greene and B. Lancaster, ‘Carrier-Grade: Five Nines, the Myth and the Reality’, p. 14, 2006.</w:t>
      </w:r>
    </w:p>
    <w:p w:rsidR="00C7463F" w:rsidRPr="00C7463F" w:rsidRDefault="00C7463F" w:rsidP="00C7463F">
      <w:pPr>
        <w:pStyle w:val="Bibliography"/>
        <w:rPr>
          <w:rFonts w:ascii="Calibri" w:hAnsi="Calibri" w:cs="Calibri"/>
        </w:rPr>
      </w:pPr>
      <w:r w:rsidRPr="00C7463F">
        <w:rPr>
          <w:rFonts w:ascii="Calibri" w:hAnsi="Calibri" w:cs="Calibri"/>
        </w:rPr>
        <w:t>[23]</w:t>
      </w:r>
      <w:r w:rsidRPr="00C7463F">
        <w:rPr>
          <w:rFonts w:ascii="Calibri" w:hAnsi="Calibri" w:cs="Calibri"/>
        </w:rPr>
        <w:tab/>
        <w:t xml:space="preserve">‘Achieving “five nines” in the cloud for justice and public safety’, </w:t>
      </w:r>
      <w:r w:rsidRPr="00C7463F">
        <w:rPr>
          <w:rFonts w:ascii="Calibri" w:hAnsi="Calibri" w:cs="Calibri"/>
          <w:i/>
          <w:iCs/>
        </w:rPr>
        <w:t>Amazon Web Services</w:t>
      </w:r>
      <w:r w:rsidRPr="00C7463F">
        <w:rPr>
          <w:rFonts w:ascii="Calibri" w:hAnsi="Calibri" w:cs="Calibri"/>
        </w:rPr>
        <w:t>, Mar. 17, 2020. https://aws.amazon.com/blogs/publicsector/achieving-five-nines-cloud-justice-public-safety/ (accessed Apr. 22, 2021).</w:t>
      </w:r>
    </w:p>
    <w:p w:rsidR="00C7463F" w:rsidRPr="00C7463F" w:rsidRDefault="00C7463F" w:rsidP="00C7463F">
      <w:pPr>
        <w:pStyle w:val="Bibliography"/>
        <w:rPr>
          <w:rFonts w:ascii="Calibri" w:hAnsi="Calibri" w:cs="Calibri"/>
        </w:rPr>
      </w:pPr>
      <w:r w:rsidRPr="00C7463F">
        <w:rPr>
          <w:rFonts w:ascii="Calibri" w:hAnsi="Calibri" w:cs="Calibri"/>
        </w:rPr>
        <w:t>[24]</w:t>
      </w:r>
      <w:r w:rsidRPr="00C7463F">
        <w:rPr>
          <w:rFonts w:ascii="Calibri" w:hAnsi="Calibri" w:cs="Calibri"/>
        </w:rPr>
        <w:tab/>
        <w:t>‘Using Serverless Architectures for High Availability - Fault-Tolerant Components on AWS’. https://docs.aws.amazon.com/whitepapers/latest/fault-tolerant-components/using-serverless-architectures-for-high-availability.html (accessed Apr. 22, 2021).</w:t>
      </w:r>
    </w:p>
    <w:p w:rsidR="00C7463F" w:rsidRPr="00C7463F" w:rsidRDefault="00C7463F" w:rsidP="00C7463F">
      <w:pPr>
        <w:pStyle w:val="Bibliography"/>
        <w:rPr>
          <w:rFonts w:ascii="Calibri" w:hAnsi="Calibri" w:cs="Calibri"/>
        </w:rPr>
      </w:pPr>
      <w:r w:rsidRPr="00C7463F">
        <w:rPr>
          <w:rFonts w:ascii="Calibri" w:hAnsi="Calibri" w:cs="Calibri"/>
        </w:rPr>
        <w:t>[25]</w:t>
      </w:r>
      <w:r w:rsidRPr="00C7463F">
        <w:rPr>
          <w:rFonts w:ascii="Calibri" w:hAnsi="Calibri" w:cs="Calibri"/>
        </w:rPr>
        <w:tab/>
        <w:t xml:space="preserve">‘Could Zombie Toasters DDoS My Serverless Deployment?’, </w:t>
      </w:r>
      <w:r w:rsidRPr="00C7463F">
        <w:rPr>
          <w:rFonts w:ascii="Calibri" w:hAnsi="Calibri" w:cs="Calibri"/>
          <w:i/>
          <w:iCs/>
        </w:rPr>
        <w:t>The New Stack</w:t>
      </w:r>
      <w:r w:rsidRPr="00C7463F">
        <w:rPr>
          <w:rFonts w:ascii="Calibri" w:hAnsi="Calibri" w:cs="Calibri"/>
        </w:rPr>
        <w:t>, Jan. 10, 2017. https://thenewstack.io/zombie-toasters-eat-startup/ (accessed Apr. 22, 2021).</w:t>
      </w:r>
    </w:p>
    <w:p w:rsidR="00C7463F" w:rsidRPr="00C7463F" w:rsidRDefault="00C7463F" w:rsidP="00C7463F">
      <w:pPr>
        <w:pStyle w:val="Bibliography"/>
        <w:rPr>
          <w:rFonts w:ascii="Calibri" w:hAnsi="Calibri" w:cs="Calibri"/>
        </w:rPr>
      </w:pPr>
      <w:r w:rsidRPr="00C7463F">
        <w:rPr>
          <w:rFonts w:ascii="Calibri" w:hAnsi="Calibri" w:cs="Calibri"/>
        </w:rPr>
        <w:t>[26]</w:t>
      </w:r>
      <w:r w:rsidRPr="00C7463F">
        <w:rPr>
          <w:rFonts w:ascii="Calibri" w:hAnsi="Calibri" w:cs="Calibri"/>
        </w:rPr>
        <w:tab/>
        <w:t xml:space="preserve">M. Portnoy, </w:t>
      </w:r>
      <w:r w:rsidRPr="00C7463F">
        <w:rPr>
          <w:rFonts w:ascii="Calibri" w:hAnsi="Calibri" w:cs="Calibri"/>
          <w:i/>
          <w:iCs/>
        </w:rPr>
        <w:t>Virtualization Essentials</w:t>
      </w:r>
      <w:r w:rsidRPr="00C7463F">
        <w:rPr>
          <w:rFonts w:ascii="Calibri" w:hAnsi="Calibri" w:cs="Calibri"/>
        </w:rPr>
        <w:t>. Newark, UNITED STATES: John Wiley &amp; Sons, Incorporated, 2016.</w:t>
      </w:r>
    </w:p>
    <w:p w:rsidR="00C7463F" w:rsidRPr="00C7463F" w:rsidRDefault="00C7463F" w:rsidP="00C7463F">
      <w:pPr>
        <w:pStyle w:val="Bibliography"/>
        <w:rPr>
          <w:rFonts w:ascii="Calibri" w:hAnsi="Calibri" w:cs="Calibri"/>
        </w:rPr>
      </w:pPr>
      <w:r w:rsidRPr="00C7463F">
        <w:rPr>
          <w:rFonts w:ascii="Calibri" w:hAnsi="Calibri" w:cs="Calibri"/>
        </w:rPr>
        <w:t>[27]</w:t>
      </w:r>
      <w:r w:rsidRPr="00C7463F">
        <w:rPr>
          <w:rFonts w:ascii="Calibri" w:hAnsi="Calibri" w:cs="Calibri"/>
        </w:rPr>
        <w:tab/>
        <w:t xml:space="preserve">J. Watada, A. Roy, R. Kadikar, H. Pham, and B. Xu, ‘Emerging Trends, Techniques and Open Issues of Containerization: A Review’, </w:t>
      </w:r>
      <w:r w:rsidRPr="00C7463F">
        <w:rPr>
          <w:rFonts w:ascii="Calibri" w:hAnsi="Calibri" w:cs="Calibri"/>
          <w:i/>
          <w:iCs/>
        </w:rPr>
        <w:t>IEEE Access</w:t>
      </w:r>
      <w:r w:rsidRPr="00C7463F">
        <w:rPr>
          <w:rFonts w:ascii="Calibri" w:hAnsi="Calibri" w:cs="Calibri"/>
        </w:rPr>
        <w:t>, vol. 7, pp. 152443–152472, 2019, doi: 10.1109/ACCESS.2019.2945930.</w:t>
      </w:r>
    </w:p>
    <w:p w:rsidR="00C7463F" w:rsidRPr="00C7463F" w:rsidRDefault="00C7463F" w:rsidP="00C7463F">
      <w:pPr>
        <w:pStyle w:val="Bibliography"/>
        <w:rPr>
          <w:rFonts w:ascii="Calibri" w:hAnsi="Calibri" w:cs="Calibri"/>
        </w:rPr>
      </w:pPr>
      <w:r w:rsidRPr="00C7463F">
        <w:rPr>
          <w:rFonts w:ascii="Calibri" w:hAnsi="Calibri" w:cs="Calibri"/>
        </w:rPr>
        <w:t>[28]</w:t>
      </w:r>
      <w:r w:rsidRPr="00C7463F">
        <w:rPr>
          <w:rFonts w:ascii="Calibri" w:hAnsi="Calibri" w:cs="Calibri"/>
        </w:rPr>
        <w:tab/>
        <w:t>B. B. Rad, H. J. Bhatti, and M. Ahmadi, ‘An Introduction to Docker and Analysis of its Performance’, p. 8, 2017.</w:t>
      </w:r>
    </w:p>
    <w:p w:rsidR="00C7463F" w:rsidRPr="00C7463F" w:rsidRDefault="00C7463F" w:rsidP="00C7463F">
      <w:pPr>
        <w:pStyle w:val="Bibliography"/>
        <w:rPr>
          <w:rFonts w:ascii="Calibri" w:hAnsi="Calibri" w:cs="Calibri"/>
        </w:rPr>
      </w:pPr>
      <w:r w:rsidRPr="00C7463F">
        <w:rPr>
          <w:rFonts w:ascii="Calibri" w:hAnsi="Calibri" w:cs="Calibri"/>
        </w:rPr>
        <w:t>[29]</w:t>
      </w:r>
      <w:r w:rsidRPr="00C7463F">
        <w:rPr>
          <w:rFonts w:ascii="Calibri" w:hAnsi="Calibri" w:cs="Calibri"/>
        </w:rPr>
        <w:tab/>
        <w:t xml:space="preserve">‘Docker Index: Dramatic Growth in Docker Usage Affirms the Continued Rising Power of Developers’, </w:t>
      </w:r>
      <w:r w:rsidRPr="00C7463F">
        <w:rPr>
          <w:rFonts w:ascii="Calibri" w:hAnsi="Calibri" w:cs="Calibri"/>
          <w:i/>
          <w:iCs/>
        </w:rPr>
        <w:t>Docker Blog</w:t>
      </w:r>
      <w:r w:rsidRPr="00C7463F">
        <w:rPr>
          <w:rFonts w:ascii="Calibri" w:hAnsi="Calibri" w:cs="Calibri"/>
        </w:rPr>
        <w:t>, Jul. 30, 2020. https://www.docker.com/blog/docker-index-dramatic-growth-in-docker-usage-affirms-the-continued-rising-power-of-developers/ (accessed Apr. 24, 2021).</w:t>
      </w:r>
    </w:p>
    <w:p w:rsidR="00C7463F" w:rsidRPr="00C7463F" w:rsidRDefault="00C7463F" w:rsidP="00C7463F">
      <w:pPr>
        <w:pStyle w:val="Bibliography"/>
        <w:rPr>
          <w:rFonts w:ascii="Calibri" w:hAnsi="Calibri" w:cs="Calibri"/>
        </w:rPr>
      </w:pPr>
      <w:r w:rsidRPr="00C7463F">
        <w:rPr>
          <w:rFonts w:ascii="Calibri" w:hAnsi="Calibri" w:cs="Calibri"/>
        </w:rPr>
        <w:lastRenderedPageBreak/>
        <w:t>[30]</w:t>
      </w:r>
      <w:r w:rsidRPr="00C7463F">
        <w:rPr>
          <w:rFonts w:ascii="Calibri" w:hAnsi="Calibri" w:cs="Calibri"/>
        </w:rPr>
        <w:tab/>
        <w:t xml:space="preserve">‘Don’t Panic: Kubernetes and Docker’, </w:t>
      </w:r>
      <w:r w:rsidRPr="00C7463F">
        <w:rPr>
          <w:rFonts w:ascii="Calibri" w:hAnsi="Calibri" w:cs="Calibri"/>
          <w:i/>
          <w:iCs/>
        </w:rPr>
        <w:t>Kubernetes</w:t>
      </w:r>
      <w:r w:rsidRPr="00C7463F">
        <w:rPr>
          <w:rFonts w:ascii="Calibri" w:hAnsi="Calibri" w:cs="Calibri"/>
        </w:rPr>
        <w:t>, Dec. 02, 2020. https://kubernetes.io/blog/2020/12/02/dont-panic-kubernetes-and-docker/ (accessed Apr. 24, 2021).</w:t>
      </w:r>
    </w:p>
    <w:p w:rsidR="00C7463F" w:rsidRPr="00C7463F" w:rsidRDefault="00C7463F" w:rsidP="00C7463F">
      <w:pPr>
        <w:pStyle w:val="Bibliography"/>
        <w:rPr>
          <w:rFonts w:ascii="Calibri" w:hAnsi="Calibri" w:cs="Calibri"/>
        </w:rPr>
      </w:pPr>
      <w:r w:rsidRPr="00C7463F">
        <w:rPr>
          <w:rFonts w:ascii="Calibri" w:hAnsi="Calibri" w:cs="Calibri"/>
        </w:rPr>
        <w:t>[31]</w:t>
      </w:r>
      <w:r w:rsidRPr="00C7463F">
        <w:rPr>
          <w:rFonts w:ascii="Calibri" w:hAnsi="Calibri" w:cs="Calibri"/>
        </w:rPr>
        <w:tab/>
        <w:t xml:space="preserve">‘REPORT. 2021 Container Security And Usage Report’, </w:t>
      </w:r>
      <w:r w:rsidRPr="00C7463F">
        <w:rPr>
          <w:rFonts w:ascii="Calibri" w:hAnsi="Calibri" w:cs="Calibri"/>
          <w:i/>
          <w:iCs/>
        </w:rPr>
        <w:t>Sysdig</w:t>
      </w:r>
      <w:r w:rsidRPr="00C7463F">
        <w:rPr>
          <w:rFonts w:ascii="Calibri" w:hAnsi="Calibri" w:cs="Calibri"/>
        </w:rPr>
        <w:t>. https://dig.sysdig.com/c/pf-2021-container-security-and-usage-report?x=u_WFRi&amp;utm_source=gated-organic&amp;utm_medium=website (accessed Apr. 24, 2021).</w:t>
      </w:r>
    </w:p>
    <w:p w:rsidR="00C7463F" w:rsidRPr="00C7463F" w:rsidRDefault="00C7463F" w:rsidP="00C7463F">
      <w:pPr>
        <w:pStyle w:val="Bibliography"/>
        <w:rPr>
          <w:rFonts w:ascii="Calibri" w:hAnsi="Calibri" w:cs="Calibri"/>
        </w:rPr>
      </w:pPr>
      <w:r w:rsidRPr="00C7463F">
        <w:rPr>
          <w:rFonts w:ascii="Calibri" w:hAnsi="Calibri" w:cs="Calibri"/>
        </w:rPr>
        <w:t>[32]</w:t>
      </w:r>
      <w:r w:rsidRPr="00C7463F">
        <w:rPr>
          <w:rFonts w:ascii="Calibri" w:hAnsi="Calibri" w:cs="Calibri"/>
        </w:rPr>
        <w:tab/>
        <w:t>‘What is Amazon Elastic Container Service? - Amazon Elastic Container Service’. https://docs.aws.amazon.com/AmazonECS/latest/developerguide/Welcome.html (accessed Apr. 24, 2021).</w:t>
      </w:r>
    </w:p>
    <w:p w:rsidR="00C7463F" w:rsidRPr="00C7463F" w:rsidRDefault="00C7463F" w:rsidP="00C7463F">
      <w:pPr>
        <w:pStyle w:val="Bibliography"/>
        <w:rPr>
          <w:rFonts w:ascii="Calibri" w:hAnsi="Calibri" w:cs="Calibri"/>
        </w:rPr>
      </w:pPr>
      <w:r w:rsidRPr="00C7463F">
        <w:rPr>
          <w:rFonts w:ascii="Calibri" w:hAnsi="Calibri" w:cs="Calibri"/>
        </w:rPr>
        <w:t>[33]</w:t>
      </w:r>
      <w:r w:rsidRPr="00C7463F">
        <w:rPr>
          <w:rFonts w:ascii="Calibri" w:hAnsi="Calibri" w:cs="Calibri"/>
        </w:rPr>
        <w:tab/>
        <w:t xml:space="preserve">Node.js, ‘About’, </w:t>
      </w:r>
      <w:r w:rsidRPr="00C7463F">
        <w:rPr>
          <w:rFonts w:ascii="Calibri" w:hAnsi="Calibri" w:cs="Calibri"/>
          <w:i/>
          <w:iCs/>
        </w:rPr>
        <w:t>Node.js</w:t>
      </w:r>
      <w:r w:rsidRPr="00C7463F">
        <w:rPr>
          <w:rFonts w:ascii="Calibri" w:hAnsi="Calibri" w:cs="Calibri"/>
        </w:rPr>
        <w:t>. https://nodejs.org/en/about/ (accessed Apr. 24, 2021).</w:t>
      </w:r>
    </w:p>
    <w:p w:rsidR="00C7463F" w:rsidRPr="00C7463F" w:rsidRDefault="00C7463F" w:rsidP="00C7463F">
      <w:pPr>
        <w:pStyle w:val="Bibliography"/>
        <w:rPr>
          <w:rFonts w:ascii="Calibri" w:hAnsi="Calibri" w:cs="Calibri"/>
        </w:rPr>
      </w:pPr>
      <w:r w:rsidRPr="00C7463F">
        <w:rPr>
          <w:rFonts w:ascii="Calibri" w:hAnsi="Calibri" w:cs="Calibri"/>
        </w:rPr>
        <w:t>[34]</w:t>
      </w:r>
      <w:r w:rsidRPr="00C7463F">
        <w:rPr>
          <w:rFonts w:ascii="Calibri" w:hAnsi="Calibri" w:cs="Calibri"/>
        </w:rPr>
        <w:tab/>
        <w:t xml:space="preserve">I. K. Chaniotis, K.-I. D. Kyriakou, and N. D. Tselikas, ‘Is Node.js a viable option for building modern web applications? A performance evaluation study’, </w:t>
      </w:r>
      <w:r w:rsidRPr="00C7463F">
        <w:rPr>
          <w:rFonts w:ascii="Calibri" w:hAnsi="Calibri" w:cs="Calibri"/>
          <w:i/>
          <w:iCs/>
        </w:rPr>
        <w:t>Computing</w:t>
      </w:r>
      <w:r w:rsidRPr="00C7463F">
        <w:rPr>
          <w:rFonts w:ascii="Calibri" w:hAnsi="Calibri" w:cs="Calibri"/>
        </w:rPr>
        <w:t>, vol. 97, no. 10, pp. 1023–1044, Oct. 2015, doi: 10.1007/s00607-014-0394-9.</w:t>
      </w:r>
    </w:p>
    <w:p w:rsidR="00C7463F" w:rsidRPr="00C7463F" w:rsidRDefault="00C7463F" w:rsidP="00C7463F">
      <w:r>
        <w:fldChar w:fldCharType="end"/>
      </w:r>
    </w:p>
    <w:p w:rsidR="00C07D61" w:rsidRDefault="00C07D61" w:rsidP="00C07D61"/>
    <w:p w:rsidR="008C5ACA" w:rsidRDefault="008C5ACA" w:rsidP="00C07D61"/>
    <w:p w:rsidR="00C07D61" w:rsidRPr="00C07D61" w:rsidRDefault="00C07D61" w:rsidP="00C07D61"/>
    <w:p w:rsidR="00C07D61" w:rsidRPr="00C07D61" w:rsidRDefault="00C07D61" w:rsidP="00C07D61"/>
    <w:sectPr w:rsidR="00C07D61" w:rsidRPr="00C07D61" w:rsidSect="005C28C3">
      <w:footerReference w:type="default" r:id="rId16"/>
      <w:pgSz w:w="11909" w:h="16834"/>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404" w:rsidRDefault="00147404" w:rsidP="00AD7F13">
      <w:pPr>
        <w:spacing w:after="0" w:line="240" w:lineRule="auto"/>
      </w:pPr>
      <w:r>
        <w:separator/>
      </w:r>
    </w:p>
  </w:endnote>
  <w:endnote w:type="continuationSeparator" w:id="0">
    <w:p w:rsidR="00147404" w:rsidRDefault="00147404" w:rsidP="00AD7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890" w:rsidRDefault="00C21890">
    <w:pPr>
      <w:pStyle w:val="Footer"/>
      <w:jc w:val="right"/>
    </w:pPr>
  </w:p>
  <w:p w:rsidR="00C21890" w:rsidRDefault="00C218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386467"/>
      <w:docPartObj>
        <w:docPartGallery w:val="Page Numbers (Bottom of Page)"/>
        <w:docPartUnique/>
      </w:docPartObj>
    </w:sdtPr>
    <w:sdtEndPr>
      <w:rPr>
        <w:noProof/>
      </w:rPr>
    </w:sdtEndPr>
    <w:sdtContent>
      <w:p w:rsidR="00C21890" w:rsidRDefault="00C21890">
        <w:pPr>
          <w:pStyle w:val="Footer"/>
          <w:jc w:val="right"/>
        </w:pPr>
        <w:r>
          <w:fldChar w:fldCharType="begin"/>
        </w:r>
        <w:r>
          <w:instrText xml:space="preserve"> PAGE   \* MERGEFORMAT </w:instrText>
        </w:r>
        <w:r>
          <w:fldChar w:fldCharType="separate"/>
        </w:r>
        <w:r w:rsidR="00944070">
          <w:rPr>
            <w:noProof/>
          </w:rPr>
          <w:t>9</w:t>
        </w:r>
        <w:r>
          <w:rPr>
            <w:noProof/>
          </w:rPr>
          <w:fldChar w:fldCharType="end"/>
        </w:r>
      </w:p>
    </w:sdtContent>
  </w:sdt>
  <w:p w:rsidR="00C21890" w:rsidRDefault="00C21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404" w:rsidRDefault="00147404" w:rsidP="00AD7F13">
      <w:pPr>
        <w:spacing w:after="0" w:line="240" w:lineRule="auto"/>
      </w:pPr>
      <w:r>
        <w:separator/>
      </w:r>
    </w:p>
  </w:footnote>
  <w:footnote w:type="continuationSeparator" w:id="0">
    <w:p w:rsidR="00147404" w:rsidRDefault="00147404" w:rsidP="00AD7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720"/>
    <w:multiLevelType w:val="multilevel"/>
    <w:tmpl w:val="01D227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B0382E"/>
    <w:multiLevelType w:val="multilevel"/>
    <w:tmpl w:val="07103A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EA2698"/>
    <w:multiLevelType w:val="multilevel"/>
    <w:tmpl w:val="856E4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9541188"/>
    <w:multiLevelType w:val="multilevel"/>
    <w:tmpl w:val="9022F9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31F51C4"/>
    <w:multiLevelType w:val="multilevel"/>
    <w:tmpl w:val="2CF04F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62E29BC"/>
    <w:multiLevelType w:val="multilevel"/>
    <w:tmpl w:val="AD62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4766B"/>
    <w:multiLevelType w:val="multilevel"/>
    <w:tmpl w:val="72ACB4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2125D4"/>
    <w:multiLevelType w:val="multilevel"/>
    <w:tmpl w:val="D374BD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3104E69"/>
    <w:multiLevelType w:val="hybridMultilevel"/>
    <w:tmpl w:val="9ED8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676787"/>
    <w:multiLevelType w:val="multilevel"/>
    <w:tmpl w:val="FFEA7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794173A"/>
    <w:multiLevelType w:val="multilevel"/>
    <w:tmpl w:val="78164B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883574B"/>
    <w:multiLevelType w:val="multilevel"/>
    <w:tmpl w:val="25AC8F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02B2CBC"/>
    <w:multiLevelType w:val="multilevel"/>
    <w:tmpl w:val="D982DA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0A86920"/>
    <w:multiLevelType w:val="multilevel"/>
    <w:tmpl w:val="65A872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3DC452F"/>
    <w:multiLevelType w:val="multilevel"/>
    <w:tmpl w:val="A718D0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43E59AE"/>
    <w:multiLevelType w:val="multilevel"/>
    <w:tmpl w:val="6FA0C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5901DAF"/>
    <w:multiLevelType w:val="multilevel"/>
    <w:tmpl w:val="E7729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EF37CD"/>
    <w:multiLevelType w:val="multilevel"/>
    <w:tmpl w:val="091E0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DF64078"/>
    <w:multiLevelType w:val="multilevel"/>
    <w:tmpl w:val="ED8488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E3F2BCE"/>
    <w:multiLevelType w:val="multilevel"/>
    <w:tmpl w:val="819A88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3F624C33"/>
    <w:multiLevelType w:val="multilevel"/>
    <w:tmpl w:val="F9A49B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48523DEE"/>
    <w:multiLevelType w:val="multilevel"/>
    <w:tmpl w:val="42A8B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88965E9"/>
    <w:multiLevelType w:val="multilevel"/>
    <w:tmpl w:val="EF24E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A543126"/>
    <w:multiLevelType w:val="multilevel"/>
    <w:tmpl w:val="60DAD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EDB77FC"/>
    <w:multiLevelType w:val="multilevel"/>
    <w:tmpl w:val="8DA8E5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17C425A"/>
    <w:multiLevelType w:val="multilevel"/>
    <w:tmpl w:val="69101DA6"/>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4473"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BE7C12"/>
    <w:multiLevelType w:val="multilevel"/>
    <w:tmpl w:val="1D12B9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6A245EF"/>
    <w:multiLevelType w:val="multilevel"/>
    <w:tmpl w:val="45AAF9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5D2226B4"/>
    <w:multiLevelType w:val="multilevel"/>
    <w:tmpl w:val="06D225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600A1D2F"/>
    <w:multiLevelType w:val="multilevel"/>
    <w:tmpl w:val="87AA26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39D39E2"/>
    <w:multiLevelType w:val="multilevel"/>
    <w:tmpl w:val="A5A42E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9ED737C"/>
    <w:multiLevelType w:val="multilevel"/>
    <w:tmpl w:val="41A249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A0F032D"/>
    <w:multiLevelType w:val="multilevel"/>
    <w:tmpl w:val="071E7A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AED4422"/>
    <w:multiLevelType w:val="multilevel"/>
    <w:tmpl w:val="38A43C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6DBF77D9"/>
    <w:multiLevelType w:val="hybridMultilevel"/>
    <w:tmpl w:val="11C4D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706BE8"/>
    <w:multiLevelType w:val="multilevel"/>
    <w:tmpl w:val="FDAC4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7AD677F"/>
    <w:multiLevelType w:val="multilevel"/>
    <w:tmpl w:val="7A8E01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7F3A1DBC"/>
    <w:multiLevelType w:val="multilevel"/>
    <w:tmpl w:val="C1789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6"/>
  </w:num>
  <w:num w:numId="3">
    <w:abstractNumId w:val="23"/>
  </w:num>
  <w:num w:numId="4">
    <w:abstractNumId w:val="19"/>
  </w:num>
  <w:num w:numId="5">
    <w:abstractNumId w:val="31"/>
  </w:num>
  <w:num w:numId="6">
    <w:abstractNumId w:val="9"/>
  </w:num>
  <w:num w:numId="7">
    <w:abstractNumId w:val="28"/>
  </w:num>
  <w:num w:numId="8">
    <w:abstractNumId w:val="33"/>
  </w:num>
  <w:num w:numId="9">
    <w:abstractNumId w:val="20"/>
  </w:num>
  <w:num w:numId="10">
    <w:abstractNumId w:val="26"/>
  </w:num>
  <w:num w:numId="11">
    <w:abstractNumId w:val="30"/>
  </w:num>
  <w:num w:numId="12">
    <w:abstractNumId w:val="17"/>
  </w:num>
  <w:num w:numId="13">
    <w:abstractNumId w:val="32"/>
  </w:num>
  <w:num w:numId="14">
    <w:abstractNumId w:val="13"/>
  </w:num>
  <w:num w:numId="15">
    <w:abstractNumId w:val="1"/>
  </w:num>
  <w:num w:numId="16">
    <w:abstractNumId w:val="0"/>
  </w:num>
  <w:num w:numId="17">
    <w:abstractNumId w:val="29"/>
  </w:num>
  <w:num w:numId="18">
    <w:abstractNumId w:val="10"/>
  </w:num>
  <w:num w:numId="19">
    <w:abstractNumId w:val="16"/>
  </w:num>
  <w:num w:numId="20">
    <w:abstractNumId w:val="27"/>
  </w:num>
  <w:num w:numId="21">
    <w:abstractNumId w:val="3"/>
  </w:num>
  <w:num w:numId="22">
    <w:abstractNumId w:val="12"/>
  </w:num>
  <w:num w:numId="23">
    <w:abstractNumId w:val="14"/>
  </w:num>
  <w:num w:numId="24">
    <w:abstractNumId w:val="18"/>
  </w:num>
  <w:num w:numId="25">
    <w:abstractNumId w:val="4"/>
  </w:num>
  <w:num w:numId="26">
    <w:abstractNumId w:val="22"/>
  </w:num>
  <w:num w:numId="27">
    <w:abstractNumId w:val="36"/>
  </w:num>
  <w:num w:numId="28">
    <w:abstractNumId w:val="15"/>
  </w:num>
  <w:num w:numId="29">
    <w:abstractNumId w:val="7"/>
  </w:num>
  <w:num w:numId="30">
    <w:abstractNumId w:val="24"/>
  </w:num>
  <w:num w:numId="31">
    <w:abstractNumId w:val="25"/>
  </w:num>
  <w:num w:numId="32">
    <w:abstractNumId w:val="8"/>
  </w:num>
  <w:num w:numId="33">
    <w:abstractNumId w:val="21"/>
  </w:num>
  <w:num w:numId="34">
    <w:abstractNumId w:val="34"/>
  </w:num>
  <w:num w:numId="35">
    <w:abstractNumId w:val="5"/>
  </w:num>
  <w:num w:numId="36">
    <w:abstractNumId w:val="11"/>
  </w:num>
  <w:num w:numId="37">
    <w:abstractNumId w:val="35"/>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489"/>
    <w:rsid w:val="000231A4"/>
    <w:rsid w:val="00042AD6"/>
    <w:rsid w:val="000437E3"/>
    <w:rsid w:val="000876C5"/>
    <w:rsid w:val="000E3C99"/>
    <w:rsid w:val="0012516C"/>
    <w:rsid w:val="00145CAC"/>
    <w:rsid w:val="00147404"/>
    <w:rsid w:val="00263580"/>
    <w:rsid w:val="00284D89"/>
    <w:rsid w:val="00336CDB"/>
    <w:rsid w:val="004B10D2"/>
    <w:rsid w:val="00544E7F"/>
    <w:rsid w:val="005C28C3"/>
    <w:rsid w:val="00730B5E"/>
    <w:rsid w:val="0079347B"/>
    <w:rsid w:val="008C5ACA"/>
    <w:rsid w:val="008F2FBC"/>
    <w:rsid w:val="00912957"/>
    <w:rsid w:val="00944070"/>
    <w:rsid w:val="00953676"/>
    <w:rsid w:val="009D514F"/>
    <w:rsid w:val="009E0CBD"/>
    <w:rsid w:val="00A10335"/>
    <w:rsid w:val="00A51BD3"/>
    <w:rsid w:val="00A679BF"/>
    <w:rsid w:val="00AC4249"/>
    <w:rsid w:val="00AD7F13"/>
    <w:rsid w:val="00AF0178"/>
    <w:rsid w:val="00B23D3F"/>
    <w:rsid w:val="00B90B5F"/>
    <w:rsid w:val="00B932FF"/>
    <w:rsid w:val="00C07D61"/>
    <w:rsid w:val="00C21890"/>
    <w:rsid w:val="00C51631"/>
    <w:rsid w:val="00C7463F"/>
    <w:rsid w:val="00D3036E"/>
    <w:rsid w:val="00DE1B2A"/>
    <w:rsid w:val="00E45C14"/>
    <w:rsid w:val="00ED2489"/>
    <w:rsid w:val="00ED5420"/>
    <w:rsid w:val="00F51854"/>
    <w:rsid w:val="00FB6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26D86"/>
  <w15:docId w15:val="{CE24B396-B8BC-44BE-B823-640D5CE2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D514F"/>
    <w:pPr>
      <w:spacing w:after="120"/>
    </w:pPr>
    <w:rPr>
      <w:rFonts w:asciiTheme="majorHAnsi" w:hAnsiTheme="majorHAnsi" w:cstheme="majorHAnsi"/>
    </w:rPr>
  </w:style>
  <w:style w:type="paragraph" w:styleId="Heading1">
    <w:name w:val="heading 1"/>
    <w:basedOn w:val="Normal"/>
    <w:next w:val="Normal"/>
    <w:rsid w:val="009D514F"/>
    <w:pPr>
      <w:keepNext/>
      <w:keepLines/>
      <w:numPr>
        <w:numId w:val="31"/>
      </w:numPr>
      <w:spacing w:before="400"/>
      <w:outlineLvl w:val="0"/>
    </w:pPr>
    <w:rPr>
      <w:b/>
      <w:sz w:val="32"/>
      <w:szCs w:val="40"/>
    </w:rPr>
  </w:style>
  <w:style w:type="paragraph" w:styleId="Heading2">
    <w:name w:val="heading 2"/>
    <w:basedOn w:val="Normal"/>
    <w:next w:val="Normal"/>
    <w:rsid w:val="009D514F"/>
    <w:pPr>
      <w:keepNext/>
      <w:keepLines/>
      <w:numPr>
        <w:ilvl w:val="1"/>
        <w:numId w:val="31"/>
      </w:numPr>
      <w:spacing w:before="240"/>
      <w:ind w:left="788" w:hanging="431"/>
      <w:outlineLvl w:val="1"/>
    </w:pPr>
    <w:rPr>
      <w:b/>
      <w:sz w:val="28"/>
      <w:szCs w:val="32"/>
    </w:rPr>
  </w:style>
  <w:style w:type="paragraph" w:styleId="Heading3">
    <w:name w:val="heading 3"/>
    <w:basedOn w:val="Normal"/>
    <w:next w:val="Normal"/>
    <w:rsid w:val="009D514F"/>
    <w:pPr>
      <w:keepNext/>
      <w:keepLines/>
      <w:numPr>
        <w:ilvl w:val="2"/>
        <w:numId w:val="31"/>
      </w:numPr>
      <w:spacing w:before="320" w:after="80"/>
      <w:outlineLvl w:val="2"/>
    </w:pPr>
    <w:rPr>
      <w:b/>
      <w:sz w:val="24"/>
      <w:szCs w:val="28"/>
    </w:rPr>
  </w:style>
  <w:style w:type="paragraph" w:styleId="Heading4">
    <w:name w:val="heading 4"/>
    <w:basedOn w:val="Normal"/>
    <w:next w:val="Normal"/>
    <w:rsid w:val="009D514F"/>
    <w:pPr>
      <w:keepNext/>
      <w:keepLines/>
      <w:numPr>
        <w:ilvl w:val="3"/>
        <w:numId w:val="31"/>
      </w:numPr>
      <w:spacing w:before="280" w:after="80"/>
      <w:outlineLvl w:val="3"/>
    </w:pPr>
    <w:rPr>
      <w:b/>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s="Arial"/>
      <w:color w:val="666666"/>
      <w:sz w:val="30"/>
      <w:szCs w:val="30"/>
    </w:rPr>
  </w:style>
  <w:style w:type="table" w:customStyle="1" w:styleId="36">
    <w:name w:val="36"/>
    <w:basedOn w:val="TableNormal"/>
    <w:tblPr>
      <w:tblStyleRowBandSize w:val="1"/>
      <w:tblStyleColBandSize w:val="1"/>
      <w:tblCellMar>
        <w:top w:w="100" w:type="dxa"/>
        <w:left w:w="100" w:type="dxa"/>
        <w:bottom w:w="100" w:type="dxa"/>
        <w:right w:w="100" w:type="dxa"/>
      </w:tblCellMar>
    </w:tblPr>
  </w:style>
  <w:style w:type="table" w:customStyle="1" w:styleId="35">
    <w:name w:val="35"/>
    <w:basedOn w:val="TableNormal"/>
    <w:tblPr>
      <w:tblStyleRowBandSize w:val="1"/>
      <w:tblStyleColBandSize w:val="1"/>
      <w:tblCellMar>
        <w:top w:w="100" w:type="dxa"/>
        <w:left w:w="100" w:type="dxa"/>
        <w:bottom w:w="100" w:type="dxa"/>
        <w:right w:w="100" w:type="dxa"/>
      </w:tblCellMar>
    </w:tblPr>
  </w:style>
  <w:style w:type="table" w:customStyle="1" w:styleId="34">
    <w:name w:val="34"/>
    <w:basedOn w:val="TableNormal"/>
    <w:tblPr>
      <w:tblStyleRowBandSize w:val="1"/>
      <w:tblStyleColBandSize w:val="1"/>
      <w:tblCellMar>
        <w:top w:w="100" w:type="dxa"/>
        <w:left w:w="100" w:type="dxa"/>
        <w:bottom w:w="100" w:type="dxa"/>
        <w:right w:w="100" w:type="dxa"/>
      </w:tblCellMar>
    </w:tblPr>
  </w:style>
  <w:style w:type="table" w:customStyle="1" w:styleId="33">
    <w:name w:val="33"/>
    <w:basedOn w:val="TableNormal"/>
    <w:tblPr>
      <w:tblStyleRowBandSize w:val="1"/>
      <w:tblStyleColBandSize w:val="1"/>
      <w:tblCellMar>
        <w:top w:w="100" w:type="dxa"/>
        <w:left w:w="100" w:type="dxa"/>
        <w:bottom w:w="100" w:type="dxa"/>
        <w:right w:w="100" w:type="dxa"/>
      </w:tblCellMar>
    </w:tblPr>
  </w:style>
  <w:style w:type="table" w:customStyle="1" w:styleId="32">
    <w:name w:val="32"/>
    <w:basedOn w:val="TableNormal"/>
    <w:tblPr>
      <w:tblStyleRowBandSize w:val="1"/>
      <w:tblStyleColBandSize w:val="1"/>
      <w:tblCellMar>
        <w:top w:w="100" w:type="dxa"/>
        <w:left w:w="100" w:type="dxa"/>
        <w:bottom w:w="100" w:type="dxa"/>
        <w:right w:w="100"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30">
    <w:name w:val="30"/>
    <w:basedOn w:val="TableNormal"/>
    <w:tblPr>
      <w:tblStyleRowBandSize w:val="1"/>
      <w:tblStyleColBandSize w:val="1"/>
      <w:tblCellMar>
        <w:top w:w="100" w:type="dxa"/>
        <w:left w:w="100" w:type="dxa"/>
        <w:bottom w:w="100" w:type="dxa"/>
        <w:right w:w="100" w:type="dxa"/>
      </w:tblCellMar>
    </w:tblPr>
  </w:style>
  <w:style w:type="table" w:customStyle="1" w:styleId="29">
    <w:name w:val="29"/>
    <w:basedOn w:val="TableNormal"/>
    <w:tblPr>
      <w:tblStyleRowBandSize w:val="1"/>
      <w:tblStyleColBandSize w:val="1"/>
      <w:tblCellMar>
        <w:top w:w="100" w:type="dxa"/>
        <w:left w:w="100" w:type="dxa"/>
        <w:bottom w:w="100" w:type="dxa"/>
        <w:right w:w="100" w:type="dxa"/>
      </w:tblCellMar>
    </w:tblPr>
  </w:style>
  <w:style w:type="table" w:customStyle="1" w:styleId="28">
    <w:name w:val="28"/>
    <w:basedOn w:val="TableNormal"/>
    <w:tblPr>
      <w:tblStyleRowBandSize w:val="1"/>
      <w:tblStyleColBandSize w:val="1"/>
      <w:tblCellMar>
        <w:top w:w="100" w:type="dxa"/>
        <w:left w:w="100" w:type="dxa"/>
        <w:bottom w:w="100" w:type="dxa"/>
        <w:right w:w="100" w:type="dxa"/>
      </w:tblCellMar>
    </w:tblPr>
  </w:style>
  <w:style w:type="table" w:customStyle="1" w:styleId="27">
    <w:name w:val="27"/>
    <w:basedOn w:val="TableNormal"/>
    <w:tblPr>
      <w:tblStyleRowBandSize w:val="1"/>
      <w:tblStyleColBandSize w:val="1"/>
      <w:tblCellMar>
        <w:top w:w="100" w:type="dxa"/>
        <w:left w:w="100" w:type="dxa"/>
        <w:bottom w:w="100" w:type="dxa"/>
        <w:right w:w="100" w:type="dxa"/>
      </w:tblCellMar>
    </w:tblPr>
  </w:style>
  <w:style w:type="table" w:customStyle="1" w:styleId="26">
    <w:name w:val="26"/>
    <w:basedOn w:val="TableNormal"/>
    <w:tblPr>
      <w:tblStyleRowBandSize w:val="1"/>
      <w:tblStyleColBandSize w:val="1"/>
      <w:tblCellMar>
        <w:top w:w="100" w:type="dxa"/>
        <w:left w:w="100" w:type="dxa"/>
        <w:bottom w:w="100" w:type="dxa"/>
        <w:right w:w="100" w:type="dxa"/>
      </w:tblCellMar>
    </w:tblPr>
  </w:style>
  <w:style w:type="table" w:customStyle="1" w:styleId="25">
    <w:name w:val="25"/>
    <w:basedOn w:val="TableNormal"/>
    <w:tblPr>
      <w:tblStyleRowBandSize w:val="1"/>
      <w:tblStyleColBandSize w:val="1"/>
      <w:tblCellMar>
        <w:top w:w="100" w:type="dxa"/>
        <w:left w:w="100" w:type="dxa"/>
        <w:bottom w:w="100" w:type="dxa"/>
        <w:right w:w="100" w:type="dxa"/>
      </w:tblCellMar>
    </w:tblPr>
  </w:style>
  <w:style w:type="table" w:customStyle="1" w:styleId="24">
    <w:name w:val="24"/>
    <w:basedOn w:val="TableNormal"/>
    <w:tblPr>
      <w:tblStyleRowBandSize w:val="1"/>
      <w:tblStyleColBandSize w:val="1"/>
      <w:tblCellMar>
        <w:top w:w="100" w:type="dxa"/>
        <w:left w:w="100" w:type="dxa"/>
        <w:bottom w:w="100" w:type="dxa"/>
        <w:right w:w="100" w:type="dxa"/>
      </w:tblCellMar>
    </w:tblPr>
  </w:style>
  <w:style w:type="table" w:customStyle="1" w:styleId="23">
    <w:name w:val="23"/>
    <w:basedOn w:val="TableNormal"/>
    <w:tblPr>
      <w:tblStyleRowBandSize w:val="1"/>
      <w:tblStyleColBandSize w:val="1"/>
      <w:tblCellMar>
        <w:top w:w="100" w:type="dxa"/>
        <w:left w:w="100" w:type="dxa"/>
        <w:bottom w:w="100" w:type="dxa"/>
        <w:right w:w="100" w:type="dxa"/>
      </w:tblCellMar>
    </w:tblPr>
  </w:style>
  <w:style w:type="table" w:customStyle="1" w:styleId="22">
    <w:name w:val="22"/>
    <w:basedOn w:val="TableNormal"/>
    <w:tblPr>
      <w:tblStyleRowBandSize w:val="1"/>
      <w:tblStyleColBandSize w:val="1"/>
      <w:tblCellMar>
        <w:top w:w="100" w:type="dxa"/>
        <w:left w:w="100" w:type="dxa"/>
        <w:bottom w:w="100" w:type="dxa"/>
        <w:right w:w="100" w:type="dxa"/>
      </w:tblCellMar>
    </w:tblPr>
  </w:style>
  <w:style w:type="table" w:customStyle="1" w:styleId="21">
    <w:name w:val="21"/>
    <w:basedOn w:val="TableNormal"/>
    <w:tblPr>
      <w:tblStyleRowBandSize w:val="1"/>
      <w:tblStyleColBandSize w:val="1"/>
      <w:tblCellMar>
        <w:top w:w="100" w:type="dxa"/>
        <w:left w:w="100" w:type="dxa"/>
        <w:bottom w:w="100" w:type="dxa"/>
        <w:right w:w="100" w:type="dxa"/>
      </w:tblCellMar>
    </w:tblPr>
  </w:style>
  <w:style w:type="table" w:customStyle="1" w:styleId="20">
    <w:name w:val="20"/>
    <w:basedOn w:val="TableNormal"/>
    <w:tblPr>
      <w:tblStyleRowBandSize w:val="1"/>
      <w:tblStyleColBandSize w:val="1"/>
      <w:tblCellMar>
        <w:top w:w="100" w:type="dxa"/>
        <w:left w:w="100" w:type="dxa"/>
        <w:bottom w:w="100" w:type="dxa"/>
        <w:right w:w="100" w:type="dxa"/>
      </w:tblCellMar>
    </w:tblPr>
  </w:style>
  <w:style w:type="table" w:customStyle="1" w:styleId="19">
    <w:name w:val="19"/>
    <w:basedOn w:val="TableNormal"/>
    <w:tblPr>
      <w:tblStyleRowBandSize w:val="1"/>
      <w:tblStyleColBandSize w:val="1"/>
      <w:tblCellMar>
        <w:top w:w="100" w:type="dxa"/>
        <w:left w:w="100" w:type="dxa"/>
        <w:bottom w:w="100" w:type="dxa"/>
        <w:right w:w="100" w:type="dxa"/>
      </w:tblCellMar>
    </w:tblPr>
  </w:style>
  <w:style w:type="table" w:customStyle="1" w:styleId="18">
    <w:name w:val="18"/>
    <w:basedOn w:val="TableNormal"/>
    <w:tblPr>
      <w:tblStyleRowBandSize w:val="1"/>
      <w:tblStyleColBandSize w:val="1"/>
      <w:tblCellMar>
        <w:top w:w="100" w:type="dxa"/>
        <w:left w:w="100" w:type="dxa"/>
        <w:bottom w:w="100" w:type="dxa"/>
        <w:right w:w="100" w:type="dxa"/>
      </w:tblCellMar>
    </w:tblPr>
  </w:style>
  <w:style w:type="table" w:customStyle="1" w:styleId="17">
    <w:name w:val="17"/>
    <w:basedOn w:val="TableNormal"/>
    <w:tblPr>
      <w:tblStyleRowBandSize w:val="1"/>
      <w:tblStyleColBandSize w:val="1"/>
      <w:tblCellMar>
        <w:top w:w="100" w:type="dxa"/>
        <w:left w:w="100" w:type="dxa"/>
        <w:bottom w:w="100" w:type="dxa"/>
        <w:right w:w="100" w:type="dxa"/>
      </w:tblCellMar>
    </w:tblPr>
  </w:style>
  <w:style w:type="table" w:customStyle="1" w:styleId="16">
    <w:name w:val="16"/>
    <w:basedOn w:val="TableNormal"/>
    <w:tblPr>
      <w:tblStyleRowBandSize w:val="1"/>
      <w:tblStyleColBandSize w:val="1"/>
      <w:tblCellMar>
        <w:top w:w="100" w:type="dxa"/>
        <w:left w:w="100" w:type="dxa"/>
        <w:bottom w:w="100" w:type="dxa"/>
        <w:right w:w="100" w:type="dxa"/>
      </w:tblCellMar>
    </w:tblPr>
  </w:style>
  <w:style w:type="table" w:customStyle="1" w:styleId="15">
    <w:name w:val="15"/>
    <w:basedOn w:val="TableNormal"/>
    <w:tblPr>
      <w:tblStyleRowBandSize w:val="1"/>
      <w:tblStyleColBandSize w:val="1"/>
      <w:tblCellMar>
        <w:top w:w="100" w:type="dxa"/>
        <w:left w:w="100" w:type="dxa"/>
        <w:bottom w:w="100" w:type="dxa"/>
        <w:right w:w="100" w:type="dxa"/>
      </w:tblCellMar>
    </w:tblPr>
  </w:style>
  <w:style w:type="table" w:customStyle="1" w:styleId="14">
    <w:name w:val="14"/>
    <w:basedOn w:val="TableNormal"/>
    <w:tblPr>
      <w:tblStyleRowBandSize w:val="1"/>
      <w:tblStyleColBandSize w:val="1"/>
      <w:tblCellMar>
        <w:top w:w="100" w:type="dxa"/>
        <w:left w:w="100" w:type="dxa"/>
        <w:bottom w:w="100" w:type="dxa"/>
        <w:right w:w="100" w:type="dxa"/>
      </w:tblCellMar>
    </w:tblPr>
  </w:style>
  <w:style w:type="table" w:customStyle="1" w:styleId="13">
    <w:name w:val="13"/>
    <w:basedOn w:val="TableNormal"/>
    <w:tblPr>
      <w:tblStyleRowBandSize w:val="1"/>
      <w:tblStyleColBandSize w:val="1"/>
      <w:tblCellMar>
        <w:top w:w="100" w:type="dxa"/>
        <w:left w:w="100" w:type="dxa"/>
        <w:bottom w:w="100" w:type="dxa"/>
        <w:right w:w="100" w:type="dxa"/>
      </w:tblCellMar>
    </w:tblPr>
  </w:style>
  <w:style w:type="table" w:customStyle="1" w:styleId="12">
    <w:name w:val="12"/>
    <w:basedOn w:val="TableNormal"/>
    <w:tblPr>
      <w:tblStyleRowBandSize w:val="1"/>
      <w:tblStyleColBandSize w:val="1"/>
      <w:tblCellMar>
        <w:top w:w="100" w:type="dxa"/>
        <w:left w:w="100" w:type="dxa"/>
        <w:bottom w:w="100" w:type="dxa"/>
        <w:right w:w="100" w:type="dxa"/>
      </w:tblCellMar>
    </w:tblPr>
  </w:style>
  <w:style w:type="table" w:customStyle="1" w:styleId="11">
    <w:name w:val="11"/>
    <w:basedOn w:val="TableNormal"/>
    <w:tblPr>
      <w:tblStyleRowBandSize w:val="1"/>
      <w:tblStyleColBandSize w:val="1"/>
      <w:tblCellMar>
        <w:top w:w="100" w:type="dxa"/>
        <w:left w:w="100" w:type="dxa"/>
        <w:bottom w:w="100" w:type="dxa"/>
        <w:right w:w="100" w:type="dxa"/>
      </w:tblCellMar>
    </w:tblPr>
  </w:style>
  <w:style w:type="table" w:customStyle="1" w:styleId="10">
    <w:name w:val="10"/>
    <w:basedOn w:val="TableNormal"/>
    <w:tblPr>
      <w:tblStyleRowBandSize w:val="1"/>
      <w:tblStyleColBandSize w:val="1"/>
      <w:tblCellMar>
        <w:top w:w="100" w:type="dxa"/>
        <w:left w:w="100" w:type="dxa"/>
        <w:bottom w:w="100" w:type="dxa"/>
        <w:right w:w="100" w:type="dxa"/>
      </w:tblCellMar>
    </w:tblPr>
  </w:style>
  <w:style w:type="table" w:customStyle="1" w:styleId="9">
    <w:name w:val="9"/>
    <w:basedOn w:val="TableNormal"/>
    <w:tblPr>
      <w:tblStyleRowBandSize w:val="1"/>
      <w:tblStyleColBandSize w:val="1"/>
      <w:tblCellMar>
        <w:top w:w="100" w:type="dxa"/>
        <w:left w:w="100" w:type="dxa"/>
        <w:bottom w:w="100" w:type="dxa"/>
        <w:right w:w="100" w:type="dxa"/>
      </w:tblCellMar>
    </w:tblPr>
  </w:style>
  <w:style w:type="table" w:customStyle="1" w:styleId="8">
    <w:name w:val="8"/>
    <w:basedOn w:val="TableNormal"/>
    <w:tblPr>
      <w:tblStyleRowBandSize w:val="1"/>
      <w:tblStyleColBandSize w:val="1"/>
      <w:tblCellMar>
        <w:top w:w="100" w:type="dxa"/>
        <w:left w:w="100" w:type="dxa"/>
        <w:bottom w:w="100" w:type="dxa"/>
        <w:right w:w="100" w:type="dxa"/>
      </w:tblCellMar>
    </w:tbl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100" w:type="dxa"/>
        <w:left w:w="100" w:type="dxa"/>
        <w:bottom w:w="100" w:type="dxa"/>
        <w:right w:w="100" w:type="dxa"/>
      </w:tblCellMar>
    </w:tblPr>
  </w:style>
  <w:style w:type="table" w:customStyle="1" w:styleId="3">
    <w:name w:val="3"/>
    <w:basedOn w:val="TableNormal"/>
    <w:tblPr>
      <w:tblStyleRowBandSize w:val="1"/>
      <w:tblStyleColBandSize w:val="1"/>
      <w:tblCellMar>
        <w:top w:w="100" w:type="dxa"/>
        <w:left w:w="100" w:type="dxa"/>
        <w:bottom w:w="100" w:type="dxa"/>
        <w:right w:w="100" w:type="dxa"/>
      </w:tblCellMar>
    </w:tbl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D514F"/>
    <w:pPr>
      <w:ind w:left="720"/>
      <w:contextualSpacing/>
    </w:pPr>
  </w:style>
  <w:style w:type="paragraph" w:styleId="TOCHeading">
    <w:name w:val="TOC Heading"/>
    <w:basedOn w:val="Heading1"/>
    <w:next w:val="Normal"/>
    <w:uiPriority w:val="39"/>
    <w:unhideWhenUsed/>
    <w:qFormat/>
    <w:rsid w:val="009D514F"/>
    <w:pPr>
      <w:numPr>
        <w:numId w:val="0"/>
      </w:numPr>
      <w:spacing w:before="240" w:after="0" w:line="259" w:lineRule="auto"/>
      <w:outlineLvl w:val="9"/>
    </w:pPr>
    <w:rPr>
      <w:rFonts w:eastAsiaTheme="majorEastAsia"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9D514F"/>
    <w:pPr>
      <w:spacing w:after="100"/>
    </w:pPr>
  </w:style>
  <w:style w:type="paragraph" w:styleId="TOC2">
    <w:name w:val="toc 2"/>
    <w:basedOn w:val="Normal"/>
    <w:next w:val="Normal"/>
    <w:autoRedefine/>
    <w:uiPriority w:val="39"/>
    <w:unhideWhenUsed/>
    <w:rsid w:val="009D514F"/>
    <w:pPr>
      <w:spacing w:after="100"/>
      <w:ind w:left="220"/>
    </w:pPr>
  </w:style>
  <w:style w:type="paragraph" w:styleId="TOC3">
    <w:name w:val="toc 3"/>
    <w:basedOn w:val="Normal"/>
    <w:next w:val="Normal"/>
    <w:autoRedefine/>
    <w:uiPriority w:val="39"/>
    <w:unhideWhenUsed/>
    <w:rsid w:val="009D514F"/>
    <w:pPr>
      <w:spacing w:after="100"/>
      <w:ind w:left="440"/>
    </w:pPr>
  </w:style>
  <w:style w:type="character" w:styleId="Hyperlink">
    <w:name w:val="Hyperlink"/>
    <w:basedOn w:val="DefaultParagraphFont"/>
    <w:uiPriority w:val="99"/>
    <w:unhideWhenUsed/>
    <w:rsid w:val="009D514F"/>
    <w:rPr>
      <w:color w:val="0000FF" w:themeColor="hyperlink"/>
      <w:u w:val="single"/>
    </w:rPr>
  </w:style>
  <w:style w:type="paragraph" w:styleId="TOC4">
    <w:name w:val="toc 4"/>
    <w:basedOn w:val="Normal"/>
    <w:next w:val="Normal"/>
    <w:autoRedefine/>
    <w:uiPriority w:val="39"/>
    <w:unhideWhenUsed/>
    <w:rsid w:val="009D514F"/>
    <w:pPr>
      <w:spacing w:after="100"/>
      <w:ind w:left="660"/>
    </w:pPr>
  </w:style>
  <w:style w:type="paragraph" w:styleId="Header">
    <w:name w:val="header"/>
    <w:basedOn w:val="Normal"/>
    <w:link w:val="HeaderChar"/>
    <w:uiPriority w:val="99"/>
    <w:unhideWhenUsed/>
    <w:rsid w:val="00AD7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F13"/>
    <w:rPr>
      <w:rFonts w:asciiTheme="majorHAnsi" w:hAnsiTheme="majorHAnsi" w:cstheme="majorHAnsi"/>
    </w:rPr>
  </w:style>
  <w:style w:type="paragraph" w:styleId="Footer">
    <w:name w:val="footer"/>
    <w:basedOn w:val="Normal"/>
    <w:link w:val="FooterChar"/>
    <w:uiPriority w:val="99"/>
    <w:unhideWhenUsed/>
    <w:rsid w:val="00AD7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F13"/>
    <w:rPr>
      <w:rFonts w:asciiTheme="majorHAnsi" w:hAnsiTheme="majorHAnsi" w:cstheme="majorHAnsi"/>
    </w:rPr>
  </w:style>
  <w:style w:type="paragraph" w:styleId="Bibliography">
    <w:name w:val="Bibliography"/>
    <w:basedOn w:val="Normal"/>
    <w:next w:val="Normal"/>
    <w:uiPriority w:val="37"/>
    <w:unhideWhenUsed/>
    <w:rsid w:val="00E45C14"/>
    <w:pPr>
      <w:tabs>
        <w:tab w:val="left" w:pos="384"/>
      </w:tabs>
      <w:spacing w:after="0" w:line="240" w:lineRule="auto"/>
      <w:ind w:left="384" w:hanging="384"/>
    </w:pPr>
  </w:style>
  <w:style w:type="paragraph" w:styleId="NormalWeb">
    <w:name w:val="Normal (Web)"/>
    <w:basedOn w:val="Normal"/>
    <w:uiPriority w:val="99"/>
    <w:semiHidden/>
    <w:unhideWhenUsed/>
    <w:rsid w:val="005C28C3"/>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F2FB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130822">
      <w:bodyDiv w:val="1"/>
      <w:marLeft w:val="0"/>
      <w:marRight w:val="0"/>
      <w:marTop w:val="0"/>
      <w:marBottom w:val="0"/>
      <w:divBdr>
        <w:top w:val="none" w:sz="0" w:space="0" w:color="auto"/>
        <w:left w:val="none" w:sz="0" w:space="0" w:color="auto"/>
        <w:bottom w:val="none" w:sz="0" w:space="0" w:color="auto"/>
        <w:right w:val="none" w:sz="0" w:space="0" w:color="auto"/>
      </w:divBdr>
    </w:div>
    <w:div w:id="1447116317">
      <w:bodyDiv w:val="1"/>
      <w:marLeft w:val="0"/>
      <w:marRight w:val="0"/>
      <w:marTop w:val="0"/>
      <w:marBottom w:val="0"/>
      <w:divBdr>
        <w:top w:val="none" w:sz="0" w:space="0" w:color="auto"/>
        <w:left w:val="none" w:sz="0" w:space="0" w:color="auto"/>
        <w:bottom w:val="none" w:sz="0" w:space="0" w:color="auto"/>
        <w:right w:val="none" w:sz="0" w:space="0" w:color="auto"/>
      </w:divBdr>
    </w:div>
    <w:div w:id="1681659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zotero.org/google-docs/?vufrg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otero.org/google-docs/?moi74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otero.org/google-docs/?VP9jZx" TargetMode="External"/><Relationship Id="rId5" Type="http://schemas.openxmlformats.org/officeDocument/2006/relationships/webSettings" Target="webSettings.xml"/><Relationship Id="rId15" Type="http://schemas.openxmlformats.org/officeDocument/2006/relationships/hyperlink" Target="https://youtu.be/weSoDnnpW9U" TargetMode="External"/><Relationship Id="rId10" Type="http://schemas.openxmlformats.org/officeDocument/2006/relationships/hyperlink" Target="https://www.zotero.org/google-docs/?RguKw8"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zotero.org/google-docs/?IuOQ0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B926D-F24C-4A93-B39C-9CD095EBB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11</Pages>
  <Words>11855</Words>
  <Characters>67574</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Pritchard (1809125)</dc:creator>
  <cp:keywords/>
  <dc:description/>
  <cp:lastModifiedBy>Thomas Pritchard (1809125)</cp:lastModifiedBy>
  <cp:revision>14</cp:revision>
  <dcterms:created xsi:type="dcterms:W3CDTF">2021-04-20T19:28:00Z</dcterms:created>
  <dcterms:modified xsi:type="dcterms:W3CDTF">2021-05-06T17:06:00Z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id="eWgFvh3m"/&gt;&lt;style id="http://www.zotero.org/styles/ieee" locale="en-GB" hasBibliography="1" bibliographyStyleHasBeenSet="1"/&gt;&lt;prefs&gt;&lt;pref name="fieldType" value="Field"/&gt;&lt;pref name="automaticJo</vt:lpwstr>
  </property>
  <property fmtid="{D5CDD505-2E9C-101B-9397-08002B2CF9AE}" pid="3" name="ZOTERO_PREF_2">
    <vt:lpwstr>urnalAbbreviations" value="true"/&gt;&lt;/prefs&gt;&lt;/data&gt;</vt:lpwstr>
  </property>
</Properties>
</file>