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EF710" w14:textId="77777777" w:rsidR="008F064C" w:rsidRDefault="008F064C">
      <w:pPr>
        <w:spacing w:before="1400"/>
      </w:pPr>
    </w:p>
    <w:p w14:paraId="01590957" w14:textId="77777777" w:rsidR="008F064C" w:rsidRDefault="00000000">
      <w:pPr>
        <w:spacing w:after="40"/>
        <w:jc w:val="center"/>
      </w:pPr>
      <w:r>
        <w:rPr>
          <w:b/>
          <w:bCs/>
          <w:sz w:val="34"/>
          <w:szCs w:val="34"/>
        </w:rPr>
        <w:t>ORGANISATIONAL CULTURE AT</w:t>
      </w:r>
    </w:p>
    <w:p w14:paraId="4FC810FE" w14:textId="77777777" w:rsidR="008F064C" w:rsidRDefault="00000000">
      <w:pPr>
        <w:spacing w:after="240"/>
        <w:jc w:val="center"/>
      </w:pPr>
      <w:r>
        <w:rPr>
          <w:b/>
          <w:bCs/>
          <w:sz w:val="34"/>
          <w:szCs w:val="34"/>
        </w:rPr>
        <w:t>TOYOTA MOTOR CORPORATION</w:t>
      </w:r>
    </w:p>
    <w:p w14:paraId="4940B791" w14:textId="77777777" w:rsidR="008F064C" w:rsidRDefault="008F064C">
      <w:pPr>
        <w:pBdr>
          <w:bottom w:val="single" w:sz="6" w:space="8" w:color="999999"/>
        </w:pBdr>
        <w:spacing w:after="300"/>
        <w:jc w:val="center"/>
      </w:pPr>
    </w:p>
    <w:p w14:paraId="52CF0C11" w14:textId="77777777" w:rsidR="008F064C" w:rsidRDefault="00000000">
      <w:pPr>
        <w:spacing w:after="200"/>
        <w:jc w:val="center"/>
      </w:pPr>
      <w:r>
        <w:rPr>
          <w:i/>
          <w:iCs/>
          <w:sz w:val="26"/>
          <w:szCs w:val="26"/>
        </w:rPr>
        <w:t>An Analysis Using Schein, Hofstede and Handy</w:t>
      </w:r>
    </w:p>
    <w:p w14:paraId="6C0ED292" w14:textId="77777777" w:rsidR="008F064C" w:rsidRDefault="00000000">
      <w:pPr>
        <w:spacing w:after="40"/>
        <w:jc w:val="center"/>
      </w:pPr>
      <w:r>
        <w:t>A report examining the predominant culture, structure,</w:t>
      </w:r>
    </w:p>
    <w:p w14:paraId="0FB1288C" w14:textId="77777777" w:rsidR="008F064C" w:rsidRDefault="00000000">
      <w:pPr>
        <w:spacing w:after="900"/>
        <w:jc w:val="center"/>
      </w:pPr>
      <w:r>
        <w:t>decision-making and external environment</w:t>
      </w:r>
    </w:p>
    <w:p w14:paraId="1A6D3FEE" w14:textId="77777777" w:rsidR="008F064C" w:rsidRDefault="00000000">
      <w:pPr>
        <w:spacing w:after="100"/>
        <w:jc w:val="center"/>
      </w:pPr>
      <w:r>
        <w:t>STUDENT:  Vadim Furtuna</w:t>
      </w:r>
    </w:p>
    <w:p w14:paraId="6C3A425C" w14:textId="77777777" w:rsidR="008F064C" w:rsidRDefault="00000000">
      <w:pPr>
        <w:spacing w:after="100"/>
        <w:jc w:val="center"/>
      </w:pPr>
      <w:r>
        <w:t>STUDENT ID:  2417467</w:t>
      </w:r>
    </w:p>
    <w:p w14:paraId="1210A668" w14:textId="77777777" w:rsidR="008F064C" w:rsidRDefault="00000000">
      <w:pPr>
        <w:spacing w:after="100"/>
        <w:jc w:val="center"/>
      </w:pPr>
      <w:r>
        <w:t>MODULE:  LCLM5005</w:t>
      </w:r>
    </w:p>
    <w:p w14:paraId="23CC9550" w14:textId="77777777" w:rsidR="008F064C" w:rsidRDefault="00000000">
      <w:pPr>
        <w:spacing w:after="100"/>
        <w:jc w:val="center"/>
      </w:pPr>
      <w:r>
        <w:t>DATE:  August 2026</w:t>
      </w:r>
    </w:p>
    <w:p w14:paraId="7A88D402" w14:textId="77777777" w:rsidR="008F064C" w:rsidRDefault="008F064C">
      <w:pPr>
        <w:sectPr w:rsidR="008F064C">
          <w:pgSz w:w="11906" w:h="16838"/>
          <w:pgMar w:top="1440" w:right="1440" w:bottom="1440" w:left="1440" w:header="708" w:footer="708" w:gutter="0"/>
          <w:cols w:space="720"/>
          <w:docGrid w:linePitch="360"/>
        </w:sectPr>
      </w:pPr>
    </w:p>
    <w:p w14:paraId="6E3A4889" w14:textId="77777777" w:rsidR="008F064C" w:rsidRDefault="00000000">
      <w:pPr>
        <w:pStyle w:val="Heading1"/>
        <w:spacing w:before="260" w:after="140"/>
      </w:pPr>
      <w:bookmarkStart w:id="0" w:name="_Toc236688086"/>
      <w:r>
        <w:rPr>
          <w:b/>
          <w:bCs/>
        </w:rPr>
        <w:lastRenderedPageBreak/>
        <w:t>Contents</w:t>
      </w:r>
      <w:bookmarkEnd w:id="0"/>
    </w:p>
    <w:sdt>
      <w:sdtPr>
        <w:alias w:val="Table of Contents"/>
        <w:id w:val="1653250863"/>
      </w:sdtPr>
      <w:sdtContent>
        <w:p w14:paraId="4CFD9AB1" w14:textId="77777777" w:rsidR="00D274E1" w:rsidRDefault="00000000">
          <w:pPr>
            <w:pStyle w:val="TOC1"/>
            <w:tabs>
              <w:tab w:val="right" w:leader="dot" w:pos="9016"/>
            </w:tabs>
            <w:rPr>
              <w:noProof/>
            </w:rPr>
          </w:pPr>
          <w:r>
            <w:fldChar w:fldCharType="begin"/>
          </w:r>
          <w:r>
            <w:instrText>TOC \h \o "1-2"</w:instrText>
          </w:r>
          <w:r>
            <w:fldChar w:fldCharType="separate"/>
          </w:r>
          <w:hyperlink w:anchor="_Toc236688086" w:history="1">
            <w:r w:rsidR="00D274E1" w:rsidRPr="007C4ECA">
              <w:rPr>
                <w:rStyle w:val="Hyperlink"/>
                <w:b/>
                <w:bCs/>
                <w:noProof/>
              </w:rPr>
              <w:t>Contents</w:t>
            </w:r>
            <w:r w:rsidR="00D274E1">
              <w:rPr>
                <w:noProof/>
              </w:rPr>
              <w:tab/>
            </w:r>
            <w:r w:rsidR="00D274E1">
              <w:rPr>
                <w:noProof/>
              </w:rPr>
              <w:fldChar w:fldCharType="begin"/>
            </w:r>
            <w:r w:rsidR="00D274E1">
              <w:rPr>
                <w:noProof/>
              </w:rPr>
              <w:instrText xml:space="preserve"> PAGEREF _Toc236688086 \h </w:instrText>
            </w:r>
            <w:r w:rsidR="00D274E1">
              <w:rPr>
                <w:noProof/>
              </w:rPr>
            </w:r>
            <w:r w:rsidR="00D274E1">
              <w:rPr>
                <w:noProof/>
              </w:rPr>
              <w:fldChar w:fldCharType="separate"/>
            </w:r>
            <w:r w:rsidR="00D274E1">
              <w:rPr>
                <w:noProof/>
              </w:rPr>
              <w:t>1</w:t>
            </w:r>
            <w:r w:rsidR="00D274E1">
              <w:rPr>
                <w:noProof/>
              </w:rPr>
              <w:fldChar w:fldCharType="end"/>
            </w:r>
          </w:hyperlink>
        </w:p>
        <w:p w14:paraId="382459EF" w14:textId="77777777" w:rsidR="00D274E1" w:rsidRDefault="00D274E1">
          <w:pPr>
            <w:pStyle w:val="TOC1"/>
            <w:tabs>
              <w:tab w:val="right" w:leader="dot" w:pos="9016"/>
            </w:tabs>
            <w:rPr>
              <w:noProof/>
            </w:rPr>
          </w:pPr>
          <w:hyperlink w:anchor="_Toc236688087" w:history="1">
            <w:r w:rsidRPr="007C4ECA">
              <w:rPr>
                <w:rStyle w:val="Hyperlink"/>
                <w:b/>
                <w:bCs/>
                <w:noProof/>
              </w:rPr>
              <w:t>Executive Summary</w:t>
            </w:r>
            <w:r>
              <w:rPr>
                <w:noProof/>
              </w:rPr>
              <w:tab/>
            </w:r>
            <w:r>
              <w:rPr>
                <w:noProof/>
              </w:rPr>
              <w:fldChar w:fldCharType="begin"/>
            </w:r>
            <w:r>
              <w:rPr>
                <w:noProof/>
              </w:rPr>
              <w:instrText xml:space="preserve"> PAGEREF _Toc236688087 \h </w:instrText>
            </w:r>
            <w:r>
              <w:rPr>
                <w:noProof/>
              </w:rPr>
            </w:r>
            <w:r>
              <w:rPr>
                <w:noProof/>
              </w:rPr>
              <w:fldChar w:fldCharType="separate"/>
            </w:r>
            <w:r>
              <w:rPr>
                <w:noProof/>
              </w:rPr>
              <w:t>2</w:t>
            </w:r>
            <w:r>
              <w:rPr>
                <w:noProof/>
              </w:rPr>
              <w:fldChar w:fldCharType="end"/>
            </w:r>
          </w:hyperlink>
        </w:p>
        <w:p w14:paraId="659AF34C" w14:textId="77777777" w:rsidR="00D274E1" w:rsidRDefault="00D274E1">
          <w:pPr>
            <w:pStyle w:val="TOC1"/>
            <w:tabs>
              <w:tab w:val="right" w:leader="dot" w:pos="9016"/>
            </w:tabs>
            <w:rPr>
              <w:noProof/>
            </w:rPr>
          </w:pPr>
          <w:hyperlink w:anchor="_Toc236688088" w:history="1">
            <w:r w:rsidRPr="007C4ECA">
              <w:rPr>
                <w:rStyle w:val="Hyperlink"/>
                <w:b/>
                <w:bCs/>
                <w:noProof/>
              </w:rPr>
              <w:t>Introduction</w:t>
            </w:r>
            <w:r>
              <w:rPr>
                <w:noProof/>
              </w:rPr>
              <w:tab/>
            </w:r>
            <w:r>
              <w:rPr>
                <w:noProof/>
              </w:rPr>
              <w:fldChar w:fldCharType="begin"/>
            </w:r>
            <w:r>
              <w:rPr>
                <w:noProof/>
              </w:rPr>
              <w:instrText xml:space="preserve"> PAGEREF _Toc236688088 \h </w:instrText>
            </w:r>
            <w:r>
              <w:rPr>
                <w:noProof/>
              </w:rPr>
            </w:r>
            <w:r>
              <w:rPr>
                <w:noProof/>
              </w:rPr>
              <w:fldChar w:fldCharType="separate"/>
            </w:r>
            <w:r>
              <w:rPr>
                <w:noProof/>
              </w:rPr>
              <w:t>2</w:t>
            </w:r>
            <w:r>
              <w:rPr>
                <w:noProof/>
              </w:rPr>
              <w:fldChar w:fldCharType="end"/>
            </w:r>
          </w:hyperlink>
        </w:p>
        <w:p w14:paraId="0474A3C6" w14:textId="77777777" w:rsidR="00D274E1" w:rsidRDefault="00D274E1">
          <w:pPr>
            <w:pStyle w:val="TOC1"/>
            <w:tabs>
              <w:tab w:val="right" w:leader="dot" w:pos="9016"/>
            </w:tabs>
            <w:rPr>
              <w:noProof/>
            </w:rPr>
          </w:pPr>
          <w:hyperlink w:anchor="_Toc236688089" w:history="1">
            <w:r w:rsidRPr="007C4ECA">
              <w:rPr>
                <w:rStyle w:val="Hyperlink"/>
                <w:b/>
                <w:bCs/>
                <w:noProof/>
              </w:rPr>
              <w:t>Organisational Background</w:t>
            </w:r>
            <w:r>
              <w:rPr>
                <w:noProof/>
              </w:rPr>
              <w:tab/>
            </w:r>
            <w:r>
              <w:rPr>
                <w:noProof/>
              </w:rPr>
              <w:fldChar w:fldCharType="begin"/>
            </w:r>
            <w:r>
              <w:rPr>
                <w:noProof/>
              </w:rPr>
              <w:instrText xml:space="preserve"> PAGEREF _Toc236688089 \h </w:instrText>
            </w:r>
            <w:r>
              <w:rPr>
                <w:noProof/>
              </w:rPr>
            </w:r>
            <w:r>
              <w:rPr>
                <w:noProof/>
              </w:rPr>
              <w:fldChar w:fldCharType="separate"/>
            </w:r>
            <w:r>
              <w:rPr>
                <w:noProof/>
              </w:rPr>
              <w:t>2</w:t>
            </w:r>
            <w:r>
              <w:rPr>
                <w:noProof/>
              </w:rPr>
              <w:fldChar w:fldCharType="end"/>
            </w:r>
          </w:hyperlink>
        </w:p>
        <w:p w14:paraId="09BB8B65" w14:textId="77777777" w:rsidR="00D274E1" w:rsidRDefault="00D274E1">
          <w:pPr>
            <w:pStyle w:val="TOC1"/>
            <w:tabs>
              <w:tab w:val="right" w:leader="dot" w:pos="9016"/>
            </w:tabs>
            <w:rPr>
              <w:noProof/>
            </w:rPr>
          </w:pPr>
          <w:hyperlink w:anchor="_Toc236688090" w:history="1">
            <w:r w:rsidRPr="007C4ECA">
              <w:rPr>
                <w:rStyle w:val="Hyperlink"/>
                <w:b/>
                <w:bCs/>
                <w:noProof/>
              </w:rPr>
              <w:t>Organisational Culture</w:t>
            </w:r>
            <w:r>
              <w:rPr>
                <w:noProof/>
              </w:rPr>
              <w:tab/>
            </w:r>
            <w:r>
              <w:rPr>
                <w:noProof/>
              </w:rPr>
              <w:fldChar w:fldCharType="begin"/>
            </w:r>
            <w:r>
              <w:rPr>
                <w:noProof/>
              </w:rPr>
              <w:instrText xml:space="preserve"> PAGEREF _Toc236688090 \h </w:instrText>
            </w:r>
            <w:r>
              <w:rPr>
                <w:noProof/>
              </w:rPr>
            </w:r>
            <w:r>
              <w:rPr>
                <w:noProof/>
              </w:rPr>
              <w:fldChar w:fldCharType="separate"/>
            </w:r>
            <w:r>
              <w:rPr>
                <w:noProof/>
              </w:rPr>
              <w:t>3</w:t>
            </w:r>
            <w:r>
              <w:rPr>
                <w:noProof/>
              </w:rPr>
              <w:fldChar w:fldCharType="end"/>
            </w:r>
          </w:hyperlink>
        </w:p>
        <w:p w14:paraId="7ADF5876" w14:textId="77777777" w:rsidR="00D274E1" w:rsidRDefault="00D274E1">
          <w:pPr>
            <w:pStyle w:val="TOC1"/>
            <w:tabs>
              <w:tab w:val="right" w:leader="dot" w:pos="9016"/>
            </w:tabs>
            <w:rPr>
              <w:noProof/>
            </w:rPr>
          </w:pPr>
          <w:hyperlink w:anchor="_Toc236688091" w:history="1">
            <w:r w:rsidRPr="007C4ECA">
              <w:rPr>
                <w:rStyle w:val="Hyperlink"/>
                <w:b/>
                <w:bCs/>
                <w:noProof/>
              </w:rPr>
              <w:t>Critical Analysis Using Schein, Hofstede and Handy</w:t>
            </w:r>
            <w:r>
              <w:rPr>
                <w:noProof/>
              </w:rPr>
              <w:tab/>
            </w:r>
            <w:r>
              <w:rPr>
                <w:noProof/>
              </w:rPr>
              <w:fldChar w:fldCharType="begin"/>
            </w:r>
            <w:r>
              <w:rPr>
                <w:noProof/>
              </w:rPr>
              <w:instrText xml:space="preserve"> PAGEREF _Toc236688091 \h </w:instrText>
            </w:r>
            <w:r>
              <w:rPr>
                <w:noProof/>
              </w:rPr>
            </w:r>
            <w:r>
              <w:rPr>
                <w:noProof/>
              </w:rPr>
              <w:fldChar w:fldCharType="separate"/>
            </w:r>
            <w:r>
              <w:rPr>
                <w:noProof/>
              </w:rPr>
              <w:t>4</w:t>
            </w:r>
            <w:r>
              <w:rPr>
                <w:noProof/>
              </w:rPr>
              <w:fldChar w:fldCharType="end"/>
            </w:r>
          </w:hyperlink>
        </w:p>
        <w:p w14:paraId="65519E9A" w14:textId="77777777" w:rsidR="00D274E1" w:rsidRDefault="00D274E1">
          <w:pPr>
            <w:pStyle w:val="TOC2"/>
            <w:tabs>
              <w:tab w:val="right" w:leader="dot" w:pos="9016"/>
            </w:tabs>
            <w:rPr>
              <w:noProof/>
            </w:rPr>
          </w:pPr>
          <w:hyperlink w:anchor="_Toc236688092" w:history="1">
            <w:r w:rsidRPr="007C4ECA">
              <w:rPr>
                <w:rStyle w:val="Hyperlink"/>
                <w:b/>
                <w:bCs/>
                <w:noProof/>
              </w:rPr>
              <w:t>Schein's Model</w:t>
            </w:r>
            <w:r>
              <w:rPr>
                <w:noProof/>
              </w:rPr>
              <w:tab/>
            </w:r>
            <w:r>
              <w:rPr>
                <w:noProof/>
              </w:rPr>
              <w:fldChar w:fldCharType="begin"/>
            </w:r>
            <w:r>
              <w:rPr>
                <w:noProof/>
              </w:rPr>
              <w:instrText xml:space="preserve"> PAGEREF _Toc236688092 \h </w:instrText>
            </w:r>
            <w:r>
              <w:rPr>
                <w:noProof/>
              </w:rPr>
            </w:r>
            <w:r>
              <w:rPr>
                <w:noProof/>
              </w:rPr>
              <w:fldChar w:fldCharType="separate"/>
            </w:r>
            <w:r>
              <w:rPr>
                <w:noProof/>
              </w:rPr>
              <w:t>4</w:t>
            </w:r>
            <w:r>
              <w:rPr>
                <w:noProof/>
              </w:rPr>
              <w:fldChar w:fldCharType="end"/>
            </w:r>
          </w:hyperlink>
        </w:p>
        <w:p w14:paraId="073E5DD4" w14:textId="77777777" w:rsidR="00D274E1" w:rsidRDefault="00D274E1">
          <w:pPr>
            <w:pStyle w:val="TOC2"/>
            <w:tabs>
              <w:tab w:val="right" w:leader="dot" w:pos="9016"/>
            </w:tabs>
            <w:rPr>
              <w:noProof/>
            </w:rPr>
          </w:pPr>
          <w:hyperlink w:anchor="_Toc236688093" w:history="1">
            <w:r w:rsidRPr="007C4ECA">
              <w:rPr>
                <w:rStyle w:val="Hyperlink"/>
                <w:b/>
                <w:bCs/>
                <w:noProof/>
              </w:rPr>
              <w:t>Hofstede's Cultural Dimensions</w:t>
            </w:r>
            <w:r>
              <w:rPr>
                <w:noProof/>
              </w:rPr>
              <w:tab/>
            </w:r>
            <w:r>
              <w:rPr>
                <w:noProof/>
              </w:rPr>
              <w:fldChar w:fldCharType="begin"/>
            </w:r>
            <w:r>
              <w:rPr>
                <w:noProof/>
              </w:rPr>
              <w:instrText xml:space="preserve"> PAGEREF _Toc236688093 \h </w:instrText>
            </w:r>
            <w:r>
              <w:rPr>
                <w:noProof/>
              </w:rPr>
            </w:r>
            <w:r>
              <w:rPr>
                <w:noProof/>
              </w:rPr>
              <w:fldChar w:fldCharType="separate"/>
            </w:r>
            <w:r>
              <w:rPr>
                <w:noProof/>
              </w:rPr>
              <w:t>4</w:t>
            </w:r>
            <w:r>
              <w:rPr>
                <w:noProof/>
              </w:rPr>
              <w:fldChar w:fldCharType="end"/>
            </w:r>
          </w:hyperlink>
        </w:p>
        <w:p w14:paraId="7EA2465C" w14:textId="77777777" w:rsidR="00D274E1" w:rsidRDefault="00D274E1">
          <w:pPr>
            <w:pStyle w:val="TOC2"/>
            <w:tabs>
              <w:tab w:val="right" w:leader="dot" w:pos="9016"/>
            </w:tabs>
            <w:rPr>
              <w:noProof/>
            </w:rPr>
          </w:pPr>
          <w:hyperlink w:anchor="_Toc236688094" w:history="1">
            <w:r w:rsidRPr="007C4ECA">
              <w:rPr>
                <w:rStyle w:val="Hyperlink"/>
                <w:b/>
                <w:bCs/>
                <w:noProof/>
              </w:rPr>
              <w:t>Handy's Culture Typology</w:t>
            </w:r>
            <w:r>
              <w:rPr>
                <w:noProof/>
              </w:rPr>
              <w:tab/>
            </w:r>
            <w:r>
              <w:rPr>
                <w:noProof/>
              </w:rPr>
              <w:fldChar w:fldCharType="begin"/>
            </w:r>
            <w:r>
              <w:rPr>
                <w:noProof/>
              </w:rPr>
              <w:instrText xml:space="preserve"> PAGEREF _Toc236688094 \h </w:instrText>
            </w:r>
            <w:r>
              <w:rPr>
                <w:noProof/>
              </w:rPr>
            </w:r>
            <w:r>
              <w:rPr>
                <w:noProof/>
              </w:rPr>
              <w:fldChar w:fldCharType="separate"/>
            </w:r>
            <w:r>
              <w:rPr>
                <w:noProof/>
              </w:rPr>
              <w:t>5</w:t>
            </w:r>
            <w:r>
              <w:rPr>
                <w:noProof/>
              </w:rPr>
              <w:fldChar w:fldCharType="end"/>
            </w:r>
          </w:hyperlink>
        </w:p>
        <w:p w14:paraId="3272280A" w14:textId="77777777" w:rsidR="00D274E1" w:rsidRDefault="00D274E1">
          <w:pPr>
            <w:pStyle w:val="TOC1"/>
            <w:tabs>
              <w:tab w:val="right" w:leader="dot" w:pos="9016"/>
            </w:tabs>
            <w:rPr>
              <w:noProof/>
            </w:rPr>
          </w:pPr>
          <w:hyperlink w:anchor="_Toc236688095" w:history="1">
            <w:r w:rsidRPr="007C4ECA">
              <w:rPr>
                <w:rStyle w:val="Hyperlink"/>
                <w:b/>
                <w:bCs/>
                <w:noProof/>
              </w:rPr>
              <w:t>Influence on Structure and Decision-Making</w:t>
            </w:r>
            <w:r>
              <w:rPr>
                <w:noProof/>
              </w:rPr>
              <w:tab/>
            </w:r>
            <w:r>
              <w:rPr>
                <w:noProof/>
              </w:rPr>
              <w:fldChar w:fldCharType="begin"/>
            </w:r>
            <w:r>
              <w:rPr>
                <w:noProof/>
              </w:rPr>
              <w:instrText xml:space="preserve"> PAGEREF _Toc236688095 \h </w:instrText>
            </w:r>
            <w:r>
              <w:rPr>
                <w:noProof/>
              </w:rPr>
            </w:r>
            <w:r>
              <w:rPr>
                <w:noProof/>
              </w:rPr>
              <w:fldChar w:fldCharType="separate"/>
            </w:r>
            <w:r>
              <w:rPr>
                <w:noProof/>
              </w:rPr>
              <w:t>6</w:t>
            </w:r>
            <w:r>
              <w:rPr>
                <w:noProof/>
              </w:rPr>
              <w:fldChar w:fldCharType="end"/>
            </w:r>
          </w:hyperlink>
        </w:p>
        <w:p w14:paraId="6076E1C5" w14:textId="77777777" w:rsidR="00D274E1" w:rsidRDefault="00D274E1">
          <w:pPr>
            <w:pStyle w:val="TOC1"/>
            <w:tabs>
              <w:tab w:val="right" w:leader="dot" w:pos="9016"/>
            </w:tabs>
            <w:rPr>
              <w:noProof/>
            </w:rPr>
          </w:pPr>
          <w:hyperlink w:anchor="_Toc236688096" w:history="1">
            <w:r w:rsidRPr="007C4ECA">
              <w:rPr>
                <w:rStyle w:val="Hyperlink"/>
                <w:b/>
                <w:bCs/>
                <w:noProof/>
              </w:rPr>
              <w:t>Culture and External Environment</w:t>
            </w:r>
            <w:r>
              <w:rPr>
                <w:noProof/>
              </w:rPr>
              <w:tab/>
            </w:r>
            <w:r>
              <w:rPr>
                <w:noProof/>
              </w:rPr>
              <w:fldChar w:fldCharType="begin"/>
            </w:r>
            <w:r>
              <w:rPr>
                <w:noProof/>
              </w:rPr>
              <w:instrText xml:space="preserve"> PAGEREF _Toc236688096 \h </w:instrText>
            </w:r>
            <w:r>
              <w:rPr>
                <w:noProof/>
              </w:rPr>
            </w:r>
            <w:r>
              <w:rPr>
                <w:noProof/>
              </w:rPr>
              <w:fldChar w:fldCharType="separate"/>
            </w:r>
            <w:r>
              <w:rPr>
                <w:noProof/>
              </w:rPr>
              <w:t>6</w:t>
            </w:r>
            <w:r>
              <w:rPr>
                <w:noProof/>
              </w:rPr>
              <w:fldChar w:fldCharType="end"/>
            </w:r>
          </w:hyperlink>
        </w:p>
        <w:p w14:paraId="4BC0301C" w14:textId="77777777" w:rsidR="00D274E1" w:rsidRDefault="00D274E1">
          <w:pPr>
            <w:pStyle w:val="TOC1"/>
            <w:tabs>
              <w:tab w:val="right" w:leader="dot" w:pos="9016"/>
            </w:tabs>
            <w:rPr>
              <w:noProof/>
            </w:rPr>
          </w:pPr>
          <w:hyperlink w:anchor="_Toc236688097" w:history="1">
            <w:r w:rsidRPr="007C4ECA">
              <w:rPr>
                <w:rStyle w:val="Hyperlink"/>
                <w:b/>
                <w:bCs/>
                <w:noProof/>
              </w:rPr>
              <w:t>Is Culture an Enabler or Barrier?</w:t>
            </w:r>
            <w:r>
              <w:rPr>
                <w:noProof/>
              </w:rPr>
              <w:tab/>
            </w:r>
            <w:r>
              <w:rPr>
                <w:noProof/>
              </w:rPr>
              <w:fldChar w:fldCharType="begin"/>
            </w:r>
            <w:r>
              <w:rPr>
                <w:noProof/>
              </w:rPr>
              <w:instrText xml:space="preserve"> PAGEREF _Toc236688097 \h </w:instrText>
            </w:r>
            <w:r>
              <w:rPr>
                <w:noProof/>
              </w:rPr>
            </w:r>
            <w:r>
              <w:rPr>
                <w:noProof/>
              </w:rPr>
              <w:fldChar w:fldCharType="separate"/>
            </w:r>
            <w:r>
              <w:rPr>
                <w:noProof/>
              </w:rPr>
              <w:t>7</w:t>
            </w:r>
            <w:r>
              <w:rPr>
                <w:noProof/>
              </w:rPr>
              <w:fldChar w:fldCharType="end"/>
            </w:r>
          </w:hyperlink>
        </w:p>
        <w:p w14:paraId="27029171" w14:textId="77777777" w:rsidR="00D274E1" w:rsidRDefault="00D274E1">
          <w:pPr>
            <w:pStyle w:val="TOC1"/>
            <w:tabs>
              <w:tab w:val="right" w:leader="dot" w:pos="9016"/>
            </w:tabs>
            <w:rPr>
              <w:noProof/>
            </w:rPr>
          </w:pPr>
          <w:hyperlink w:anchor="_Toc236688098" w:history="1">
            <w:r w:rsidRPr="007C4ECA">
              <w:rPr>
                <w:rStyle w:val="Hyperlink"/>
                <w:b/>
                <w:bCs/>
                <w:noProof/>
              </w:rPr>
              <w:t>Recommendations</w:t>
            </w:r>
            <w:r>
              <w:rPr>
                <w:noProof/>
              </w:rPr>
              <w:tab/>
            </w:r>
            <w:r>
              <w:rPr>
                <w:noProof/>
              </w:rPr>
              <w:fldChar w:fldCharType="begin"/>
            </w:r>
            <w:r>
              <w:rPr>
                <w:noProof/>
              </w:rPr>
              <w:instrText xml:space="preserve"> PAGEREF _Toc236688098 \h </w:instrText>
            </w:r>
            <w:r>
              <w:rPr>
                <w:noProof/>
              </w:rPr>
            </w:r>
            <w:r>
              <w:rPr>
                <w:noProof/>
              </w:rPr>
              <w:fldChar w:fldCharType="separate"/>
            </w:r>
            <w:r>
              <w:rPr>
                <w:noProof/>
              </w:rPr>
              <w:t>8</w:t>
            </w:r>
            <w:r>
              <w:rPr>
                <w:noProof/>
              </w:rPr>
              <w:fldChar w:fldCharType="end"/>
            </w:r>
          </w:hyperlink>
        </w:p>
        <w:p w14:paraId="28926BC7" w14:textId="77777777" w:rsidR="00D274E1" w:rsidRDefault="00D274E1">
          <w:pPr>
            <w:pStyle w:val="TOC1"/>
            <w:tabs>
              <w:tab w:val="right" w:leader="dot" w:pos="9016"/>
            </w:tabs>
            <w:rPr>
              <w:noProof/>
            </w:rPr>
          </w:pPr>
          <w:hyperlink w:anchor="_Toc236688099" w:history="1">
            <w:r w:rsidRPr="007C4ECA">
              <w:rPr>
                <w:rStyle w:val="Hyperlink"/>
                <w:b/>
                <w:bCs/>
                <w:noProof/>
              </w:rPr>
              <w:t>Conclusion</w:t>
            </w:r>
            <w:r>
              <w:rPr>
                <w:noProof/>
              </w:rPr>
              <w:tab/>
            </w:r>
            <w:r>
              <w:rPr>
                <w:noProof/>
              </w:rPr>
              <w:fldChar w:fldCharType="begin"/>
            </w:r>
            <w:r>
              <w:rPr>
                <w:noProof/>
              </w:rPr>
              <w:instrText xml:space="preserve"> PAGEREF _Toc236688099 \h </w:instrText>
            </w:r>
            <w:r>
              <w:rPr>
                <w:noProof/>
              </w:rPr>
            </w:r>
            <w:r>
              <w:rPr>
                <w:noProof/>
              </w:rPr>
              <w:fldChar w:fldCharType="separate"/>
            </w:r>
            <w:r>
              <w:rPr>
                <w:noProof/>
              </w:rPr>
              <w:t>8</w:t>
            </w:r>
            <w:r>
              <w:rPr>
                <w:noProof/>
              </w:rPr>
              <w:fldChar w:fldCharType="end"/>
            </w:r>
          </w:hyperlink>
        </w:p>
        <w:p w14:paraId="143D6EF6" w14:textId="77777777" w:rsidR="00D274E1" w:rsidRDefault="00D274E1">
          <w:pPr>
            <w:pStyle w:val="TOC1"/>
            <w:tabs>
              <w:tab w:val="right" w:leader="dot" w:pos="9016"/>
            </w:tabs>
            <w:rPr>
              <w:noProof/>
            </w:rPr>
          </w:pPr>
          <w:hyperlink w:anchor="_Toc236688100" w:history="1">
            <w:r w:rsidRPr="007C4ECA">
              <w:rPr>
                <w:rStyle w:val="Hyperlink"/>
                <w:b/>
                <w:bCs/>
                <w:noProof/>
              </w:rPr>
              <w:t>Harvard Reference List</w:t>
            </w:r>
            <w:r>
              <w:rPr>
                <w:noProof/>
              </w:rPr>
              <w:tab/>
            </w:r>
            <w:r>
              <w:rPr>
                <w:noProof/>
              </w:rPr>
              <w:fldChar w:fldCharType="begin"/>
            </w:r>
            <w:r>
              <w:rPr>
                <w:noProof/>
              </w:rPr>
              <w:instrText xml:space="preserve"> PAGEREF _Toc236688100 \h </w:instrText>
            </w:r>
            <w:r>
              <w:rPr>
                <w:noProof/>
              </w:rPr>
            </w:r>
            <w:r>
              <w:rPr>
                <w:noProof/>
              </w:rPr>
              <w:fldChar w:fldCharType="separate"/>
            </w:r>
            <w:r>
              <w:rPr>
                <w:noProof/>
              </w:rPr>
              <w:t>10</w:t>
            </w:r>
            <w:r>
              <w:rPr>
                <w:noProof/>
              </w:rPr>
              <w:fldChar w:fldCharType="end"/>
            </w:r>
          </w:hyperlink>
        </w:p>
        <w:p w14:paraId="13D699A7" w14:textId="77777777" w:rsidR="008F064C" w:rsidRDefault="00000000">
          <w:r>
            <w:fldChar w:fldCharType="end"/>
          </w:r>
        </w:p>
      </w:sdtContent>
    </w:sdt>
    <w:p w14:paraId="2AD15DAE" w14:textId="77777777" w:rsidR="008F064C" w:rsidRDefault="00000000">
      <w:r>
        <w:br w:type="page"/>
      </w:r>
    </w:p>
    <w:p w14:paraId="3D03B706" w14:textId="77777777" w:rsidR="008F064C" w:rsidRDefault="00000000">
      <w:pPr>
        <w:pStyle w:val="Heading1"/>
        <w:spacing w:before="260" w:after="140"/>
      </w:pPr>
      <w:bookmarkStart w:id="1" w:name="_Toc236688087"/>
      <w:r>
        <w:rPr>
          <w:b/>
          <w:bCs/>
        </w:rPr>
        <w:lastRenderedPageBreak/>
        <w:t>Executive Summary</w:t>
      </w:r>
      <w:bookmarkEnd w:id="1"/>
    </w:p>
    <w:p w14:paraId="529140B6" w14:textId="77777777" w:rsidR="008F064C" w:rsidRDefault="00000000">
      <w:pPr>
        <w:spacing w:after="160" w:line="300" w:lineRule="auto"/>
        <w:jc w:val="both"/>
      </w:pPr>
      <w:r>
        <w:t>This report examines the organisational culture of Toyota Motor Corporation, one of the world's largest and most studied manufacturing companies. Using Schein's model of organisational culture, Hofstede's cultural dimensions and Handy's typology of organisational cultures, the report identifies the predominant cultural traits within Toyota and evaluates how these traits shape its structure, its decision-making processes and its relationship with the external environment. The analysis shows that Toyota's culture, rooted in the twin pillars of Continuous Improvement (kaizen) and Respect for People, functions predominantly as a role/task hybrid culture underpinned by strong collectivist and long-term oriented national values. While this culture has historically been a powerful enabler of quality, efficiency and employee engagement, the 2009-2010 recall crisis illustrates that the same culture can become a barrier when internal consensus-seeking slows the organisation's response to external pressure. The report concludes with recommendations for balancing consistency with adaptability as Toyota continues to globalise and electrify its product range.</w:t>
      </w:r>
    </w:p>
    <w:p w14:paraId="296C76A9" w14:textId="77777777" w:rsidR="008F064C" w:rsidRDefault="00000000">
      <w:pPr>
        <w:pStyle w:val="Heading1"/>
        <w:spacing w:before="260" w:after="140"/>
      </w:pPr>
      <w:bookmarkStart w:id="2" w:name="_Toc236688088"/>
      <w:r>
        <w:rPr>
          <w:b/>
          <w:bCs/>
        </w:rPr>
        <w:t>Introduction</w:t>
      </w:r>
      <w:bookmarkEnd w:id="2"/>
    </w:p>
    <w:p w14:paraId="4111047E" w14:textId="77777777" w:rsidR="008F064C" w:rsidRDefault="00000000">
      <w:pPr>
        <w:spacing w:after="160" w:line="300" w:lineRule="auto"/>
        <w:jc w:val="both"/>
      </w:pPr>
      <w:r>
        <w:t>As Mullins and Christy (2016, p. 574) observe, organisational culture exerts a pervasive influence on how an organisation functions:</w:t>
      </w:r>
    </w:p>
    <w:p w14:paraId="44E61A1C" w14:textId="77777777" w:rsidR="008F064C" w:rsidRDefault="00000000">
      <w:pPr>
        <w:spacing w:after="160" w:line="300" w:lineRule="auto"/>
        <w:ind w:left="720" w:right="720"/>
        <w:jc w:val="both"/>
      </w:pPr>
      <w:r>
        <w:rPr>
          <w:i/>
          <w:iCs/>
          <w:sz w:val="23"/>
          <w:szCs w:val="23"/>
        </w:rPr>
        <w:t>"The pervasive nature of culture in terms of 'how things are done around here' and common values, beliefs and attitudes will therefore have a significant effect on organisational processes such as decision-making, design of structure, group behaviour, work organisation, motivation, job satisfaction, and management control. With increasing globalisation, work organisations are becoming even more complex and internationally based. There is greater emphasis on the understanding and management of a diverse group of people from different nationalities into a coherent culture."</w:t>
      </w:r>
    </w:p>
    <w:p w14:paraId="4A8470D3" w14:textId="77777777" w:rsidR="008F064C" w:rsidRDefault="00000000">
      <w:pPr>
        <w:spacing w:after="160" w:line="300" w:lineRule="auto"/>
        <w:jc w:val="both"/>
      </w:pPr>
      <w:r>
        <w:t>This report sets out to identify and critically analyse the predominant culture at Toyota. It begins with an overview of the company's organisational background before examining its culture in more depth. Three established models, Schein's three-level model, Hofstede's cultural dimensions and Handy's culture typology, are then applied to identify the underlying assumptions, national cultural influences and structural culture type that characterise the organisation. The report subsequently considers how this culture has shaped Toyota's structure and decision-making, how it interacts with the external environment, and whether it operates as an enabler or a barrier to organisational effectiveness. The report closes with recommendations and a conclusion.</w:t>
      </w:r>
    </w:p>
    <w:p w14:paraId="55E92186" w14:textId="77777777" w:rsidR="008F064C" w:rsidRDefault="00000000">
      <w:pPr>
        <w:pStyle w:val="Heading1"/>
        <w:spacing w:before="260" w:after="140"/>
      </w:pPr>
      <w:bookmarkStart w:id="3" w:name="_Toc236688089"/>
      <w:r>
        <w:rPr>
          <w:b/>
          <w:bCs/>
        </w:rPr>
        <w:t>Organisational Background</w:t>
      </w:r>
      <w:bookmarkEnd w:id="3"/>
    </w:p>
    <w:p w14:paraId="6BB7E778" w14:textId="77777777" w:rsidR="008F064C" w:rsidRDefault="00000000">
      <w:pPr>
        <w:spacing w:after="160" w:line="300" w:lineRule="auto"/>
        <w:jc w:val="both"/>
      </w:pPr>
      <w:r>
        <w:lastRenderedPageBreak/>
        <w:t>Toyota Motor Corporation traces its origins to 1933, when Kiichiro Toyoda established an automobile department within Toyoda Automatic Loom Works, the textile machinery company founded by his father, Sakichi Toyoda (Britannica, 2025). The company's first production car, the Model AA, was released in 1936, and Toyota Motor Corporation was formally established as an independent company in 1937. Headquartered in Toyota City, Japan, the company has grown into the parent of the wider Toyota Group, which today comprises close to a thousand subsidiaries and affiliates spanning vehicle assembly, parts manufacturing, and industrial and commercial vehicles (Britannica, 2025).</w:t>
      </w:r>
    </w:p>
    <w:p w14:paraId="0937E5FA" w14:textId="77777777" w:rsidR="008F064C" w:rsidRDefault="00000000">
      <w:pPr>
        <w:spacing w:after="160" w:line="300" w:lineRule="auto"/>
        <w:jc w:val="both"/>
      </w:pPr>
      <w:r>
        <w:t>Toyota became the world's largest automobile manufacturer by sales volume in 2008, overtaking General Motors, and it has remained one of the two or three largest manufacturers globally ever since (Britannica, 2025). In its most recent reported fiscal year, Toyota generated annual revenue in excess of ¥48 trillion, and the wider organisation employs roughly 380,000 people worldwide (Craft.co, 2026). The company operates a divisional structure organised around product, market and geographic groupings, with plants and sales operations across North America, Europe, Asia and beyond, supplemented by a network of joint ventures such as the former New United Motor Manufacturing, Inc. (NUMMI) plant in California (Toyota Global, 2024).</w:t>
      </w:r>
    </w:p>
    <w:p w14:paraId="407E5334" w14:textId="77777777" w:rsidR="008F064C" w:rsidRDefault="00000000">
      <w:pPr>
        <w:spacing w:after="160" w:line="300" w:lineRule="auto"/>
        <w:jc w:val="both"/>
      </w:pPr>
      <w:r>
        <w:t>Toyota's growth strategy has always combined aggressive international expansion with a strong emphasis on preserving a single, exportable organisational culture. Rather than treating culture as an incidental by-product of growth, Toyota has treated the transfer of its culture, values and production philosophy to new plants as a deliberate and resourced undertaking, most visibly through its "mother plant" system where an established Japanese facility trains and mentors each new overseas site (Toyota Global, 2024).</w:t>
      </w:r>
    </w:p>
    <w:p w14:paraId="494AD240" w14:textId="77777777" w:rsidR="008F064C" w:rsidRDefault="00000000">
      <w:pPr>
        <w:pStyle w:val="Heading1"/>
        <w:spacing w:before="260" w:after="140"/>
      </w:pPr>
      <w:bookmarkStart w:id="4" w:name="_Toc236688090"/>
      <w:r>
        <w:rPr>
          <w:b/>
          <w:bCs/>
        </w:rPr>
        <w:t>Organisational Culture</w:t>
      </w:r>
      <w:bookmarkEnd w:id="4"/>
    </w:p>
    <w:p w14:paraId="5670AB5A" w14:textId="77777777" w:rsidR="008F064C" w:rsidRDefault="00000000">
      <w:pPr>
        <w:spacing w:after="160" w:line="300" w:lineRule="auto"/>
        <w:jc w:val="both"/>
      </w:pPr>
      <w:r>
        <w:t>The dominant framework used to describe Toyota's culture is "The Toyota Way," formally articulated by the company in 2001 after decades of implicit practice (TechTarget, 2025). The Toyota Way rests on two pillars: Continuous Improvement and Respect for People (Liker, 2004). Continuous Improvement is expressed through kaizen, a philosophy of incremental, ongoing improvement pursued by every employee at every level, and through the principle of genchi genbutsu, meaning "go and see for yourself," which requires managers to observe problems directly at the source rather than relying on reports (Liker, 2004; Edward Leared, 2025).</w:t>
      </w:r>
    </w:p>
    <w:p w14:paraId="3B6A8E30" w14:textId="77777777" w:rsidR="008F064C" w:rsidRDefault="00000000">
      <w:pPr>
        <w:spacing w:after="160" w:line="300" w:lineRule="auto"/>
        <w:jc w:val="both"/>
      </w:pPr>
      <w:r>
        <w:t xml:space="preserve">Respect for People manifests as an assumption that employees closest to a process are best placed to improve it, and that management's role is to develop people, build consensus and support teams rather than to issue top-down directives. This is operationalised through </w:t>
      </w:r>
      <w:r>
        <w:lastRenderedPageBreak/>
        <w:t>practices such as andon (allowing any worker to stop the production line to fix a defect immediately) and through long-term, relatively stable employment which supports the accumulation of tacit process knowledge (Liker, 2004).</w:t>
      </w:r>
    </w:p>
    <w:p w14:paraId="01DD8FE6" w14:textId="77777777" w:rsidR="008F064C" w:rsidRDefault="00000000">
      <w:pPr>
        <w:spacing w:after="160" w:line="300" w:lineRule="auto"/>
        <w:jc w:val="both"/>
      </w:pPr>
      <w:r>
        <w:t>Importantly, Toyota's culture is not simply a management philosophy superimposed on the organisation; it is reinforced by the technical design of the Toyota Production System itself. Just-in-time production, standardised work and visual management tools function simultaneously as production techniques and as cultural artefacts that continually reinforce the values of discipline, teamwork and problem-solving (Liker, 2004; David Publisher, 2016). This tight coupling between the technical system and the cultural system is one of the reasons Toyota's culture has proven difficult for competitors to replicate even when they have copied its visible tools.</w:t>
      </w:r>
    </w:p>
    <w:p w14:paraId="2BE61078" w14:textId="77777777" w:rsidR="008F064C" w:rsidRDefault="00000000">
      <w:pPr>
        <w:pStyle w:val="Heading1"/>
        <w:spacing w:before="260" w:after="140"/>
      </w:pPr>
      <w:bookmarkStart w:id="5" w:name="_Toc236688091"/>
      <w:r>
        <w:rPr>
          <w:b/>
          <w:bCs/>
        </w:rPr>
        <w:t>Critical Analysis Using Schein, Hofstede and Handy</w:t>
      </w:r>
      <w:bookmarkEnd w:id="5"/>
    </w:p>
    <w:p w14:paraId="3412A1FD" w14:textId="77777777" w:rsidR="008F064C" w:rsidRDefault="00000000">
      <w:pPr>
        <w:pStyle w:val="Heading2"/>
        <w:spacing w:before="260" w:after="140"/>
      </w:pPr>
      <w:bookmarkStart w:id="6" w:name="_Toc236688092"/>
      <w:r>
        <w:rPr>
          <w:b/>
          <w:bCs/>
        </w:rPr>
        <w:t>Schein's Model</w:t>
      </w:r>
      <w:bookmarkEnd w:id="6"/>
    </w:p>
    <w:p w14:paraId="49DD41F3" w14:textId="77777777" w:rsidR="008F064C" w:rsidRDefault="00000000">
      <w:pPr>
        <w:spacing w:after="160" w:line="300" w:lineRule="auto"/>
        <w:jc w:val="both"/>
      </w:pPr>
      <w:r>
        <w:t>Edgar Schein's model conceptualises culture as three interdependent levels: artifacts, espoused values and basic underlying assumptions (Schein, 2010). At the artifact level, Toyota's culture is visible in the physical layout of its plants, standardised work instructions posted at each station, andon cords and boards, and the practice of stopping the line when a defect is detected. At the level of espoused values, Toyota formally states its commitment to Continuous Improvement and Respect for People through the Toyota Way document and through corporate communications, training programmes and leadership statements (TechTarget, 2025).</w:t>
      </w:r>
    </w:p>
    <w:p w14:paraId="4837D55A" w14:textId="77777777" w:rsidR="008F064C" w:rsidRDefault="00000000">
      <w:pPr>
        <w:spacing w:after="160" w:line="300" w:lineRule="auto"/>
        <w:jc w:val="both"/>
      </w:pPr>
      <w:r>
        <w:t>The most revealing level, however, is that of basic underlying assumptions: the taken-for-granted beliefs that truly drive behaviour. At Toyota, these assumptions include the belief that problems are opportunities for learning rather than failures to be hidden, that frontline employees possess valuable knowledge that management does not, and that decisions gain legitimacy through thorough internal consensus rather than unilateral authority. These assumptions are rarely questioned by employees and are transmitted informally through mentoring, storytelling and the "mother plant" training system rather than through formal instruction alone (Toyota Global, 2024). Applying Schein's model demonstrates why Toyota's culture is so resilient: because the deepest assumptions are congruent with, and reinforced by, the visible artefacts and stated values, the three levels operate as a mutually reinforcing whole rather than a superficial "culture programme."</w:t>
      </w:r>
    </w:p>
    <w:p w14:paraId="2100C1E0" w14:textId="77777777" w:rsidR="008F064C" w:rsidRDefault="00000000">
      <w:pPr>
        <w:pStyle w:val="Heading2"/>
        <w:spacing w:before="260" w:after="140"/>
      </w:pPr>
      <w:bookmarkStart w:id="7" w:name="_Toc236688093"/>
      <w:r>
        <w:rPr>
          <w:b/>
          <w:bCs/>
        </w:rPr>
        <w:t>Hofstede's Cultural Dimensions</w:t>
      </w:r>
      <w:bookmarkEnd w:id="7"/>
    </w:p>
    <w:p w14:paraId="351A8298" w14:textId="77777777" w:rsidR="008F064C" w:rsidRDefault="00000000">
      <w:pPr>
        <w:spacing w:after="160" w:line="300" w:lineRule="auto"/>
        <w:jc w:val="both"/>
      </w:pPr>
      <w:r>
        <w:lastRenderedPageBreak/>
        <w:t>Because Toyota's culture is deeply rooted in its Japanese origins, Hofstede's national cultural dimensions provide useful context for understanding assumptions that might otherwise appear purely organisational. Japan scores 54 on power distance, placing it in an intermediate position; scores around the mid-40s on individualism, indicating a moderately collectivist orientation compared with many Western economies; and a notably high 92 on uncertainty avoidance, one of the highest scores of any country measured (Hofstede, 2001; Simply Psychology, 2025).</w:t>
      </w:r>
    </w:p>
    <w:p w14:paraId="5510E15A" w14:textId="77777777" w:rsidR="008F064C" w:rsidRDefault="00000000">
      <w:pPr>
        <w:spacing w:after="160" w:line="300" w:lineRule="auto"/>
        <w:jc w:val="both"/>
      </w:pPr>
      <w:r>
        <w:t>These national scores align closely with observed organisational behaviour at Toyota. The moderate power distance is reflected in a hierarchy that is respected but not absolute, consistent with a system in which junior line workers can halt production via andon, while senior leaders retain ultimate decision authority. The collectivist orientation supports Toyota's emphasis on team-based problem solving, group responsibility for quality, and the subordination of individual recognition to group outcomes. Most significantly, Japan's very high uncertainty avoidance helps explain Toyota's preference for standardisation, extensive documentation of "standardised work," and cautious, consensus-driven decision processes designed to reduce risk before a decision is finalised. In short, Hofstede's dimensions suggest that much of what is often presented as a distinctively "Toyota" culture is also an organisational expression of broader Japanese societal values, later adapted (with varying success) as Toyota expanded overseas.</w:t>
      </w:r>
    </w:p>
    <w:p w14:paraId="03A21543" w14:textId="77777777" w:rsidR="008F064C" w:rsidRDefault="00000000">
      <w:pPr>
        <w:pStyle w:val="Heading2"/>
        <w:spacing w:before="260" w:after="140"/>
      </w:pPr>
      <w:bookmarkStart w:id="8" w:name="_Toc236688094"/>
      <w:r>
        <w:rPr>
          <w:b/>
          <w:bCs/>
        </w:rPr>
        <w:t>Handy's Culture Typology</w:t>
      </w:r>
      <w:bookmarkEnd w:id="8"/>
    </w:p>
    <w:p w14:paraId="7C165D77" w14:textId="77777777" w:rsidR="008F064C" w:rsidRDefault="00000000">
      <w:pPr>
        <w:spacing w:after="160" w:line="300" w:lineRule="auto"/>
        <w:jc w:val="both"/>
      </w:pPr>
      <w:r>
        <w:t>Charles Handy's typology identifies four archetypes: power, role, task and person culture (Handy, 1985; Toolshero, 2024). Toyota does not map neatly onto a single Handy archetype but is best understood as a hybrid of role and task culture. At the level of the wider corporation, Toyota exhibits characteristics of a role culture: a formalised, hierarchical structure with clearly defined job descriptions, standard operating procedures and predictable, rule-governed processes (Toolshero, 2024). Toyota's divisional structure, its extensive documentation of standardised work, and its slow, procedural approach to formal decision-making (discussed further below) are all consistent with a role culture oriented around stability and predictability.</w:t>
      </w:r>
    </w:p>
    <w:p w14:paraId="010C8BEE" w14:textId="77777777" w:rsidR="008F064C" w:rsidRDefault="00000000">
      <w:pPr>
        <w:spacing w:after="160" w:line="300" w:lineRule="auto"/>
        <w:jc w:val="both"/>
      </w:pPr>
      <w:r>
        <w:t xml:space="preserve">At the level of the shop floor and cross-functional problem-solving, however, Toyota exhibits strong elements of a task culture: small, empowered teams are assembled around specific improvement problems (kaizen events), expertise rather than formal rank determines influence within the team, and outcomes are prioritised over adherence to a rigid chain of command (Umbrex, 2025). This dual character, a role-culture "skeleton" that provides consistency and quality control, animated by task-culture "muscle" at the point of production </w:t>
      </w:r>
      <w:r>
        <w:lastRenderedPageBreak/>
        <w:t>and problem-solving, is arguably the key structural translation of the Toyota Way into everyday organisational life.</w:t>
      </w:r>
    </w:p>
    <w:p w14:paraId="5960D9F0" w14:textId="77777777" w:rsidR="008F064C" w:rsidRDefault="00000000">
      <w:pPr>
        <w:pStyle w:val="Heading1"/>
        <w:spacing w:before="260" w:after="140"/>
      </w:pPr>
      <w:bookmarkStart w:id="9" w:name="_Toc236688095"/>
      <w:r>
        <w:rPr>
          <w:b/>
          <w:bCs/>
        </w:rPr>
        <w:t>Influence on Structure and Decision-Making</w:t>
      </w:r>
      <w:bookmarkEnd w:id="9"/>
    </w:p>
    <w:p w14:paraId="7395BA08" w14:textId="77777777" w:rsidR="008F064C" w:rsidRDefault="00000000">
      <w:pPr>
        <w:spacing w:after="160" w:line="300" w:lineRule="auto"/>
        <w:jc w:val="both"/>
      </w:pPr>
      <w:r>
        <w:t>The culture identified above translates directly into Toyota's approach to structure and decision-making. Structurally, Toyota retains a divisional, hierarchical organisation, but decision rights are more decentralised in practice than the formal hierarchy might suggest (Vizologi, 2024). This is achieved through two linked practices: nemawashi and the ringi system. Nemawashi is the informal process of building consensus among all affected stakeholders before a decision is formally proposed, ensuring that by the time a decision reaches senior management it has already been widely discussed and refined (Toyota UK, 2024). The ringi-sho is the formal, written counterpart: a proposal document that circulates for sequential sign-off from each relevant manager, creating a documented record of consensus (Art of Lean, 2024).</w:t>
      </w:r>
    </w:p>
    <w:p w14:paraId="520EB526" w14:textId="77777777" w:rsidR="008F064C" w:rsidRDefault="00000000">
      <w:pPr>
        <w:spacing w:after="160" w:line="300" w:lineRule="auto"/>
        <w:jc w:val="both"/>
      </w:pPr>
      <w:r>
        <w:t>The combined effect of nemawashi and ringi is that Toyota's formal decision-making meetings function primarily as confirmations of a decision already substantively agreed, rather than as forums for open debate (Art of Lean, 2024). This is a direct structural expression of the collectivist, uncertainty-avoiding national culture identified through Hofstede's model, and of the "Respect for People" assumption identified through Schein's model, since building consensus is itself an act of respecting the knowledge and position of every stakeholder. The genchi genbutsu principle further shapes decision-making by requiring that decisions be grounded in direct, first-hand observation of the actual process or problem, rather than in secondhand reports (Edward Leared, 2025). This slows decision-making relative to more centralised, top-down organisations, but produces decisions that are typically well-supported at the point of implementation, since resistance has generally been addressed before the decision is finalised.</w:t>
      </w:r>
    </w:p>
    <w:p w14:paraId="19485065" w14:textId="77777777" w:rsidR="008F064C" w:rsidRDefault="00000000">
      <w:pPr>
        <w:pStyle w:val="Heading1"/>
        <w:spacing w:before="260" w:after="140"/>
      </w:pPr>
      <w:bookmarkStart w:id="10" w:name="_Toc236688096"/>
      <w:r>
        <w:rPr>
          <w:b/>
          <w:bCs/>
        </w:rPr>
        <w:t>Culture and External Environment</w:t>
      </w:r>
      <w:bookmarkEnd w:id="10"/>
    </w:p>
    <w:p w14:paraId="0640E127" w14:textId="77777777" w:rsidR="008F064C" w:rsidRDefault="00000000">
      <w:pPr>
        <w:spacing w:after="160" w:line="300" w:lineRule="auto"/>
        <w:jc w:val="both"/>
      </w:pPr>
      <w:r>
        <w:t xml:space="preserve">Toyota's culture must also be understood in relation to its external environment, particularly as the company has expanded from a domestic Japanese manufacturer into a genuinely global corporation. The clearest example of this interaction is the transformation of the former General Motors plant in Fremont, California into NUMMI, a joint venture in which Toyota successfully transplanted its production culture onto an American unionised workforce with a previously poor record of quality and industrial relations (MIT Sloan Management Review, 2024). NUMMI demonstrated that Toyota's culture could be transferred across a very different national and organisational culture, but only through sustained investment in </w:t>
      </w:r>
      <w:r>
        <w:lastRenderedPageBreak/>
        <w:t>training, mentoring by experienced Japanese "coordinators," and adaptation to local labour law and union structures (Toyota Global, 2024; MIT Sloan Management Review, 2024).</w:t>
      </w:r>
    </w:p>
    <w:p w14:paraId="020A39F6" w14:textId="77777777" w:rsidR="008F064C" w:rsidRDefault="00000000">
      <w:pPr>
        <w:spacing w:after="160" w:line="300" w:lineRule="auto"/>
        <w:jc w:val="both"/>
      </w:pPr>
      <w:r>
        <w:t>This experience has generalised into Toyota's "mother plant" system, in which an established plant supports and trains each new overseas facility, thereby exporting the tacit, assumption-level elements of culture that cannot be transmitted through manuals alone (Toyota Global, 2024). At the same time, adapting the Toyota Production System to different regulatory regimes, labour markets and cultural expectations has not been straightforward in every market, indicating that Toyota's culture, while robust, still requires continuous negotiation with external environmental factors rather than simple, uniform replication (Ineak, 2024).</w:t>
      </w:r>
    </w:p>
    <w:p w14:paraId="5D5E4CF6" w14:textId="77777777" w:rsidR="008F064C" w:rsidRDefault="00000000">
      <w:pPr>
        <w:spacing w:after="160" w:line="300" w:lineRule="auto"/>
        <w:jc w:val="both"/>
      </w:pPr>
      <w:r>
        <w:t>The external environment has also placed Toyota's culture under significant strain, most visibly during the 2009-2010 global recall crisis involving unintended acceleration in several models. Congressional hearings in the United States concluded that Toyota had been slow to escalate and act on early safety complaints, had underestimated the severity of the defects, and had been insufficiently transparent with regulators and the public, at an eventual cost to the company of more than five billion US dollars along with a sharp decline in sales and share price (Kellogg School of Management, 2024; The Comm Spot, 2024). This episode illustrates that the same cultural traits that produce careful, consensus-based decisions internally can, under external time pressure and public scrutiny, appear as institutional slowness and a reluctance to escalate bad news quickly.</w:t>
      </w:r>
    </w:p>
    <w:p w14:paraId="05BB54DC" w14:textId="77777777" w:rsidR="008F064C" w:rsidRDefault="00000000">
      <w:pPr>
        <w:pStyle w:val="Heading1"/>
        <w:spacing w:before="260" w:after="140"/>
      </w:pPr>
      <w:bookmarkStart w:id="11" w:name="_Toc236688097"/>
      <w:r>
        <w:rPr>
          <w:b/>
          <w:bCs/>
        </w:rPr>
        <w:t>Is Culture an Enabler or Barrier?</w:t>
      </w:r>
      <w:bookmarkEnd w:id="11"/>
    </w:p>
    <w:p w14:paraId="7EB33E14" w14:textId="77777777" w:rsidR="008F064C" w:rsidRDefault="00000000">
      <w:pPr>
        <w:spacing w:after="160" w:line="300" w:lineRule="auto"/>
        <w:jc w:val="both"/>
      </w:pPr>
      <w:r>
        <w:t>Whether Toyota's culture functions as an enabler or a barrier depends heavily on context. As an enabler, the culture has clearly underpinned Toyota's decades-long reputation for quality, reliability and manufacturing efficiency, and has proven exportable, as NUMMI demonstrates, when supported by deliberate training and mentoring (MIT Sloan Management Review, 2024; Liker, 2004). The Respect for People pillar has also historically supported employee engagement and low turnover, since workers are treated as a source of improvement ideas rather than merely as a cost to be minimised, while the strong congruence between artefacts, espoused values and underlying assumptions identified through Schein's model gives the culture unusual durability compared with more superficial "culture change" initiatives elsewhere in industry (Schein, 2010). Research on strong, adaptive cultures further suggests that this kind of alignment is associated with superior long-term organisational performance, provided the culture remains responsive to its environment (Kotter and Heskett, 1992; Denison, 1995).</w:t>
      </w:r>
    </w:p>
    <w:p w14:paraId="3D619461" w14:textId="77777777" w:rsidR="008F064C" w:rsidRDefault="00000000">
      <w:pPr>
        <w:spacing w:after="160" w:line="300" w:lineRule="auto"/>
        <w:jc w:val="both"/>
      </w:pPr>
      <w:r>
        <w:t xml:space="preserve">As a barrier, the same consensus-oriented, uncertainty-avoiding culture that produces careful decisions in normal operating conditions appeared to slow Toyota's response during the </w:t>
      </w:r>
      <w:r>
        <w:lastRenderedPageBreak/>
        <w:t>2009-2010 recall crisis, when speed and transparent public communication were required rather than internal deliberation (Kellogg School of Management, 2024). More broadly, a culture built around standardisation and incremental improvement can, in principle, be less well suited to environments demanding rapid, discontinuous strategic change, a consideration of growing relevance as the automotive industry undergoes disruptive shifts towards electrification and software-defined vehicles. Toyota's culture is therefore best understood not as uniformly positive or negative, but as a culture optimised for continuous, incremental improvement under relatively stable conditions, which becomes a comparative disadvantage precisely when conditions are unstable, urgent or discontinuous.</w:t>
      </w:r>
    </w:p>
    <w:p w14:paraId="63862487" w14:textId="77777777" w:rsidR="008F064C" w:rsidRDefault="00000000">
      <w:pPr>
        <w:pStyle w:val="Heading1"/>
        <w:spacing w:before="260" w:after="140"/>
      </w:pPr>
      <w:bookmarkStart w:id="12" w:name="_Toc236688098"/>
      <w:r>
        <w:rPr>
          <w:b/>
          <w:bCs/>
        </w:rPr>
        <w:t>Recommendations</w:t>
      </w:r>
      <w:bookmarkEnd w:id="12"/>
    </w:p>
    <w:p w14:paraId="2C344056" w14:textId="77777777" w:rsidR="008F064C" w:rsidRDefault="00000000">
      <w:pPr>
        <w:spacing w:after="160" w:line="300" w:lineRule="auto"/>
        <w:jc w:val="both"/>
      </w:pPr>
      <w:r>
        <w:t>Based on the analysis above, three recommendations are proposed. First, Toyota should preserve the core assumptions underpinning kaizen and Respect for People, since these remain a genuine source of competitive advantage, while building a parallel, faster escalation pathway for safety-critical or reputationally urgent issues that bypasses the standard nemawashi/ringi cycle when speed is paramount. Second, as Toyota continues to globalise, it should continue to invest in the "mother plant" mentoring model identified through the NUMMI case, since the tacit, assumption-level components of culture identified by Schein's model cannot be transferred through documentation alone. Third, Toyota should consciously cultivate limited "task culture" pockets, of the kind Handy's model highlights, in areas facing rapid technological change such as electrification and autonomous driving software, allowing small empowered teams to move at a pace that the wider role-culture structure may not naturally support.</w:t>
      </w:r>
    </w:p>
    <w:p w14:paraId="6B94EF4B" w14:textId="77777777" w:rsidR="008F064C" w:rsidRDefault="00000000">
      <w:pPr>
        <w:pStyle w:val="Heading1"/>
        <w:spacing w:before="260" w:after="140"/>
      </w:pPr>
      <w:bookmarkStart w:id="13" w:name="_Toc236688099"/>
      <w:r>
        <w:rPr>
          <w:b/>
          <w:bCs/>
        </w:rPr>
        <w:t>Conclusion</w:t>
      </w:r>
      <w:bookmarkEnd w:id="13"/>
    </w:p>
    <w:p w14:paraId="4BACF819" w14:textId="77777777" w:rsidR="008F064C" w:rsidRDefault="00000000">
      <w:pPr>
        <w:spacing w:after="160" w:line="300" w:lineRule="auto"/>
        <w:jc w:val="both"/>
      </w:pPr>
      <w:r>
        <w:t>Toyota's organisational culture is a rare example of a culture in which artefacts, espoused values and underlying assumptions are tightly aligned, giving rise to the durable "Toyota Way" of Continuous Improvement and Respect for People. Hofstede's dimensions show that this culture is deeply rooted in Japanese collectivism and uncertainty avoidance, while Handy's typology shows that it combines a stable, hierarchical role culture at the corporate level with an empowered task culture at the point of problem-solving. This culture has structured Toyota's decision-making around consensus-building practices such as nemawashi and ringi, and has generally served the company well, enabling both operational excellence and, through deliberate mentoring, successful cultural transfer to overseas plants such as NUMMI. However, the 2009-2010 recall crisis demonstrates that the same cultural traits can become a liability when speed and transparency are required. Toyota's ongoing challenge, and that of any organisation with a strong culture, is to preserve the assumptions that generate long-</w:t>
      </w:r>
      <w:r>
        <w:lastRenderedPageBreak/>
        <w:t>term value while building sufficient flexibility to respond quickly when the external environment demands it.</w:t>
      </w:r>
    </w:p>
    <w:p w14:paraId="45B6A77B" w14:textId="77777777" w:rsidR="008F064C" w:rsidRDefault="00000000">
      <w:r>
        <w:br w:type="page"/>
      </w:r>
    </w:p>
    <w:p w14:paraId="0B43EFB4" w14:textId="7C30A558" w:rsidR="008F064C" w:rsidRDefault="00000000">
      <w:pPr>
        <w:pStyle w:val="Heading1"/>
        <w:spacing w:before="260" w:after="140"/>
      </w:pPr>
      <w:bookmarkStart w:id="14" w:name="_Toc236688100"/>
      <w:r>
        <w:rPr>
          <w:b/>
          <w:bCs/>
        </w:rPr>
        <w:lastRenderedPageBreak/>
        <w:t xml:space="preserve">Reference </w:t>
      </w:r>
      <w:bookmarkEnd w:id="14"/>
    </w:p>
    <w:p w14:paraId="484F93F2" w14:textId="77777777" w:rsidR="008F064C" w:rsidRDefault="00000000">
      <w:pPr>
        <w:spacing w:after="120" w:line="276" w:lineRule="auto"/>
        <w:ind w:left="720" w:hanging="720"/>
      </w:pPr>
      <w:r>
        <w:rPr>
          <w:sz w:val="23"/>
          <w:szCs w:val="23"/>
        </w:rPr>
        <w:t>Art of Lean (2024) Ringi-sho — TPS Encyclopedia. Available at: https://artoflean.com/reference/ringi-sho/ (Accessed: 3 August 2026).</w:t>
      </w:r>
    </w:p>
    <w:p w14:paraId="2FEB96AA" w14:textId="77777777" w:rsidR="008F064C" w:rsidRDefault="00000000">
      <w:pPr>
        <w:spacing w:after="120" w:line="276" w:lineRule="auto"/>
        <w:ind w:left="720" w:hanging="720"/>
      </w:pPr>
      <w:r>
        <w:rPr>
          <w:sz w:val="23"/>
          <w:szCs w:val="23"/>
        </w:rPr>
        <w:t>Britannica (2025) Toyota Motor Corporation: History &amp; Facts. Available at: https://www.britannica.com/money/Toyota-Motor-Corporation (Accessed: 3 August 2026).</w:t>
      </w:r>
    </w:p>
    <w:p w14:paraId="7BFFB2DF" w14:textId="77777777" w:rsidR="008F064C" w:rsidRDefault="00000000">
      <w:pPr>
        <w:spacing w:after="120" w:line="276" w:lineRule="auto"/>
        <w:ind w:left="720" w:hanging="720"/>
      </w:pPr>
      <w:r>
        <w:rPr>
          <w:sz w:val="23"/>
          <w:szCs w:val="23"/>
        </w:rPr>
        <w:t>Craft.co (2026) Toyota Company Profile. Available at: https://craft.co/toyota (Accessed: 3 August 2026).</w:t>
      </w:r>
    </w:p>
    <w:p w14:paraId="1B7E2148" w14:textId="77777777" w:rsidR="008F064C" w:rsidRDefault="00000000">
      <w:pPr>
        <w:spacing w:after="120" w:line="276" w:lineRule="auto"/>
        <w:ind w:left="720" w:hanging="720"/>
      </w:pPr>
      <w:r>
        <w:rPr>
          <w:sz w:val="23"/>
          <w:szCs w:val="23"/>
        </w:rPr>
        <w:t>David Publisher (2016) Toyota Motor Corporation: Organizational Culture. Available at: https://www.davidpublisher.com/Public/uploads/Contribute/57eb2125d693a.pdf (Accessed: 3 August 2026).</w:t>
      </w:r>
    </w:p>
    <w:p w14:paraId="50CF7BD5" w14:textId="77777777" w:rsidR="008F064C" w:rsidRDefault="00000000">
      <w:pPr>
        <w:spacing w:after="120" w:line="276" w:lineRule="auto"/>
        <w:ind w:left="720" w:hanging="720"/>
      </w:pPr>
      <w:r>
        <w:rPr>
          <w:sz w:val="23"/>
          <w:szCs w:val="23"/>
        </w:rPr>
        <w:t>Denison, D.R. (1995) 'Toward a theory of organizational culture and effectiveness', Organization Science, 6(2), pp. 204-223.</w:t>
      </w:r>
    </w:p>
    <w:p w14:paraId="42CE6874" w14:textId="77777777" w:rsidR="008F064C" w:rsidRDefault="00000000">
      <w:pPr>
        <w:spacing w:after="120" w:line="276" w:lineRule="auto"/>
        <w:ind w:left="720" w:hanging="720"/>
      </w:pPr>
      <w:r>
        <w:rPr>
          <w:sz w:val="23"/>
          <w:szCs w:val="23"/>
        </w:rPr>
        <w:t>Edward Leared (2025) Genchi Genbutsu: A Deep Dive into the Toyota Management Philosophy. Available at: https://edwardleared.com/genchi-genbutsu-a-deep-dive-into-the-toyota-management-philosophy/ (Accessed: 3 August 2026).</w:t>
      </w:r>
    </w:p>
    <w:p w14:paraId="038A0E53" w14:textId="77777777" w:rsidR="008F064C" w:rsidRDefault="00000000">
      <w:pPr>
        <w:spacing w:after="120" w:line="276" w:lineRule="auto"/>
        <w:ind w:left="720" w:hanging="720"/>
      </w:pPr>
      <w:r>
        <w:rPr>
          <w:sz w:val="23"/>
          <w:szCs w:val="23"/>
        </w:rPr>
        <w:t>Handy, C.B. (1985) Understanding Organizations. 3rd edn. Harmondsworth: Penguin.</w:t>
      </w:r>
    </w:p>
    <w:p w14:paraId="62543402" w14:textId="77777777" w:rsidR="008F064C" w:rsidRDefault="00000000">
      <w:pPr>
        <w:spacing w:after="120" w:line="276" w:lineRule="auto"/>
        <w:ind w:left="720" w:hanging="720"/>
      </w:pPr>
      <w:r>
        <w:rPr>
          <w:sz w:val="23"/>
          <w:szCs w:val="23"/>
        </w:rPr>
        <w:t>Hofstede, G. (2001) Culture's Consequences: Comparing Values, Behaviors, Institutions, and Organizations Across Nations. 2nd edn. Thousand Oaks, CA: Sage.</w:t>
      </w:r>
    </w:p>
    <w:p w14:paraId="535C10DC" w14:textId="77777777" w:rsidR="008F064C" w:rsidRDefault="00000000">
      <w:pPr>
        <w:spacing w:after="120" w:line="276" w:lineRule="auto"/>
        <w:ind w:left="720" w:hanging="720"/>
      </w:pPr>
      <w:r>
        <w:rPr>
          <w:sz w:val="23"/>
          <w:szCs w:val="23"/>
        </w:rPr>
        <w:t>Ineak (2024) Toyota's Global Expansion: Strategies and Challenges. Available at: https://www.ineak.com/toyotas-global-expansion-strategies-and-challenges/ (Accessed: 3 August 2026).</w:t>
      </w:r>
    </w:p>
    <w:p w14:paraId="0DFFA37D" w14:textId="77777777" w:rsidR="008F064C" w:rsidRDefault="00000000">
      <w:pPr>
        <w:spacing w:after="120" w:line="276" w:lineRule="auto"/>
        <w:ind w:left="720" w:hanging="720"/>
      </w:pPr>
      <w:r>
        <w:rPr>
          <w:sz w:val="23"/>
          <w:szCs w:val="23"/>
        </w:rPr>
        <w:t>Kellogg School of Management (2024) Unintended Acceleration: Toyota's Recall Crisis. Available at: https://www.kellogg.northwestern.edu/academics-research/research/detail/2012/unintended-acceleration-toyotas-recall-crisis (Accessed: 3 August 2026).</w:t>
      </w:r>
    </w:p>
    <w:p w14:paraId="232FA48A" w14:textId="77777777" w:rsidR="008F064C" w:rsidRDefault="00000000">
      <w:pPr>
        <w:spacing w:after="120" w:line="276" w:lineRule="auto"/>
        <w:ind w:left="720" w:hanging="720"/>
      </w:pPr>
      <w:r>
        <w:rPr>
          <w:sz w:val="23"/>
          <w:szCs w:val="23"/>
        </w:rPr>
        <w:t>Kotter, J.P. and Heskett, J.L. (1992) Corporate Culture and Performance. New York: Free Press.</w:t>
      </w:r>
    </w:p>
    <w:p w14:paraId="75C80976" w14:textId="77777777" w:rsidR="008F064C" w:rsidRDefault="00000000">
      <w:pPr>
        <w:spacing w:after="120" w:line="276" w:lineRule="auto"/>
        <w:ind w:left="720" w:hanging="720"/>
      </w:pPr>
      <w:r>
        <w:rPr>
          <w:sz w:val="23"/>
          <w:szCs w:val="23"/>
        </w:rPr>
        <w:t>Liker, J.K. (2004) The Toyota Way: 14 Management Principles from the World's Greatest Manufacturer. New York: McGraw-Hill.</w:t>
      </w:r>
    </w:p>
    <w:p w14:paraId="161FF113" w14:textId="77777777" w:rsidR="008F064C" w:rsidRDefault="00000000">
      <w:pPr>
        <w:spacing w:after="120" w:line="276" w:lineRule="auto"/>
        <w:ind w:left="720" w:hanging="720"/>
      </w:pPr>
      <w:r>
        <w:rPr>
          <w:sz w:val="23"/>
          <w:szCs w:val="23"/>
        </w:rPr>
        <w:t>MIT Sloan Management Review (2024) How to Change a Culture: Lessons from NUMMI. Available at: https://sloanreview.mit.edu/article/how-to-change-a-culture-lessons-from-nummi/ (Accessed: 3 August 2026).</w:t>
      </w:r>
    </w:p>
    <w:p w14:paraId="62702D75" w14:textId="77777777" w:rsidR="008F064C" w:rsidRDefault="00000000">
      <w:pPr>
        <w:spacing w:after="120" w:line="276" w:lineRule="auto"/>
        <w:ind w:left="720" w:hanging="720"/>
      </w:pPr>
      <w:r>
        <w:rPr>
          <w:sz w:val="23"/>
          <w:szCs w:val="23"/>
        </w:rPr>
        <w:t>Mullins, L. and Christy, G. (2016) Management and Organisational Behaviour. 11th edn. Harlow: Pearson Education.</w:t>
      </w:r>
    </w:p>
    <w:p w14:paraId="048CCD41" w14:textId="77777777" w:rsidR="008F064C" w:rsidRDefault="00000000">
      <w:pPr>
        <w:spacing w:after="120" w:line="276" w:lineRule="auto"/>
        <w:ind w:left="720" w:hanging="720"/>
      </w:pPr>
      <w:r>
        <w:rPr>
          <w:sz w:val="23"/>
          <w:szCs w:val="23"/>
        </w:rPr>
        <w:t>Schein, E.H. (2010) Organizational Culture and Leadership. 4th edn. San Francisco: Jossey-Bass.</w:t>
      </w:r>
    </w:p>
    <w:p w14:paraId="28AAF1BC" w14:textId="77777777" w:rsidR="008F064C" w:rsidRDefault="00000000">
      <w:pPr>
        <w:spacing w:after="120" w:line="276" w:lineRule="auto"/>
        <w:ind w:left="720" w:hanging="720"/>
      </w:pPr>
      <w:r>
        <w:rPr>
          <w:sz w:val="23"/>
          <w:szCs w:val="23"/>
        </w:rPr>
        <w:lastRenderedPageBreak/>
        <w:t>Simply Psychology (2025) Hofstede's Cultural Dimensions Theory. Available at: https://www.simplypsychology.org/hofstedes-cultural-dimensions-theory.html (Accessed: 3 August 2026).</w:t>
      </w:r>
    </w:p>
    <w:p w14:paraId="410878D6" w14:textId="77777777" w:rsidR="008F064C" w:rsidRDefault="00000000">
      <w:pPr>
        <w:spacing w:after="120" w:line="276" w:lineRule="auto"/>
        <w:ind w:left="720" w:hanging="720"/>
      </w:pPr>
      <w:r>
        <w:rPr>
          <w:sz w:val="23"/>
          <w:szCs w:val="23"/>
        </w:rPr>
        <w:t>TechTarget (2025) What is Toyota Way? Available at: https://www.techtarget.com/whatis/definition/Toyota-Way (Accessed: 3 August 2026).</w:t>
      </w:r>
    </w:p>
    <w:p w14:paraId="7D1084C7" w14:textId="77777777" w:rsidR="008F064C" w:rsidRDefault="00000000">
      <w:pPr>
        <w:spacing w:after="120" w:line="276" w:lineRule="auto"/>
        <w:ind w:left="720" w:hanging="720"/>
      </w:pPr>
      <w:r>
        <w:rPr>
          <w:sz w:val="23"/>
          <w:szCs w:val="23"/>
        </w:rPr>
        <w:t>The Comm Spot (2024) Crisis Management Case Study: Toyota Recall Crisis (2009-2010). Available at: https://thecommspot.com/comm-subjects/strategic-communication/case-studies-in-strategic-communication/crisis-management-case-study-toyota-recall-crisis-2009-2010/ (Accessed: 3 August 2026).</w:t>
      </w:r>
    </w:p>
    <w:p w14:paraId="7DC2BABA" w14:textId="77777777" w:rsidR="008F064C" w:rsidRDefault="00000000">
      <w:pPr>
        <w:spacing w:after="120" w:line="276" w:lineRule="auto"/>
        <w:ind w:left="720" w:hanging="720"/>
      </w:pPr>
      <w:r>
        <w:rPr>
          <w:sz w:val="23"/>
          <w:szCs w:val="23"/>
        </w:rPr>
        <w:t>Toolshero (2024) Handy Model of Organisational Culture. Available at: https://www.toolshero.com/management/handy-model/ (Accessed: 3 August 2026).</w:t>
      </w:r>
    </w:p>
    <w:p w14:paraId="32827C1D" w14:textId="77777777" w:rsidR="008F064C" w:rsidRDefault="00000000">
      <w:pPr>
        <w:spacing w:after="120" w:line="276" w:lineRule="auto"/>
        <w:ind w:left="720" w:hanging="720"/>
      </w:pPr>
      <w:r>
        <w:rPr>
          <w:sz w:val="23"/>
          <w:szCs w:val="23"/>
        </w:rPr>
        <w:t>Toyota Global (2024) Toyota Production System and the Mother Plant Concept. Available at: https://global.toyota/ (Accessed: 3 August 2026).</w:t>
      </w:r>
    </w:p>
    <w:p w14:paraId="52E038D4" w14:textId="77777777" w:rsidR="008F064C" w:rsidRDefault="00000000">
      <w:pPr>
        <w:spacing w:after="120" w:line="276" w:lineRule="auto"/>
        <w:ind w:left="720" w:hanging="720"/>
      </w:pPr>
      <w:r>
        <w:rPr>
          <w:sz w:val="23"/>
          <w:szCs w:val="23"/>
        </w:rPr>
        <w:t>Toyota UK (2024) The Toyota Way and Nemawashi. Available at: https://blog.toyota.co.uk/ (Accessed: 3 August 2026).</w:t>
      </w:r>
    </w:p>
    <w:p w14:paraId="7EF1041D" w14:textId="77777777" w:rsidR="008F064C" w:rsidRDefault="00000000">
      <w:pPr>
        <w:spacing w:after="120" w:line="276" w:lineRule="auto"/>
        <w:ind w:left="720" w:hanging="720"/>
      </w:pPr>
      <w:r>
        <w:rPr>
          <w:sz w:val="23"/>
          <w:szCs w:val="23"/>
        </w:rPr>
        <w:t>Umbrex (2025) Handy's Model of Organisational Culture. Available at: https://umbrex.com/ (Accessed: 3 August 2026).</w:t>
      </w:r>
    </w:p>
    <w:p w14:paraId="7F37CA56" w14:textId="77777777" w:rsidR="008F064C" w:rsidRDefault="00000000">
      <w:pPr>
        <w:spacing w:after="120" w:line="276" w:lineRule="auto"/>
        <w:ind w:left="720" w:hanging="720"/>
      </w:pPr>
      <w:r>
        <w:rPr>
          <w:sz w:val="23"/>
          <w:szCs w:val="23"/>
        </w:rPr>
        <w:t>Vizologi (2024) Toyota Organisational Structure and Business Model. Available at: https://vizologi.com/ (Accessed: 3 August 2026).</w:t>
      </w:r>
    </w:p>
    <w:sectPr w:rsidR="008F064C">
      <w:footerReference w:type="default" r:id="rId7"/>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EAA1F" w14:textId="77777777" w:rsidR="00A2218C" w:rsidRDefault="00A2218C">
      <w:r>
        <w:separator/>
      </w:r>
    </w:p>
  </w:endnote>
  <w:endnote w:type="continuationSeparator" w:id="0">
    <w:p w14:paraId="33B2A3F4" w14:textId="77777777" w:rsidR="00A2218C" w:rsidRDefault="00A22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3D70" w14:textId="77777777" w:rsidR="008F064C" w:rsidRDefault="00000000">
    <w:pPr>
      <w:jc w:val="center"/>
    </w:pPr>
    <w:r>
      <w:rPr>
        <w:color w:val="666666"/>
        <w:sz w:val="20"/>
        <w:szCs w:val="20"/>
      </w:rPr>
      <w:fldChar w:fldCharType="begin"/>
    </w:r>
    <w:r>
      <w:rPr>
        <w:color w:val="666666"/>
        <w:sz w:val="20"/>
        <w:szCs w:val="20"/>
      </w:rPr>
      <w:instrText>PAGE</w:instrText>
    </w:r>
    <w:r>
      <w:rPr>
        <w:color w:val="666666"/>
        <w:sz w:val="20"/>
        <w:szCs w:val="20"/>
      </w:rPr>
      <w:fldChar w:fldCharType="separate"/>
    </w:r>
    <w:r w:rsidR="00D274E1">
      <w:rPr>
        <w:noProof/>
        <w:color w:val="666666"/>
        <w:sz w:val="20"/>
        <w:szCs w:val="20"/>
      </w:rPr>
      <w:t>1</w:t>
    </w:r>
    <w:r>
      <w:rPr>
        <w:color w:val="66666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9ADD5" w14:textId="77777777" w:rsidR="00A2218C" w:rsidRDefault="00A2218C">
      <w:r>
        <w:separator/>
      </w:r>
    </w:p>
  </w:footnote>
  <w:footnote w:type="continuationSeparator" w:id="0">
    <w:p w14:paraId="5AB6A019" w14:textId="77777777" w:rsidR="00A2218C" w:rsidRDefault="00A221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E2308"/>
    <w:multiLevelType w:val="hybridMultilevel"/>
    <w:tmpl w:val="51FC9EAE"/>
    <w:lvl w:ilvl="0" w:tplc="091CFA52">
      <w:start w:val="1"/>
      <w:numFmt w:val="bullet"/>
      <w:lvlText w:val="●"/>
      <w:lvlJc w:val="left"/>
      <w:pPr>
        <w:ind w:left="720" w:hanging="360"/>
      </w:pPr>
    </w:lvl>
    <w:lvl w:ilvl="1" w:tplc="AB38F9B0">
      <w:start w:val="1"/>
      <w:numFmt w:val="bullet"/>
      <w:lvlText w:val="○"/>
      <w:lvlJc w:val="left"/>
      <w:pPr>
        <w:ind w:left="1440" w:hanging="360"/>
      </w:pPr>
    </w:lvl>
    <w:lvl w:ilvl="2" w:tplc="923814A2">
      <w:start w:val="1"/>
      <w:numFmt w:val="bullet"/>
      <w:lvlText w:val="■"/>
      <w:lvlJc w:val="left"/>
      <w:pPr>
        <w:ind w:left="2160" w:hanging="360"/>
      </w:pPr>
    </w:lvl>
    <w:lvl w:ilvl="3" w:tplc="EC74E182">
      <w:start w:val="1"/>
      <w:numFmt w:val="bullet"/>
      <w:lvlText w:val="●"/>
      <w:lvlJc w:val="left"/>
      <w:pPr>
        <w:ind w:left="2880" w:hanging="360"/>
      </w:pPr>
    </w:lvl>
    <w:lvl w:ilvl="4" w:tplc="CBC4B918">
      <w:start w:val="1"/>
      <w:numFmt w:val="bullet"/>
      <w:lvlText w:val="○"/>
      <w:lvlJc w:val="left"/>
      <w:pPr>
        <w:ind w:left="3600" w:hanging="360"/>
      </w:pPr>
    </w:lvl>
    <w:lvl w:ilvl="5" w:tplc="5F408928">
      <w:start w:val="1"/>
      <w:numFmt w:val="bullet"/>
      <w:lvlText w:val="■"/>
      <w:lvlJc w:val="left"/>
      <w:pPr>
        <w:ind w:left="4320" w:hanging="360"/>
      </w:pPr>
    </w:lvl>
    <w:lvl w:ilvl="6" w:tplc="3DAAF546">
      <w:start w:val="1"/>
      <w:numFmt w:val="bullet"/>
      <w:lvlText w:val="●"/>
      <w:lvlJc w:val="left"/>
      <w:pPr>
        <w:ind w:left="5040" w:hanging="360"/>
      </w:pPr>
    </w:lvl>
    <w:lvl w:ilvl="7" w:tplc="31AE6AE4">
      <w:start w:val="1"/>
      <w:numFmt w:val="bullet"/>
      <w:lvlText w:val="●"/>
      <w:lvlJc w:val="left"/>
      <w:pPr>
        <w:ind w:left="5760" w:hanging="360"/>
      </w:pPr>
    </w:lvl>
    <w:lvl w:ilvl="8" w:tplc="4BBCF812">
      <w:start w:val="1"/>
      <w:numFmt w:val="bullet"/>
      <w:lvlText w:val="●"/>
      <w:lvlJc w:val="left"/>
      <w:pPr>
        <w:ind w:left="6480" w:hanging="360"/>
      </w:pPr>
    </w:lvl>
  </w:abstractNum>
  <w:num w:numId="1" w16cid:durableId="10403223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64C"/>
    <w:rsid w:val="00424ED0"/>
    <w:rsid w:val="008F064C"/>
    <w:rsid w:val="00A2218C"/>
    <w:rsid w:val="00D27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63979E"/>
  <w15:docId w15:val="{286943B6-DA83-8943-8870-ECDB7093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D274E1"/>
    <w:pPr>
      <w:spacing w:after="100"/>
    </w:pPr>
  </w:style>
  <w:style w:type="paragraph" w:styleId="TOC2">
    <w:name w:val="toc 2"/>
    <w:basedOn w:val="Normal"/>
    <w:next w:val="Normal"/>
    <w:autoRedefine/>
    <w:uiPriority w:val="39"/>
    <w:unhideWhenUsed/>
    <w:rsid w:val="00D274E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3727</Words>
  <Characters>21245</Characters>
  <Application>Microsoft Office Word</Application>
  <DocSecurity>0</DocSecurity>
  <Lines>177</Lines>
  <Paragraphs>49</Paragraphs>
  <ScaleCrop>false</ScaleCrop>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at Toyota Motor Corporation</dc:title>
  <dc:creator>Vadim Furtuna</dc:creator>
  <cp:lastModifiedBy>Vadim Furtuna (2417467)</cp:lastModifiedBy>
  <cp:revision>2</cp:revision>
  <dcterms:created xsi:type="dcterms:W3CDTF">2026-08-03T21:16:00Z</dcterms:created>
  <dcterms:modified xsi:type="dcterms:W3CDTF">2026-08-03T21:21:00Z</dcterms:modified>
</cp:coreProperties>
</file>