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CC3511" w14:textId="730BA00F" w:rsidR="007A2B4B" w:rsidRDefault="000F0963">
      <w:r>
        <w:t xml:space="preserve">Jessica Jones </w:t>
      </w:r>
      <w:r>
        <w:tab/>
      </w:r>
      <w:r>
        <w:tab/>
      </w:r>
      <w:r>
        <w:tab/>
      </w:r>
      <w:r>
        <w:tab/>
      </w:r>
      <w:r>
        <w:tab/>
      </w:r>
      <w:r>
        <w:tab/>
      </w:r>
      <w:r>
        <w:tab/>
      </w:r>
      <w:r>
        <w:tab/>
        <w:t>Student Number – 2134526</w:t>
      </w:r>
    </w:p>
    <w:p w14:paraId="007C8A3C" w14:textId="77777777" w:rsidR="000F0963" w:rsidRDefault="000F0963"/>
    <w:p w14:paraId="1A747769" w14:textId="77777777" w:rsidR="000F0963" w:rsidRPr="000F0963" w:rsidRDefault="000F0963" w:rsidP="004A2A43">
      <w:pPr>
        <w:jc w:val="both"/>
        <w:rPr>
          <w:b/>
          <w:bCs/>
        </w:rPr>
      </w:pPr>
      <w:r w:rsidRPr="000F0963">
        <w:rPr>
          <w:b/>
          <w:bCs/>
        </w:rPr>
        <w:t xml:space="preserve">How might the Code of Ethics help to reduce incidences of professional misconduct and </w:t>
      </w:r>
    </w:p>
    <w:p w14:paraId="16128F66" w14:textId="416120CF" w:rsidR="000F0963" w:rsidRDefault="000F0963" w:rsidP="004A2A43">
      <w:pPr>
        <w:jc w:val="both"/>
        <w:rPr>
          <w:b/>
          <w:bCs/>
        </w:rPr>
      </w:pPr>
      <w:r w:rsidRPr="000F0963">
        <w:rPr>
          <w:b/>
          <w:bCs/>
        </w:rPr>
        <w:t>increase public confidence in the police?</w:t>
      </w:r>
    </w:p>
    <w:p w14:paraId="14D274A2" w14:textId="01ABA192" w:rsidR="0086455E" w:rsidRDefault="000F0963" w:rsidP="004A2A43">
      <w:pPr>
        <w:jc w:val="both"/>
      </w:pPr>
      <w:r>
        <w:t xml:space="preserve">In a society which is ever changing and evolving, the reliance on public confidence in the police is imperative in the prevention and management of crime. In order to sustain </w:t>
      </w:r>
      <w:r w:rsidR="004A2A43">
        <w:t xml:space="preserve">and deliver an effective and proactive </w:t>
      </w:r>
      <w:r>
        <w:t xml:space="preserve">policing service, we must </w:t>
      </w:r>
      <w:r w:rsidR="004A2A43">
        <w:t>maintain</w:t>
      </w:r>
      <w:r>
        <w:t xml:space="preserve"> and </w:t>
      </w:r>
      <w:r w:rsidR="004A2A43">
        <w:t>develop</w:t>
      </w:r>
      <w:r>
        <w:t xml:space="preserve"> a</w:t>
      </w:r>
      <w:r w:rsidR="004A2A43">
        <w:t xml:space="preserve"> resilient</w:t>
      </w:r>
      <w:r>
        <w:t xml:space="preserve"> level of trust and transparency within the communities</w:t>
      </w:r>
      <w:r w:rsidR="0086455E">
        <w:t xml:space="preserve"> which</w:t>
      </w:r>
      <w:r>
        <w:t xml:space="preserve"> we serve. </w:t>
      </w:r>
      <w:r w:rsidR="004A2A43">
        <w:t>Without the confidence of the public, the police would not be able to prevent, investigate or resolve crimes on a multitude of levels</w:t>
      </w:r>
      <w:r w:rsidR="0086455E">
        <w:t>, varying from petty to major incidents</w:t>
      </w:r>
      <w:r w:rsidR="004A2A43">
        <w:t>. Police forces across the UK rely on members of the public in various ways. This ranges from gathering evi</w:t>
      </w:r>
      <w:r w:rsidR="0062476A">
        <w:t xml:space="preserve">dence, developing </w:t>
      </w:r>
      <w:r w:rsidR="00183717">
        <w:t>intelligence,</w:t>
      </w:r>
      <w:r w:rsidR="0062476A">
        <w:t xml:space="preserve"> and implementing strategies in order to prevent crime based off </w:t>
      </w:r>
      <w:r w:rsidR="0086455E">
        <w:t>of the specific needs of our communities.</w:t>
      </w:r>
      <w:r w:rsidR="005F3526">
        <w:t xml:space="preserve"> This essay will outline and discuss the Code of Ethics and why it is necessary for diminishing professional misconduct incidences and subsequently increase public confidence.</w:t>
      </w:r>
    </w:p>
    <w:p w14:paraId="3AD59F0F" w14:textId="1E4C9706" w:rsidR="0086455E" w:rsidRDefault="0086455E" w:rsidP="004A2A43">
      <w:pPr>
        <w:jc w:val="both"/>
      </w:pPr>
      <w:r>
        <w:t xml:space="preserve">One significant </w:t>
      </w:r>
      <w:r w:rsidR="00C82CA7">
        <w:t>factor</w:t>
      </w:r>
      <w:r>
        <w:t xml:space="preserve"> which destroys the level of public confidence in the police is professionalism and misconduct. </w:t>
      </w:r>
      <w:r w:rsidR="00C82CA7">
        <w:t xml:space="preserve">In a world where </w:t>
      </w:r>
      <w:r w:rsidR="00183717">
        <w:t>almost,</w:t>
      </w:r>
      <w:r w:rsidR="00C82CA7">
        <w:t xml:space="preserve"> everything is recorded and shared publicly through social media</w:t>
      </w:r>
      <w:r w:rsidR="00183717">
        <w:t>, transparency has never been so important. As with any organisation, if the police fail to recognise misconduct, there can be detrimental consequences to the credibility and reliability of its reputation.</w:t>
      </w:r>
      <w:r w:rsidR="00BC7A6C">
        <w:t xml:space="preserve"> The Code of Ethics has therefore been implemented in order to </w:t>
      </w:r>
      <w:r w:rsidR="00BD5871">
        <w:t>reduce incidences of professional misconduct by providing a structured framework to which all police officers and staff have a duty to follow</w:t>
      </w:r>
      <w:r w:rsidR="001533C3">
        <w:t xml:space="preserve"> along with challenging those who fail to comply. </w:t>
      </w:r>
    </w:p>
    <w:p w14:paraId="211860DB" w14:textId="02F55A92" w:rsidR="00BE6382" w:rsidRDefault="00E72293" w:rsidP="004A2A43">
      <w:pPr>
        <w:jc w:val="both"/>
      </w:pPr>
      <w:r>
        <w:t xml:space="preserve">Published in 2014 by The College of Policing, the Code of Ethics defines and outlines the mandatory standards of professional behaviour that those working in policing must adhere to. </w:t>
      </w:r>
      <w:r w:rsidR="00171BCD" w:rsidRPr="00ED201D">
        <w:t>This framework is designed to ensure that all</w:t>
      </w:r>
      <w:r w:rsidR="00B34AC3" w:rsidRPr="00ED201D">
        <w:t xml:space="preserve"> </w:t>
      </w:r>
      <w:r w:rsidR="00171BCD" w:rsidRPr="00ED201D">
        <w:t>decision making and professional judgment meets the criteria and minimum standards which is</w:t>
      </w:r>
      <w:r w:rsidR="00B34AC3" w:rsidRPr="00ED201D">
        <w:t xml:space="preserve"> expected of the police by the public.</w:t>
      </w:r>
      <w:r w:rsidR="00B34AC3">
        <w:t xml:space="preserve"> The College of Policing (2023), outlines the importance of embedding the Code of Ethics into everyday</w:t>
      </w:r>
      <w:r w:rsidR="00BB40F9">
        <w:t xml:space="preserve"> conduct</w:t>
      </w:r>
      <w:r w:rsidR="00B34AC3">
        <w:t xml:space="preserve">, as well ensuring that all policing personnel understand the ten standards of professional behaviour, with the ability to challenge those who are not abiding by them. </w:t>
      </w:r>
      <w:r w:rsidR="00993939">
        <w:t>In simple terms, the Code of Ethics is a set of principles in which the professional body expects its employees to always adhere to. It consists of ten standards of professional behaviour which outlines how a person is expected to act. These standards</w:t>
      </w:r>
      <w:r w:rsidR="00AC204D">
        <w:t xml:space="preserve"> are detailed by Northamptonshire Police (2023), and</w:t>
      </w:r>
      <w:r w:rsidR="00993939">
        <w:t xml:space="preserve"> include acting with honesty and integrity, behaving in a manner </w:t>
      </w:r>
      <w:r w:rsidR="00AC204D">
        <w:t>which does not discredit the police service, whether on or off duty</w:t>
      </w:r>
      <w:r w:rsidR="00833541">
        <w:t xml:space="preserve"> and </w:t>
      </w:r>
      <w:r w:rsidR="00AC204D">
        <w:t xml:space="preserve">not to undermine public confidence. These standards also require employees to challenge and report behaviour </w:t>
      </w:r>
      <w:r w:rsidR="00833541">
        <w:t xml:space="preserve">of colleagues </w:t>
      </w:r>
      <w:r w:rsidR="00AC204D">
        <w:t>which is</w:t>
      </w:r>
      <w:r w:rsidR="00833541">
        <w:t xml:space="preserve"> deemed</w:t>
      </w:r>
      <w:r w:rsidR="00AC204D">
        <w:t xml:space="preserve"> improper and </w:t>
      </w:r>
      <w:r w:rsidR="00833541">
        <w:t>that of which</w:t>
      </w:r>
      <w:r w:rsidR="00AC204D">
        <w:t xml:space="preserve"> goes against the Codes of Practice. </w:t>
      </w:r>
    </w:p>
    <w:p w14:paraId="44428BD5" w14:textId="301A6549" w:rsidR="00EB33CD" w:rsidRDefault="009519B5" w:rsidP="004A2A43">
      <w:pPr>
        <w:jc w:val="both"/>
      </w:pPr>
      <w:r>
        <w:t xml:space="preserve">The standards of professional behaviour also outlines the importance of confidentiality and the ability to treat sensitive information with respect and courtesy. This standard is vital to encourage members of the public to be forthcoming with information, with confidence that this information will be </w:t>
      </w:r>
      <w:r w:rsidRPr="001F0276">
        <w:t>protected and only disclosed</w:t>
      </w:r>
      <w:r w:rsidR="00840B24" w:rsidRPr="001F0276">
        <w:t xml:space="preserve"> accordingly</w:t>
      </w:r>
      <w:r w:rsidR="00156F4B">
        <w:t>. L Westmarland et al</w:t>
      </w:r>
      <w:r w:rsidR="00AA1440">
        <w:t xml:space="preserve"> (</w:t>
      </w:r>
      <w:r w:rsidR="00156F4B">
        <w:t>2020</w:t>
      </w:r>
      <w:r w:rsidR="00AA1440">
        <w:t>)</w:t>
      </w:r>
      <w:r w:rsidR="00156F4B">
        <w:t xml:space="preserve"> discusses in her article the many studies which have been conducted </w:t>
      </w:r>
      <w:r w:rsidR="005F3526">
        <w:t>into</w:t>
      </w:r>
      <w:r w:rsidR="00156F4B">
        <w:t xml:space="preserve"> police attitude and behaviour over the past fifty years. Studies conducted by Cain 1973, Skolnick 1966, Van Maanen 1978 concluded that police officers were likely to bend and deliberately break the rules. Westmarland goes on to explain that these studies were replicated in recent years by </w:t>
      </w:r>
      <w:r w:rsidR="00156F4B" w:rsidRPr="00156F4B">
        <w:t>Caldero et al., 2018; Kleinig, 1996; Punch, 2009; Westmarland, 2005</w:t>
      </w:r>
      <w:r w:rsidR="0040658A">
        <w:t xml:space="preserve">. She explains that the conclusion of these studies determined that in the years since the initial studies were </w:t>
      </w:r>
      <w:r w:rsidR="0040658A">
        <w:lastRenderedPageBreak/>
        <w:t>conducted, the outcome remains the same and that still to this day officers are unlikely to challenge unethical behaviour within the police force and fail to report misconduct.</w:t>
      </w:r>
    </w:p>
    <w:p w14:paraId="194E2518" w14:textId="115DDFE6" w:rsidR="00A43CB0" w:rsidRDefault="007F0D36" w:rsidP="004A2A43">
      <w:pPr>
        <w:jc w:val="both"/>
      </w:pPr>
      <w:r>
        <w:t xml:space="preserve">The findings of these studies and research into police ethics and behaviour can have a detrimental impact on how the public perceives the police service as a whole. Members of the public, including victims and witnesses can be less likely to engage with the service as they develop a belief that the officers dealing with their reports are corrupt, </w:t>
      </w:r>
      <w:r w:rsidR="0085637D">
        <w:t>unprofessional,</w:t>
      </w:r>
      <w:r>
        <w:t xml:space="preserve"> and simply don’t care about their best interests. Therefore, it is vitally important that all police officers and staff are abiding by the code of ethics to diminish any lack of faith in the service. Members of the public are more observant now than ever before and are quick to call out any misconduct if witnessed. An example of this was highlighted in 2020 with the murder of George Floyd, where an American officer was filmed using what was deemed to be excessive force. A member of the public published this recording and as a result the officer was prosecuted. This sparked public outrage word wide, with many people turning to their local police forces for </w:t>
      </w:r>
      <w:r w:rsidR="00A43CB0">
        <w:t xml:space="preserve">an explanation and accountability. </w:t>
      </w:r>
    </w:p>
    <w:p w14:paraId="07192BA6" w14:textId="5F5C3352" w:rsidR="00A43CB0" w:rsidRDefault="00A43CB0" w:rsidP="004A2A43">
      <w:pPr>
        <w:jc w:val="both"/>
      </w:pPr>
      <w:r>
        <w:t xml:space="preserve">The code of ethics if adhered to correctly, can reduce the chances of </w:t>
      </w:r>
      <w:r w:rsidR="009E3CFF">
        <w:t xml:space="preserve">tragic </w:t>
      </w:r>
      <w:r>
        <w:t>events like Floyd’s</w:t>
      </w:r>
      <w:r w:rsidR="00EB18D9">
        <w:t xml:space="preserve"> from</w:t>
      </w:r>
      <w:r>
        <w:t xml:space="preserve"> occurring. The code states that any use of force must be reasonable, justified</w:t>
      </w:r>
      <w:r w:rsidR="009E3CFF">
        <w:t xml:space="preserve">, proportional </w:t>
      </w:r>
      <w:r>
        <w:t>and appropriate.</w:t>
      </w:r>
      <w:r w:rsidR="009E3CFF">
        <w:t xml:space="preserve"> Officers are required to take accountability for any actions and decisions they make,</w:t>
      </w:r>
      <w:r w:rsidR="002223C5">
        <w:t xml:space="preserve"> with a level of tolerance when it comes to controlling their own emotions and personal beliefs. Officers should demonstrate a level of self-control to remain impartial in line with the Code of Ethics.</w:t>
      </w:r>
      <w:r w:rsidR="009E3CFF">
        <w:t xml:space="preserve"> </w:t>
      </w:r>
      <w:r w:rsidR="00A93B47">
        <w:t>The police service as an organisation have in recent years taken further steps to promote transparency, with the introduction of body worn video cameras and access to information requests. This information is available to the public upon request and avoids any allegations of corruption and as a result can promote public confidence.</w:t>
      </w:r>
    </w:p>
    <w:p w14:paraId="4419FA91" w14:textId="4F5E1D24" w:rsidR="009519B5" w:rsidRDefault="00840B24" w:rsidP="004A2A43">
      <w:pPr>
        <w:jc w:val="both"/>
      </w:pPr>
      <w:r>
        <w:t>With this understanding, the public are more likely to engage with the police and have an in</w:t>
      </w:r>
      <w:r w:rsidR="00C62912">
        <w:t>creased willingness to do so.</w:t>
      </w:r>
      <w:r>
        <w:t xml:space="preserve"> </w:t>
      </w:r>
      <w:r w:rsidR="00A93B47">
        <w:t>Abiding by the code of ethics and adhering to the standards of professional behaviour can significantly mitigate any lack of faith that the public has in the service and subsequently promotes a positive relationship.</w:t>
      </w:r>
    </w:p>
    <w:p w14:paraId="4DED14AC" w14:textId="77777777" w:rsidR="009C22FE" w:rsidRDefault="009C22FE" w:rsidP="004A2A43">
      <w:pPr>
        <w:jc w:val="both"/>
        <w:rPr>
          <w:b/>
          <w:bCs/>
        </w:rPr>
      </w:pPr>
    </w:p>
    <w:p w14:paraId="6496868B" w14:textId="6E6DB4D8" w:rsidR="00060B43" w:rsidRPr="00060B43" w:rsidRDefault="00060B43" w:rsidP="004A2A43">
      <w:pPr>
        <w:jc w:val="both"/>
        <w:rPr>
          <w:b/>
          <w:bCs/>
        </w:rPr>
      </w:pPr>
      <w:r>
        <w:rPr>
          <w:b/>
          <w:bCs/>
        </w:rPr>
        <w:t>Word Count : 989</w:t>
      </w:r>
    </w:p>
    <w:p w14:paraId="0D248C6B" w14:textId="77777777" w:rsidR="007F73A3" w:rsidRDefault="007F73A3" w:rsidP="004A2A43">
      <w:pPr>
        <w:jc w:val="both"/>
        <w:rPr>
          <w:b/>
          <w:bCs/>
        </w:rPr>
      </w:pPr>
    </w:p>
    <w:p w14:paraId="23D99B6F" w14:textId="65B0E278" w:rsidR="00046385" w:rsidRDefault="00046385" w:rsidP="004A2A43">
      <w:pPr>
        <w:jc w:val="both"/>
        <w:rPr>
          <w:b/>
          <w:bCs/>
        </w:rPr>
      </w:pPr>
      <w:r w:rsidRPr="00046385">
        <w:rPr>
          <w:b/>
          <w:bCs/>
        </w:rPr>
        <w:t>How effective is a multi-agency approach as a means of managing violent and sexual offenders?</w:t>
      </w:r>
    </w:p>
    <w:p w14:paraId="12F792CB" w14:textId="3CF49178" w:rsidR="002A1A63" w:rsidRDefault="009C22FE" w:rsidP="004A2A43">
      <w:pPr>
        <w:jc w:val="both"/>
      </w:pPr>
      <w:r>
        <w:t xml:space="preserve">The management of violent and sexual offenders following any criminal proceedings is critical to ensure the safety of both victims of crime and the offender. </w:t>
      </w:r>
      <w:r w:rsidR="0099671C">
        <w:t xml:space="preserve">Incorporating a multi-agency approach as a means of managing these offenders has been proven to significantly reduce the risk of further incidents from occurring within our communities. When partner services collaborate to access and exchange information between agencies, it allows for an educated understanding of the risk that is posed to members of the public. This essay will discuss the benefits of </w:t>
      </w:r>
      <w:r w:rsidR="002A1A63">
        <w:t>implementing</w:t>
      </w:r>
      <w:r w:rsidR="0099671C">
        <w:t xml:space="preserve"> a multi-agency approach </w:t>
      </w:r>
      <w:r w:rsidR="00A97A50">
        <w:t xml:space="preserve">post-conviction </w:t>
      </w:r>
      <w:r w:rsidR="0099671C">
        <w:t xml:space="preserve">and aims to outline </w:t>
      </w:r>
      <w:r w:rsidR="00A97A50">
        <w:t>and identify the challenges faced when managing violent and sexual offenders</w:t>
      </w:r>
      <w:r w:rsidR="002A1A63">
        <w:t xml:space="preserve"> </w:t>
      </w:r>
      <w:r w:rsidR="00F042CF">
        <w:t xml:space="preserve">and why it </w:t>
      </w:r>
      <w:r w:rsidR="00F64DD1">
        <w:t>is paramount</w:t>
      </w:r>
      <w:r w:rsidR="00F042CF">
        <w:t>.</w:t>
      </w:r>
    </w:p>
    <w:p w14:paraId="13076296" w14:textId="0BCC2A88" w:rsidR="003175C4" w:rsidRDefault="002A1A63" w:rsidP="004A2A43">
      <w:pPr>
        <w:jc w:val="both"/>
      </w:pPr>
      <w:r>
        <w:t>The management of violent and sexual offenders begins by first determining the level of risk these offenders pose on the communities in which they will integrate</w:t>
      </w:r>
      <w:r w:rsidR="00D4248D">
        <w:t xml:space="preserve"> in to and be a part of. </w:t>
      </w:r>
      <w:r w:rsidR="003175C4">
        <w:t xml:space="preserve">In the early 2000’s, the Multi-agency Public Protection Arrangements or MAPPA was introduced as a way of managing such offenders. GOV.UK (2023) describes MAPPA as a set of arrangements through which the police, </w:t>
      </w:r>
      <w:r w:rsidR="0085637D">
        <w:t>probation,</w:t>
      </w:r>
      <w:r w:rsidR="003175C4">
        <w:t xml:space="preserve"> and prison services work together with various other agencies to strategically </w:t>
      </w:r>
      <w:r w:rsidR="003175C4">
        <w:lastRenderedPageBreak/>
        <w:t xml:space="preserve">manage violent and sexual offenders and mitigate any threat or risk to members of the public. GOV.UK goes on to explain that any person who has been convicted of an offence under that nature will be entered into the MAPPA system, however the system also manages those who have been cautioned for the eligible offence or found not guilty by the way of disability or insanity. </w:t>
      </w:r>
      <w:r w:rsidR="00A375F8">
        <w:t>GOV.UK also defines MAPPA as a mechanism through which agencies can discharge their statutory responsibilities and protect the public in a co-ordinated manner.</w:t>
      </w:r>
    </w:p>
    <w:p w14:paraId="24247F95" w14:textId="40B7B8E5" w:rsidR="007E65EA" w:rsidRDefault="003175C4" w:rsidP="004A2A43">
      <w:pPr>
        <w:jc w:val="both"/>
      </w:pPr>
      <w:r>
        <w:t xml:space="preserve">In a Home Office publication </w:t>
      </w:r>
      <w:r w:rsidR="004D56C5">
        <w:t xml:space="preserve">written in 2007 titled The Operation and Experience of Multi-Agency Public Protection Arrangements (MAPPA), </w:t>
      </w:r>
      <w:r w:rsidR="004D56C5" w:rsidRPr="00097A68">
        <w:t>Wood</w:t>
      </w:r>
      <w:r w:rsidR="00E97063" w:rsidRPr="00097A68">
        <w:t xml:space="preserve"> </w:t>
      </w:r>
      <w:r w:rsidR="004D56C5" w:rsidRPr="00097A68">
        <w:t>et.al</w:t>
      </w:r>
      <w:r w:rsidR="00097A68">
        <w:t xml:space="preserve"> (2007)</w:t>
      </w:r>
      <w:r w:rsidR="004D56C5">
        <w:t xml:space="preserve"> explains that the Criminal Justice Act of 2003 </w:t>
      </w:r>
      <w:r w:rsidR="00E97063">
        <w:t>determined that</w:t>
      </w:r>
      <w:r w:rsidR="004D56C5">
        <w:t xml:space="preserve"> the Police, Probation and Prison Services</w:t>
      </w:r>
      <w:r w:rsidR="00E97063">
        <w:t xml:space="preserve"> as the three primary</w:t>
      </w:r>
      <w:r w:rsidR="004D56C5">
        <w:t xml:space="preserve"> responsible authorities for the management of sexual and violent offenders. This responsibility requires these services to assess</w:t>
      </w:r>
      <w:r w:rsidR="00E97063">
        <w:t>, identify</w:t>
      </w:r>
      <w:r w:rsidR="004D56C5">
        <w:t xml:space="preserve"> and</w:t>
      </w:r>
      <w:r w:rsidR="00E97063">
        <w:t xml:space="preserve"> subsequently</w:t>
      </w:r>
      <w:r w:rsidR="004D56C5">
        <w:t xml:space="preserve"> categorise </w:t>
      </w:r>
      <w:r w:rsidR="00E97063">
        <w:t xml:space="preserve">offenders based on the level of risk that these individuals pose to the public. </w:t>
      </w:r>
      <w:r w:rsidR="004D56C5">
        <w:t>Wood</w:t>
      </w:r>
      <w:r w:rsidR="00E97063">
        <w:t xml:space="preserve"> et. al</w:t>
      </w:r>
      <w:r w:rsidR="004D56C5">
        <w:t xml:space="preserve"> goes on to explain the categories in order to understand with whom the responsibility lies for identifying the level of risk. </w:t>
      </w:r>
      <w:r w:rsidR="00E97063">
        <w:t>The categories are defined in three sections, Category One, Two and Three.</w:t>
      </w:r>
      <w:r w:rsidR="007E65EA">
        <w:t xml:space="preserve"> </w:t>
      </w:r>
      <w:r w:rsidR="00E97063">
        <w:t xml:space="preserve"> The police have primary responsibility for identifying Category One offenders as registered sex offenders who have been convicted or cautioned of an eligible offence since September 1997. Category Two offenders are described as violent and sexual offend</w:t>
      </w:r>
      <w:r w:rsidR="007E65EA">
        <w:t xml:space="preserve">ers who are subject to supervision by the Probation Service or Youth Offending Teams. Category Three offenders are considered to be those who pose a risk of serious harm to the public contrary to Section 325(2) of the Criminal Justice Act 2003. </w:t>
      </w:r>
    </w:p>
    <w:p w14:paraId="4A5F0383" w14:textId="0D262797" w:rsidR="003C5637" w:rsidRDefault="003C5637" w:rsidP="004A2A43">
      <w:pPr>
        <w:jc w:val="both"/>
      </w:pPr>
      <w:r>
        <w:t>When an offender is entered into the MAPPA system, the police service and other local authorities have the ability to monitor the individual in order to manage any potential risks and to prevent them from re-offending. MAPPA allows the police and partner agencies to access and share information between each service in order to observe the offenders behaviour and activity whilst integrating into society. This is achieved through a process known as notification requirements.</w:t>
      </w:r>
      <w:r w:rsidR="00855189">
        <w:t xml:space="preserve"> </w:t>
      </w:r>
      <w:r>
        <w:t xml:space="preserve">Notification requirements </w:t>
      </w:r>
      <w:r w:rsidR="00855189">
        <w:t>is specific information</w:t>
      </w:r>
      <w:r>
        <w:t xml:space="preserve"> </w:t>
      </w:r>
      <w:r w:rsidR="00855189">
        <w:t>t</w:t>
      </w:r>
      <w:r>
        <w:t>hat the individual managed by MAPPA has an obligation to provide the police and any partner authorities with.</w:t>
      </w:r>
      <w:r w:rsidR="00855189">
        <w:t xml:space="preserve"> The period of which the person must provide this information will depend on which category they fall in to and the seriousness of the offence in which they have been convicted. GOV.UK (2023) again outlines examples of the duration period for the notification requirements, ranging from a two year period to an indefinite period.</w:t>
      </w:r>
      <w:r w:rsidR="00E35739">
        <w:t xml:space="preserve"> In simple terms, this means that the MAPPA strategy will be assessed on a case-by-case basis, and will be specific to each individual depending on the offence, conviction or outcome. </w:t>
      </w:r>
    </w:p>
    <w:p w14:paraId="1F4C102E" w14:textId="2E7D201C" w:rsidR="003A16E9" w:rsidRDefault="00E35739" w:rsidP="004A2A43">
      <w:pPr>
        <w:jc w:val="both"/>
      </w:pPr>
      <w:r>
        <w:t xml:space="preserve">A notification requirement includes details of any changes to the individual’s personal information such as home addresses, passport details, bank account information along with specific information upon request by the requesting authority. This can also include at any time where the offender is likely to, or may reside within the same vicinity as a child. </w:t>
      </w:r>
      <w:r w:rsidR="00C72EC7">
        <w:t xml:space="preserve">With access to this information and any changes to this information, the responsible authority is able to closely monitor and identify any changes to the level of threat, risk or harm that the offender poses to the public and accommodate an effective management plan where further action may be required. Multi-agency working strategies allow all necessary authorities to access and share information between agencies, therefore having an up-to-date record of any changes with the </w:t>
      </w:r>
      <w:r w:rsidR="003A16E9">
        <w:t>offender’s</w:t>
      </w:r>
      <w:r w:rsidR="00C72EC7">
        <w:t xml:space="preserve"> information and </w:t>
      </w:r>
      <w:r w:rsidR="003A16E9">
        <w:t xml:space="preserve">the ability to highlight new and relevant risks should they arise. </w:t>
      </w:r>
    </w:p>
    <w:p w14:paraId="200C2DD0" w14:textId="77777777" w:rsidR="00F10A09" w:rsidRDefault="003A16E9" w:rsidP="004A2A43">
      <w:pPr>
        <w:jc w:val="both"/>
      </w:pPr>
      <w:r>
        <w:t xml:space="preserve">Partner agencies also have the ability to access MAPPA </w:t>
      </w:r>
      <w:r w:rsidR="001E0BE0">
        <w:t>offenders’</w:t>
      </w:r>
      <w:r>
        <w:t xml:space="preserve"> information through the relevant authority, when necessary, such as housing</w:t>
      </w:r>
      <w:r w:rsidR="001E0BE0">
        <w:t xml:space="preserve"> services</w:t>
      </w:r>
      <w:r>
        <w:t>, education</w:t>
      </w:r>
      <w:r w:rsidR="001E0BE0">
        <w:t xml:space="preserve"> sectors</w:t>
      </w:r>
      <w:r>
        <w:t xml:space="preserve">, health services and child protective services. Without the sharing of information between the police service and local authorities, risks may go unnoticed and subsequently, perpetrators have a higher chance of re-offending. A MAPPA offender who has been registered as a sexual offender may have an indefinite </w:t>
      </w:r>
      <w:r>
        <w:lastRenderedPageBreak/>
        <w:t>limitation for working with children. Failure to re</w:t>
      </w:r>
      <w:r w:rsidR="001E0BE0">
        <w:t xml:space="preserve">cognise this restriction could result in a detrimental failure to the public should the offender acquire such a position and go on to re-offend. The police service are able to closely monitor MAPPA offenders through a specialist department of trained officers and staff called MOSOVO. </w:t>
      </w:r>
    </w:p>
    <w:p w14:paraId="442EA127" w14:textId="3040D211" w:rsidR="001E0BE0" w:rsidRDefault="001E0BE0" w:rsidP="004A2A43">
      <w:pPr>
        <w:jc w:val="both"/>
      </w:pPr>
      <w:r>
        <w:t xml:space="preserve">The Management of Sexual Offenders and Violent Offenders, MOSOVO, includes a team of appropriately trained officers, working as part of the public protection unit, conduct a variety of strategic </w:t>
      </w:r>
      <w:r w:rsidR="00F10A09">
        <w:t>duties to safeguard the public and help the offender re-integrate into society safely. Candlin. A (2022) details in his article the successes that Cumbria Police have experienced with MOSOVO and the prevention of the offenders re-offending. Candlin quotes DI Martin Hodgson for Cumbria Police by mentioning “</w:t>
      </w:r>
      <w:r w:rsidR="00F10A09" w:rsidRPr="00F10A09">
        <w:t>The required level of monitoring isn’t a job that can be done by one service alone. It is only through providers from every aspect of a person’s life, being involved, and feeding information into MAPPA, that we can, so effectively, manage our offenders</w:t>
      </w:r>
      <w:r w:rsidR="00F10A09">
        <w:t>”.</w:t>
      </w:r>
    </w:p>
    <w:p w14:paraId="54BA9592" w14:textId="6BE69F1A" w:rsidR="009C22FE" w:rsidRPr="007F73A3" w:rsidRDefault="001E0BE0" w:rsidP="004A2A43">
      <w:pPr>
        <w:jc w:val="both"/>
      </w:pPr>
      <w:r>
        <w:t>Overall, the sharing and collaborative working of the police service and partner authorities in the management of violent and sexual offenders</w:t>
      </w:r>
      <w:r w:rsidR="00F10A09">
        <w:t xml:space="preserve"> has proven to be successful. Without access to shared information, it would be difficult, if not impossible to closely monitor the offenders activity in society and thus be able to mitigate any potential threat risk and harm to the public. </w:t>
      </w:r>
    </w:p>
    <w:p w14:paraId="377F6BB8" w14:textId="53360A58" w:rsidR="00046385" w:rsidRDefault="009F7516" w:rsidP="004A2A43">
      <w:pPr>
        <w:jc w:val="both"/>
        <w:rPr>
          <w:b/>
          <w:bCs/>
        </w:rPr>
      </w:pPr>
      <w:r>
        <w:rPr>
          <w:b/>
          <w:bCs/>
        </w:rPr>
        <w:t>Word Count: 1098</w:t>
      </w:r>
    </w:p>
    <w:p w14:paraId="2052E608" w14:textId="77777777" w:rsidR="009F7516" w:rsidRDefault="009F7516" w:rsidP="004A2A43">
      <w:pPr>
        <w:jc w:val="both"/>
        <w:rPr>
          <w:b/>
          <w:bCs/>
        </w:rPr>
      </w:pPr>
    </w:p>
    <w:p w14:paraId="5CBFC5B5" w14:textId="2A455981" w:rsidR="007F73A3" w:rsidRDefault="00046385" w:rsidP="004A2A43">
      <w:pPr>
        <w:jc w:val="both"/>
      </w:pPr>
      <w:r w:rsidRPr="00046385">
        <w:rPr>
          <w:b/>
          <w:bCs/>
        </w:rPr>
        <w:t>To what extent is ‘lifestyle’ theory an accurate reflection of what makes certain people vulnerable to becoming a victim of Serious and Organised Crime?</w:t>
      </w:r>
      <w:r>
        <w:rPr>
          <w:b/>
          <w:bCs/>
        </w:rPr>
        <w:t xml:space="preserve"> </w:t>
      </w:r>
    </w:p>
    <w:p w14:paraId="1E01F180" w14:textId="3A3B1E7E" w:rsidR="007F73A3" w:rsidRDefault="009F7516" w:rsidP="004A2A43">
      <w:pPr>
        <w:jc w:val="both"/>
      </w:pPr>
      <w:r>
        <w:t>Lifestyle theory is a concept within criminology that a person has an increased likeliness to become subject to victims of serious and organised crimes</w:t>
      </w:r>
      <w:r w:rsidR="00891666">
        <w:t xml:space="preserve"> based on routine behaviour and </w:t>
      </w:r>
      <w:r w:rsidR="0084464C">
        <w:t>activities</w:t>
      </w:r>
      <w:r>
        <w:t xml:space="preserve">. This theory </w:t>
      </w:r>
      <w:r w:rsidR="00891666">
        <w:t xml:space="preserve">also </w:t>
      </w:r>
      <w:r>
        <w:t xml:space="preserve">suggests that external factors during a young person’s development such as reduced guardianship or lack of parenting </w:t>
      </w:r>
      <w:r w:rsidR="00891666">
        <w:t>contributes to the vulnerability of</w:t>
      </w:r>
      <w:r>
        <w:t xml:space="preserve"> the young person</w:t>
      </w:r>
      <w:r w:rsidR="00891666">
        <w:t>, which may also put them</w:t>
      </w:r>
      <w:r>
        <w:t xml:space="preserve"> at an increased risk</w:t>
      </w:r>
      <w:r w:rsidR="00891666">
        <w:t xml:space="preserve"> of victimisation. This </w:t>
      </w:r>
      <w:r>
        <w:t xml:space="preserve">essay will aim to discuss and outline the factors that contribute to this Lifestyle Theory and draw evidence from studies to conclude whether this theory has an accurate reflection to vulnerable members of society and victimisation. </w:t>
      </w:r>
    </w:p>
    <w:p w14:paraId="7C3427F5" w14:textId="570BDDFD" w:rsidR="00CB1FE4" w:rsidRDefault="009F7516" w:rsidP="004A2A43">
      <w:pPr>
        <w:jc w:val="both"/>
      </w:pPr>
      <w:r>
        <w:t xml:space="preserve">Finkelhor, D et.al (1996) discusses that young people are the most prone to victimisation of crime. He goes on to explain that data from the National Crime Survey suggests that children aged between 12 and 17 years old suffer 2.3 times more violent crime than the rest of the population. These </w:t>
      </w:r>
      <w:r w:rsidR="00F670CF">
        <w:t xml:space="preserve">are more serious in nature and include assaults and robbery. Finkelhor explains that in a 1994 study conducted by Finkelhor and Dziuba-Leatherman et.al, youths were found to be considerably more vulnerable to intrafamily violence in comparison to the rest of the population. </w:t>
      </w:r>
    </w:p>
    <w:p w14:paraId="3CED872F" w14:textId="537617C5" w:rsidR="00891666" w:rsidRDefault="00CB1FE4" w:rsidP="004A2A43">
      <w:pPr>
        <w:jc w:val="both"/>
      </w:pPr>
      <w:r>
        <w:t xml:space="preserve">Lifestyle Theory does not only apply to children and young people, but the theory suggests that a person’s behaviour, activity and how they operate on a daily basis has an influence on the likelihood of them being subject to crime and misfortune. Maxfield 1987 for the Journal of Quantitative Criminology, draws an example of Lifestyle Theory by using the analogy of careful versus careless drivers. He explains that a person who is a careless driver is more likely to be exposed to road traffic accidents than a person who is a careful driver. </w:t>
      </w:r>
      <w:r w:rsidR="00891666">
        <w:t>Whilst not necessarily victims of crime, the analogy can be used to understand how specific routine activities and behaviours are deemed to put the individual at an increased level of risk than others. In order to understand lifestyle theory, we must consider how routine activities and repeated behaviour can create opportunities for offenders to target</w:t>
      </w:r>
      <w:r w:rsidR="00895DA4">
        <w:t xml:space="preserve"> these</w:t>
      </w:r>
      <w:r w:rsidR="00891666">
        <w:t xml:space="preserve"> individuals more than others. </w:t>
      </w:r>
    </w:p>
    <w:p w14:paraId="0FC2B59E" w14:textId="1D69010B" w:rsidR="00B32802" w:rsidRDefault="00895DA4" w:rsidP="004A2A43">
      <w:pPr>
        <w:jc w:val="both"/>
      </w:pPr>
      <w:r>
        <w:lastRenderedPageBreak/>
        <w:t xml:space="preserve">Let’s </w:t>
      </w:r>
      <w:r w:rsidR="00B77DF5">
        <w:t xml:space="preserve">compare the lifestyle theory by creating two individuals. The first </w:t>
      </w:r>
      <w:r>
        <w:t xml:space="preserve">works from home, </w:t>
      </w:r>
      <w:r w:rsidR="00B77DF5">
        <w:t>protects their property with security systems and has high-quality CCTV covering their home. Every evening before going to bed, this person carries out a routine of checking that all doors and windows to their property are secure. The second individual lives alone and travels frequently for work, resulting in them being away from their property on a regular basis. Unlike the first person, this individual does not have a high-tech security system, nor do they have any CCTV coverage of their property. The second person does not carry out routine activities nor do they conduct any security checks before going to sleep.</w:t>
      </w:r>
      <w:r w:rsidR="00B32802">
        <w:t xml:space="preserve"> </w:t>
      </w:r>
      <w:r w:rsidR="00B77DF5">
        <w:t xml:space="preserve">From the perspective of an offender, the second individual is an ideal target for crimes such as theft, burglary, and criminal damage. The second individual is far more likely to be subject to victimisation, simply because of the contrast in their lifestyle to the other. </w:t>
      </w:r>
    </w:p>
    <w:p w14:paraId="5C123102" w14:textId="6985AD42" w:rsidR="0090743C" w:rsidRDefault="00C83E9B" w:rsidP="004A2A43">
      <w:pPr>
        <w:jc w:val="both"/>
      </w:pPr>
      <w:r>
        <w:t>Paluka, A. and Calpin, D. (2022)</w:t>
      </w:r>
      <w:r>
        <w:t xml:space="preserve"> discuss theories of victimisation and the associated risk factors in an article titled "Theories of Victimization”</w:t>
      </w:r>
      <w:r w:rsidR="0090743C">
        <w:t xml:space="preserve">. </w:t>
      </w:r>
      <w:r>
        <w:t xml:space="preserve">The article explains the Victim Precipitation Theory which argues that individuals may experience an increased risk </w:t>
      </w:r>
      <w:r w:rsidR="0090743C">
        <w:t xml:space="preserve">which instigates their own victimization. This connects to the lifestyle theory in that offenders may be more likely to target their victims based off of specific factors such as a person’s income, education level and sexual orientation. Paluka and Calpin demonstrate this theory by using an example of an individual walking alone at night, unaccompanied in an area which is subject to higher crime levels. The theory suggests that this individuals activity and behaviour exposes them to victimization at a higher rate than others who are not engaging in the same. </w:t>
      </w:r>
    </w:p>
    <w:p w14:paraId="4FD6FA87" w14:textId="6CDE6AA2" w:rsidR="000E464C" w:rsidRDefault="00B32802" w:rsidP="004A2A43">
      <w:pPr>
        <w:jc w:val="both"/>
      </w:pPr>
      <w:r>
        <w:t>Whilst lifestyle theory suggests that a person’s routine activities</w:t>
      </w:r>
      <w:r w:rsidR="009370F6">
        <w:t xml:space="preserve"> and choices</w:t>
      </w:r>
      <w:r>
        <w:t xml:space="preserve"> puts them at a higher risk of victimisation than others,</w:t>
      </w:r>
      <w:r w:rsidR="009370F6">
        <w:t xml:space="preserve"> many argue that</w:t>
      </w:r>
      <w:r>
        <w:t xml:space="preserve"> it cannot be utilised as an excuse to victim blame. </w:t>
      </w:r>
      <w:r w:rsidR="00B72090">
        <w:t>Pratt et.al (2015) outlines a potential issue with the lifestyle theory when it comes to the argument of those who are not at home being more susceptible to burglary and theft. They explain that this factor would suggest that all homes left unattended would be at an equal risk of being burglarised. This contradicts the extensive research and studies of Neighbourhood structures and the connection with burglary rates. Pratt et.al goes on to explain that despite the research it remains inconclusive with the correlation between lifestyle theory and burglary, and other indicators should be considered as a factor</w:t>
      </w:r>
      <w:r w:rsidR="00CD2570">
        <w:t>, such as social and economic disadvantages.</w:t>
      </w:r>
    </w:p>
    <w:p w14:paraId="06C85E9A" w14:textId="06435C5A" w:rsidR="007F73A3" w:rsidRDefault="000E464C" w:rsidP="004A2A43">
      <w:pPr>
        <w:jc w:val="both"/>
      </w:pPr>
      <w:r>
        <w:t xml:space="preserve">Victim blaming is defined by GOV.UK (2022) as any language or action which implies, either intentionally or unintentionally that a person is partially or wholly responsible for what has happened to them. This contradicts the lifestyle theory by suggesting that those who have participated in specific acts or behaviours are liable for the circumstances they have endured. This argument negates the responsibility to solely lie with the victim of an incident. </w:t>
      </w:r>
      <w:r>
        <w:t>Moriarty, L.J. (2016)</w:t>
      </w:r>
      <w:r>
        <w:t xml:space="preserve"> discusses the early studies conducted by Von Hentig (1941-1948) who engaged in the process of focusing on explaining criminal behaviour. Hentig </w:t>
      </w:r>
      <w:r w:rsidR="0084464C">
        <w:t xml:space="preserve">became one of the first scholars to examine the role of the victim and their behaviour, and argued that these individuals were born victims just as the offender was born an criminal. </w:t>
      </w:r>
      <w:r w:rsidR="0084464C">
        <w:t>Moriarty</w:t>
      </w:r>
      <w:r w:rsidR="0084464C">
        <w:t xml:space="preserve"> goes on to detail how many scholars followed in Hentig’s findings and found flaws with his theories, and subsequently devised their own theories by categorising the degree of shared responsibility between victims and offenders.</w:t>
      </w:r>
    </w:p>
    <w:p w14:paraId="6934CA45" w14:textId="495688F3" w:rsidR="0084464C" w:rsidRDefault="0084464C" w:rsidP="004A2A43">
      <w:pPr>
        <w:jc w:val="both"/>
      </w:pPr>
      <w:r>
        <w:t>Moriarty, L.J. (2016)</w:t>
      </w:r>
      <w:r>
        <w:t xml:space="preserve"> goes on to discuss the characteristics of victims which therefore make them attractive targets to offenders. These characteristics include elderly, young, physically disabled and socially weak victims such as those from ethnic minorities. </w:t>
      </w:r>
      <w:r>
        <w:t xml:space="preserve">Moriarty, </w:t>
      </w:r>
      <w:r>
        <w:t xml:space="preserve">states that these individuals bear no responsibility for their victimisation and as a result should not be held responsible for the suffering they have endured. Whilst the lifestyle theory holds an argument as to whom may be more liable to experiencing victimisation, it does not </w:t>
      </w:r>
      <w:r w:rsidR="001D7ADD">
        <w:t xml:space="preserve">consider opposing factors that contribute to each crime as it occurs. Lifestyle theory may offer a solution to mitigating the chance of a person becoming victimized, </w:t>
      </w:r>
      <w:r w:rsidR="001D7ADD">
        <w:lastRenderedPageBreak/>
        <w:t xml:space="preserve">however this cannot be utilised as a rational and theoretical explanation for an individual being targeted. </w:t>
      </w:r>
    </w:p>
    <w:p w14:paraId="162E5AFC" w14:textId="48FB458F" w:rsidR="007F73A3" w:rsidRDefault="006E53A3" w:rsidP="004A2A43">
      <w:pPr>
        <w:jc w:val="both"/>
      </w:pPr>
      <w:r>
        <w:rPr>
          <w:b/>
          <w:bCs/>
        </w:rPr>
        <w:t>Word Count: 1066</w:t>
      </w:r>
    </w:p>
    <w:p w14:paraId="43DDFB8D" w14:textId="77777777" w:rsidR="00046385" w:rsidRDefault="00046385" w:rsidP="004A2A43">
      <w:pPr>
        <w:jc w:val="both"/>
      </w:pPr>
    </w:p>
    <w:p w14:paraId="73E066DC" w14:textId="40975D8E" w:rsidR="00046385" w:rsidRPr="00046385" w:rsidRDefault="00046385" w:rsidP="004A2A43">
      <w:pPr>
        <w:jc w:val="both"/>
      </w:pPr>
      <w:r w:rsidRPr="00046385">
        <w:rPr>
          <w:b/>
          <w:bCs/>
        </w:rPr>
        <w:t xml:space="preserve">Why is a partnership approach the most effective way of preventing re-offending? </w:t>
      </w:r>
    </w:p>
    <w:p w14:paraId="179A4ED7" w14:textId="165E284E" w:rsidR="00145A1A" w:rsidRDefault="00145A1A" w:rsidP="004A2A43">
      <w:pPr>
        <w:jc w:val="both"/>
      </w:pPr>
      <w:r>
        <w:t>Preventing re-offending is a primary focus area in the management of offenders and the risks posed to members of the community. A partnership approach aims to provide rehabilitation and support the communities in which the offender will be a part of, through a collaboration of the police service and partner agencies. Early intervention services have proven successful at targeting offender behaviour and providing a solution to address the causes of criminalisation. This essay will discuss the benefits of a partnership approach and discuss why it is the most effective way of preventing re-offending.</w:t>
      </w:r>
    </w:p>
    <w:p w14:paraId="1E9F4EC8" w14:textId="28B89207" w:rsidR="006B51FF" w:rsidRDefault="00145A1A" w:rsidP="004A2A43">
      <w:pPr>
        <w:jc w:val="both"/>
      </w:pPr>
      <w:r>
        <w:t>The partnership approach recognises all factors involved in why the offender acts the way they do. These factors can include a lack of employment opportunities, drug and substance dependencies and poor education. In simple terms, a collaborative network of partner agencies understand that in order to address the offenders behaviour, we must target the individual needs of the person and addressing the underlying cause of the behaviour as opposed to simply punishing them for their actions. The early intervention service was established in South Wales in October 2019</w:t>
      </w:r>
      <w:r w:rsidR="006B51FF">
        <w:t xml:space="preserve"> and focuses on non-disciplinary and risk identification of offenders to support a long lasting change in their behaviour. Watt (2021) conducted a case study of the 18-25 Diversion Project along with Women’s Pathfinder, both services are committed to reducing re-offending by providing an early intervention programme. </w:t>
      </w:r>
    </w:p>
    <w:p w14:paraId="3D75296B" w14:textId="37AE81F1" w:rsidR="00454E79" w:rsidRDefault="006B51FF" w:rsidP="004A2A43">
      <w:pPr>
        <w:jc w:val="both"/>
      </w:pPr>
      <w:r>
        <w:t>Watt explains in his findings that with regards to the Women’s Pathfinder Diversion Scheme, there was evidence of a 26% reduction in the rates of re-offending and a significant reduction in the levels of re-arrests. Women’s Pathfind</w:t>
      </w:r>
      <w:r w:rsidR="005B7F15">
        <w:t xml:space="preserve">er (2023) discusses that the programme was launched with the aims to improve the outcomes relating to women in the criminal justice system, focusing on a collaborative working of local agencies and third sectors to develop a multi-agency approach to the needs of women in Wales. The service offers a range of specialist trained staff to support Women by tailoring their approach to the specific needs of the individual from the earliest point of criminalisation. Women’s Pathfinder offers support for women who have previously been victims of domestic violence and aims to divert these individuals away from crime by supporting them as they re-integrate into the community. </w:t>
      </w:r>
    </w:p>
    <w:p w14:paraId="52F58C9B" w14:textId="30737DB7" w:rsidR="00F23BAA" w:rsidRDefault="00F23BAA" w:rsidP="004A2A43">
      <w:pPr>
        <w:jc w:val="both"/>
      </w:pPr>
      <w:r>
        <w:t>Patel (2019) analysed the seriousness of youth violence and the possible strategies to reduce the chance of young people re-offending. Patel explains that between 2017-2018, men aged between 16 and 18  years old were found to be the most common perpetrators of incidents involving knives. Patel continues to discuss how socio-economic factors have contributed to the increase of young people under the age of 18 having taken to forming groups where ‘gang’ culture and violence has been adopted. Patel goes on to explain how these young people have formed a ‘gang state of mind’ where they conceal their vulnerabilities and aspire to develop a mindset which is destructive and dominant. Patel discovered that the collaboration between police and partner organisations such as education sectors and health services proved successful in combatting the level of violence and the ability to transform communities through a holistic approach to the reduction of violent crime involving youths.</w:t>
      </w:r>
    </w:p>
    <w:p w14:paraId="140D12F5" w14:textId="0F76E128" w:rsidR="00454E79" w:rsidRDefault="00454E79" w:rsidP="004A2A43">
      <w:pPr>
        <w:jc w:val="both"/>
      </w:pPr>
      <w:r>
        <w:t xml:space="preserve">Watt (2021) discusses in his study the 18-25 Diversion Service which was first piloted in 2013 with the Bridgend Youth Offending Service. The focus of the Diversion Service is to divert young people away from the criminal justice system by offering tailored support to the individuals specific needs. Mann </w:t>
      </w:r>
      <w:r>
        <w:lastRenderedPageBreak/>
        <w:t xml:space="preserve">(2018) outlines the successes of the 18-25 Diversion Service by first explaining the necessity for the focus on this particular age group. Mann explains that young adults, aged between 18-25 were responsible for committing 33% of all recorded crime in South Wales, the equivalent to 27,000 recorded crimes annually. </w:t>
      </w:r>
      <w:r w:rsidR="00D62B6E">
        <w:t xml:space="preserve">The scheme aims to deliver support by enabling young people to have access to opportunities which encourages them to live a healthy lifestyle through the involvement of multiple organisations such as the Youth Offending Services, Cardiff Metropolitan University and The Vale Centre for Voluntary Services. </w:t>
      </w:r>
    </w:p>
    <w:p w14:paraId="7F44A4FC" w14:textId="1B9CD07E" w:rsidR="0059201B" w:rsidRDefault="005B7A59" w:rsidP="004A2A43">
      <w:pPr>
        <w:jc w:val="both"/>
      </w:pPr>
      <w:r>
        <w:t xml:space="preserve">Without access to these services, the vulnerabilities of the offenders will likely go unattended, such as support for their substance misuse and lack of education and employment opportunities. The focus of these multi-agency support systems is to address the root-cause of the offending and provide an early intervention, contributing to a lasting rehabilitation and successful reintegration in to the community. </w:t>
      </w:r>
      <w:r w:rsidR="0059201B">
        <w:t xml:space="preserve">A further partner agency which provides support to those suffering from substance addictions and misuse is Dyfodol. This service works with police forces and probation services to help people involved in the criminal justice system to improve their lives and reduce the chances of re-offending. This service particularly targets incidents where alcohol and drugs are the primary factor and aims to educate the individual of their health and wellbeing and the associated risks of their decision making. </w:t>
      </w:r>
    </w:p>
    <w:p w14:paraId="226801AB" w14:textId="277C4AC8" w:rsidR="0059201B" w:rsidRDefault="0059201B" w:rsidP="004A2A43">
      <w:pPr>
        <w:jc w:val="both"/>
      </w:pPr>
      <w:r>
        <w:t xml:space="preserve">Watt (2021) also discusses the revolving door pilot. The revolving door pilot is an Out of Court Disposal targeted to those who have committed a range of low-level offences and display behaviours which puts them at a high risk of re-offending. Watt </w:t>
      </w:r>
      <w:r w:rsidR="002A3D04">
        <w:t xml:space="preserve">describes the revolving door pilot as an opportunity for those who may have lacked the opportunity to work with early-intervention services to now access support and address their offending behaviours. </w:t>
      </w:r>
      <w:r>
        <w:t xml:space="preserve">A partnership approach has proven to be not only effective in the management of offenders and preventing their chances of re-offending by reducing crime rates, it has also proven to be a cost effective solution to police and criminal justice systems. The reduction of crime can alleviate the financial pressures on the prison services, by combatting the issues of overcrowding. </w:t>
      </w:r>
    </w:p>
    <w:p w14:paraId="0890914A" w14:textId="173E1DA8" w:rsidR="00C44BC4" w:rsidRDefault="00C44BC4" w:rsidP="004A2A43">
      <w:pPr>
        <w:jc w:val="both"/>
      </w:pPr>
      <w:r>
        <w:t>In conclusion, a partnership approach is the most effective solution to reducing re-offending, by providing a well-rounded support system and network, tailored to the individual needs of the offender. With a reduction in crime rates, the success can be felt by not only the police service and partner agencies, but also society as a whole. Offenders will be offered opportunities to transform their lives by having access to a multitude of resources and continued support from multiple organisations. The partnership approach remains an effective solution to allow communities to positively evolve and thrive.</w:t>
      </w:r>
    </w:p>
    <w:p w14:paraId="59586378" w14:textId="77777777" w:rsidR="00C44BC4" w:rsidRDefault="00C44BC4" w:rsidP="004A2A43">
      <w:pPr>
        <w:jc w:val="both"/>
      </w:pPr>
    </w:p>
    <w:p w14:paraId="4FDB53EF" w14:textId="6BD74638" w:rsidR="00C44BC4" w:rsidRPr="00C44BC4" w:rsidRDefault="00C44BC4" w:rsidP="004A2A43">
      <w:pPr>
        <w:jc w:val="both"/>
        <w:rPr>
          <w:b/>
          <w:bCs/>
        </w:rPr>
      </w:pPr>
      <w:r>
        <w:rPr>
          <w:b/>
          <w:bCs/>
        </w:rPr>
        <w:t>Word Count: 1028</w:t>
      </w:r>
    </w:p>
    <w:p w14:paraId="4FD23AB9" w14:textId="77777777" w:rsidR="007179CF" w:rsidRDefault="007179CF" w:rsidP="004A2A43">
      <w:pPr>
        <w:jc w:val="both"/>
      </w:pPr>
    </w:p>
    <w:p w14:paraId="05F5C479" w14:textId="77777777" w:rsidR="00D92CDF" w:rsidRDefault="00D92CDF" w:rsidP="004A2A43">
      <w:pPr>
        <w:jc w:val="both"/>
      </w:pPr>
    </w:p>
    <w:p w14:paraId="695504DD" w14:textId="05694DCA" w:rsidR="00046385" w:rsidRDefault="003175C4" w:rsidP="004A2A43">
      <w:pPr>
        <w:jc w:val="both"/>
        <w:rPr>
          <w:b/>
          <w:bCs/>
        </w:rPr>
      </w:pPr>
      <w:r>
        <w:rPr>
          <w:b/>
          <w:bCs/>
        </w:rPr>
        <w:t>Bib</w:t>
      </w:r>
      <w:r w:rsidR="00D92CDF">
        <w:rPr>
          <w:b/>
          <w:bCs/>
        </w:rPr>
        <w:t>liography</w:t>
      </w:r>
    </w:p>
    <w:p w14:paraId="6AAC8092" w14:textId="3FD07C6E" w:rsidR="00F10A09" w:rsidRDefault="00F10A09" w:rsidP="00F10A09">
      <w:pPr>
        <w:pStyle w:val="NormalWeb"/>
        <w:ind w:left="567" w:hanging="567"/>
      </w:pPr>
      <w:r>
        <w:t xml:space="preserve">Candlin, A. (2022) </w:t>
      </w:r>
      <w:r>
        <w:rPr>
          <w:i/>
          <w:iCs/>
        </w:rPr>
        <w:t>Cumbria Police’s new measures to manage sex offenders and violent ...</w:t>
      </w:r>
      <w:r>
        <w:t xml:space="preserve">, </w:t>
      </w:r>
      <w:r>
        <w:rPr>
          <w:i/>
          <w:iCs/>
        </w:rPr>
        <w:t>Cumbria Police’s new measures to manage sex offenders and violent offenders</w:t>
      </w:r>
      <w:r>
        <w:t>. Available at: https://www.nwemail.co.uk/news/19940887.cumbria-polices-new-measures-manage-sex-violent-offenders/ (Accessed: 0</w:t>
      </w:r>
      <w:r>
        <w:t>3</w:t>
      </w:r>
      <w:r>
        <w:t xml:space="preserve"> November 2023). </w:t>
      </w:r>
    </w:p>
    <w:p w14:paraId="6FAA6243" w14:textId="037D1E91" w:rsidR="00C44BC4" w:rsidRDefault="00C44BC4" w:rsidP="00F10A09">
      <w:pPr>
        <w:pStyle w:val="NormalWeb"/>
        <w:ind w:left="567" w:hanging="567"/>
      </w:pPr>
      <w:r w:rsidRPr="00C44BC4">
        <w:lastRenderedPageBreak/>
        <w:t>College of, P. (2023) Code of ethics, College of Policing. Available at: https://www.college.police.uk/ethics/code-of-ethics (Accessed: 0</w:t>
      </w:r>
      <w:r>
        <w:t>2</w:t>
      </w:r>
      <w:r w:rsidRPr="00C44BC4">
        <w:t xml:space="preserve"> November 2023).</w:t>
      </w:r>
    </w:p>
    <w:p w14:paraId="08581600" w14:textId="2AD4CBB3" w:rsidR="009F7516" w:rsidRDefault="009F7516" w:rsidP="00F10A09">
      <w:pPr>
        <w:pStyle w:val="NormalWeb"/>
        <w:ind w:left="567" w:hanging="567"/>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Finkelhor, D. and Asdigian, N.L., 1996. </w:t>
      </w:r>
      <w:r w:rsidR="00E81C53">
        <w:rPr>
          <w:rFonts w:ascii="Arial" w:hAnsi="Arial" w:cs="Arial"/>
          <w:color w:val="222222"/>
          <w:sz w:val="20"/>
          <w:szCs w:val="20"/>
          <w:shd w:val="clear" w:color="auto" w:fill="FFFFFF"/>
        </w:rPr>
        <w:t>"</w:t>
      </w:r>
      <w:r>
        <w:rPr>
          <w:rFonts w:ascii="Arial" w:hAnsi="Arial" w:cs="Arial"/>
          <w:color w:val="222222"/>
          <w:sz w:val="20"/>
          <w:szCs w:val="20"/>
          <w:shd w:val="clear" w:color="auto" w:fill="FFFFFF"/>
        </w:rPr>
        <w:t>Risk factors for youth victimization: Beyond a lifestyles/routine activities theory approach.</w:t>
      </w:r>
      <w:r w:rsidR="00E81C53">
        <w:rPr>
          <w:rFonts w:ascii="Arial" w:hAnsi="Arial" w:cs="Arial"/>
          <w:color w:val="222222"/>
          <w:sz w:val="20"/>
          <w:szCs w:val="20"/>
          <w:shd w:val="clear" w:color="auto" w:fill="FFFFFF"/>
        </w:rPr>
        <w:t>" (“Risk factors for youth victimization: Beyond a lifestyles/routine ...”)</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Violence and victims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11</w:t>
      </w:r>
      <w:r>
        <w:rPr>
          <w:rFonts w:ascii="Arial" w:hAnsi="Arial" w:cs="Arial"/>
          <w:color w:val="222222"/>
          <w:sz w:val="20"/>
          <w:szCs w:val="20"/>
          <w:shd w:val="clear" w:color="auto" w:fill="FFFFFF"/>
        </w:rPr>
        <w:t>(1), p.3.</w:t>
      </w:r>
    </w:p>
    <w:p w14:paraId="7DFA6B62" w14:textId="77777777" w:rsidR="009F7516" w:rsidRDefault="009F7516" w:rsidP="009F7516">
      <w:pPr>
        <w:pStyle w:val="NormalWeb"/>
        <w:ind w:left="567" w:hanging="567"/>
      </w:pPr>
      <w:r>
        <w:t xml:space="preserve">GOV.UK (2023) </w:t>
      </w:r>
      <w:r>
        <w:rPr>
          <w:i/>
          <w:iCs/>
        </w:rPr>
        <w:t>Independent Review into the police-led management of registered sex offenders in the community: Executive summary (accessibe version)</w:t>
      </w:r>
      <w:r>
        <w:t xml:space="preserve">, </w:t>
      </w:r>
      <w:r>
        <w:rPr>
          <w:i/>
          <w:iCs/>
        </w:rPr>
        <w:t>GOV.UK</w:t>
      </w:r>
      <w:r>
        <w:t xml:space="preserve">. Available at: https://www.gov.uk/government/publications/independent-review-of-police-led-sex-offender-management/independent-review-into-the-police-led-management-of-registered-sex-offenders-in-the-community-executive-summary-accessibe-version (Accessed: 05 November 2023). </w:t>
      </w:r>
    </w:p>
    <w:p w14:paraId="48F86F6D" w14:textId="3E89FA88" w:rsidR="00D92CDF" w:rsidRDefault="00D92CDF" w:rsidP="00D92CDF">
      <w:pPr>
        <w:pStyle w:val="NormalWeb"/>
        <w:ind w:left="567" w:hanging="567"/>
      </w:pPr>
      <w:r>
        <w:t xml:space="preserve">Northamptonshire Police, N. (2023) </w:t>
      </w:r>
      <w:r>
        <w:rPr>
          <w:i/>
          <w:iCs/>
        </w:rPr>
        <w:t>Policing principles | code of ethics | northamptonshire police</w:t>
      </w:r>
      <w:r>
        <w:t xml:space="preserve">. Available at: https://www.northants.police.uk/police-forces/northamptonshire-police/areas/northamptonshire-force-content/about-us/about-us/our-mission-vision-and-values/code-of-ethics/policing-principles/ (Accessed: 06 November 2023). </w:t>
      </w:r>
    </w:p>
    <w:p w14:paraId="7F9B3D7D" w14:textId="037DE46B" w:rsidR="00454E79" w:rsidRDefault="005B7A59" w:rsidP="005B7A59">
      <w:pPr>
        <w:pStyle w:val="NormalWeb"/>
        <w:ind w:left="567" w:hanging="567"/>
      </w:pPr>
      <w:r>
        <w:t xml:space="preserve">Mann, J. (2018) </w:t>
      </w:r>
      <w:r>
        <w:rPr>
          <w:i/>
          <w:iCs/>
        </w:rPr>
        <w:t>18-25 diversion scheme</w:t>
      </w:r>
      <w:r>
        <w:t xml:space="preserve">, </w:t>
      </w:r>
      <w:r>
        <w:rPr>
          <w:i/>
          <w:iCs/>
        </w:rPr>
        <w:t>18-25 Diversion scheme | Centre for Justice Innovation</w:t>
      </w:r>
      <w:r>
        <w:t xml:space="preserve">. Available at: https://www.justiceinnovation.org/project/18-25-diversion-scheme (Accessed: 06 November 2023). </w:t>
      </w:r>
    </w:p>
    <w:p w14:paraId="00C1484C" w14:textId="0B2F2AD5" w:rsidR="000F6471" w:rsidRDefault="000F6471" w:rsidP="000F6471">
      <w:pPr>
        <w:pStyle w:val="NormalWeb"/>
        <w:ind w:left="567" w:hanging="567"/>
      </w:pPr>
      <w:r>
        <w:t>Michael G. Maxfield</w:t>
      </w:r>
      <w:r>
        <w:t xml:space="preserve"> (1987) </w:t>
      </w:r>
      <w:r>
        <w:t>Journal of Quantitative Criminology</w:t>
      </w:r>
      <w:r>
        <w:t xml:space="preserve"> </w:t>
      </w:r>
      <w:r>
        <w:t>Vol. 3, No. 4, Special Issue: Lifestyl</w:t>
      </w:r>
      <w:r>
        <w:t>e</w:t>
      </w:r>
      <w:r>
        <w:t xml:space="preserve"> and Routine Activity Theories of Crime (December 1987), pp. 275-282 (8 pages)</w:t>
      </w:r>
      <w:r>
        <w:t xml:space="preserve"> </w:t>
      </w:r>
      <w:r>
        <w:t>Published By: Springer</w:t>
      </w:r>
    </w:p>
    <w:p w14:paraId="07DA2896" w14:textId="339566D8" w:rsidR="000E464C" w:rsidRDefault="000E464C" w:rsidP="000E464C">
      <w:pPr>
        <w:pStyle w:val="NormalWeb"/>
        <w:ind w:left="567" w:hanging="567"/>
      </w:pPr>
      <w:r>
        <w:t xml:space="preserve">Moriarty, L.J. (2016) </w:t>
      </w:r>
      <w:r>
        <w:rPr>
          <w:i/>
          <w:iCs/>
        </w:rPr>
        <w:t>Controversies in victimology</w:t>
      </w:r>
      <w:r>
        <w:t xml:space="preserve">. London: Routledge. </w:t>
      </w:r>
      <w:r>
        <w:t>Page 22.</w:t>
      </w:r>
    </w:p>
    <w:p w14:paraId="0443077A" w14:textId="0FB08676" w:rsidR="00C649AA" w:rsidRDefault="00C83E9B" w:rsidP="005B7A59">
      <w:pPr>
        <w:pStyle w:val="NormalWeb"/>
        <w:ind w:left="567" w:hanging="567"/>
      </w:pPr>
      <w:r>
        <w:t xml:space="preserve">Paluka, A. and Calpin, D. (2022) </w:t>
      </w:r>
      <w:r>
        <w:rPr>
          <w:i/>
          <w:iCs/>
        </w:rPr>
        <w:t>Theories of victimization | types &amp; examples - study.com</w:t>
      </w:r>
      <w:r>
        <w:t xml:space="preserve">, </w:t>
      </w:r>
      <w:r>
        <w:rPr>
          <w:i/>
          <w:iCs/>
        </w:rPr>
        <w:t>Theories of Victimization</w:t>
      </w:r>
      <w:r>
        <w:t xml:space="preserve">. Available at: https://study.com/learn/lesson/victimization-theories-types-examples.html (Accessed: 05 November 2023). </w:t>
      </w:r>
    </w:p>
    <w:p w14:paraId="66AB221A" w14:textId="3557A5A9" w:rsidR="00F23BAA" w:rsidRDefault="00F23BAA" w:rsidP="00F23BAA">
      <w:pPr>
        <w:pStyle w:val="NormalWeb"/>
      </w:pPr>
      <w:r w:rsidRPr="00F23BAA">
        <w:t>Patel, A., 2019. Multi-agency analysis of serious youth violence and strategies to reduce offending and reoffending and increase opportunities for young people in Hammersmith and Fulham.</w:t>
      </w:r>
    </w:p>
    <w:p w14:paraId="143692FD" w14:textId="02230914" w:rsidR="00454E79" w:rsidRDefault="00C649AA" w:rsidP="005B7A59">
      <w:pPr>
        <w:pStyle w:val="NormalWeb"/>
        <w:ind w:left="567" w:hanging="567"/>
      </w:pPr>
      <w:r>
        <w:t>Pratt, T.C. and Turanovic, J.J. (2015) ‘Lifestyle and Routine Activity Theories Revisited: The importance of “Risk” to the study of victimization’, Victims &amp;amp; Offenders, 11(3), pp. 335-354</w:t>
      </w:r>
    </w:p>
    <w:p w14:paraId="1A91230C" w14:textId="4B202CBA" w:rsidR="00454E79" w:rsidRDefault="00454E79" w:rsidP="00454E79">
      <w:pPr>
        <w:pStyle w:val="NormalWeb"/>
        <w:ind w:left="567" w:hanging="567"/>
      </w:pPr>
      <w:r>
        <w:t xml:space="preserve">Watt, J. (2021) </w:t>
      </w:r>
      <w:r>
        <w:rPr>
          <w:i/>
          <w:iCs/>
        </w:rPr>
        <w:t>Women’s Pathfinder Whole System Approach &amp; the 18–25 early intervention service</w:t>
      </w:r>
      <w:r>
        <w:t xml:space="preserve">, </w:t>
      </w:r>
      <w:r>
        <w:rPr>
          <w:i/>
          <w:iCs/>
        </w:rPr>
        <w:t>Women’s Pathfinder Whole System Approach &amp; The 18–25 Early Intervention Service | Centre for Justice Innovation</w:t>
      </w:r>
      <w:r>
        <w:t>.</w:t>
      </w:r>
      <w:r w:rsidR="00E81C53">
        <w:t xml:space="preserve"> (“Mapping innovation | Centre for Justice Innovation”)</w:t>
      </w:r>
      <w:r>
        <w:t xml:space="preserve"> Available at: https://www.justiceinnovation.org/project/womens-pathfinder-whole-system-approach-18-25-early-intervention-service (Accessed: 06 November 2023). </w:t>
      </w:r>
    </w:p>
    <w:p w14:paraId="77D9EA32" w14:textId="03234415" w:rsidR="009F7516" w:rsidRDefault="00D92CDF" w:rsidP="00D92CDF">
      <w:pPr>
        <w:pStyle w:val="NormalWeb"/>
        <w:ind w:left="567" w:hanging="567"/>
      </w:pPr>
      <w:r w:rsidRPr="00D92CDF">
        <w:lastRenderedPageBreak/>
        <w:t>Westmarland, L. and Conway, S., 2020. Police ethics and integrity: Keeping the ‘blue code’of silence. International Journal of Police Science &amp; Management, 22(4), pp.378-392.</w:t>
      </w:r>
    </w:p>
    <w:p w14:paraId="61CF307E" w14:textId="151FFE30" w:rsidR="00F10A09" w:rsidRPr="005B7A59" w:rsidRDefault="00454E79" w:rsidP="005B7A59">
      <w:pPr>
        <w:pStyle w:val="NormalWeb"/>
        <w:ind w:left="567" w:hanging="567"/>
      </w:pPr>
      <w:r>
        <w:t xml:space="preserve">Women’s </w:t>
      </w:r>
      <w:r>
        <w:t>Pathfinder,</w:t>
      </w:r>
      <w:r>
        <w:t xml:space="preserve"> </w:t>
      </w:r>
      <w:r>
        <w:t xml:space="preserve"> (2023) </w:t>
      </w:r>
      <w:r>
        <w:rPr>
          <w:i/>
          <w:iCs/>
        </w:rPr>
        <w:t>Women’s Pathfinder</w:t>
      </w:r>
      <w:r>
        <w:t xml:space="preserve">, </w:t>
      </w:r>
      <w:r>
        <w:rPr>
          <w:i/>
          <w:iCs/>
        </w:rPr>
        <w:t>IOM Cymru</w:t>
      </w:r>
      <w:r>
        <w:t xml:space="preserve">. Available at: https://www.iomcymru.org.uk/Women%E2%80%99s-Pathfinder/ (Accessed: 06 November 2023). </w:t>
      </w:r>
    </w:p>
    <w:p w14:paraId="7BD6B8DC" w14:textId="2D10255E" w:rsidR="003175C4" w:rsidRDefault="003175C4" w:rsidP="004A2A43">
      <w:pPr>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Wood, J., Kemshall, H. and Maguire, M., 2007. </w:t>
      </w:r>
      <w:r w:rsidR="00E81C53">
        <w:rPr>
          <w:rFonts w:ascii="Arial" w:hAnsi="Arial" w:cs="Arial"/>
          <w:i/>
          <w:iCs/>
          <w:color w:val="222222"/>
          <w:sz w:val="20"/>
          <w:szCs w:val="20"/>
          <w:shd w:val="clear" w:color="auto" w:fill="FFFFFF"/>
        </w:rPr>
        <w:t>"</w:t>
      </w:r>
      <w:r>
        <w:rPr>
          <w:rFonts w:ascii="Arial" w:hAnsi="Arial" w:cs="Arial"/>
          <w:i/>
          <w:iCs/>
          <w:color w:val="222222"/>
          <w:sz w:val="20"/>
          <w:szCs w:val="20"/>
          <w:shd w:val="clear" w:color="auto" w:fill="FFFFFF"/>
        </w:rPr>
        <w:t>The operation and experience of multi-agency public protection arrangements (MAPPA)</w:t>
      </w:r>
      <w:r>
        <w:rPr>
          <w:rFonts w:ascii="Arial" w:hAnsi="Arial" w:cs="Arial"/>
          <w:color w:val="222222"/>
          <w:sz w:val="20"/>
          <w:szCs w:val="20"/>
          <w:shd w:val="clear" w:color="auto" w:fill="FFFFFF"/>
        </w:rPr>
        <w:t>.</w:t>
      </w:r>
      <w:r w:rsidR="00E81C53">
        <w:rPr>
          <w:rFonts w:ascii="Arial" w:hAnsi="Arial" w:cs="Arial"/>
          <w:color w:val="222222"/>
          <w:sz w:val="20"/>
          <w:szCs w:val="20"/>
          <w:shd w:val="clear" w:color="auto" w:fill="FFFFFF"/>
        </w:rPr>
        <w:t>" (“The operation and experience of Multi-Agency Public Protection ...”)</w:t>
      </w:r>
      <w:r>
        <w:rPr>
          <w:rFonts w:ascii="Arial" w:hAnsi="Arial" w:cs="Arial"/>
          <w:color w:val="222222"/>
          <w:sz w:val="20"/>
          <w:szCs w:val="20"/>
          <w:shd w:val="clear" w:color="auto" w:fill="FFFFFF"/>
        </w:rPr>
        <w:t xml:space="preserve"> London: Home Office.</w:t>
      </w:r>
      <w:r>
        <w:rPr>
          <w:rFonts w:ascii="Arial" w:hAnsi="Arial" w:cs="Arial"/>
          <w:color w:val="222222"/>
          <w:sz w:val="20"/>
          <w:szCs w:val="20"/>
          <w:shd w:val="clear" w:color="auto" w:fill="FFFFFF"/>
        </w:rPr>
        <w:t xml:space="preserve"> Page 7.</w:t>
      </w:r>
    </w:p>
    <w:p w14:paraId="3AA54F93" w14:textId="77777777" w:rsidR="003C5637" w:rsidRPr="00046385" w:rsidRDefault="003C5637" w:rsidP="004A2A43">
      <w:pPr>
        <w:jc w:val="both"/>
        <w:rPr>
          <w:b/>
          <w:bCs/>
        </w:rPr>
      </w:pPr>
    </w:p>
    <w:sectPr w:rsidR="003C5637" w:rsidRPr="000463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963"/>
    <w:rsid w:val="00046385"/>
    <w:rsid w:val="00060B43"/>
    <w:rsid w:val="00097A68"/>
    <w:rsid w:val="000E464C"/>
    <w:rsid w:val="000F0963"/>
    <w:rsid w:val="000F6471"/>
    <w:rsid w:val="00145A1A"/>
    <w:rsid w:val="001533C3"/>
    <w:rsid w:val="00156F4B"/>
    <w:rsid w:val="00171BCD"/>
    <w:rsid w:val="00183717"/>
    <w:rsid w:val="001D7ADD"/>
    <w:rsid w:val="001E0BE0"/>
    <w:rsid w:val="001F0276"/>
    <w:rsid w:val="002223C5"/>
    <w:rsid w:val="002A1A63"/>
    <w:rsid w:val="002A3D04"/>
    <w:rsid w:val="003175C4"/>
    <w:rsid w:val="00361F86"/>
    <w:rsid w:val="003A16E9"/>
    <w:rsid w:val="003C5637"/>
    <w:rsid w:val="0040658A"/>
    <w:rsid w:val="00454E79"/>
    <w:rsid w:val="004A2A43"/>
    <w:rsid w:val="004D56C5"/>
    <w:rsid w:val="00591920"/>
    <w:rsid w:val="0059201B"/>
    <w:rsid w:val="005B7A59"/>
    <w:rsid w:val="005B7F15"/>
    <w:rsid w:val="005F3526"/>
    <w:rsid w:val="005F7EF0"/>
    <w:rsid w:val="0062476A"/>
    <w:rsid w:val="006B51FF"/>
    <w:rsid w:val="006E53A3"/>
    <w:rsid w:val="007179CF"/>
    <w:rsid w:val="007E65EA"/>
    <w:rsid w:val="007F0092"/>
    <w:rsid w:val="007F0D36"/>
    <w:rsid w:val="007F73A3"/>
    <w:rsid w:val="00833541"/>
    <w:rsid w:val="00840B24"/>
    <w:rsid w:val="0084464C"/>
    <w:rsid w:val="00855189"/>
    <w:rsid w:val="0085637D"/>
    <w:rsid w:val="0086455E"/>
    <w:rsid w:val="00891666"/>
    <w:rsid w:val="00895DA4"/>
    <w:rsid w:val="008A02C5"/>
    <w:rsid w:val="008A555A"/>
    <w:rsid w:val="0090743C"/>
    <w:rsid w:val="009370F6"/>
    <w:rsid w:val="009519B5"/>
    <w:rsid w:val="009640CB"/>
    <w:rsid w:val="00993939"/>
    <w:rsid w:val="0099671C"/>
    <w:rsid w:val="009C22FE"/>
    <w:rsid w:val="009E3CFF"/>
    <w:rsid w:val="009F7516"/>
    <w:rsid w:val="00A375F8"/>
    <w:rsid w:val="00A43CB0"/>
    <w:rsid w:val="00A93B47"/>
    <w:rsid w:val="00A97A50"/>
    <w:rsid w:val="00AA1440"/>
    <w:rsid w:val="00AC204D"/>
    <w:rsid w:val="00B32802"/>
    <w:rsid w:val="00B34AC3"/>
    <w:rsid w:val="00B72090"/>
    <w:rsid w:val="00B77DF5"/>
    <w:rsid w:val="00BB40F9"/>
    <w:rsid w:val="00BC7A6C"/>
    <w:rsid w:val="00BD5871"/>
    <w:rsid w:val="00BE6382"/>
    <w:rsid w:val="00C44BC4"/>
    <w:rsid w:val="00C62912"/>
    <w:rsid w:val="00C649AA"/>
    <w:rsid w:val="00C72EC7"/>
    <w:rsid w:val="00C82CA7"/>
    <w:rsid w:val="00C83E9B"/>
    <w:rsid w:val="00CB1FE4"/>
    <w:rsid w:val="00CD2570"/>
    <w:rsid w:val="00CE212F"/>
    <w:rsid w:val="00CE55AC"/>
    <w:rsid w:val="00D12D1F"/>
    <w:rsid w:val="00D4248D"/>
    <w:rsid w:val="00D62B6E"/>
    <w:rsid w:val="00D92CDF"/>
    <w:rsid w:val="00E35739"/>
    <w:rsid w:val="00E72293"/>
    <w:rsid w:val="00E81C53"/>
    <w:rsid w:val="00E97063"/>
    <w:rsid w:val="00EB18D9"/>
    <w:rsid w:val="00EB33CD"/>
    <w:rsid w:val="00ED201D"/>
    <w:rsid w:val="00F042CF"/>
    <w:rsid w:val="00F10A09"/>
    <w:rsid w:val="00F23BAA"/>
    <w:rsid w:val="00F64DD1"/>
    <w:rsid w:val="00F670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DD3BE"/>
  <w15:chartTrackingRefBased/>
  <w15:docId w15:val="{C991B21C-30C0-4576-B76F-49A8E66E9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C563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35432">
      <w:bodyDiv w:val="1"/>
      <w:marLeft w:val="0"/>
      <w:marRight w:val="0"/>
      <w:marTop w:val="0"/>
      <w:marBottom w:val="0"/>
      <w:divBdr>
        <w:top w:val="none" w:sz="0" w:space="0" w:color="auto"/>
        <w:left w:val="none" w:sz="0" w:space="0" w:color="auto"/>
        <w:bottom w:val="none" w:sz="0" w:space="0" w:color="auto"/>
        <w:right w:val="none" w:sz="0" w:space="0" w:color="auto"/>
      </w:divBdr>
      <w:divsChild>
        <w:div w:id="236289877">
          <w:marLeft w:val="0"/>
          <w:marRight w:val="0"/>
          <w:marTop w:val="0"/>
          <w:marBottom w:val="0"/>
          <w:divBdr>
            <w:top w:val="none" w:sz="0" w:space="0" w:color="auto"/>
            <w:left w:val="none" w:sz="0" w:space="0" w:color="auto"/>
            <w:bottom w:val="none" w:sz="0" w:space="0" w:color="auto"/>
            <w:right w:val="none" w:sz="0" w:space="0" w:color="auto"/>
          </w:divBdr>
          <w:divsChild>
            <w:div w:id="1593926376">
              <w:marLeft w:val="0"/>
              <w:marRight w:val="0"/>
              <w:marTop w:val="0"/>
              <w:marBottom w:val="0"/>
              <w:divBdr>
                <w:top w:val="none" w:sz="0" w:space="0" w:color="auto"/>
                <w:left w:val="none" w:sz="0" w:space="0" w:color="auto"/>
                <w:bottom w:val="none" w:sz="0" w:space="0" w:color="auto"/>
                <w:right w:val="none" w:sz="0" w:space="0" w:color="auto"/>
              </w:divBdr>
              <w:divsChild>
                <w:div w:id="1349403785">
                  <w:marLeft w:val="0"/>
                  <w:marRight w:val="0"/>
                  <w:marTop w:val="0"/>
                  <w:marBottom w:val="0"/>
                  <w:divBdr>
                    <w:top w:val="none" w:sz="0" w:space="0" w:color="auto"/>
                    <w:left w:val="none" w:sz="0" w:space="0" w:color="auto"/>
                    <w:bottom w:val="none" w:sz="0" w:space="0" w:color="auto"/>
                    <w:right w:val="none" w:sz="0" w:space="0" w:color="auto"/>
                  </w:divBdr>
                </w:div>
                <w:div w:id="1750732122">
                  <w:marLeft w:val="0"/>
                  <w:marRight w:val="0"/>
                  <w:marTop w:val="0"/>
                  <w:marBottom w:val="0"/>
                  <w:divBdr>
                    <w:top w:val="none" w:sz="0" w:space="0" w:color="auto"/>
                    <w:left w:val="none" w:sz="0" w:space="0" w:color="auto"/>
                    <w:bottom w:val="none" w:sz="0" w:space="0" w:color="auto"/>
                    <w:right w:val="none" w:sz="0" w:space="0" w:color="auto"/>
                  </w:divBdr>
                </w:div>
                <w:div w:id="819928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657331">
      <w:bodyDiv w:val="1"/>
      <w:marLeft w:val="0"/>
      <w:marRight w:val="0"/>
      <w:marTop w:val="0"/>
      <w:marBottom w:val="0"/>
      <w:divBdr>
        <w:top w:val="none" w:sz="0" w:space="0" w:color="auto"/>
        <w:left w:val="none" w:sz="0" w:space="0" w:color="auto"/>
        <w:bottom w:val="none" w:sz="0" w:space="0" w:color="auto"/>
        <w:right w:val="none" w:sz="0" w:space="0" w:color="auto"/>
      </w:divBdr>
    </w:div>
    <w:div w:id="508982082">
      <w:bodyDiv w:val="1"/>
      <w:marLeft w:val="0"/>
      <w:marRight w:val="0"/>
      <w:marTop w:val="0"/>
      <w:marBottom w:val="0"/>
      <w:divBdr>
        <w:top w:val="none" w:sz="0" w:space="0" w:color="auto"/>
        <w:left w:val="none" w:sz="0" w:space="0" w:color="auto"/>
        <w:bottom w:val="none" w:sz="0" w:space="0" w:color="auto"/>
        <w:right w:val="none" w:sz="0" w:space="0" w:color="auto"/>
      </w:divBdr>
    </w:div>
    <w:div w:id="582758428">
      <w:bodyDiv w:val="1"/>
      <w:marLeft w:val="0"/>
      <w:marRight w:val="0"/>
      <w:marTop w:val="0"/>
      <w:marBottom w:val="0"/>
      <w:divBdr>
        <w:top w:val="none" w:sz="0" w:space="0" w:color="auto"/>
        <w:left w:val="none" w:sz="0" w:space="0" w:color="auto"/>
        <w:bottom w:val="none" w:sz="0" w:space="0" w:color="auto"/>
        <w:right w:val="none" w:sz="0" w:space="0" w:color="auto"/>
      </w:divBdr>
    </w:div>
    <w:div w:id="785730343">
      <w:bodyDiv w:val="1"/>
      <w:marLeft w:val="0"/>
      <w:marRight w:val="0"/>
      <w:marTop w:val="0"/>
      <w:marBottom w:val="0"/>
      <w:divBdr>
        <w:top w:val="none" w:sz="0" w:space="0" w:color="auto"/>
        <w:left w:val="none" w:sz="0" w:space="0" w:color="auto"/>
        <w:bottom w:val="none" w:sz="0" w:space="0" w:color="auto"/>
        <w:right w:val="none" w:sz="0" w:space="0" w:color="auto"/>
      </w:divBdr>
    </w:div>
    <w:div w:id="818226927">
      <w:bodyDiv w:val="1"/>
      <w:marLeft w:val="0"/>
      <w:marRight w:val="0"/>
      <w:marTop w:val="0"/>
      <w:marBottom w:val="0"/>
      <w:divBdr>
        <w:top w:val="none" w:sz="0" w:space="0" w:color="auto"/>
        <w:left w:val="none" w:sz="0" w:space="0" w:color="auto"/>
        <w:bottom w:val="none" w:sz="0" w:space="0" w:color="auto"/>
        <w:right w:val="none" w:sz="0" w:space="0" w:color="auto"/>
      </w:divBdr>
    </w:div>
    <w:div w:id="1343509636">
      <w:bodyDiv w:val="1"/>
      <w:marLeft w:val="0"/>
      <w:marRight w:val="0"/>
      <w:marTop w:val="0"/>
      <w:marBottom w:val="0"/>
      <w:divBdr>
        <w:top w:val="none" w:sz="0" w:space="0" w:color="auto"/>
        <w:left w:val="none" w:sz="0" w:space="0" w:color="auto"/>
        <w:bottom w:val="none" w:sz="0" w:space="0" w:color="auto"/>
        <w:right w:val="none" w:sz="0" w:space="0" w:color="auto"/>
      </w:divBdr>
    </w:div>
    <w:div w:id="1688673112">
      <w:bodyDiv w:val="1"/>
      <w:marLeft w:val="0"/>
      <w:marRight w:val="0"/>
      <w:marTop w:val="0"/>
      <w:marBottom w:val="0"/>
      <w:divBdr>
        <w:top w:val="none" w:sz="0" w:space="0" w:color="auto"/>
        <w:left w:val="none" w:sz="0" w:space="0" w:color="auto"/>
        <w:bottom w:val="none" w:sz="0" w:space="0" w:color="auto"/>
        <w:right w:val="none" w:sz="0" w:space="0" w:color="auto"/>
      </w:divBdr>
    </w:div>
    <w:div w:id="1691029515">
      <w:bodyDiv w:val="1"/>
      <w:marLeft w:val="0"/>
      <w:marRight w:val="0"/>
      <w:marTop w:val="0"/>
      <w:marBottom w:val="0"/>
      <w:divBdr>
        <w:top w:val="none" w:sz="0" w:space="0" w:color="auto"/>
        <w:left w:val="none" w:sz="0" w:space="0" w:color="auto"/>
        <w:bottom w:val="none" w:sz="0" w:space="0" w:color="auto"/>
        <w:right w:val="none" w:sz="0" w:space="0" w:color="auto"/>
      </w:divBdr>
    </w:div>
    <w:div w:id="1754859665">
      <w:bodyDiv w:val="1"/>
      <w:marLeft w:val="0"/>
      <w:marRight w:val="0"/>
      <w:marTop w:val="0"/>
      <w:marBottom w:val="0"/>
      <w:divBdr>
        <w:top w:val="none" w:sz="0" w:space="0" w:color="auto"/>
        <w:left w:val="none" w:sz="0" w:space="0" w:color="auto"/>
        <w:bottom w:val="none" w:sz="0" w:space="0" w:color="auto"/>
        <w:right w:val="none" w:sz="0" w:space="0" w:color="auto"/>
      </w:divBdr>
    </w:div>
    <w:div w:id="1987010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14EC90-E7FA-4C90-92E7-E9BE8A369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2158</TotalTime>
  <Pages>9</Pages>
  <Words>4604</Words>
  <Characters>26246</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30789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Jones,Jessica swp8302</dc:creator>
  <cp:keywords/>
  <dc:description/>
  <cp:lastModifiedBy>Jones,Jessica swp8302</cp:lastModifiedBy>
  <cp:revision>51</cp:revision>
  <dcterms:created xsi:type="dcterms:W3CDTF">2023-10-16T13:03:00Z</dcterms:created>
  <dcterms:modified xsi:type="dcterms:W3CDTF">2023-11-06T19:49:00Z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2023-10-16T13:19:07Z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24d7a63c-18c9-42af-a77f-7ecfc96445df</vt:lpwstr>
  </property>
  <property fmtid="{D5CDD505-2E9C-101B-9397-08002B2CF9AE}" pid="8" name="MSIP_Label_66cf8fe5-b7b7-4df7-b38d-1c61ac2f6639_ContentBits">
    <vt:lpwstr>0</vt:lpwstr>
  </property>
</Properties>
</file>