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5E82A" w14:textId="3FE54A2F" w:rsidR="005D705B" w:rsidRDefault="536308F1" w:rsidP="26FC8285">
      <w:pPr>
        <w:rPr>
          <w:b/>
          <w:bCs/>
        </w:rPr>
      </w:pPr>
      <w:bookmarkStart w:id="0" w:name="_Int_APQokcY6"/>
      <w:r w:rsidRPr="348642AE">
        <w:rPr>
          <w:b/>
          <w:bCs/>
        </w:rPr>
        <w:t xml:space="preserve">It has been argued that prison is </w:t>
      </w:r>
      <w:bookmarkStart w:id="1" w:name="_Hlk151152342"/>
      <w:r w:rsidRPr="348642AE">
        <w:rPr>
          <w:b/>
          <w:bCs/>
        </w:rPr>
        <w:t>‘</w:t>
      </w:r>
      <w:bookmarkStart w:id="2" w:name="_Hlk151132476"/>
      <w:r w:rsidRPr="348642AE">
        <w:rPr>
          <w:b/>
          <w:bCs/>
        </w:rPr>
        <w:t>an institutional manifestation of gendered powerlessness and vulnerability.</w:t>
      </w:r>
      <w:bookmarkEnd w:id="2"/>
      <w:r w:rsidRPr="348642AE">
        <w:rPr>
          <w:b/>
          <w:bCs/>
        </w:rPr>
        <w:t>’ (</w:t>
      </w:r>
      <w:bookmarkEnd w:id="1"/>
      <w:r w:rsidRPr="348642AE">
        <w:rPr>
          <w:b/>
          <w:bCs/>
        </w:rPr>
        <w:t>Moore &amp; Scraton 2014:53).</w:t>
      </w:r>
      <w:bookmarkEnd w:id="0"/>
      <w:r w:rsidRPr="348642AE">
        <w:rPr>
          <w:b/>
          <w:bCs/>
        </w:rPr>
        <w:t xml:space="preserve"> Critically evaluate how women’s ‘pains of imprisonment’ might differ from men’s and discuss how the prison service in England &amp; Wales might resolve these.</w:t>
      </w:r>
    </w:p>
    <w:p w14:paraId="2C078E63" w14:textId="52924BBC" w:rsidR="005D705B" w:rsidRDefault="7F9EBCC4" w:rsidP="00331B62">
      <w:pPr>
        <w:spacing w:line="360" w:lineRule="auto"/>
      </w:pPr>
      <w:r>
        <w:t>Prisons were</w:t>
      </w:r>
      <w:r w:rsidR="076E5B8C">
        <w:t xml:space="preserve"> first</w:t>
      </w:r>
      <w:r>
        <w:t xml:space="preserve"> introduced as a means of </w:t>
      </w:r>
      <w:r w:rsidR="064785BE">
        <w:t xml:space="preserve">punishment and ideally a way of deterrence for the public (Smith, 1983). </w:t>
      </w:r>
      <w:r w:rsidR="62AEE087">
        <w:t>However, the main aim of the</w:t>
      </w:r>
      <w:r w:rsidR="0842BCF7">
        <w:t>se</w:t>
      </w:r>
      <w:r w:rsidR="5E5D927B">
        <w:t xml:space="preserve"> </w:t>
      </w:r>
      <w:r w:rsidR="0842BCF7">
        <w:t>settings</w:t>
      </w:r>
      <w:r w:rsidR="62AEE087">
        <w:t xml:space="preserve"> in modern </w:t>
      </w:r>
      <w:r w:rsidR="6D59B49F">
        <w:t>society</w:t>
      </w:r>
      <w:r w:rsidR="62AEE087">
        <w:t xml:space="preserve"> </w:t>
      </w:r>
      <w:r w:rsidR="05BAF335">
        <w:t>is to rehabilitate those labelled as ‘deviant’ and reintroduce them back into society</w:t>
      </w:r>
      <w:r w:rsidR="2AE1C882">
        <w:t xml:space="preserve"> through activities offered to them that they may not have had access to beforehand</w:t>
      </w:r>
      <w:r w:rsidR="21AEBF39">
        <w:t xml:space="preserve"> (Behan, 2014).</w:t>
      </w:r>
      <w:r w:rsidR="30ED5676">
        <w:t xml:space="preserve"> Prisons have developed over the years and are now closely examined in terms of whether they are successful in rehabilitation and the impact that it can have on the individuals within these settings</w:t>
      </w:r>
      <w:r w:rsidR="073D6C93">
        <w:t xml:space="preserve">. Moore and Scraton highlight how the prison system was designed and administered </w:t>
      </w:r>
      <w:r w:rsidR="7DAFB2A9">
        <w:t>around the idea of punishing men and has not advanced in its ways to accommodate to female prisoners thus reiterating the idea of ‘gendered powerlessness’ (Moore &amp; Scraton, 201</w:t>
      </w:r>
      <w:r w:rsidR="39FE306E">
        <w:t>4).</w:t>
      </w:r>
      <w:r w:rsidR="00C20B47">
        <w:t xml:space="preserve"> The statement that prison is “an institutional manifestation of gendered powerlessness and vulnerability” </w:t>
      </w:r>
      <w:r w:rsidR="00331B62">
        <w:t>introduces</w:t>
      </w:r>
      <w:r w:rsidR="00C20B47">
        <w:t xml:space="preserve"> the thought that the problem is rooted in institutionalised </w:t>
      </w:r>
      <w:r w:rsidR="00331B62">
        <w:t>and</w:t>
      </w:r>
      <w:r w:rsidR="00C20B47">
        <w:t xml:space="preserve"> historic sexism</w:t>
      </w:r>
      <w:r w:rsidR="00331B62">
        <w:t xml:space="preserve"> and belief in the patriarchal system</w:t>
      </w:r>
      <w:r w:rsidR="00C20B47">
        <w:t>.</w:t>
      </w:r>
      <w:r w:rsidR="39FE306E">
        <w:t xml:space="preserve"> It is widely known that men and women experience the world </w:t>
      </w:r>
      <w:r w:rsidR="6D91A159">
        <w:t>very</w:t>
      </w:r>
      <w:r w:rsidR="39FE306E">
        <w:t xml:space="preserve"> differently </w:t>
      </w:r>
      <w:r w:rsidR="60593A9B">
        <w:t>and prison is no different.</w:t>
      </w:r>
      <w:r w:rsidR="16CC3330">
        <w:t xml:space="preserve"> With the aim of emphasising women's ‘pains of imprisonment’ </w:t>
      </w:r>
      <w:r w:rsidR="3163D3D6">
        <w:t xml:space="preserve">this essay will critically evaluate </w:t>
      </w:r>
      <w:r w:rsidR="6F4E21FB">
        <w:t>how they might differ from men's and investigate ways to work towards resolving these issues in England and Wales.</w:t>
      </w:r>
      <w:r w:rsidR="59CF64E4">
        <w:t xml:space="preserve"> </w:t>
      </w:r>
      <w:r w:rsidR="00C20B47">
        <w:t xml:space="preserve">This essay will also look into the different areas and reasons for women’s ‘pains of imprisonment’ and how these issues could be resolved throughout settings in England and Wales. </w:t>
      </w:r>
    </w:p>
    <w:p w14:paraId="21822D18" w14:textId="06AB055D" w:rsidR="6C1D0000" w:rsidRDefault="6C1D0000" w:rsidP="00331B62">
      <w:pPr>
        <w:spacing w:line="360" w:lineRule="auto"/>
      </w:pPr>
      <w:r>
        <w:t xml:space="preserve">Women as offenders is severely under researched and is commonly looked at with despair as women are not deemed to be criminal by society. </w:t>
      </w:r>
      <w:r w:rsidR="7CCF765F">
        <w:t xml:space="preserve">However, this is argued by Feeley and little as they state that female criminality </w:t>
      </w:r>
      <w:r w:rsidR="5C21E8F8">
        <w:t>has always been at the centre of crime and that the main issue is that</w:t>
      </w:r>
      <w:r w:rsidR="3358C376">
        <w:t xml:space="preserve"> this has declined throughout history (Feeley and Little, 1991).</w:t>
      </w:r>
      <w:r w:rsidR="6DD0461C">
        <w:t xml:space="preserve"> </w:t>
      </w:r>
      <w:r w:rsidR="717D1637">
        <w:t xml:space="preserve">The female crime </w:t>
      </w:r>
      <w:r w:rsidR="5F82B913">
        <w:t xml:space="preserve">rates </w:t>
      </w:r>
      <w:bookmarkStart w:id="3" w:name="_Int_w5eVrIuy"/>
      <w:r w:rsidR="5F82B913">
        <w:t>in today's society</w:t>
      </w:r>
      <w:bookmarkEnd w:id="3"/>
      <w:r w:rsidR="5F82B913">
        <w:t xml:space="preserve"> </w:t>
      </w:r>
      <w:r w:rsidR="717D1637">
        <w:t>can be seen as drastically smaller than that of males</w:t>
      </w:r>
      <w:r w:rsidR="305FE2D5">
        <w:t>,</w:t>
      </w:r>
      <w:r w:rsidR="717D1637">
        <w:t xml:space="preserve"> with only a small 4% of the prison population being female</w:t>
      </w:r>
      <w:r w:rsidR="5FB4B4F5">
        <w:t xml:space="preserve"> as of 2021 (</w:t>
      </w:r>
      <w:r w:rsidR="454F6881">
        <w:t>Ministry of Justice</w:t>
      </w:r>
      <w:r w:rsidR="5FB4B4F5">
        <w:t xml:space="preserve">, 2022). </w:t>
      </w:r>
      <w:r w:rsidR="717D1637">
        <w:t xml:space="preserve"> </w:t>
      </w:r>
      <w:r w:rsidR="6B9AB1F5">
        <w:t>There is a common misconception in the public</w:t>
      </w:r>
      <w:r w:rsidR="7CEEA07A">
        <w:t xml:space="preserve"> eye</w:t>
      </w:r>
      <w:r w:rsidR="6B9AB1F5">
        <w:t xml:space="preserve"> that women are less likely to be deviant</w:t>
      </w:r>
      <w:r w:rsidR="4175E9EE">
        <w:t xml:space="preserve"> and it is often described as an underlying issue with ‘gender inadequacy’ in men (Harry, 1983)</w:t>
      </w:r>
      <w:r w:rsidR="147F61E1">
        <w:t>.</w:t>
      </w:r>
      <w:r w:rsidR="64BAE694">
        <w:t xml:space="preserve"> A prison setting could </w:t>
      </w:r>
      <w:r w:rsidR="3E2AF4EB">
        <w:t>have</w:t>
      </w:r>
      <w:r w:rsidR="64BAE694">
        <w:t xml:space="preserve"> long term effects on a person's mental health for a variety of reasons; lack of privacy, feeling of helplessness, </w:t>
      </w:r>
      <w:r w:rsidR="311C2B40">
        <w:t>separation</w:t>
      </w:r>
      <w:r w:rsidR="64BAE694">
        <w:t xml:space="preserve"> from loved ones and </w:t>
      </w:r>
      <w:r w:rsidR="5ED88252">
        <w:t>lack of freedom.</w:t>
      </w:r>
      <w:r w:rsidR="026A059C">
        <w:t xml:space="preserve"> This is often emphasised in women </w:t>
      </w:r>
      <w:r w:rsidR="10E7A5A5">
        <w:t xml:space="preserve">as </w:t>
      </w:r>
      <w:r w:rsidR="40ACBF71">
        <w:t xml:space="preserve">they are </w:t>
      </w:r>
      <w:r w:rsidR="0318143D">
        <w:t>frequently</w:t>
      </w:r>
      <w:r w:rsidR="40ACBF71">
        <w:t xml:space="preserve"> seen as the primary carer of </w:t>
      </w:r>
      <w:r w:rsidR="438697E5">
        <w:t>the</w:t>
      </w:r>
      <w:r w:rsidR="40ACBF71">
        <w:t xml:space="preserve"> child and the bond between </w:t>
      </w:r>
      <w:r w:rsidR="4828A630">
        <w:t xml:space="preserve">the </w:t>
      </w:r>
      <w:r w:rsidR="40ACBF71">
        <w:t>mother and child</w:t>
      </w:r>
      <w:r w:rsidR="471355D5">
        <w:t xml:space="preserve"> is extremely important</w:t>
      </w:r>
      <w:r w:rsidR="2FD938B5">
        <w:t xml:space="preserve"> and</w:t>
      </w:r>
      <w:r w:rsidR="0372D1A2">
        <w:t xml:space="preserve"> can have</w:t>
      </w:r>
      <w:r w:rsidR="2FD938B5">
        <w:t xml:space="preserve"> a drastic effect</w:t>
      </w:r>
      <w:r w:rsidR="471355D5">
        <w:t xml:space="preserve"> </w:t>
      </w:r>
      <w:r w:rsidR="0150CA38">
        <w:t>o</w:t>
      </w:r>
      <w:r w:rsidR="471355D5">
        <w:t xml:space="preserve">n the child's development </w:t>
      </w:r>
      <w:r w:rsidR="4C640831">
        <w:t>(</w:t>
      </w:r>
      <w:r w:rsidR="1E69037D">
        <w:t>Barnett et al, 2023).</w:t>
      </w:r>
      <w:r w:rsidR="6808E835">
        <w:t xml:space="preserve"> </w:t>
      </w:r>
      <w:r w:rsidR="1A45BCA9">
        <w:t xml:space="preserve">Women are often deemed as more likely to suffer from poor mental health because of the social and economic factors than men </w:t>
      </w:r>
      <w:r w:rsidR="41455EF7">
        <w:t xml:space="preserve">although it is </w:t>
      </w:r>
      <w:r w:rsidR="41455EF7">
        <w:lastRenderedPageBreak/>
        <w:t xml:space="preserve">easier and less ‘taboo’ for women to discuss these feelings </w:t>
      </w:r>
      <w:r w:rsidR="1A45BCA9">
        <w:t>(Mental Health Foundation, No date)</w:t>
      </w:r>
      <w:r w:rsidR="7370E2EE">
        <w:t xml:space="preserve">. </w:t>
      </w:r>
      <w:r w:rsidR="6808E835">
        <w:t xml:space="preserve">Separation from their mother can lead a child towards misbehaviour and </w:t>
      </w:r>
      <w:r w:rsidR="7D35AFFA">
        <w:t>often creates the</w:t>
      </w:r>
      <w:r w:rsidR="182B9EE8">
        <w:t xml:space="preserve"> </w:t>
      </w:r>
      <w:r w:rsidR="18ECDD2B">
        <w:t>feeling</w:t>
      </w:r>
      <w:r w:rsidR="182B9EE8">
        <w:t xml:space="preserve"> of chaos and instability in their home life, children with more predictable and ‘safe’ home environments </w:t>
      </w:r>
      <w:r w:rsidR="63197EBF">
        <w:t>are able to better self-regulate (B</w:t>
      </w:r>
      <w:r w:rsidR="7DE8A9FB">
        <w:t>erlin</w:t>
      </w:r>
      <w:r w:rsidR="134D6136">
        <w:t xml:space="preserve"> et al, </w:t>
      </w:r>
      <w:r w:rsidR="3AD15D18">
        <w:t xml:space="preserve">2011). </w:t>
      </w:r>
      <w:r w:rsidR="24094E6F">
        <w:t>The lack of time spent with their child whilst in prison could have detrimental effects on a woman's mental health and can therefore be deemed a part of the marvel that is women’s ‘pains of imprisonment</w:t>
      </w:r>
      <w:r w:rsidR="4665402F">
        <w:t>.’</w:t>
      </w:r>
      <w:r w:rsidR="24094E6F">
        <w:t xml:space="preserve"> </w:t>
      </w:r>
      <w:r w:rsidR="2AD0F19E">
        <w:t>Whilst the lack of a father figure can have drastic effects on a child's social development male prisoners do not suffer the feeling of loss in the way that female pr</w:t>
      </w:r>
      <w:r w:rsidR="4261B304">
        <w:t xml:space="preserve">isoners do and neither does the child as father absenteeism is not </w:t>
      </w:r>
      <w:r w:rsidR="48C84968">
        <w:t>limited to</w:t>
      </w:r>
      <w:r w:rsidR="4261B304">
        <w:t xml:space="preserve"> incarceration but can be experienced by any chi</w:t>
      </w:r>
      <w:r w:rsidR="503BE6AE">
        <w:t>ld.</w:t>
      </w:r>
      <w:r w:rsidR="74BD9D8F">
        <w:t xml:space="preserve"> </w:t>
      </w:r>
    </w:p>
    <w:p w14:paraId="49E3D808" w14:textId="5568DD62" w:rsidR="26FD5184" w:rsidRDefault="26FD5184" w:rsidP="00331B62">
      <w:pPr>
        <w:spacing w:line="360" w:lineRule="auto"/>
      </w:pPr>
      <w:r>
        <w:t xml:space="preserve">According to the </w:t>
      </w:r>
      <w:r w:rsidR="18FF5527">
        <w:t>National</w:t>
      </w:r>
      <w:r>
        <w:t xml:space="preserve"> Institute of Mental Health disorders such as, anxiety, depression and eating disorders are more prevalent in women</w:t>
      </w:r>
      <w:r w:rsidR="64DE47B6">
        <w:t xml:space="preserve"> and the symptoms that women may display with the</w:t>
      </w:r>
      <w:r w:rsidR="7851C7BF">
        <w:t xml:space="preserve">se conditions can lead to suicidal thoughts </w:t>
      </w:r>
      <w:r w:rsidR="64DE47B6">
        <w:t>(National Institute of Mental health, No date).</w:t>
      </w:r>
      <w:r w:rsidR="00B86B79">
        <w:t xml:space="preserve"> Further findings have emphasised that women are more susceptible to stress leading to poor mental health</w:t>
      </w:r>
      <w:r w:rsidR="1E2B9121">
        <w:t xml:space="preserve"> (Moum et al</w:t>
      </w:r>
      <w:r w:rsidR="00B86B79">
        <w:t>,</w:t>
      </w:r>
      <w:r w:rsidR="3F5D50AA">
        <w:t xml:space="preserve"> 2004),</w:t>
      </w:r>
      <w:r w:rsidR="00B86B79">
        <w:t xml:space="preserve"> the stresses of prison life would play a huge role in the deterioration of an </w:t>
      </w:r>
      <w:r w:rsidR="47136642">
        <w:t>individual's</w:t>
      </w:r>
      <w:r w:rsidR="00B86B79">
        <w:t xml:space="preserve"> psychological state</w:t>
      </w:r>
      <w:r w:rsidR="04F2A78D">
        <w:t xml:space="preserve"> and </w:t>
      </w:r>
      <w:bookmarkStart w:id="4" w:name="_Int_Osej9Ao1"/>
      <w:r w:rsidR="04F2A78D">
        <w:t>possibly harm</w:t>
      </w:r>
      <w:bookmarkEnd w:id="4"/>
      <w:r w:rsidR="04F2A78D">
        <w:t xml:space="preserve"> their efforts of rehabilitation</w:t>
      </w:r>
      <w:r w:rsidR="5101B407">
        <w:t xml:space="preserve">. Despite the population of women in prisons being so low it is stated that “women in prison are 5 times more likely to suffer with mental health than women in the general population” </w:t>
      </w:r>
      <w:r w:rsidR="1D6E431C">
        <w:t xml:space="preserve">(Karadag et al, 2019). </w:t>
      </w:r>
      <w:r w:rsidR="6731E4A9">
        <w:t xml:space="preserve">With the lack pf support for the increased risk of mental health issues in female prisoners this would make their experience even worse and thus distract them from </w:t>
      </w:r>
      <w:r w:rsidR="5627FDEC">
        <w:t>focusing</w:t>
      </w:r>
      <w:r w:rsidR="6731E4A9">
        <w:t xml:space="preserve"> on the main idea of rehabilitation during the time that they </w:t>
      </w:r>
      <w:r w:rsidR="09BB6ED8">
        <w:t xml:space="preserve">serve. For women who are serving long term sentences this could be detrimental for their health as prolonged poor mental health could increase the risk of suicidal thoughts and ideations. </w:t>
      </w:r>
      <w:r w:rsidR="796A2710">
        <w:t xml:space="preserve">This is further supported by the Office of National statistics that found between the years of 2008 and 2019 </w:t>
      </w:r>
      <w:r w:rsidR="07C05AFE">
        <w:t>almost</w:t>
      </w:r>
      <w:r w:rsidR="796A2710">
        <w:t xml:space="preserve"> 6</w:t>
      </w:r>
      <w:r w:rsidR="74646521">
        <w:t>77 deaths were ruled as suicide</w:t>
      </w:r>
      <w:r w:rsidR="7A37F895">
        <w:t>, at least 20 of these being female</w:t>
      </w:r>
      <w:r w:rsidR="20771CC3">
        <w:t xml:space="preserve"> (ONS, 2023). </w:t>
      </w:r>
      <w:r w:rsidR="79534730">
        <w:t xml:space="preserve">Whilst mental health is also prevalent in male prisoners it is not as freely discussed because of the stigma that still surrounds the subject therefore it is not as widely </w:t>
      </w:r>
      <w:r w:rsidR="66A3B626">
        <w:t>reviewed.</w:t>
      </w:r>
      <w:r w:rsidR="013A4C93">
        <w:t xml:space="preserve"> This should be more widely discussed as </w:t>
      </w:r>
      <w:r w:rsidR="3465119F">
        <w:t xml:space="preserve">according to the </w:t>
      </w:r>
      <w:r w:rsidR="4FAD3C88">
        <w:t>Samaritans</w:t>
      </w:r>
      <w:r w:rsidR="3465119F">
        <w:t xml:space="preserve"> website found that men between the ages of 50-54 have the highest rate if suicide with 22.5 per 10</w:t>
      </w:r>
      <w:r w:rsidR="6DA49452">
        <w:t xml:space="preserve">0,000 (Samaritans, </w:t>
      </w:r>
      <w:r w:rsidR="7BA290AF">
        <w:t xml:space="preserve">2021). </w:t>
      </w:r>
    </w:p>
    <w:p w14:paraId="088A373D" w14:textId="724DC72F" w:rsidR="1CB3929B" w:rsidRDefault="0DF13C91" w:rsidP="00331B62">
      <w:pPr>
        <w:spacing w:line="360" w:lineRule="auto"/>
      </w:pPr>
      <w:r>
        <w:t xml:space="preserve">In the general population if you are suffering through a mental health crisis you have access to resources that can be </w:t>
      </w:r>
      <w:r w:rsidR="7B41AB86">
        <w:t>beneficial</w:t>
      </w:r>
      <w:r>
        <w:t xml:space="preserve"> to you such as, </w:t>
      </w:r>
      <w:r w:rsidR="7720CF0F">
        <w:t>24/7 helplines and care offered by the NHS such as the mental health crisis team</w:t>
      </w:r>
      <w:r w:rsidR="39CF7278">
        <w:t xml:space="preserve"> or even at home methods through online resources</w:t>
      </w:r>
      <w:r w:rsidR="7720CF0F">
        <w:t xml:space="preserve">. However, this is not available to those in prison, by </w:t>
      </w:r>
      <w:r w:rsidR="427F2A97">
        <w:t>incorporating</w:t>
      </w:r>
      <w:r w:rsidR="7720CF0F">
        <w:t xml:space="preserve"> thi</w:t>
      </w:r>
      <w:r w:rsidR="21D19D30">
        <w:t xml:space="preserve">s into our prison system we could see a drastic decrease in the </w:t>
      </w:r>
      <w:r w:rsidR="21D19D30">
        <w:lastRenderedPageBreak/>
        <w:t xml:space="preserve">number of incidents led by a mental health crisis </w:t>
      </w:r>
      <w:r w:rsidR="1CB4C7E1">
        <w:t xml:space="preserve">and help those women who feel at a loss </w:t>
      </w:r>
      <w:r w:rsidR="0A40DBCA">
        <w:t>to work towards a more hopeful future through the process of rehabilitation (</w:t>
      </w:r>
      <w:r w:rsidR="4B1F2349">
        <w:t>Public Health England, 2018).</w:t>
      </w:r>
      <w:r w:rsidR="00A360D8">
        <w:t xml:space="preserve"> </w:t>
      </w:r>
      <w:r w:rsidR="001F3930">
        <w:t xml:space="preserve">An improvement for prisoner mental health could be an increase in the amount of physical activity that the inmates have access to, there has been evidence that increased activity can reduce depression in prisoners (Mental Health Foundation, No date). </w:t>
      </w:r>
      <w:r w:rsidR="00A360D8">
        <w:t xml:space="preserve">Without these operations being put into place the female population in prisons will face significant decreases in morale and possibly increase the risk of suicide and poor mental health. Another possible idea which could hugely benefit </w:t>
      </w:r>
      <w:r w:rsidR="009E640C">
        <w:t xml:space="preserve">female prisoners is increased visiting hours or incorporating more contact with loved ones and more importantly their children. Incarcerated individuals heavily benefit from staying in contact with loved ones, the constant contact is said to have a great impact on their ability to function post-release (Folk et al, 2019). </w:t>
      </w:r>
      <w:r w:rsidR="00D271D2">
        <w:t xml:space="preserve">This idea further supports the idea that the prison setting is a means of rehabilitation and could be beneficial to wider society. </w:t>
      </w:r>
      <w:r w:rsidR="00C20B47">
        <w:t xml:space="preserve">Another thing that would be beneficial to an inmates mental health and wellbeing would be by </w:t>
      </w:r>
      <w:proofErr w:type="spellStart"/>
      <w:r w:rsidR="00C20B47">
        <w:t>ensuiring</w:t>
      </w:r>
      <w:proofErr w:type="spellEnd"/>
      <w:r w:rsidR="00C20B47">
        <w:t xml:space="preserve"> that they keep in touch with loved ones, in a situation like this they may be leaning towards complete isolation but it is important that they maintain a relationship with people whether its through phone calls, letters or even interacting with their fellow inmates. </w:t>
      </w:r>
    </w:p>
    <w:p w14:paraId="00B3C851" w14:textId="31EE1999" w:rsidR="00D271D2" w:rsidRDefault="008A0BD6" w:rsidP="00331B62">
      <w:pPr>
        <w:spacing w:line="360" w:lineRule="auto"/>
      </w:pPr>
      <w:r>
        <w:t xml:space="preserve">In 2022 there were approximately 19.4 families across the UK meaning that the majority of women in the UK are mothers (Office of National Statistics, 2022). </w:t>
      </w:r>
      <w:r w:rsidR="00970A36">
        <w:t xml:space="preserve">Two thirds of the female prison population are mothers some even pregnant when they enter custody, it is said that around 17,000 children were separated from their mothers (Nacro, 2023). Whilst mothers can be allowed to have their child in prison with them for a certain amount of time it can be extremely difficult to gain this luxury as not many prisons in the UK have the facilities to hold both mother and baby. Although, the mother is only allowed to have the child in the facility with them for the first 18 months of life and those who are incarcerated after the birth can apply to bring their child with them (UK government, No date). Social services would then remove the child once it had reached 18 months and would either be returned to the family or enter the social care system. </w:t>
      </w:r>
      <w:r w:rsidR="00E44220">
        <w:t>This would have drastic effects on the female prisoner as they have been given the tie to bond with the child and it is then essentially ripped away from them.</w:t>
      </w:r>
      <w:r w:rsidR="0041054E">
        <w:t xml:space="preserve"> The early stages of childhood are vital in a child’s development and the lack of support from the mother can have detrimental effects on the mental wellbeing of the child. This is often referred to as maternal deprivation theory in which Bowlby described </w:t>
      </w:r>
      <w:r w:rsidR="009D1887">
        <w:t>that separation from a primary caregiver has a huge effect on the emotional and social development possibly leading to a deviant lifestyle (</w:t>
      </w:r>
      <w:r w:rsidR="00C260C6">
        <w:t xml:space="preserve">Bowlby, 1994). </w:t>
      </w:r>
      <w:r w:rsidR="007011C5">
        <w:t xml:space="preserve">Furthermore, the lack of support from a mother could have huge effects on wider society as it leads these young individuals to become juveniles and perhaps engage in activities leading them to being </w:t>
      </w:r>
      <w:r w:rsidR="007011C5">
        <w:lastRenderedPageBreak/>
        <w:t xml:space="preserve">incarcerated performing a circle movement in which they will then suffer from the gendered pains of prison. </w:t>
      </w:r>
    </w:p>
    <w:p w14:paraId="208B2982" w14:textId="59E73A84" w:rsidR="007011C5" w:rsidRDefault="001847C3" w:rsidP="00331B62">
      <w:pPr>
        <w:spacing w:line="360" w:lineRule="auto"/>
      </w:pPr>
      <w:r>
        <w:t xml:space="preserve">Pregnancy and childbirth in prison is not widely researched and often under funded resulting in women not receiving adequate healthcare leading up to the birth. Data shows that there are roughly 600 pregnant inmates and 100 births annually in England (Abbott et al, 2020). Prison is a difficult setting for women overall without the pains of pregnancy and public degradation whether that be being handcuffed during public hospital visits, the effects that pregnancy has on the body and the support of close loved ones. </w:t>
      </w:r>
      <w:r w:rsidR="00450115">
        <w:t xml:space="preserve">There is a significant lack of mother and baby spaces in UK women’s prisons with only 64 spaces (Ministry of Justice, 2019). </w:t>
      </w:r>
      <w:r w:rsidR="00263AFE">
        <w:t xml:space="preserve">All prisons in the UK are required to receive any healthcare that those in the regular community receive however this does not include midwives leaving the impression that pregnant prisoners are not adequately cared for (Council of Europe, 2006). Abbott et al interviewed a number of </w:t>
      </w:r>
      <w:r w:rsidR="0015500F">
        <w:t xml:space="preserve">female </w:t>
      </w:r>
      <w:r w:rsidR="00263AFE">
        <w:t xml:space="preserve">prisoners in which they stated that they were scared for the life of their baby because of the lack of healthcare they were receiving and threats they were given by staff members and </w:t>
      </w:r>
      <w:r w:rsidR="0015500F">
        <w:t>other inmates (Abbott et al, 2020). The distractions of prison life do not allow a woman to focus fully on the pregnancy and ensuring that she is receiving the healthcare that she needs which is essentially impossible with the lack of support and funding for female prisoners. The lack of support for female prisoners supports Moore and Scraton’s (2014) statement that prison is “</w:t>
      </w:r>
      <w:r w:rsidR="0015500F" w:rsidRPr="0015500F">
        <w:t>an institutional manifestation of gendered powerlessness and vulnerability</w:t>
      </w:r>
      <w:r w:rsidR="0015500F">
        <w:t>” as it can be clearly seen that women are completely disregarded with male prisoners being heavily focused on by researchers and the general public.</w:t>
      </w:r>
      <w:r w:rsidR="0048000D">
        <w:t xml:space="preserve"> </w:t>
      </w:r>
      <w:r w:rsidR="001F3930">
        <w:t xml:space="preserve">It could be said that the unfair treatment and disregard of pregnant prisoners is a breach of human rights. </w:t>
      </w:r>
    </w:p>
    <w:p w14:paraId="21CF3E7E" w14:textId="05429D62" w:rsidR="00C260C6" w:rsidRDefault="00812320" w:rsidP="00331B62">
      <w:pPr>
        <w:spacing w:line="360" w:lineRule="auto"/>
      </w:pPr>
      <w:r>
        <w:t xml:space="preserve">Period poverty has been an issue in prisons for many years but has not been heavily researched until now as it has been stigmatised </w:t>
      </w:r>
      <w:r w:rsidR="008A154D">
        <w:t>throughout history. Period poverty is a term that is used globally and defined as a lack of access to the resources needed due to financial circumstances (Gunz et al, 2022). It is said than more than 300 million people menstruate daily and with the lack of access to clean water and hygiene, no access to products and the lack of education on the subject it can be seen that there is nowhere near enough research and education on the topic (The World Bank, 2020).</w:t>
      </w:r>
      <w:r w:rsidR="001816BA">
        <w:t xml:space="preserve"> Inmates already have a lack of access to self-care products therefore female prisons would suffer greatly from the lack of access to period products. The UK has begun to take action </w:t>
      </w:r>
      <w:r w:rsidR="00FA6BA0">
        <w:t>on</w:t>
      </w:r>
      <w:r w:rsidR="001816BA">
        <w:t xml:space="preserve"> this by introducing new policies to ensure that inmates are provided with free period products, they have recognised that access to these resources is crucial for their dignity (Anna-John, 2021). </w:t>
      </w:r>
      <w:r w:rsidR="00055895">
        <w:t xml:space="preserve">Lunette, a leading period products company, created a campaign in which they are working with a number of charities in order to bring light to the </w:t>
      </w:r>
      <w:r w:rsidR="00055895">
        <w:lastRenderedPageBreak/>
        <w:t>situation on period poverty in prisons as it is not widely talked about</w:t>
      </w:r>
      <w:r w:rsidR="000E3091">
        <w:t xml:space="preserve"> and clearly states that 68% of institutions in the UK do not provide satisfactory access to period products (Lunette, No date). </w:t>
      </w:r>
      <w:r w:rsidR="00FA6BA0">
        <w:t xml:space="preserve">Period poverty can be said to be one of the main pains of imprisonment that women experience but it is not widely discussed because of the stigma and taboo that still surround the topic of menstruating, this could be because society is still an institution of patriarchal beliefs. The </w:t>
      </w:r>
      <w:r w:rsidR="00B95315">
        <w:t>masculinization</w:t>
      </w:r>
      <w:r w:rsidR="00FA6BA0">
        <w:t xml:space="preserve"> of prisons is heavily rooted in the idea that </w:t>
      </w:r>
      <w:r w:rsidR="00B95315">
        <w:t xml:space="preserve">periods are not to be spoken of and are deemed as ‘disgusting’. </w:t>
      </w:r>
    </w:p>
    <w:p w14:paraId="2C4939E5" w14:textId="26463301" w:rsidR="00B95315" w:rsidRDefault="00666626" w:rsidP="00331B62">
      <w:pPr>
        <w:spacing w:line="360" w:lineRule="auto"/>
      </w:pPr>
      <w:r>
        <w:t xml:space="preserve">It is not only cisgendered women that face issues in prison but also transgender women. Those who identify as transgender face discrimination in all aspects of life, and this becomes increasingly difficult in prison with the lack of support and exclusion from the general prison population. There can be problems with the placement of transgender people into the correct setting </w:t>
      </w:r>
      <w:r w:rsidR="0093557E">
        <w:t>as they are often misgendered and acceptance has incredibly low rates with a deep-rooted problem of transphobia in society, increased in the prison setting (Catch 22, 2021).</w:t>
      </w:r>
      <w:r w:rsidR="00061902">
        <w:t xml:space="preserve"> It is said that transgender individuals are more likely to experience aggression and not receive fair medical or criminal justice interventions, as well as higher levels of victimisation whilst they are incarcerated (Jenness, 2017). Recent studies have found that transgender women in prisons are </w:t>
      </w:r>
      <w:r w:rsidR="00BB110E">
        <w:t xml:space="preserve">more likely to be the victims of sexual assault (Jenness, 2017). </w:t>
      </w:r>
      <w:r w:rsidR="00CA6A80">
        <w:t xml:space="preserve">Transgender women in prison do not receive adequate healthcare, similar to cisgender women, they do not have easy access to the resources required by a transgender individual such as, hormone injections and therapy needed to deal with gender dysphoria (Becker et al, 2009). </w:t>
      </w:r>
      <w:r w:rsidR="00331B62">
        <w:t xml:space="preserve">The lack of resources would create significant problems with their mental health as they would experience exceptional amount of gender dysphoria as well as depression and anxiety as they would begin to feel at a loss which would be elevated with the physical demands, they suffer from already in a prison institution. With the lack of gender- affirming therapy an individual could be led towards suicidal thoughts and ideations. </w:t>
      </w:r>
    </w:p>
    <w:p w14:paraId="0D2C8C80" w14:textId="16158652" w:rsidR="00182363" w:rsidRDefault="00182363" w:rsidP="00331B62">
      <w:pPr>
        <w:spacing w:line="360" w:lineRule="auto"/>
      </w:pPr>
      <w:r>
        <w:t>Women are more vulnerable to the subject of judgement and are constantly belittled for their actions, this is because society is a patriarchal system, and it is instilled in us that women are innocent and incapable of committing heinous acts. This created the idea of women being ‘double deviant’. This is because by being deviant the woman has gone against gender roles and therefore labelled as deviant and demonised in society. Those who are labelled as double deviant are also referred to as the ‘evil woman’ (Murphy &amp; Brown, 2010).</w:t>
      </w:r>
      <w:r w:rsidR="005E20A9">
        <w:t xml:space="preserve"> This further illustrates the idea that women will always be more demonised than men in the criminal justice world because of the stereotypical gender roles and norms instilled into society by the patriarchy system that still exists to this day. The gendered pains of imprisonment are something that is often pushed to the side in society and not discussed in terms of </w:t>
      </w:r>
      <w:r w:rsidR="005E20A9">
        <w:lastRenderedPageBreak/>
        <w:t xml:space="preserve">how women are treated through inadequate healthcare and support whilst they are incarcerated. This lack of support given hugely affects their rehabilitation as they are unable to improve their actions and thus are more prone to recidivism. The prison service in England and Wales have room for a lot of improvement in their policies and procedures regarding prisoner mental health and wellbeing and the healthcare that they may receive as it can be more demanding than that of a male prisoner, with the prison institution being created around the male prisoner this further reiterates the fact that prison is </w:t>
      </w:r>
      <w:r w:rsidR="005E20A9" w:rsidRPr="005E20A9">
        <w:t>‘an institutional manifestation of gendered powerlessness and vulnerability</w:t>
      </w:r>
      <w:r w:rsidR="005E20A9">
        <w:t xml:space="preserve">’ </w:t>
      </w:r>
      <w:r w:rsidR="005E20A9" w:rsidRPr="005E20A9">
        <w:t>(</w:t>
      </w:r>
      <w:r w:rsidR="005E20A9">
        <w:t xml:space="preserve">Moore &amp; Scraton, 2014). </w:t>
      </w:r>
      <w:r w:rsidR="00EC21A8">
        <w:t xml:space="preserve">Whilst these are issues that have been instilled in the prison system for a number of years it is owed to the prisoners themselves and the general population that these services are improved in order to correctly rehabilitate these individuals back into society. </w:t>
      </w:r>
    </w:p>
    <w:p w14:paraId="2E93C5AC" w14:textId="6ED11593" w:rsidR="37C4A33C" w:rsidRDefault="37C4A33C" w:rsidP="37C4A33C"/>
    <w:p w14:paraId="1BBD4089" w14:textId="1C87425E" w:rsidR="064785BE" w:rsidRDefault="064785BE" w:rsidP="37C4A33C">
      <w:r>
        <w:t>Reference:</w:t>
      </w:r>
    </w:p>
    <w:p w14:paraId="0FB2CB78" w14:textId="79802F30" w:rsidR="00C20B47" w:rsidRDefault="00C20B47" w:rsidP="37C4A33C">
      <w:r>
        <w:t xml:space="preserve">Abbott, L., Scott, T., Thomas, H., &amp; Weston, K., (2020) </w:t>
      </w:r>
      <w:r w:rsidR="00812320">
        <w:t>‘</w:t>
      </w:r>
      <w:r w:rsidR="00812320" w:rsidRPr="00812320">
        <w:t>Pregnancy and childbirth in English prisons: institutional ignominy and the pains of imprisonment</w:t>
      </w:r>
      <w:r w:rsidR="00812320">
        <w:t>’, Sociology of Health &amp; Illness, 42(3), pp. 660-675.</w:t>
      </w:r>
      <w:r w:rsidR="00B95315">
        <w:t xml:space="preserve"> </w:t>
      </w:r>
      <w:r w:rsidR="00812320">
        <w:t xml:space="preserve">Doi: </w:t>
      </w:r>
      <w:hyperlink r:id="rId5" w:history="1">
        <w:r w:rsidR="00812320" w:rsidRPr="00B01830">
          <w:rPr>
            <w:rStyle w:val="Hyperlink"/>
          </w:rPr>
          <w:t>https://onlinelibrary-wiley-com.ezproxy.uwtsd.ac.uk/doi/full/10.1111/1467-9566.13052</w:t>
        </w:r>
      </w:hyperlink>
      <w:r w:rsidR="00812320">
        <w:t xml:space="preserve"> (Accessed on: 17 November 2023)</w:t>
      </w:r>
    </w:p>
    <w:p w14:paraId="6A85B7E1" w14:textId="77777777" w:rsidR="00055895" w:rsidRDefault="00055895" w:rsidP="37C4A33C"/>
    <w:p w14:paraId="4BB098A6" w14:textId="28CA239C" w:rsidR="00055895" w:rsidRDefault="00055895" w:rsidP="00055895">
      <w:r>
        <w:t xml:space="preserve">Anna-John, A., (2021) </w:t>
      </w:r>
      <w:r w:rsidRPr="00055895">
        <w:rPr>
          <w:i/>
          <w:iCs/>
        </w:rPr>
        <w:t>Period poverty in prisons: ensuring menstrual hygiene and dignity in India</w:t>
      </w:r>
      <w:r w:rsidRPr="00055895">
        <w:rPr>
          <w:i/>
          <w:iCs/>
        </w:rPr>
        <w:t>,</w:t>
      </w:r>
      <w:r>
        <w:t xml:space="preserve"> Penal Reform International. Available at: </w:t>
      </w:r>
      <w:hyperlink r:id="rId6" w:history="1">
        <w:r w:rsidRPr="00B01830">
          <w:rPr>
            <w:rStyle w:val="Hyperlink"/>
          </w:rPr>
          <w:t>https://www.penalreform.org/blog/period-poverty-in-prisons-ensuring-menstrual-hygiene-and/</w:t>
        </w:r>
      </w:hyperlink>
      <w:r>
        <w:t xml:space="preserve"> (Accessed on: 17 November 2023)</w:t>
      </w:r>
    </w:p>
    <w:p w14:paraId="23F23040" w14:textId="77777777" w:rsidR="00812320" w:rsidRDefault="00812320" w:rsidP="37C4A33C"/>
    <w:p w14:paraId="2794210A" w14:textId="48DBA600" w:rsidR="38633347" w:rsidRDefault="38633347" w:rsidP="22037512">
      <w:r>
        <w:t xml:space="preserve">Barnett, M., Blustein, D.L., Chia, S.W.C., Konowitz, L., </w:t>
      </w:r>
      <w:r w:rsidR="275E2402">
        <w:t>Liang</w:t>
      </w:r>
      <w:r w:rsidR="17B5A5E0">
        <w:t>, B., Lund, T., Reed, M. &amp; Wood, W., (2023)</w:t>
      </w:r>
      <w:r w:rsidR="7125B436">
        <w:t xml:space="preserve"> ‘The Powerful Role of Mothers in Adolescent Purpose Development’, </w:t>
      </w:r>
      <w:r w:rsidR="7125B436" w:rsidRPr="22037512">
        <w:rPr>
          <w:i/>
          <w:iCs/>
        </w:rPr>
        <w:t>Journal of Psychological Research,</w:t>
      </w:r>
      <w:r w:rsidR="7125B436">
        <w:t xml:space="preserve"> 5(1)</w:t>
      </w:r>
      <w:r w:rsidR="3C13940E">
        <w:t xml:space="preserve">, pp. 1-16. Doi: </w:t>
      </w:r>
      <w:hyperlink r:id="rId7">
        <w:r w:rsidR="3C13940E" w:rsidRPr="22037512">
          <w:rPr>
            <w:rStyle w:val="Hyperlink"/>
          </w:rPr>
          <w:t>https://www.researchgate.net/publication/368491037_The_Powerful_Role_of_Mothers_in_Adolescent_Purpose_Development</w:t>
        </w:r>
      </w:hyperlink>
      <w:r w:rsidR="3C13940E">
        <w:t xml:space="preserve"> (Accessed on: 15 November 2023)</w:t>
      </w:r>
    </w:p>
    <w:p w14:paraId="0C1D71B3" w14:textId="77777777" w:rsidR="00CA6A80" w:rsidRDefault="00CA6A80" w:rsidP="22037512"/>
    <w:p w14:paraId="640A579F" w14:textId="11A633DA" w:rsidR="00CA6A80" w:rsidRDefault="00CA6A80" w:rsidP="00CA6A80">
      <w:r>
        <w:t>Becker</w:t>
      </w:r>
      <w:r>
        <w:t xml:space="preserve">, J., </w:t>
      </w:r>
      <w:r>
        <w:t>Bockting</w:t>
      </w:r>
      <w:r>
        <w:t xml:space="preserve">, W.O., </w:t>
      </w:r>
      <w:proofErr w:type="spellStart"/>
      <w:r>
        <w:t>Hwahng</w:t>
      </w:r>
      <w:proofErr w:type="spellEnd"/>
      <w:r>
        <w:t xml:space="preserve">, S., </w:t>
      </w:r>
      <w:r>
        <w:t>Macri</w:t>
      </w:r>
      <w:r>
        <w:t xml:space="preserve">, M., </w:t>
      </w:r>
      <w:r>
        <w:t>Mason</w:t>
      </w:r>
      <w:r>
        <w:t xml:space="preserve">, M., </w:t>
      </w:r>
      <w:r>
        <w:t>Nuttbrock</w:t>
      </w:r>
      <w:r w:rsidR="00331B62">
        <w:t>, L.A., &amp;</w:t>
      </w:r>
      <w:r>
        <w:t xml:space="preserve"> </w:t>
      </w:r>
      <w:r>
        <w:t>Rosenblum</w:t>
      </w:r>
      <w:r w:rsidR="00331B62">
        <w:t xml:space="preserve">, A. (2009) </w:t>
      </w:r>
      <w:r w:rsidR="00331B62" w:rsidRPr="00331B62">
        <w:t>Gender identity affirmation among male-to-</w:t>
      </w:r>
      <w:r w:rsidR="00331B62" w:rsidRPr="00331B62">
        <w:t>female transgender</w:t>
      </w:r>
      <w:r w:rsidR="00331B62" w:rsidRPr="00331B62">
        <w:t xml:space="preserve"> persons: a life course analysis across types of </w:t>
      </w:r>
      <w:r w:rsidR="00331B62" w:rsidRPr="00331B62">
        <w:t>relationships and</w:t>
      </w:r>
      <w:r w:rsidR="00331B62" w:rsidRPr="00331B62">
        <w:t xml:space="preserve"> cultural/lifestyle factors</w:t>
      </w:r>
      <w:r w:rsidR="00331B62">
        <w:t xml:space="preserve">, </w:t>
      </w:r>
      <w:r w:rsidR="00331B62" w:rsidRPr="00331B62">
        <w:rPr>
          <w:i/>
          <w:iCs/>
        </w:rPr>
        <w:t>Sexual and Relationship Therapy</w:t>
      </w:r>
      <w:r w:rsidR="00331B62" w:rsidRPr="00331B62">
        <w:rPr>
          <w:i/>
          <w:iCs/>
        </w:rPr>
        <w:t>,</w:t>
      </w:r>
      <w:r w:rsidR="00331B62">
        <w:t xml:space="preserve"> 24(2), pp. 108-125. Doi: </w:t>
      </w:r>
      <w:hyperlink r:id="rId8" w:history="1">
        <w:r w:rsidR="00331B62" w:rsidRPr="00B01830">
          <w:rPr>
            <w:rStyle w:val="Hyperlink"/>
          </w:rPr>
          <w:t>https://www.tandfonline.com/doi/full/10.1080/14681990902926764?needAccess=true</w:t>
        </w:r>
      </w:hyperlink>
      <w:r w:rsidR="00331B62">
        <w:t xml:space="preserve"> (Accessed on: 17 November 2023) </w:t>
      </w:r>
    </w:p>
    <w:p w14:paraId="27AC6161" w14:textId="3040F37F" w:rsidR="22037512" w:rsidRDefault="22037512" w:rsidP="22037512"/>
    <w:p w14:paraId="30AE523B" w14:textId="14FB69D6" w:rsidR="09D4F093" w:rsidRDefault="09D4F093" w:rsidP="37C4A33C">
      <w:pPr>
        <w:rPr>
          <w:rFonts w:ascii="Calibri" w:eastAsia="Calibri" w:hAnsi="Calibri" w:cs="Calibri"/>
        </w:rPr>
      </w:pPr>
      <w:r>
        <w:lastRenderedPageBreak/>
        <w:t>Behan, C., (</w:t>
      </w:r>
      <w:r w:rsidR="2815559D">
        <w:t xml:space="preserve">2014) ‘Learning to Escape: Prison Education, Rehabilitation and the Potential for Transformation’, </w:t>
      </w:r>
      <w:r w:rsidR="2815559D" w:rsidRPr="22037512">
        <w:rPr>
          <w:rFonts w:ascii="Calibri" w:eastAsia="Calibri" w:hAnsi="Calibri" w:cs="Calibri"/>
          <w:i/>
          <w:iCs/>
        </w:rPr>
        <w:t xml:space="preserve">Journal of Prison Education and Re-entry, </w:t>
      </w:r>
      <w:r w:rsidR="2815559D" w:rsidRPr="22037512">
        <w:rPr>
          <w:rFonts w:ascii="Calibri" w:eastAsia="Calibri" w:hAnsi="Calibri" w:cs="Calibri"/>
        </w:rPr>
        <w:t>1(1), pp. 20</w:t>
      </w:r>
      <w:r w:rsidR="13B0C2DC" w:rsidRPr="22037512">
        <w:rPr>
          <w:rFonts w:ascii="Calibri" w:eastAsia="Calibri" w:hAnsi="Calibri" w:cs="Calibri"/>
        </w:rPr>
        <w:t xml:space="preserve">-31. Doi: </w:t>
      </w:r>
      <w:hyperlink r:id="rId9">
        <w:r w:rsidR="13B0C2DC" w:rsidRPr="22037512">
          <w:rPr>
            <w:rStyle w:val="Hyperlink"/>
            <w:rFonts w:ascii="Calibri" w:eastAsia="Calibri" w:hAnsi="Calibri" w:cs="Calibri"/>
          </w:rPr>
          <w:t>EJ1148803.pdf (ed.gov)</w:t>
        </w:r>
      </w:hyperlink>
      <w:r w:rsidR="13B0C2DC" w:rsidRPr="22037512">
        <w:rPr>
          <w:rFonts w:ascii="Calibri" w:eastAsia="Calibri" w:hAnsi="Calibri" w:cs="Calibri"/>
        </w:rPr>
        <w:t xml:space="preserve"> (Accessed on: 04 November 2023) </w:t>
      </w:r>
    </w:p>
    <w:p w14:paraId="5CC92BA2" w14:textId="3F30D1D4" w:rsidR="064785BE" w:rsidRDefault="064785BE" w:rsidP="22037512">
      <w:pPr>
        <w:rPr>
          <w:rFonts w:ascii="Calibri" w:eastAsia="Calibri" w:hAnsi="Calibri" w:cs="Calibri"/>
        </w:rPr>
      </w:pPr>
    </w:p>
    <w:p w14:paraId="78F0A04F" w14:textId="31720437" w:rsidR="064785BE" w:rsidRDefault="2ADF3209" w:rsidP="22037512">
      <w:pPr>
        <w:rPr>
          <w:rFonts w:ascii="Calibri" w:eastAsia="Calibri" w:hAnsi="Calibri" w:cs="Calibri"/>
        </w:rPr>
      </w:pPr>
      <w:r w:rsidRPr="22037512">
        <w:rPr>
          <w:rFonts w:ascii="Calibri" w:eastAsia="Calibri" w:hAnsi="Calibri" w:cs="Calibri"/>
        </w:rPr>
        <w:t>B</w:t>
      </w:r>
      <w:r w:rsidR="6B6089FD" w:rsidRPr="22037512">
        <w:rPr>
          <w:rFonts w:ascii="Calibri" w:eastAsia="Calibri" w:hAnsi="Calibri" w:cs="Calibri"/>
        </w:rPr>
        <w:t xml:space="preserve">erlin, L. J., Brooks-Gunn, J., Howard, K. &amp; Martin, A., (2011) </w:t>
      </w:r>
      <w:r w:rsidR="5D3B1C94" w:rsidRPr="22037512">
        <w:rPr>
          <w:rFonts w:ascii="Calibri" w:eastAsia="Calibri" w:hAnsi="Calibri" w:cs="Calibri"/>
        </w:rPr>
        <w:t xml:space="preserve">Early mother–child separation, parenting, and child well-being in </w:t>
      </w:r>
      <w:r w:rsidR="01BE6A60" w:rsidRPr="22037512">
        <w:rPr>
          <w:rFonts w:ascii="Calibri" w:eastAsia="Calibri" w:hAnsi="Calibri" w:cs="Calibri"/>
        </w:rPr>
        <w:t>Early Head</w:t>
      </w:r>
      <w:r w:rsidR="5D3B1C94" w:rsidRPr="22037512">
        <w:rPr>
          <w:rFonts w:ascii="Calibri" w:eastAsia="Calibri" w:hAnsi="Calibri" w:cs="Calibri"/>
        </w:rPr>
        <w:t xml:space="preserve"> Start families, </w:t>
      </w:r>
      <w:r w:rsidR="5D3B1C94" w:rsidRPr="22037512">
        <w:rPr>
          <w:rFonts w:ascii="Calibri" w:eastAsia="Calibri" w:hAnsi="Calibri" w:cs="Calibri"/>
          <w:i/>
          <w:iCs/>
        </w:rPr>
        <w:t>Attachment &amp; Human Development,</w:t>
      </w:r>
      <w:r w:rsidR="5D3B1C94" w:rsidRPr="22037512">
        <w:rPr>
          <w:rFonts w:ascii="Calibri" w:eastAsia="Calibri" w:hAnsi="Calibri" w:cs="Calibri"/>
        </w:rPr>
        <w:t xml:space="preserve"> 13(1), pp. 5-6. Doi: </w:t>
      </w:r>
      <w:hyperlink r:id="rId10">
        <w:r w:rsidR="5D3B1C94" w:rsidRPr="22037512">
          <w:rPr>
            <w:rStyle w:val="Hyperlink"/>
            <w:rFonts w:ascii="Calibri" w:eastAsia="Calibri" w:hAnsi="Calibri" w:cs="Calibri"/>
          </w:rPr>
          <w:t>https://www.tandfonline.com/doi/epdf/10.1080/14616734.2010.488119?needAccess=true</w:t>
        </w:r>
      </w:hyperlink>
      <w:r w:rsidR="5D3B1C94" w:rsidRPr="22037512">
        <w:rPr>
          <w:rFonts w:ascii="Calibri" w:eastAsia="Calibri" w:hAnsi="Calibri" w:cs="Calibri"/>
        </w:rPr>
        <w:t xml:space="preserve"> </w:t>
      </w:r>
      <w:r w:rsidR="42F42591" w:rsidRPr="22037512">
        <w:rPr>
          <w:rFonts w:ascii="Calibri" w:eastAsia="Calibri" w:hAnsi="Calibri" w:cs="Calibri"/>
        </w:rPr>
        <w:t xml:space="preserve">(Accessed on: 15 November 2023) </w:t>
      </w:r>
    </w:p>
    <w:p w14:paraId="5138BB21" w14:textId="77777777" w:rsidR="00C260C6" w:rsidRDefault="00C260C6" w:rsidP="22037512">
      <w:pPr>
        <w:rPr>
          <w:rFonts w:ascii="Calibri" w:eastAsia="Calibri" w:hAnsi="Calibri" w:cs="Calibri"/>
        </w:rPr>
      </w:pPr>
    </w:p>
    <w:p w14:paraId="149A38EE" w14:textId="62388B89" w:rsidR="064785BE" w:rsidRDefault="00C260C6" w:rsidP="22037512">
      <w:pPr>
        <w:rPr>
          <w:rFonts w:ascii="Calibri" w:eastAsia="Calibri" w:hAnsi="Calibri" w:cs="Calibri"/>
        </w:rPr>
      </w:pPr>
      <w:r w:rsidRPr="00C260C6">
        <w:rPr>
          <w:rFonts w:ascii="Calibri" w:eastAsia="Calibri" w:hAnsi="Calibri" w:cs="Calibri"/>
        </w:rPr>
        <w:t>Bowlby</w:t>
      </w:r>
      <w:r>
        <w:rPr>
          <w:rFonts w:ascii="Calibri" w:eastAsia="Calibri" w:hAnsi="Calibri" w:cs="Calibri"/>
        </w:rPr>
        <w:t>,</w:t>
      </w:r>
      <w:r w:rsidRPr="00C260C6">
        <w:rPr>
          <w:rFonts w:ascii="Calibri" w:eastAsia="Calibri" w:hAnsi="Calibri" w:cs="Calibri"/>
        </w:rPr>
        <w:t xml:space="preserve"> J. </w:t>
      </w:r>
      <w:r w:rsidRPr="00C260C6">
        <w:rPr>
          <w:rFonts w:ascii="Calibri" w:eastAsia="Calibri" w:hAnsi="Calibri" w:cs="Calibri"/>
        </w:rPr>
        <w:t>(1944</w:t>
      </w:r>
      <w:r w:rsidRPr="00C260C6">
        <w:rPr>
          <w:rFonts w:ascii="Calibri" w:eastAsia="Calibri" w:hAnsi="Calibri" w:cs="Calibri"/>
        </w:rPr>
        <w:t>) Forty-four juvenile thieves: their characters and home-life</w:t>
      </w:r>
      <w:r>
        <w:rPr>
          <w:rFonts w:ascii="Calibri" w:eastAsia="Calibri" w:hAnsi="Calibri" w:cs="Calibri"/>
        </w:rPr>
        <w:t>,</w:t>
      </w:r>
      <w:r w:rsidRPr="00C260C6">
        <w:rPr>
          <w:rFonts w:ascii="Calibri" w:eastAsia="Calibri" w:hAnsi="Calibri" w:cs="Calibri"/>
        </w:rPr>
        <w:t xml:space="preserve"> </w:t>
      </w:r>
      <w:r w:rsidRPr="00C260C6">
        <w:rPr>
          <w:rFonts w:ascii="Calibri" w:eastAsia="Calibri" w:hAnsi="Calibri" w:cs="Calibri"/>
          <w:i/>
          <w:iCs/>
        </w:rPr>
        <w:t>International Journal of Psycho-Analysis</w:t>
      </w:r>
      <w:r w:rsidRPr="00C260C6">
        <w:rPr>
          <w:rFonts w:ascii="Calibri" w:eastAsia="Calibri" w:hAnsi="Calibri" w:cs="Calibri"/>
          <w:i/>
          <w:iCs/>
        </w:rPr>
        <w:t>,</w:t>
      </w:r>
      <w:r w:rsidRPr="00C260C6">
        <w:rPr>
          <w:rFonts w:ascii="Calibri" w:eastAsia="Calibri" w:hAnsi="Calibri" w:cs="Calibri"/>
        </w:rPr>
        <w:t xml:space="preserve"> </w:t>
      </w:r>
      <w:r>
        <w:rPr>
          <w:rFonts w:ascii="Calibri" w:eastAsia="Calibri" w:hAnsi="Calibri" w:cs="Calibri"/>
        </w:rPr>
        <w:t xml:space="preserve">pp, </w:t>
      </w:r>
      <w:r w:rsidRPr="00C260C6">
        <w:rPr>
          <w:rFonts w:ascii="Calibri" w:eastAsia="Calibri" w:hAnsi="Calibri" w:cs="Calibri"/>
        </w:rPr>
        <w:t>107-128.</w:t>
      </w:r>
    </w:p>
    <w:p w14:paraId="4E180298" w14:textId="080E44B9" w:rsidR="0093557E" w:rsidRDefault="0093557E" w:rsidP="0093557E">
      <w:pPr>
        <w:rPr>
          <w:rFonts w:ascii="Calibri" w:eastAsia="Calibri" w:hAnsi="Calibri" w:cs="Calibri"/>
        </w:rPr>
      </w:pPr>
      <w:r>
        <w:rPr>
          <w:rFonts w:ascii="Calibri" w:eastAsia="Calibri" w:hAnsi="Calibri" w:cs="Calibri"/>
        </w:rPr>
        <w:t xml:space="preserve">Catch 22 (2021) </w:t>
      </w:r>
      <w:r w:rsidRPr="0093557E">
        <w:rPr>
          <w:rFonts w:ascii="Calibri" w:eastAsia="Calibri" w:hAnsi="Calibri" w:cs="Calibri"/>
        </w:rPr>
        <w:t>Offender management and rehabilitation</w:t>
      </w:r>
      <w:r>
        <w:rPr>
          <w:rFonts w:ascii="Calibri" w:eastAsia="Calibri" w:hAnsi="Calibri" w:cs="Calibri"/>
        </w:rPr>
        <w:t xml:space="preserve">- </w:t>
      </w:r>
      <w:r w:rsidRPr="0093557E">
        <w:rPr>
          <w:rFonts w:ascii="Calibri" w:eastAsia="Calibri" w:hAnsi="Calibri" w:cs="Calibri"/>
        </w:rPr>
        <w:t>The challenges of being transgender in prison</w:t>
      </w:r>
      <w:r>
        <w:rPr>
          <w:rFonts w:ascii="Calibri" w:eastAsia="Calibri" w:hAnsi="Calibri" w:cs="Calibri"/>
        </w:rPr>
        <w:t xml:space="preserve">. Available at: </w:t>
      </w:r>
      <w:hyperlink r:id="rId11" w:history="1">
        <w:r w:rsidRPr="00B01830">
          <w:rPr>
            <w:rStyle w:val="Hyperlink"/>
            <w:rFonts w:ascii="Calibri" w:eastAsia="Calibri" w:hAnsi="Calibri" w:cs="Calibri"/>
          </w:rPr>
          <w:t>https://www.catch-22.org.uk/resources/the-challenges-of-being-transgender-in-prison/</w:t>
        </w:r>
      </w:hyperlink>
      <w:r>
        <w:rPr>
          <w:rFonts w:ascii="Calibri" w:eastAsia="Calibri" w:hAnsi="Calibri" w:cs="Calibri"/>
        </w:rPr>
        <w:t xml:space="preserve"> (Accessed on: 17 November 2023)</w:t>
      </w:r>
    </w:p>
    <w:p w14:paraId="0BB706B5" w14:textId="77777777" w:rsidR="00B95315" w:rsidRDefault="00B95315" w:rsidP="22037512">
      <w:pPr>
        <w:rPr>
          <w:rFonts w:ascii="Calibri" w:eastAsia="Calibri" w:hAnsi="Calibri" w:cs="Calibri"/>
        </w:rPr>
      </w:pPr>
    </w:p>
    <w:p w14:paraId="0BEE94B8" w14:textId="7925253A" w:rsidR="00263AFE" w:rsidRDefault="00263AFE" w:rsidP="22037512">
      <w:pPr>
        <w:rPr>
          <w:rFonts w:ascii="Calibri" w:eastAsia="Calibri" w:hAnsi="Calibri" w:cs="Calibri"/>
        </w:rPr>
      </w:pPr>
      <w:r w:rsidRPr="00263AFE">
        <w:rPr>
          <w:rFonts w:ascii="Calibri" w:eastAsia="Calibri" w:hAnsi="Calibri" w:cs="Calibri"/>
        </w:rPr>
        <w:t>Council of Europe</w:t>
      </w:r>
      <w:r>
        <w:rPr>
          <w:rFonts w:ascii="Calibri" w:eastAsia="Calibri" w:hAnsi="Calibri" w:cs="Calibri"/>
        </w:rPr>
        <w:t xml:space="preserve"> </w:t>
      </w:r>
      <w:r w:rsidRPr="00263AFE">
        <w:rPr>
          <w:rFonts w:ascii="Calibri" w:eastAsia="Calibri" w:hAnsi="Calibri" w:cs="Calibri"/>
        </w:rPr>
        <w:t>(2006)</w:t>
      </w:r>
      <w:r>
        <w:rPr>
          <w:rFonts w:ascii="Calibri" w:eastAsia="Calibri" w:hAnsi="Calibri" w:cs="Calibri"/>
        </w:rPr>
        <w:t xml:space="preserve"> </w:t>
      </w:r>
      <w:r w:rsidRPr="00263AFE">
        <w:rPr>
          <w:rFonts w:ascii="Calibri" w:eastAsia="Calibri" w:hAnsi="Calibri" w:cs="Calibri"/>
          <w:i/>
          <w:iCs/>
        </w:rPr>
        <w:t>European Prison Rules</w:t>
      </w:r>
      <w:r w:rsidRPr="00263AFE">
        <w:rPr>
          <w:rFonts w:ascii="Calibri" w:eastAsia="Calibri" w:hAnsi="Calibri" w:cs="Calibri"/>
          <w:i/>
          <w:iCs/>
        </w:rPr>
        <w:t>,</w:t>
      </w:r>
      <w:r w:rsidRPr="00263AFE">
        <w:rPr>
          <w:rFonts w:ascii="Calibri" w:eastAsia="Calibri" w:hAnsi="Calibri" w:cs="Calibri"/>
          <w:i/>
          <w:iCs/>
        </w:rPr>
        <w:t xml:space="preserve"> Council of Europe</w:t>
      </w:r>
      <w:r w:rsidRPr="00263AFE">
        <w:rPr>
          <w:rFonts w:ascii="Calibri" w:eastAsia="Calibri" w:hAnsi="Calibri" w:cs="Calibri"/>
          <w:i/>
          <w:iCs/>
        </w:rPr>
        <w:t xml:space="preserve">, </w:t>
      </w:r>
      <w:r w:rsidRPr="00263AFE">
        <w:rPr>
          <w:rFonts w:ascii="Calibri" w:eastAsia="Calibri" w:hAnsi="Calibri" w:cs="Calibri"/>
        </w:rPr>
        <w:t>Recommendation Rec. 2 of the Committee of Ministers to member states on the European Prison Rules.</w:t>
      </w:r>
      <w:r>
        <w:rPr>
          <w:rFonts w:ascii="Calibri" w:eastAsia="Calibri" w:hAnsi="Calibri" w:cs="Calibri"/>
        </w:rPr>
        <w:t xml:space="preserve"> (Accessed on: 17 November 2023)</w:t>
      </w:r>
    </w:p>
    <w:p w14:paraId="13DECA97" w14:textId="77777777" w:rsidR="00C260C6" w:rsidRDefault="00C260C6" w:rsidP="22037512">
      <w:pPr>
        <w:rPr>
          <w:rFonts w:ascii="Calibri" w:eastAsia="Calibri" w:hAnsi="Calibri" w:cs="Calibri"/>
        </w:rPr>
      </w:pPr>
    </w:p>
    <w:p w14:paraId="2D4A60E3" w14:textId="370B390C" w:rsidR="064785BE" w:rsidRDefault="2C752B4E" w:rsidP="22037512">
      <w:pPr>
        <w:rPr>
          <w:rFonts w:ascii="Calibri" w:eastAsia="Calibri" w:hAnsi="Calibri" w:cs="Calibri"/>
        </w:rPr>
      </w:pPr>
      <w:r w:rsidRPr="22037512">
        <w:rPr>
          <w:rFonts w:ascii="Calibri" w:eastAsia="Calibri" w:hAnsi="Calibri" w:cs="Calibri"/>
        </w:rPr>
        <w:t xml:space="preserve">Feeley, M.M. &amp; Little, D.L., (1991) ‘The Vanishing Female: The Decline of Women in the Criminal Process, 1687-1912', </w:t>
      </w:r>
      <w:r w:rsidRPr="22037512">
        <w:rPr>
          <w:rFonts w:ascii="Calibri" w:eastAsia="Calibri" w:hAnsi="Calibri" w:cs="Calibri"/>
          <w:i/>
          <w:iCs/>
        </w:rPr>
        <w:t>Law and Society Review</w:t>
      </w:r>
      <w:r w:rsidR="0BC79DE7" w:rsidRPr="22037512">
        <w:rPr>
          <w:rFonts w:ascii="Calibri" w:eastAsia="Calibri" w:hAnsi="Calibri" w:cs="Calibri"/>
          <w:i/>
          <w:iCs/>
        </w:rPr>
        <w:t>,</w:t>
      </w:r>
      <w:r w:rsidR="0BC79DE7" w:rsidRPr="22037512">
        <w:rPr>
          <w:rFonts w:ascii="Calibri" w:eastAsia="Calibri" w:hAnsi="Calibri" w:cs="Calibri"/>
        </w:rPr>
        <w:t xml:space="preserve"> 25(4), pp. 719-758. Doi: </w:t>
      </w:r>
      <w:hyperlink r:id="rId12">
        <w:r w:rsidR="0BC79DE7" w:rsidRPr="22037512">
          <w:rPr>
            <w:rStyle w:val="Hyperlink"/>
            <w:rFonts w:ascii="Calibri" w:eastAsia="Calibri" w:hAnsi="Calibri" w:cs="Calibri"/>
          </w:rPr>
          <w:t>https://www.jstor.org/stable/3053868</w:t>
        </w:r>
      </w:hyperlink>
      <w:r w:rsidR="0BC79DE7" w:rsidRPr="22037512">
        <w:rPr>
          <w:rFonts w:ascii="Calibri" w:eastAsia="Calibri" w:hAnsi="Calibri" w:cs="Calibri"/>
        </w:rPr>
        <w:t xml:space="preserve"> (Accessed on: 15 November 2023) </w:t>
      </w:r>
    </w:p>
    <w:p w14:paraId="611E1072" w14:textId="77777777" w:rsidR="009E640C" w:rsidRDefault="009E640C" w:rsidP="22037512">
      <w:pPr>
        <w:rPr>
          <w:rFonts w:ascii="Calibri" w:eastAsia="Calibri" w:hAnsi="Calibri" w:cs="Calibri"/>
        </w:rPr>
      </w:pPr>
    </w:p>
    <w:p w14:paraId="7AAE42B6" w14:textId="45489BF4" w:rsidR="064785BE" w:rsidRDefault="009E640C" w:rsidP="22037512">
      <w:pPr>
        <w:rPr>
          <w:rFonts w:ascii="Calibri" w:eastAsia="Calibri" w:hAnsi="Calibri" w:cs="Calibri"/>
        </w:rPr>
      </w:pPr>
      <w:r>
        <w:rPr>
          <w:rFonts w:ascii="Calibri" w:eastAsia="Calibri" w:hAnsi="Calibri" w:cs="Calibri"/>
        </w:rPr>
        <w:t>Folk, J.B., Grossmann, J., Mashek, D., Stuewig, J. &amp; Tangney, J.P., (2019) ‘</w:t>
      </w:r>
      <w:r w:rsidRPr="009E640C">
        <w:rPr>
          <w:rFonts w:ascii="Calibri" w:eastAsia="Calibri" w:hAnsi="Calibri" w:cs="Calibri"/>
        </w:rPr>
        <w:t>Behind Bars but Connected to Family: Evidence for the Benefits of Family Contact During Incarceration</w:t>
      </w:r>
      <w:r>
        <w:rPr>
          <w:rFonts w:ascii="Calibri" w:eastAsia="Calibri" w:hAnsi="Calibri" w:cs="Calibri"/>
        </w:rPr>
        <w:t xml:space="preserve">’, </w:t>
      </w:r>
      <w:r w:rsidRPr="009E640C">
        <w:rPr>
          <w:rFonts w:ascii="Calibri" w:eastAsia="Calibri" w:hAnsi="Calibri" w:cs="Calibri"/>
          <w:i/>
          <w:iCs/>
        </w:rPr>
        <w:t>Journal of Family Psychology,</w:t>
      </w:r>
      <w:r>
        <w:rPr>
          <w:rFonts w:ascii="Calibri" w:eastAsia="Calibri" w:hAnsi="Calibri" w:cs="Calibri"/>
        </w:rPr>
        <w:t xml:space="preserve"> 33(4), pp. 453-464. Doi: </w:t>
      </w:r>
      <w:hyperlink r:id="rId13" w:history="1">
        <w:r w:rsidRPr="00B01830">
          <w:rPr>
            <w:rStyle w:val="Hyperlink"/>
            <w:rFonts w:ascii="Calibri" w:eastAsia="Calibri" w:hAnsi="Calibri" w:cs="Calibri"/>
          </w:rPr>
          <w:t>https://psycnet.apa.org/record/2019-19129-001</w:t>
        </w:r>
      </w:hyperlink>
      <w:r>
        <w:rPr>
          <w:rFonts w:ascii="Calibri" w:eastAsia="Calibri" w:hAnsi="Calibri" w:cs="Calibri"/>
        </w:rPr>
        <w:t xml:space="preserve"> (Accessed on: 17 November 2023)</w:t>
      </w:r>
    </w:p>
    <w:p w14:paraId="754E5DE6" w14:textId="77777777" w:rsidR="008A154D" w:rsidRDefault="008A154D" w:rsidP="22037512">
      <w:pPr>
        <w:rPr>
          <w:rFonts w:ascii="Calibri" w:eastAsia="Calibri" w:hAnsi="Calibri" w:cs="Calibri"/>
        </w:rPr>
      </w:pPr>
    </w:p>
    <w:p w14:paraId="5FFCFBBE" w14:textId="618ECCFA" w:rsidR="008A154D" w:rsidRDefault="008A154D" w:rsidP="22037512">
      <w:pPr>
        <w:rPr>
          <w:rFonts w:ascii="Calibri" w:eastAsia="Calibri" w:hAnsi="Calibri" w:cs="Calibri"/>
        </w:rPr>
      </w:pPr>
      <w:r>
        <w:rPr>
          <w:rFonts w:ascii="Calibri" w:eastAsia="Calibri" w:hAnsi="Calibri" w:cs="Calibri"/>
        </w:rPr>
        <w:t xml:space="preserve">Gunz, D., Mettler, A., Michel, J., &amp; </w:t>
      </w:r>
      <w:proofErr w:type="spellStart"/>
      <w:r>
        <w:rPr>
          <w:rFonts w:ascii="Calibri" w:eastAsia="Calibri" w:hAnsi="Calibri" w:cs="Calibri"/>
        </w:rPr>
        <w:t>Schonenberger</w:t>
      </w:r>
      <w:proofErr w:type="spellEnd"/>
      <w:r>
        <w:rPr>
          <w:rFonts w:ascii="Calibri" w:eastAsia="Calibri" w:hAnsi="Calibri" w:cs="Calibri"/>
        </w:rPr>
        <w:t>, S., (2022) ‘</w:t>
      </w:r>
      <w:r w:rsidRPr="008A154D">
        <w:rPr>
          <w:rFonts w:ascii="Calibri" w:eastAsia="Calibri" w:hAnsi="Calibri" w:cs="Calibri"/>
        </w:rPr>
        <w:t>Period poverty: why it should be everybody’s business</w:t>
      </w:r>
      <w:r>
        <w:rPr>
          <w:rFonts w:ascii="Calibri" w:eastAsia="Calibri" w:hAnsi="Calibri" w:cs="Calibri"/>
        </w:rPr>
        <w:t xml:space="preserve">’, Journal of Global Health Reports, 6, pp. 1-4. Doi: </w:t>
      </w:r>
      <w:hyperlink r:id="rId14" w:history="1">
        <w:r w:rsidRPr="00B01830">
          <w:rPr>
            <w:rStyle w:val="Hyperlink"/>
            <w:rFonts w:ascii="Calibri" w:eastAsia="Calibri" w:hAnsi="Calibri" w:cs="Calibri"/>
          </w:rPr>
          <w:t>https://www.joghr.org/article/32436-period-poverty-why-it-should-be-everybody-s-business</w:t>
        </w:r>
      </w:hyperlink>
      <w:r>
        <w:rPr>
          <w:rFonts w:ascii="Calibri" w:eastAsia="Calibri" w:hAnsi="Calibri" w:cs="Calibri"/>
        </w:rPr>
        <w:t xml:space="preserve"> (Accessed on: 17 November 2023)</w:t>
      </w:r>
    </w:p>
    <w:p w14:paraId="37BA0DB4" w14:textId="77777777" w:rsidR="009E640C" w:rsidRDefault="009E640C" w:rsidP="22037512">
      <w:pPr>
        <w:rPr>
          <w:rFonts w:ascii="Calibri" w:eastAsia="Calibri" w:hAnsi="Calibri" w:cs="Calibri"/>
        </w:rPr>
      </w:pPr>
    </w:p>
    <w:p w14:paraId="48B1DFA1" w14:textId="3A659B0B" w:rsidR="064785BE" w:rsidRDefault="16DCDDBC" w:rsidP="22037512">
      <w:pPr>
        <w:rPr>
          <w:rFonts w:ascii="Calibri" w:eastAsia="Calibri" w:hAnsi="Calibri" w:cs="Calibri"/>
        </w:rPr>
      </w:pPr>
      <w:r w:rsidRPr="1CB3929B">
        <w:rPr>
          <w:rFonts w:ascii="Calibri" w:eastAsia="Calibri" w:hAnsi="Calibri" w:cs="Calibri"/>
        </w:rPr>
        <w:t xml:space="preserve">Harry, J., (1983) ‘Parasuicide, Gender, and Gender Deviance’, </w:t>
      </w:r>
      <w:r w:rsidRPr="1CB3929B">
        <w:rPr>
          <w:rFonts w:ascii="Calibri" w:eastAsia="Calibri" w:hAnsi="Calibri" w:cs="Calibri"/>
          <w:i/>
          <w:iCs/>
        </w:rPr>
        <w:t>Journal of Health and Social Behavior,</w:t>
      </w:r>
      <w:r w:rsidRPr="1CB3929B">
        <w:rPr>
          <w:rFonts w:ascii="Calibri" w:eastAsia="Calibri" w:hAnsi="Calibri" w:cs="Calibri"/>
        </w:rPr>
        <w:t xml:space="preserve"> </w:t>
      </w:r>
      <w:r w:rsidR="53244712" w:rsidRPr="1CB3929B">
        <w:rPr>
          <w:rFonts w:ascii="Calibri" w:eastAsia="Calibri" w:hAnsi="Calibri" w:cs="Calibri"/>
        </w:rPr>
        <w:t xml:space="preserve">24(4), pp. 350-361. Doi: </w:t>
      </w:r>
      <w:hyperlink r:id="rId15">
        <w:r w:rsidR="53244712" w:rsidRPr="1CB3929B">
          <w:rPr>
            <w:rStyle w:val="Hyperlink"/>
            <w:rFonts w:ascii="Calibri" w:eastAsia="Calibri" w:hAnsi="Calibri" w:cs="Calibri"/>
          </w:rPr>
          <w:t>https://www.jstor.org/stable/2136401</w:t>
        </w:r>
      </w:hyperlink>
      <w:r w:rsidR="53244712" w:rsidRPr="1CB3929B">
        <w:rPr>
          <w:rFonts w:ascii="Calibri" w:eastAsia="Calibri" w:hAnsi="Calibri" w:cs="Calibri"/>
        </w:rPr>
        <w:t xml:space="preserve"> (Accessed on: 15 November 2023)</w:t>
      </w:r>
    </w:p>
    <w:p w14:paraId="18F64BEF" w14:textId="77777777" w:rsidR="00BB110E" w:rsidRDefault="00BB110E" w:rsidP="22037512">
      <w:pPr>
        <w:rPr>
          <w:rFonts w:ascii="Calibri" w:eastAsia="Calibri" w:hAnsi="Calibri" w:cs="Calibri"/>
        </w:rPr>
      </w:pPr>
    </w:p>
    <w:p w14:paraId="15FE70E5" w14:textId="43F05650" w:rsidR="00BB110E" w:rsidRDefault="00BB110E" w:rsidP="22037512">
      <w:pPr>
        <w:rPr>
          <w:rFonts w:ascii="Calibri" w:eastAsia="Calibri" w:hAnsi="Calibri" w:cs="Calibri"/>
        </w:rPr>
      </w:pPr>
      <w:r>
        <w:rPr>
          <w:rFonts w:ascii="Calibri" w:eastAsia="Calibri" w:hAnsi="Calibri" w:cs="Calibri"/>
        </w:rPr>
        <w:t xml:space="preserve">Jenness, V. &amp; </w:t>
      </w:r>
      <w:proofErr w:type="spellStart"/>
      <w:r>
        <w:rPr>
          <w:rFonts w:ascii="Calibri" w:eastAsia="Calibri" w:hAnsi="Calibri" w:cs="Calibri"/>
        </w:rPr>
        <w:t>Sevelius</w:t>
      </w:r>
      <w:proofErr w:type="spellEnd"/>
      <w:r>
        <w:rPr>
          <w:rFonts w:ascii="Calibri" w:eastAsia="Calibri" w:hAnsi="Calibri" w:cs="Calibri"/>
        </w:rPr>
        <w:t xml:space="preserve">, J. (2017) </w:t>
      </w:r>
      <w:r w:rsidRPr="00BB110E">
        <w:rPr>
          <w:rFonts w:ascii="Calibri" w:eastAsia="Calibri" w:hAnsi="Calibri" w:cs="Calibri"/>
        </w:rPr>
        <w:t>Challenges and opportunities for gender-affirming healthcare for transgender women in prison</w:t>
      </w:r>
      <w:r>
        <w:rPr>
          <w:rFonts w:ascii="Calibri" w:eastAsia="Calibri" w:hAnsi="Calibri" w:cs="Calibri"/>
        </w:rPr>
        <w:t xml:space="preserve">, </w:t>
      </w:r>
      <w:r w:rsidRPr="00BB110E">
        <w:rPr>
          <w:rFonts w:ascii="Calibri" w:eastAsia="Calibri" w:hAnsi="Calibri" w:cs="Calibri"/>
          <w:i/>
          <w:iCs/>
        </w:rPr>
        <w:t>Journal of Prison Health,</w:t>
      </w:r>
      <w:r>
        <w:rPr>
          <w:rFonts w:ascii="Calibri" w:eastAsia="Calibri" w:hAnsi="Calibri" w:cs="Calibri"/>
        </w:rPr>
        <w:t xml:space="preserve"> 13(1), pp. 32-40. Doi: </w:t>
      </w:r>
      <w:hyperlink r:id="rId16" w:history="1">
        <w:r w:rsidRPr="00B01830">
          <w:rPr>
            <w:rStyle w:val="Hyperlink"/>
            <w:rFonts w:ascii="Calibri" w:eastAsia="Calibri" w:hAnsi="Calibri" w:cs="Calibri"/>
          </w:rPr>
          <w:t>https://www.ncbi.nlm.nih.gov/pmc/articles/PMC8263052/</w:t>
        </w:r>
      </w:hyperlink>
      <w:r>
        <w:rPr>
          <w:rFonts w:ascii="Calibri" w:eastAsia="Calibri" w:hAnsi="Calibri" w:cs="Calibri"/>
        </w:rPr>
        <w:t xml:space="preserve"> (Accessed on: 17 November 2023)</w:t>
      </w:r>
    </w:p>
    <w:p w14:paraId="6E4E03C1" w14:textId="168123D0" w:rsidR="064785BE" w:rsidRDefault="064785BE" w:rsidP="1CB3929B">
      <w:pPr>
        <w:rPr>
          <w:rFonts w:ascii="Calibri" w:eastAsia="Calibri" w:hAnsi="Calibri" w:cs="Calibri"/>
        </w:rPr>
      </w:pPr>
    </w:p>
    <w:p w14:paraId="6215CA82" w14:textId="1100740B" w:rsidR="064785BE" w:rsidRDefault="2684F950" w:rsidP="1CB3929B">
      <w:pPr>
        <w:rPr>
          <w:rFonts w:ascii="Calibri" w:eastAsia="Calibri" w:hAnsi="Calibri" w:cs="Calibri"/>
        </w:rPr>
      </w:pPr>
      <w:r w:rsidRPr="1CB3929B">
        <w:rPr>
          <w:rFonts w:ascii="Calibri" w:eastAsia="Calibri" w:hAnsi="Calibri" w:cs="Calibri"/>
        </w:rPr>
        <w:t xml:space="preserve">Karadag, B., Miles, H. L., Rogers, G. &amp; Tyler, N., (2019) </w:t>
      </w:r>
      <w:r w:rsidR="40CBF053" w:rsidRPr="1CB3929B">
        <w:rPr>
          <w:rFonts w:ascii="Calibri" w:eastAsia="Calibri" w:hAnsi="Calibri" w:cs="Calibri"/>
        </w:rPr>
        <w:t xml:space="preserve">‘An updated picture of the mental health needs of male and female prisoners in the UK: prevalence, comorbidity, and gender differences’, </w:t>
      </w:r>
      <w:r w:rsidR="40CBF053" w:rsidRPr="1CB3929B">
        <w:rPr>
          <w:rFonts w:ascii="Calibri" w:eastAsia="Calibri" w:hAnsi="Calibri" w:cs="Calibri"/>
          <w:i/>
          <w:iCs/>
        </w:rPr>
        <w:t>Soc Psychiatry Psychiatr Epidemiol,</w:t>
      </w:r>
      <w:r w:rsidR="40CBF053" w:rsidRPr="1CB3929B">
        <w:rPr>
          <w:rFonts w:ascii="Calibri" w:eastAsia="Calibri" w:hAnsi="Calibri" w:cs="Calibri"/>
        </w:rPr>
        <w:t xml:space="preserve"> 54(9), pp. 1143-1152. Doi: </w:t>
      </w:r>
      <w:hyperlink r:id="rId17">
        <w:r w:rsidR="40CBF053" w:rsidRPr="1CB3929B">
          <w:rPr>
            <w:rStyle w:val="Hyperlink"/>
            <w:rFonts w:ascii="Calibri" w:eastAsia="Calibri" w:hAnsi="Calibri" w:cs="Calibri"/>
          </w:rPr>
          <w:t>https://pubmed.ncbi.nlm.nih.gov/30903239/</w:t>
        </w:r>
      </w:hyperlink>
      <w:r w:rsidR="40CBF053" w:rsidRPr="1CB3929B">
        <w:rPr>
          <w:rFonts w:ascii="Calibri" w:eastAsia="Calibri" w:hAnsi="Calibri" w:cs="Calibri"/>
        </w:rPr>
        <w:t xml:space="preserve"> (Accessed on 16 November 2023)</w:t>
      </w:r>
    </w:p>
    <w:p w14:paraId="71700B59" w14:textId="77777777" w:rsidR="000E3091" w:rsidRDefault="000E3091" w:rsidP="1CB3929B">
      <w:pPr>
        <w:rPr>
          <w:rFonts w:ascii="Calibri" w:eastAsia="Calibri" w:hAnsi="Calibri" w:cs="Calibri"/>
        </w:rPr>
      </w:pPr>
    </w:p>
    <w:p w14:paraId="5B2F3346" w14:textId="67E31B8A" w:rsidR="000E3091" w:rsidRDefault="000E3091" w:rsidP="1CB3929B">
      <w:pPr>
        <w:rPr>
          <w:rFonts w:ascii="Calibri" w:eastAsia="Calibri" w:hAnsi="Calibri" w:cs="Calibri"/>
        </w:rPr>
      </w:pPr>
      <w:r>
        <w:rPr>
          <w:rFonts w:ascii="Calibri" w:eastAsia="Calibri" w:hAnsi="Calibri" w:cs="Calibri"/>
        </w:rPr>
        <w:t xml:space="preserve">Lunette (No date) </w:t>
      </w:r>
      <w:r w:rsidRPr="000E3091">
        <w:rPr>
          <w:rFonts w:ascii="Calibri" w:eastAsia="Calibri" w:hAnsi="Calibri" w:cs="Calibri"/>
          <w:i/>
          <w:iCs/>
        </w:rPr>
        <w:t>Period Power: Periods and prisons in the UK</w:t>
      </w:r>
      <w:r w:rsidRPr="000E3091">
        <w:rPr>
          <w:rFonts w:ascii="Calibri" w:eastAsia="Calibri" w:hAnsi="Calibri" w:cs="Calibri"/>
          <w:i/>
          <w:iCs/>
        </w:rPr>
        <w:t>.</w:t>
      </w:r>
      <w:r>
        <w:rPr>
          <w:rFonts w:ascii="Calibri" w:eastAsia="Calibri" w:hAnsi="Calibri" w:cs="Calibri"/>
        </w:rPr>
        <w:t xml:space="preserve"> Available at: </w:t>
      </w:r>
      <w:hyperlink r:id="rId18" w:history="1">
        <w:r w:rsidRPr="00B01830">
          <w:rPr>
            <w:rStyle w:val="Hyperlink"/>
            <w:rFonts w:ascii="Calibri" w:eastAsia="Calibri" w:hAnsi="Calibri" w:cs="Calibri"/>
          </w:rPr>
          <w:t>https://uk.lunette.com/blogs/news/periods-and-prisons-in-the-uk</w:t>
        </w:r>
      </w:hyperlink>
      <w:r>
        <w:rPr>
          <w:rFonts w:ascii="Calibri" w:eastAsia="Calibri" w:hAnsi="Calibri" w:cs="Calibri"/>
        </w:rPr>
        <w:t xml:space="preserve"> (Accessed on: 17 November 2023)</w:t>
      </w:r>
    </w:p>
    <w:p w14:paraId="01616539" w14:textId="09950E39" w:rsidR="064785BE" w:rsidRDefault="064785BE" w:rsidP="22037512">
      <w:pPr>
        <w:rPr>
          <w:rFonts w:ascii="Calibri" w:eastAsia="Calibri" w:hAnsi="Calibri" w:cs="Calibri"/>
        </w:rPr>
      </w:pPr>
    </w:p>
    <w:p w14:paraId="4F0828AC" w14:textId="700AFAFE" w:rsidR="064785BE" w:rsidRDefault="5ECD061C" w:rsidP="22037512">
      <w:pPr>
        <w:rPr>
          <w:rFonts w:ascii="Calibri" w:eastAsia="Calibri" w:hAnsi="Calibri" w:cs="Calibri"/>
        </w:rPr>
      </w:pPr>
      <w:r w:rsidRPr="22037512">
        <w:rPr>
          <w:rFonts w:ascii="Calibri" w:eastAsia="Calibri" w:hAnsi="Calibri" w:cs="Calibri"/>
        </w:rPr>
        <w:t xml:space="preserve">Mental Health Foundation (No date) </w:t>
      </w:r>
      <w:r w:rsidRPr="22037512">
        <w:rPr>
          <w:rFonts w:ascii="Calibri" w:eastAsia="Calibri" w:hAnsi="Calibri" w:cs="Calibri"/>
          <w:i/>
          <w:iCs/>
        </w:rPr>
        <w:t>Women and Mental Health,</w:t>
      </w:r>
      <w:r w:rsidRPr="22037512">
        <w:rPr>
          <w:rFonts w:ascii="Calibri" w:eastAsia="Calibri" w:hAnsi="Calibri" w:cs="Calibri"/>
        </w:rPr>
        <w:t xml:space="preserve"> Available at: </w:t>
      </w:r>
      <w:hyperlink r:id="rId19">
        <w:r w:rsidRPr="22037512">
          <w:rPr>
            <w:rStyle w:val="Hyperlink"/>
            <w:rFonts w:ascii="Calibri" w:eastAsia="Calibri" w:hAnsi="Calibri" w:cs="Calibri"/>
          </w:rPr>
          <w:t>https://www.mentalhealth.org.uk/explore-mental-health/a-z-topics/women-and-mental-health</w:t>
        </w:r>
      </w:hyperlink>
      <w:r w:rsidRPr="22037512">
        <w:rPr>
          <w:rFonts w:ascii="Calibri" w:eastAsia="Calibri" w:hAnsi="Calibri" w:cs="Calibri"/>
        </w:rPr>
        <w:t xml:space="preserve"> </w:t>
      </w:r>
      <w:r w:rsidR="00970A36">
        <w:rPr>
          <w:rFonts w:ascii="Calibri" w:eastAsia="Calibri" w:hAnsi="Calibri" w:cs="Calibri"/>
        </w:rPr>
        <w:t>U</w:t>
      </w:r>
      <w:r w:rsidRPr="22037512">
        <w:rPr>
          <w:rFonts w:ascii="Calibri" w:eastAsia="Calibri" w:hAnsi="Calibri" w:cs="Calibri"/>
        </w:rPr>
        <w:t>(Accessed on: 15 November 2023)</w:t>
      </w:r>
    </w:p>
    <w:p w14:paraId="20B64E73" w14:textId="77777777" w:rsidR="001F3930" w:rsidRDefault="001F3930" w:rsidP="22037512">
      <w:pPr>
        <w:rPr>
          <w:rFonts w:ascii="Calibri" w:eastAsia="Calibri" w:hAnsi="Calibri" w:cs="Calibri"/>
        </w:rPr>
      </w:pPr>
    </w:p>
    <w:p w14:paraId="4B890D4B" w14:textId="2B2550E7" w:rsidR="001F3930" w:rsidRDefault="001F3930" w:rsidP="22037512">
      <w:pPr>
        <w:rPr>
          <w:rFonts w:ascii="Calibri" w:eastAsia="Calibri" w:hAnsi="Calibri" w:cs="Calibri"/>
        </w:rPr>
      </w:pPr>
      <w:r>
        <w:rPr>
          <w:rFonts w:ascii="Calibri" w:eastAsia="Calibri" w:hAnsi="Calibri" w:cs="Calibri"/>
        </w:rPr>
        <w:t xml:space="preserve">Mental Health Foundation (No date) </w:t>
      </w:r>
      <w:r w:rsidRPr="001F3930">
        <w:rPr>
          <w:rFonts w:ascii="Calibri" w:eastAsia="Calibri" w:hAnsi="Calibri" w:cs="Calibri"/>
        </w:rPr>
        <w:t>Looking after your mental health in prison: a guide for male prisoners</w:t>
      </w:r>
      <w:r>
        <w:rPr>
          <w:rFonts w:ascii="Calibri" w:eastAsia="Calibri" w:hAnsi="Calibri" w:cs="Calibri"/>
        </w:rPr>
        <w:t>. Available at:</w:t>
      </w:r>
      <w:r w:rsidRPr="001F3930">
        <w:t xml:space="preserve"> </w:t>
      </w:r>
      <w:hyperlink r:id="rId20" w:history="1">
        <w:r w:rsidRPr="00B01830">
          <w:rPr>
            <w:rStyle w:val="Hyperlink"/>
            <w:rFonts w:ascii="Calibri" w:eastAsia="Calibri" w:hAnsi="Calibri" w:cs="Calibri"/>
          </w:rPr>
          <w:t>https://www.mentalhealth.org.uk/explore-mental-health/publications/looking-after-your-mental-health-prison-guide-male-prisoners#:~:text=Regular%20physical%20activity%20and%20exercise,the%20risk%20of%20depression1</w:t>
        </w:r>
      </w:hyperlink>
      <w:r>
        <w:rPr>
          <w:rFonts w:ascii="Calibri" w:eastAsia="Calibri" w:hAnsi="Calibri" w:cs="Calibri"/>
        </w:rPr>
        <w:t xml:space="preserve"> (Accessed on: 17 November 2023)</w:t>
      </w:r>
    </w:p>
    <w:p w14:paraId="251447B4" w14:textId="2F78E82C" w:rsidR="00450115" w:rsidRDefault="001F3930" w:rsidP="22037512">
      <w:pPr>
        <w:rPr>
          <w:rFonts w:ascii="Calibri" w:eastAsia="Calibri" w:hAnsi="Calibri" w:cs="Calibri"/>
        </w:rPr>
      </w:pPr>
      <w:r>
        <w:rPr>
          <w:rFonts w:ascii="Calibri" w:eastAsia="Calibri" w:hAnsi="Calibri" w:cs="Calibri"/>
        </w:rPr>
        <w:t xml:space="preserve"> </w:t>
      </w:r>
    </w:p>
    <w:p w14:paraId="6C33DD46" w14:textId="382924C8" w:rsidR="00450115" w:rsidRDefault="00450115" w:rsidP="22037512">
      <w:pPr>
        <w:rPr>
          <w:rFonts w:ascii="Calibri" w:eastAsia="Calibri" w:hAnsi="Calibri" w:cs="Calibri"/>
        </w:rPr>
      </w:pPr>
      <w:r>
        <w:rPr>
          <w:rFonts w:ascii="Calibri" w:eastAsia="Calibri" w:hAnsi="Calibri" w:cs="Calibri"/>
        </w:rPr>
        <w:t xml:space="preserve">Ministry of Justice (2019) </w:t>
      </w:r>
      <w:r w:rsidRPr="00450115">
        <w:rPr>
          <w:rFonts w:ascii="Calibri" w:eastAsia="Calibri" w:hAnsi="Calibri" w:cs="Calibri"/>
          <w:i/>
          <w:iCs/>
        </w:rPr>
        <w:t>Population and Capacity Briefing for Friday 22nd March 2019</w:t>
      </w:r>
      <w:r w:rsidRPr="00450115">
        <w:rPr>
          <w:rFonts w:ascii="Calibri" w:eastAsia="Calibri" w:hAnsi="Calibri" w:cs="Calibri"/>
          <w:i/>
          <w:iCs/>
        </w:rPr>
        <w:t>.</w:t>
      </w:r>
      <w:r>
        <w:rPr>
          <w:rFonts w:ascii="Calibri" w:eastAsia="Calibri" w:hAnsi="Calibri" w:cs="Calibri"/>
        </w:rPr>
        <w:t xml:space="preserve"> Available at: </w:t>
      </w:r>
      <w:hyperlink r:id="rId21" w:history="1">
        <w:r w:rsidRPr="00B01830">
          <w:rPr>
            <w:rStyle w:val="Hyperlink"/>
            <w:rFonts w:ascii="Calibri" w:eastAsia="Calibri" w:hAnsi="Calibri" w:cs="Calibri"/>
          </w:rPr>
          <w:t>https://www.gov.uk/government/statistics/prison-population-figures-2019</w:t>
        </w:r>
      </w:hyperlink>
      <w:r>
        <w:rPr>
          <w:rFonts w:ascii="Calibri" w:eastAsia="Calibri" w:hAnsi="Calibri" w:cs="Calibri"/>
        </w:rPr>
        <w:t xml:space="preserve"> (Accessed on: 17 November 2023)</w:t>
      </w:r>
    </w:p>
    <w:p w14:paraId="35C81F0E" w14:textId="6BE5343E" w:rsidR="064785BE" w:rsidRDefault="064785BE" w:rsidP="22037512">
      <w:pPr>
        <w:rPr>
          <w:rFonts w:ascii="Calibri" w:eastAsia="Calibri" w:hAnsi="Calibri" w:cs="Calibri"/>
        </w:rPr>
      </w:pPr>
    </w:p>
    <w:p w14:paraId="3CD267DF" w14:textId="7BA8B5B1" w:rsidR="064785BE" w:rsidRDefault="57B1CF48" w:rsidP="22037512">
      <w:pPr>
        <w:rPr>
          <w:rFonts w:ascii="Calibri" w:eastAsia="Calibri" w:hAnsi="Calibri" w:cs="Calibri"/>
        </w:rPr>
      </w:pPr>
      <w:r w:rsidRPr="22037512">
        <w:rPr>
          <w:rFonts w:ascii="Calibri" w:eastAsia="Calibri" w:hAnsi="Calibri" w:cs="Calibri"/>
        </w:rPr>
        <w:t xml:space="preserve">Ministry of Justice (2022) </w:t>
      </w:r>
      <w:r w:rsidRPr="22037512">
        <w:rPr>
          <w:rFonts w:ascii="Calibri" w:eastAsia="Calibri" w:hAnsi="Calibri" w:cs="Calibri"/>
          <w:i/>
          <w:iCs/>
        </w:rPr>
        <w:t>Women and the Criminal Justice System 2021</w:t>
      </w:r>
      <w:r w:rsidRPr="22037512">
        <w:rPr>
          <w:rFonts w:ascii="Calibri" w:eastAsia="Calibri" w:hAnsi="Calibri" w:cs="Calibri"/>
        </w:rPr>
        <w:t xml:space="preserve">, GOV.UK, Available at: </w:t>
      </w:r>
      <w:hyperlink r:id="rId22">
        <w:r w:rsidRPr="22037512">
          <w:rPr>
            <w:rStyle w:val="Hyperlink"/>
            <w:rFonts w:ascii="Calibri" w:eastAsia="Calibri" w:hAnsi="Calibri" w:cs="Calibri"/>
          </w:rPr>
          <w:t>https://www.gov.uk/government/statistics/women-and-the-criminal-justice-system-2021/women-and-the-criminal-justice-system-2021</w:t>
        </w:r>
      </w:hyperlink>
      <w:r w:rsidRPr="22037512">
        <w:rPr>
          <w:rFonts w:ascii="Calibri" w:eastAsia="Calibri" w:hAnsi="Calibri" w:cs="Calibri"/>
        </w:rPr>
        <w:t xml:space="preserve"> (Accessed on: 15 November 2023)</w:t>
      </w:r>
    </w:p>
    <w:p w14:paraId="23E9A0D6" w14:textId="77777777" w:rsidR="0015500F" w:rsidRDefault="0015500F" w:rsidP="22037512">
      <w:pPr>
        <w:rPr>
          <w:rFonts w:ascii="Calibri" w:eastAsia="Calibri" w:hAnsi="Calibri" w:cs="Calibri"/>
        </w:rPr>
      </w:pPr>
    </w:p>
    <w:p w14:paraId="314CF72B" w14:textId="0629C32E" w:rsidR="0015500F" w:rsidRDefault="0015500F" w:rsidP="22037512">
      <w:pPr>
        <w:rPr>
          <w:rFonts w:ascii="Calibri" w:eastAsia="Calibri" w:hAnsi="Calibri" w:cs="Calibri"/>
        </w:rPr>
      </w:pPr>
      <w:r>
        <w:rPr>
          <w:rFonts w:ascii="Calibri" w:eastAsia="Calibri" w:hAnsi="Calibri" w:cs="Calibri"/>
        </w:rPr>
        <w:t xml:space="preserve">Moore, L. &amp; Scraton, P. (2014) </w:t>
      </w:r>
      <w:r w:rsidR="00D4672D" w:rsidRPr="00D4672D">
        <w:rPr>
          <w:rFonts w:ascii="Calibri" w:eastAsia="Calibri" w:hAnsi="Calibri" w:cs="Calibri"/>
          <w:i/>
          <w:iCs/>
        </w:rPr>
        <w:t>The Incarceration of Women: Punishing Bodies,</w:t>
      </w:r>
      <w:r w:rsidR="00D4672D" w:rsidRPr="00D4672D">
        <w:rPr>
          <w:rFonts w:ascii="Calibri" w:eastAsia="Calibri" w:hAnsi="Calibri" w:cs="Calibri"/>
        </w:rPr>
        <w:t xml:space="preserve"> Breaking Spirits</w:t>
      </w:r>
      <w:r w:rsidR="00D4672D">
        <w:rPr>
          <w:rFonts w:ascii="Calibri" w:eastAsia="Calibri" w:hAnsi="Calibri" w:cs="Calibri"/>
        </w:rPr>
        <w:t>, 2014</w:t>
      </w:r>
      <w:r w:rsidR="00D4672D" w:rsidRPr="00D4672D">
        <w:rPr>
          <w:rFonts w:ascii="Calibri" w:eastAsia="Calibri" w:hAnsi="Calibri" w:cs="Calibri"/>
          <w:vertAlign w:val="superscript"/>
        </w:rPr>
        <w:t>th</w:t>
      </w:r>
      <w:r w:rsidR="00D4672D">
        <w:rPr>
          <w:rFonts w:ascii="Calibri" w:eastAsia="Calibri" w:hAnsi="Calibri" w:cs="Calibri"/>
        </w:rPr>
        <w:t xml:space="preserve"> Edition, Palgrave Macmillan. (Accessed on: 17 November 2023)</w:t>
      </w:r>
    </w:p>
    <w:p w14:paraId="00CC4F41" w14:textId="5633116C" w:rsidR="064785BE" w:rsidRDefault="064785BE" w:rsidP="22037512">
      <w:pPr>
        <w:rPr>
          <w:rFonts w:ascii="Calibri" w:eastAsia="Calibri" w:hAnsi="Calibri" w:cs="Calibri"/>
        </w:rPr>
      </w:pPr>
    </w:p>
    <w:p w14:paraId="09A36683" w14:textId="0779DBCC" w:rsidR="064785BE" w:rsidRDefault="50877BAC" w:rsidP="22037512">
      <w:pPr>
        <w:rPr>
          <w:rFonts w:ascii="Calibri" w:eastAsia="Calibri" w:hAnsi="Calibri" w:cs="Calibri"/>
        </w:rPr>
      </w:pPr>
      <w:r w:rsidRPr="1CB3929B">
        <w:rPr>
          <w:rFonts w:ascii="Calibri" w:eastAsia="Calibri" w:hAnsi="Calibri" w:cs="Calibri"/>
        </w:rPr>
        <w:lastRenderedPageBreak/>
        <w:t xml:space="preserve">Moum, T., Nygard, J. F., Sandanger, I. &amp; Sorensen, T., (2004) </w:t>
      </w:r>
      <w:r w:rsidR="00AA325F" w:rsidRPr="1CB3929B">
        <w:rPr>
          <w:rFonts w:ascii="Calibri" w:eastAsia="Calibri" w:hAnsi="Calibri" w:cs="Calibri"/>
        </w:rPr>
        <w:t xml:space="preserve">‘Is women's mental health more susceptible than men's to the influence of surrounding stress?’, </w:t>
      </w:r>
      <w:r w:rsidR="706EC474" w:rsidRPr="1CB3929B">
        <w:rPr>
          <w:rFonts w:ascii="Calibri" w:eastAsia="Calibri" w:hAnsi="Calibri" w:cs="Calibri"/>
        </w:rPr>
        <w:t xml:space="preserve">Soc Psychiatry Psychiatr Epidemiol, 39(3), pp. 177-184. Doi: </w:t>
      </w:r>
      <w:hyperlink r:id="rId23">
        <w:r w:rsidR="706EC474" w:rsidRPr="1CB3929B">
          <w:rPr>
            <w:rStyle w:val="Hyperlink"/>
            <w:rFonts w:ascii="Calibri" w:eastAsia="Calibri" w:hAnsi="Calibri" w:cs="Calibri"/>
          </w:rPr>
          <w:t>https://pubmed.ncbi.nlm.nih.gov/14999449/</w:t>
        </w:r>
      </w:hyperlink>
      <w:r w:rsidR="706EC474" w:rsidRPr="1CB3929B">
        <w:rPr>
          <w:rFonts w:ascii="Calibri" w:eastAsia="Calibri" w:hAnsi="Calibri" w:cs="Calibri"/>
        </w:rPr>
        <w:t xml:space="preserve"> (Accessed on: 15 November 2023)</w:t>
      </w:r>
    </w:p>
    <w:p w14:paraId="5DE3B206" w14:textId="77777777" w:rsidR="00182363" w:rsidRDefault="00182363" w:rsidP="22037512">
      <w:pPr>
        <w:rPr>
          <w:rFonts w:ascii="Calibri" w:eastAsia="Calibri" w:hAnsi="Calibri" w:cs="Calibri"/>
        </w:rPr>
      </w:pPr>
    </w:p>
    <w:p w14:paraId="1B0A847D" w14:textId="37EC3E63" w:rsidR="00182363" w:rsidRDefault="00182363" w:rsidP="22037512">
      <w:pPr>
        <w:rPr>
          <w:rFonts w:ascii="Calibri" w:eastAsia="Calibri" w:hAnsi="Calibri" w:cs="Calibri"/>
        </w:rPr>
      </w:pPr>
      <w:r>
        <w:rPr>
          <w:rFonts w:ascii="Calibri" w:eastAsia="Calibri" w:hAnsi="Calibri" w:cs="Calibri"/>
        </w:rPr>
        <w:t xml:space="preserve">Murphy, E. &amp; Brown, J. (2010) </w:t>
      </w:r>
      <w:r w:rsidRPr="00182363">
        <w:rPr>
          <w:rFonts w:ascii="Calibri" w:eastAsia="Calibri" w:hAnsi="Calibri" w:cs="Calibri"/>
        </w:rPr>
        <w:t>Exploring gender role identity, value orientation of occupation and sex of respondent in influencing attitudes towards male and female offenders</w:t>
      </w:r>
      <w:r>
        <w:rPr>
          <w:rFonts w:ascii="Calibri" w:eastAsia="Calibri" w:hAnsi="Calibri" w:cs="Calibri"/>
        </w:rPr>
        <w:t xml:space="preserve">, </w:t>
      </w:r>
      <w:r w:rsidR="005E20A9">
        <w:rPr>
          <w:rFonts w:ascii="Calibri" w:eastAsia="Calibri" w:hAnsi="Calibri" w:cs="Calibri"/>
        </w:rPr>
        <w:t xml:space="preserve">Legal and Criminal Psychology, 5(2), pp. 285-290. Doi: </w:t>
      </w:r>
      <w:hyperlink r:id="rId24" w:history="1">
        <w:r w:rsidR="005E20A9" w:rsidRPr="00B01830">
          <w:rPr>
            <w:rStyle w:val="Hyperlink"/>
            <w:rFonts w:ascii="Calibri" w:eastAsia="Calibri" w:hAnsi="Calibri" w:cs="Calibri"/>
          </w:rPr>
          <w:t>https://bpspsychub.onlinelibrary.wiley.com/doi/epdf/10.1348/135532500168047</w:t>
        </w:r>
      </w:hyperlink>
      <w:r w:rsidR="005E20A9">
        <w:rPr>
          <w:rFonts w:ascii="Calibri" w:eastAsia="Calibri" w:hAnsi="Calibri" w:cs="Calibri"/>
        </w:rPr>
        <w:t xml:space="preserve"> (Accessed on: 17 November 2023)</w:t>
      </w:r>
    </w:p>
    <w:p w14:paraId="3D93984C" w14:textId="77777777" w:rsidR="00970A36" w:rsidRDefault="00970A36" w:rsidP="22037512">
      <w:pPr>
        <w:rPr>
          <w:rFonts w:ascii="Calibri" w:eastAsia="Calibri" w:hAnsi="Calibri" w:cs="Calibri"/>
        </w:rPr>
      </w:pPr>
    </w:p>
    <w:p w14:paraId="420965FD" w14:textId="496771BE" w:rsidR="00970A36" w:rsidRDefault="00970A36" w:rsidP="22037512">
      <w:pPr>
        <w:rPr>
          <w:rFonts w:ascii="Calibri" w:eastAsia="Calibri" w:hAnsi="Calibri" w:cs="Calibri"/>
        </w:rPr>
      </w:pPr>
      <w:r>
        <w:rPr>
          <w:rFonts w:ascii="Calibri" w:eastAsia="Calibri" w:hAnsi="Calibri" w:cs="Calibri"/>
        </w:rPr>
        <w:t xml:space="preserve">Nacro (2023) </w:t>
      </w:r>
      <w:r w:rsidRPr="00447E8E">
        <w:rPr>
          <w:rFonts w:ascii="Calibri" w:eastAsia="Calibri" w:hAnsi="Calibri" w:cs="Calibri"/>
          <w:i/>
          <w:iCs/>
        </w:rPr>
        <w:t>Remembering mothers in prison this Mother’s Day</w:t>
      </w:r>
      <w:r w:rsidRPr="00447E8E">
        <w:rPr>
          <w:rFonts w:ascii="Calibri" w:eastAsia="Calibri" w:hAnsi="Calibri" w:cs="Calibri"/>
          <w:i/>
          <w:iCs/>
        </w:rPr>
        <w:t>.</w:t>
      </w:r>
      <w:r>
        <w:rPr>
          <w:rFonts w:ascii="Calibri" w:eastAsia="Calibri" w:hAnsi="Calibri" w:cs="Calibri"/>
        </w:rPr>
        <w:t xml:space="preserve"> Available at: </w:t>
      </w:r>
      <w:hyperlink r:id="rId25" w:history="1">
        <w:r w:rsidR="00447E8E" w:rsidRPr="00B01830">
          <w:rPr>
            <w:rStyle w:val="Hyperlink"/>
            <w:rFonts w:ascii="Calibri" w:eastAsia="Calibri" w:hAnsi="Calibri" w:cs="Calibri"/>
          </w:rPr>
          <w:t>https://www.nacro.org.uk/news/remember-women-in-prison-this-mothers-day-nacro/</w:t>
        </w:r>
      </w:hyperlink>
      <w:r w:rsidR="00447E8E">
        <w:rPr>
          <w:rFonts w:ascii="Calibri" w:eastAsia="Calibri" w:hAnsi="Calibri" w:cs="Calibri"/>
        </w:rPr>
        <w:t xml:space="preserve"> (Accessed on: 17 November 2023)</w:t>
      </w:r>
    </w:p>
    <w:p w14:paraId="62899E6E" w14:textId="77777777" w:rsidR="00970A36" w:rsidRDefault="00970A36" w:rsidP="22037512">
      <w:pPr>
        <w:rPr>
          <w:rFonts w:ascii="Calibri" w:eastAsia="Calibri" w:hAnsi="Calibri" w:cs="Calibri"/>
        </w:rPr>
      </w:pPr>
    </w:p>
    <w:p w14:paraId="2D602864" w14:textId="324C0A94" w:rsidR="00970A36" w:rsidRDefault="00970A36" w:rsidP="22037512">
      <w:pPr>
        <w:rPr>
          <w:rFonts w:ascii="Calibri" w:eastAsia="Calibri" w:hAnsi="Calibri" w:cs="Calibri"/>
        </w:rPr>
      </w:pPr>
      <w:r>
        <w:rPr>
          <w:rFonts w:ascii="Calibri" w:eastAsia="Calibri" w:hAnsi="Calibri" w:cs="Calibri"/>
        </w:rPr>
        <w:t xml:space="preserve">Office of National Statistics (2022) </w:t>
      </w:r>
      <w:r w:rsidRPr="00970A36">
        <w:rPr>
          <w:rFonts w:ascii="Calibri" w:eastAsia="Calibri" w:hAnsi="Calibri" w:cs="Calibri"/>
          <w:i/>
          <w:iCs/>
        </w:rPr>
        <w:t>Families and households in the UK: 2022</w:t>
      </w:r>
      <w:r w:rsidRPr="00970A36">
        <w:rPr>
          <w:rFonts w:ascii="Calibri" w:eastAsia="Calibri" w:hAnsi="Calibri" w:cs="Calibri"/>
          <w:i/>
          <w:iCs/>
        </w:rPr>
        <w:t>.</w:t>
      </w:r>
      <w:r>
        <w:rPr>
          <w:rFonts w:ascii="Calibri" w:eastAsia="Calibri" w:hAnsi="Calibri" w:cs="Calibri"/>
        </w:rPr>
        <w:t xml:space="preserve"> Available at: </w:t>
      </w:r>
      <w:hyperlink r:id="rId26" w:history="1">
        <w:r w:rsidRPr="00B01830">
          <w:rPr>
            <w:rStyle w:val="Hyperlink"/>
            <w:rFonts w:ascii="Calibri" w:eastAsia="Calibri" w:hAnsi="Calibri" w:cs="Calibri"/>
          </w:rPr>
          <w:t>https://www.ons.gov.uk/peoplepopulationandcommunity/birthsdeathsandmarriages/families/bulletins/familiesandhouseholds/2022</w:t>
        </w:r>
      </w:hyperlink>
      <w:r>
        <w:rPr>
          <w:rFonts w:ascii="Calibri" w:eastAsia="Calibri" w:hAnsi="Calibri" w:cs="Calibri"/>
        </w:rPr>
        <w:t xml:space="preserve"> (Accessed on: 17 November 2023)</w:t>
      </w:r>
    </w:p>
    <w:p w14:paraId="7CFA5958" w14:textId="13F7AD5F" w:rsidR="064785BE" w:rsidRDefault="064785BE" w:rsidP="1CB3929B">
      <w:pPr>
        <w:rPr>
          <w:rFonts w:ascii="Calibri" w:eastAsia="Calibri" w:hAnsi="Calibri" w:cs="Calibri"/>
        </w:rPr>
      </w:pPr>
    </w:p>
    <w:p w14:paraId="217C5BE5" w14:textId="1D0C187A" w:rsidR="064785BE" w:rsidRDefault="4D30FE79" w:rsidP="1CB3929B">
      <w:pPr>
        <w:rPr>
          <w:rFonts w:ascii="Calibri" w:eastAsia="Calibri" w:hAnsi="Calibri" w:cs="Calibri"/>
        </w:rPr>
      </w:pPr>
      <w:r w:rsidRPr="1CB3929B">
        <w:rPr>
          <w:rFonts w:ascii="Calibri" w:eastAsia="Calibri" w:hAnsi="Calibri" w:cs="Calibri"/>
        </w:rPr>
        <w:t xml:space="preserve">Office of National Statistics (2023) </w:t>
      </w:r>
      <w:r w:rsidRPr="1CB3929B">
        <w:rPr>
          <w:rFonts w:ascii="Calibri" w:eastAsia="Calibri" w:hAnsi="Calibri" w:cs="Calibri"/>
          <w:i/>
          <w:iCs/>
        </w:rPr>
        <w:t xml:space="preserve">Drug-related deaths and suicide in prison custody in England and Wales: 2008 to 2019. </w:t>
      </w:r>
      <w:r w:rsidRPr="1CB3929B">
        <w:rPr>
          <w:rFonts w:ascii="Calibri" w:eastAsia="Calibri" w:hAnsi="Calibri" w:cs="Calibri"/>
        </w:rPr>
        <w:t>Available at:</w:t>
      </w:r>
      <w:r w:rsidRPr="1CB3929B">
        <w:rPr>
          <w:rFonts w:ascii="Calibri" w:eastAsia="Calibri" w:hAnsi="Calibri" w:cs="Calibri"/>
          <w:i/>
          <w:iCs/>
        </w:rPr>
        <w:t xml:space="preserve"> </w:t>
      </w:r>
      <w:hyperlink r:id="rId27" w:anchor=":~:text=of%2062%20surveys.-,Suicide%20deaths%20in%20prison%20custody,caused%20by%20suicide%20each%20year">
        <w:r w:rsidRPr="1CB3929B">
          <w:rPr>
            <w:rStyle w:val="Hyperlink"/>
            <w:rFonts w:ascii="Calibri" w:eastAsia="Calibri" w:hAnsi="Calibri" w:cs="Calibri"/>
          </w:rPr>
          <w:t>https://www.ons.gov.uk/peoplepopulationandcommunity/birthsdeathsandmarriages/deaths/articles/drugrelateddeathsandsuicideinprisoncustodyinenglandandwales/2023-01-26#:~:text=of%2062%20surveys.-,Suicide%20deaths%20in%20prison%20custody,caused%20by%20suicide%20each%20year</w:t>
        </w:r>
      </w:hyperlink>
      <w:r w:rsidRPr="1CB3929B">
        <w:rPr>
          <w:rFonts w:ascii="Calibri" w:eastAsia="Calibri" w:hAnsi="Calibri" w:cs="Calibri"/>
        </w:rPr>
        <w:t xml:space="preserve">. (Accessed </w:t>
      </w:r>
      <w:r w:rsidR="7C9D60B6" w:rsidRPr="1CB3929B">
        <w:rPr>
          <w:rFonts w:ascii="Calibri" w:eastAsia="Calibri" w:hAnsi="Calibri" w:cs="Calibri"/>
        </w:rPr>
        <w:t>on: 16 November 2023)</w:t>
      </w:r>
    </w:p>
    <w:p w14:paraId="587517F9" w14:textId="0C57FFF8" w:rsidR="064785BE" w:rsidRDefault="064785BE" w:rsidP="1CB3929B">
      <w:pPr>
        <w:rPr>
          <w:rFonts w:ascii="Calibri" w:eastAsia="Calibri" w:hAnsi="Calibri" w:cs="Calibri"/>
        </w:rPr>
      </w:pPr>
    </w:p>
    <w:p w14:paraId="28A0A633" w14:textId="3C04022F" w:rsidR="064785BE" w:rsidRDefault="7FA11E33" w:rsidP="1CB3929B">
      <w:pPr>
        <w:rPr>
          <w:rFonts w:ascii="Calibri" w:eastAsia="Calibri" w:hAnsi="Calibri" w:cs="Calibri"/>
        </w:rPr>
      </w:pPr>
      <w:r w:rsidRPr="1CB3929B">
        <w:rPr>
          <w:rFonts w:ascii="Calibri" w:eastAsia="Calibri" w:hAnsi="Calibri" w:cs="Calibri"/>
        </w:rPr>
        <w:t xml:space="preserve">Samaritans (2021) </w:t>
      </w:r>
      <w:r w:rsidRPr="1CB3929B">
        <w:rPr>
          <w:rFonts w:ascii="Calibri" w:eastAsia="Calibri" w:hAnsi="Calibri" w:cs="Calibri"/>
          <w:i/>
          <w:iCs/>
        </w:rPr>
        <w:t>Latest suicide data,</w:t>
      </w:r>
      <w:r w:rsidRPr="1CB3929B">
        <w:rPr>
          <w:rFonts w:ascii="Calibri" w:eastAsia="Calibri" w:hAnsi="Calibri" w:cs="Calibri"/>
        </w:rPr>
        <w:t xml:space="preserve"> Available at: </w:t>
      </w:r>
      <w:hyperlink r:id="rId28">
        <w:r w:rsidRPr="1CB3929B">
          <w:rPr>
            <w:rStyle w:val="Hyperlink"/>
            <w:rFonts w:ascii="Calibri" w:eastAsia="Calibri" w:hAnsi="Calibri" w:cs="Calibri"/>
          </w:rPr>
          <w:t>https://www.samaritans.org/about-samaritans/research-policy/suicide-facts-and-figures/latest-suicide-data/</w:t>
        </w:r>
      </w:hyperlink>
      <w:r w:rsidRPr="1CB3929B">
        <w:rPr>
          <w:rFonts w:ascii="Calibri" w:eastAsia="Calibri" w:hAnsi="Calibri" w:cs="Calibri"/>
        </w:rPr>
        <w:t xml:space="preserve"> (Accessed on: 16 November 2023)</w:t>
      </w:r>
    </w:p>
    <w:p w14:paraId="22AC5FF9" w14:textId="18335AA3" w:rsidR="064785BE" w:rsidRDefault="064785BE" w:rsidP="22037512">
      <w:pPr>
        <w:rPr>
          <w:rFonts w:ascii="Calibri" w:eastAsia="Calibri" w:hAnsi="Calibri" w:cs="Calibri"/>
        </w:rPr>
      </w:pPr>
    </w:p>
    <w:p w14:paraId="4D2BACB2" w14:textId="4CA2530B" w:rsidR="064785BE" w:rsidRDefault="064785BE" w:rsidP="37C4A33C">
      <w:pPr>
        <w:rPr>
          <w:rFonts w:ascii="Calibri" w:eastAsia="Calibri" w:hAnsi="Calibri" w:cs="Calibri"/>
        </w:rPr>
      </w:pPr>
      <w:r>
        <w:t>Smith, R.</w:t>
      </w:r>
      <w:r w:rsidR="34D0CD8F">
        <w:t>,</w:t>
      </w:r>
      <w:r>
        <w:t xml:space="preserve"> (1983) ‘</w:t>
      </w:r>
      <w:r w:rsidR="6AEAECED">
        <w:t>Organi</w:t>
      </w:r>
      <w:r w:rsidR="0FA56895">
        <w:t>s</w:t>
      </w:r>
      <w:r w:rsidR="6AEAECED">
        <w:t xml:space="preserve">ation of Prison Medical Systems- </w:t>
      </w:r>
      <w:r>
        <w:t xml:space="preserve">The State of the Prisons’, </w:t>
      </w:r>
      <w:r w:rsidR="6E2554AC" w:rsidRPr="22037512">
        <w:rPr>
          <w:i/>
          <w:iCs/>
        </w:rPr>
        <w:t xml:space="preserve">British Medical Journal, </w:t>
      </w:r>
      <w:r w:rsidR="6E2554AC" w:rsidRPr="22037512">
        <w:t>287(6408), pp</w:t>
      </w:r>
      <w:r w:rsidR="7073CD1B" w:rsidRPr="22037512">
        <w:t>. 1614-1618</w:t>
      </w:r>
      <w:r w:rsidR="719CE903" w:rsidRPr="22037512">
        <w:t>.</w:t>
      </w:r>
      <w:r w:rsidR="7073CD1B" w:rsidRPr="22037512">
        <w:t xml:space="preserve"> </w:t>
      </w:r>
      <w:r w:rsidR="64E080C6" w:rsidRPr="22037512">
        <w:t>D</w:t>
      </w:r>
      <w:r w:rsidR="7073CD1B" w:rsidRPr="22037512">
        <w:t xml:space="preserve">oi: </w:t>
      </w:r>
      <w:hyperlink r:id="rId29">
        <w:r w:rsidR="12032287" w:rsidRPr="22037512">
          <w:rPr>
            <w:rStyle w:val="Hyperlink"/>
            <w:rFonts w:ascii="Calibri" w:eastAsia="Calibri" w:hAnsi="Calibri" w:cs="Calibri"/>
          </w:rPr>
          <w:t>Organisation Of Prison Medical Services on JSTOR</w:t>
        </w:r>
      </w:hyperlink>
      <w:r w:rsidR="12032287" w:rsidRPr="22037512">
        <w:rPr>
          <w:rFonts w:ascii="Calibri" w:eastAsia="Calibri" w:hAnsi="Calibri" w:cs="Calibri"/>
        </w:rPr>
        <w:t xml:space="preserve"> (Accessed on: 04 November 2023)</w:t>
      </w:r>
    </w:p>
    <w:p w14:paraId="65CB1412" w14:textId="77777777" w:rsidR="008A154D" w:rsidRDefault="008A154D" w:rsidP="37C4A33C">
      <w:pPr>
        <w:rPr>
          <w:rFonts w:ascii="Calibri" w:eastAsia="Calibri" w:hAnsi="Calibri" w:cs="Calibri"/>
        </w:rPr>
      </w:pPr>
    </w:p>
    <w:p w14:paraId="08B0DD85" w14:textId="51829AD4" w:rsidR="008A154D" w:rsidRDefault="008A154D" w:rsidP="37C4A33C">
      <w:pPr>
        <w:rPr>
          <w:rFonts w:ascii="Calibri" w:eastAsia="Calibri" w:hAnsi="Calibri" w:cs="Calibri"/>
        </w:rPr>
      </w:pPr>
      <w:r>
        <w:rPr>
          <w:rFonts w:ascii="Calibri" w:eastAsia="Calibri" w:hAnsi="Calibri" w:cs="Calibri"/>
        </w:rPr>
        <w:t xml:space="preserve">The World Bank (2020) </w:t>
      </w:r>
      <w:r w:rsidR="001816BA" w:rsidRPr="001816BA">
        <w:rPr>
          <w:rFonts w:ascii="Calibri" w:eastAsia="Calibri" w:hAnsi="Calibri" w:cs="Calibri"/>
          <w:i/>
          <w:iCs/>
        </w:rPr>
        <w:t>Periods Don’t Stop for Pandemics – Neither Will Our Efforts to Bring Safe Menstrual Hygiene to Women and Girls</w:t>
      </w:r>
      <w:r w:rsidR="001816BA" w:rsidRPr="001816BA">
        <w:rPr>
          <w:rFonts w:ascii="Calibri" w:eastAsia="Calibri" w:hAnsi="Calibri" w:cs="Calibri"/>
          <w:i/>
          <w:iCs/>
        </w:rPr>
        <w:t>.</w:t>
      </w:r>
      <w:r w:rsidR="001816BA">
        <w:rPr>
          <w:rFonts w:ascii="Calibri" w:eastAsia="Calibri" w:hAnsi="Calibri" w:cs="Calibri"/>
        </w:rPr>
        <w:t xml:space="preserve"> Available at: </w:t>
      </w:r>
      <w:hyperlink r:id="rId30" w:history="1">
        <w:r w:rsidR="001816BA" w:rsidRPr="00B01830">
          <w:rPr>
            <w:rStyle w:val="Hyperlink"/>
            <w:rFonts w:ascii="Calibri" w:eastAsia="Calibri" w:hAnsi="Calibri" w:cs="Calibri"/>
          </w:rPr>
          <w:t>https://www.worldbank.org/en/news/feature/2020/05/28/menstrual-hygiene-day-2020</w:t>
        </w:r>
      </w:hyperlink>
      <w:r w:rsidR="001816BA">
        <w:rPr>
          <w:rFonts w:ascii="Calibri" w:eastAsia="Calibri" w:hAnsi="Calibri" w:cs="Calibri"/>
        </w:rPr>
        <w:t xml:space="preserve"> (Accessed on: 17 November 2023)</w:t>
      </w:r>
    </w:p>
    <w:p w14:paraId="6CB09F8E" w14:textId="77777777" w:rsidR="00447E8E" w:rsidRDefault="00447E8E" w:rsidP="37C4A33C">
      <w:pPr>
        <w:rPr>
          <w:rFonts w:ascii="Calibri" w:eastAsia="Calibri" w:hAnsi="Calibri" w:cs="Calibri"/>
        </w:rPr>
      </w:pPr>
    </w:p>
    <w:p w14:paraId="6980C167" w14:textId="03E8FCB2" w:rsidR="00447E8E" w:rsidRDefault="00447E8E" w:rsidP="37C4A33C">
      <w:pPr>
        <w:rPr>
          <w:rFonts w:ascii="Calibri" w:eastAsia="Calibri" w:hAnsi="Calibri" w:cs="Calibri"/>
        </w:rPr>
      </w:pPr>
      <w:r>
        <w:rPr>
          <w:rFonts w:ascii="Calibri" w:eastAsia="Calibri" w:hAnsi="Calibri" w:cs="Calibri"/>
        </w:rPr>
        <w:t xml:space="preserve">UK Government (No date) </w:t>
      </w:r>
      <w:r w:rsidRPr="00447E8E">
        <w:rPr>
          <w:rFonts w:ascii="Calibri" w:eastAsia="Calibri" w:hAnsi="Calibri" w:cs="Calibri"/>
          <w:i/>
          <w:iCs/>
        </w:rPr>
        <w:t>Prison Life- Pregnancy and childcare in prison.</w:t>
      </w:r>
      <w:r>
        <w:rPr>
          <w:rFonts w:ascii="Calibri" w:eastAsia="Calibri" w:hAnsi="Calibri" w:cs="Calibri"/>
        </w:rPr>
        <w:t xml:space="preserve"> Available at: </w:t>
      </w:r>
      <w:hyperlink r:id="rId31" w:history="1">
        <w:r w:rsidRPr="00B01830">
          <w:rPr>
            <w:rStyle w:val="Hyperlink"/>
            <w:rFonts w:ascii="Calibri" w:eastAsia="Calibri" w:hAnsi="Calibri" w:cs="Calibri"/>
          </w:rPr>
          <w:t>https://www.gov.uk/life-in-prison/pregnancy-and-childcare-in-prison#:~:text=Women%20who%20give%20birth%20in,prisoner's%20parents%2C%20or%20fostering</w:t>
        </w:r>
      </w:hyperlink>
      <w:r>
        <w:rPr>
          <w:rFonts w:ascii="Calibri" w:eastAsia="Calibri" w:hAnsi="Calibri" w:cs="Calibri"/>
        </w:rPr>
        <w:t xml:space="preserve"> (Accessed on: 17 November 2023)</w:t>
      </w:r>
    </w:p>
    <w:p w14:paraId="1439F1EA" w14:textId="77777777" w:rsidR="00447E8E" w:rsidRDefault="00447E8E" w:rsidP="37C4A33C">
      <w:pPr>
        <w:rPr>
          <w:rFonts w:ascii="Calibri" w:eastAsia="Calibri" w:hAnsi="Calibri" w:cs="Calibri"/>
        </w:rPr>
      </w:pPr>
    </w:p>
    <w:p w14:paraId="5E01CF63" w14:textId="5B0B9CDD" w:rsidR="22037512" w:rsidRDefault="22037512" w:rsidP="22037512">
      <w:pPr>
        <w:rPr>
          <w:rFonts w:ascii="Calibri" w:eastAsia="Calibri" w:hAnsi="Calibri" w:cs="Calibri"/>
        </w:rPr>
      </w:pPr>
    </w:p>
    <w:p w14:paraId="1A490EE3" w14:textId="56B469D1" w:rsidR="348642AE" w:rsidRDefault="348642AE" w:rsidP="348642AE">
      <w:pPr>
        <w:rPr>
          <w:rFonts w:ascii="Calibri" w:eastAsia="Calibri" w:hAnsi="Calibri" w:cs="Calibri"/>
        </w:rPr>
      </w:pPr>
    </w:p>
    <w:p w14:paraId="7F54ED3D" w14:textId="29C7C3E4" w:rsidR="348642AE" w:rsidRDefault="348642AE" w:rsidP="348642AE">
      <w:pPr>
        <w:rPr>
          <w:rFonts w:ascii="Calibri" w:eastAsia="Calibri" w:hAnsi="Calibri" w:cs="Calibri"/>
        </w:rPr>
      </w:pPr>
    </w:p>
    <w:p w14:paraId="672B2410" w14:textId="194CAF59" w:rsidR="348642AE" w:rsidRDefault="348642AE" w:rsidP="348642AE">
      <w:pPr>
        <w:rPr>
          <w:rFonts w:ascii="Calibri" w:eastAsia="Calibri" w:hAnsi="Calibri" w:cs="Calibri"/>
        </w:rPr>
      </w:pPr>
    </w:p>
    <w:p w14:paraId="5AFAB189" w14:textId="6C8B153F" w:rsidR="348642AE" w:rsidRDefault="348642AE" w:rsidP="348642AE">
      <w:pPr>
        <w:rPr>
          <w:rFonts w:ascii="Calibri" w:eastAsia="Calibri" w:hAnsi="Calibri" w:cs="Calibri"/>
        </w:rPr>
      </w:pPr>
    </w:p>
    <w:p w14:paraId="6377165E" w14:textId="6423FE8D" w:rsidR="348642AE" w:rsidRDefault="348642AE" w:rsidP="348642AE">
      <w:pPr>
        <w:rPr>
          <w:rFonts w:ascii="Calibri" w:eastAsia="Calibri" w:hAnsi="Calibri" w:cs="Calibri"/>
        </w:rPr>
      </w:pPr>
    </w:p>
    <w:p w14:paraId="65391301" w14:textId="566DE954" w:rsidR="348642AE" w:rsidRDefault="348642AE" w:rsidP="348642AE">
      <w:pPr>
        <w:rPr>
          <w:rFonts w:ascii="Calibri" w:eastAsia="Calibri" w:hAnsi="Calibri" w:cs="Calibri"/>
        </w:rPr>
      </w:pPr>
    </w:p>
    <w:sectPr w:rsidR="348642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RcWNWTLRvr7K2" int2:id="yYPpGhJ6">
      <int2:state int2:value="Rejected" int2:type="AugLoop_Text_Critique"/>
    </int2:textHash>
    <int2:textHash int2:hashCode="EqxhHQJv+8RGyl" int2:id="6JyUuuaa">
      <int2:state int2:value="Rejected" int2:type="AugLoop_Text_Critique"/>
    </int2:textHash>
    <int2:textHash int2:hashCode="ewnzblLx/mgkkY" int2:id="Qt06CtPo">
      <int2:state int2:value="Rejected" int2:type="AugLoop_Text_Critique"/>
    </int2:textHash>
    <int2:textHash int2:hashCode="kPI7v/Dp6pm9tM" int2:id="qutjdcg2">
      <int2:state int2:value="Rejected" int2:type="AugLoop_Text_Critique"/>
    </int2:textHash>
    <int2:textHash int2:hashCode="SOVj8UjcBNizHJ" int2:id="EFqACvfI">
      <int2:state int2:value="Rejected" int2:type="AugLoop_Text_Critique"/>
    </int2:textHash>
    <int2:bookmark int2:bookmarkName="_Int_Osej9Ao1" int2:invalidationBookmarkName="" int2:hashCode="Y8fZkx0XoACnuF" int2:id="egwS6zSu">
      <int2:state int2:value="Rejected" int2:type="AugLoop_Text_Critique"/>
    </int2:bookmark>
    <int2:bookmark int2:bookmarkName="_Int_w5eVrIuy" int2:invalidationBookmarkName="" int2:hashCode="krHz1rP53r3P/z" int2:id="f45nOuju">
      <int2:state int2:value="Rejected" int2:type="AugLoop_Text_Critique"/>
    </int2:bookmark>
    <int2:bookmark int2:bookmarkName="_Int_APQokcY6" int2:invalidationBookmarkName="" int2:hashCode="pgCKQec6RJ02/4" int2:id="55Olutia">
      <int2:state int2:value="Reviewed" int2:type="WordDesignerPullQuotesAnnotation"/>
    </int2:bookmark>
  </int2:observations>
  <int2:intelligenceSettings/>
  <int2:onDemandWorkflows>
    <int2:onDemandWorkflow int2:type="SimilarityCheck" int2:paragraphVersions="3BF5E82A-3FE54A2F 2C078E63-75A6DB8E 21822D18-06AB055D 49E3D808-5568DD62 088A373D-21028D86 6F04657C-221EEE75 5EF51F4B-4BF7AF73 354CDE44-1A0B64DF 2E958122-6447B14E 6A412DD7-14AEB740 6A08F32E-67877F56 3C5DB4F8-5C82122D 6CD042C6-7BC95FE9 389E0407-561A57A2 104EE77F-5E0D5C7D 545CF9AA-2FAC30DF 3C52EB01-4E224DDB 402BBD0F-37CA7DA3 6E7E509F-4DAE6936 2E93C5AC-6ED11593 1BBD4089-1C87425E 2794210A-48DBA600 27AC6161-3040F37F 30AE523B-14FB69D6 5CC92BA2-3F30D1D4 78F0A04F-31720437 149A38EE-5A165C8C 2D4A60E3-370B390C 7AAE42B6-38BA7F0E 48B1DFA1-3A659B0B 6E4E03C1-168123D0 6215CA82-1100740B 01616539-09950E39 4F0828AC-1B9B6C16 35C81F0E-6BE5343E 3CD267DF-7BA8B5B1 00CC4F41-5633116C 09A36683-0779DBCC 7CFA5958-13F7AD5F 217C5BE5-1D0C187A 587517F9-0C57FFF8 28A0A633-3C04022F 22AC5FF9-18335AA3 4D2BACB2-4CA2530B 5E01CF63-5B0B9CDD 1A490EE3-56B469D1 5211FDA8-0F6666A4 090D8066-455C904E 1AAB6CD3-6AF195D5 34873D55-25E232B2 5BD9BD99-17443D20 7F54ED3D-29C7C3E4 6A2B3AB9-3235BFC7 090D7C0E-6B038642 672B2410-194CAF59 5AFAB189-6C8B153F 4A5D6D0F-6C90A7D8 4FA1154A-4CD5D2DE 51A3429E-41720FD1 714CF1A7-7D19BB30 6377165E-70282E84 65391301-566DE95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3BD75"/>
    <w:multiLevelType w:val="hybridMultilevel"/>
    <w:tmpl w:val="9DAC5672"/>
    <w:lvl w:ilvl="0" w:tplc="D9960308">
      <w:start w:val="1"/>
      <w:numFmt w:val="bullet"/>
      <w:lvlText w:val=""/>
      <w:lvlJc w:val="left"/>
      <w:pPr>
        <w:ind w:left="720" w:hanging="360"/>
      </w:pPr>
      <w:rPr>
        <w:rFonts w:ascii="Symbol" w:hAnsi="Symbol" w:hint="default"/>
      </w:rPr>
    </w:lvl>
    <w:lvl w:ilvl="1" w:tplc="8500B0EE">
      <w:start w:val="1"/>
      <w:numFmt w:val="bullet"/>
      <w:lvlText w:val="o"/>
      <w:lvlJc w:val="left"/>
      <w:pPr>
        <w:ind w:left="1440" w:hanging="360"/>
      </w:pPr>
      <w:rPr>
        <w:rFonts w:ascii="Courier New" w:hAnsi="Courier New" w:hint="default"/>
      </w:rPr>
    </w:lvl>
    <w:lvl w:ilvl="2" w:tplc="314A4A24">
      <w:start w:val="1"/>
      <w:numFmt w:val="bullet"/>
      <w:lvlText w:val=""/>
      <w:lvlJc w:val="left"/>
      <w:pPr>
        <w:ind w:left="2160" w:hanging="360"/>
      </w:pPr>
      <w:rPr>
        <w:rFonts w:ascii="Wingdings" w:hAnsi="Wingdings" w:hint="default"/>
      </w:rPr>
    </w:lvl>
    <w:lvl w:ilvl="3" w:tplc="D2102C5A">
      <w:start w:val="1"/>
      <w:numFmt w:val="bullet"/>
      <w:lvlText w:val=""/>
      <w:lvlJc w:val="left"/>
      <w:pPr>
        <w:ind w:left="2880" w:hanging="360"/>
      </w:pPr>
      <w:rPr>
        <w:rFonts w:ascii="Symbol" w:hAnsi="Symbol" w:hint="default"/>
      </w:rPr>
    </w:lvl>
    <w:lvl w:ilvl="4" w:tplc="F8C2CA14">
      <w:start w:val="1"/>
      <w:numFmt w:val="bullet"/>
      <w:lvlText w:val="o"/>
      <w:lvlJc w:val="left"/>
      <w:pPr>
        <w:ind w:left="3600" w:hanging="360"/>
      </w:pPr>
      <w:rPr>
        <w:rFonts w:ascii="Courier New" w:hAnsi="Courier New" w:hint="default"/>
      </w:rPr>
    </w:lvl>
    <w:lvl w:ilvl="5" w:tplc="D9DE9E7C">
      <w:start w:val="1"/>
      <w:numFmt w:val="bullet"/>
      <w:lvlText w:val=""/>
      <w:lvlJc w:val="left"/>
      <w:pPr>
        <w:ind w:left="4320" w:hanging="360"/>
      </w:pPr>
      <w:rPr>
        <w:rFonts w:ascii="Wingdings" w:hAnsi="Wingdings" w:hint="default"/>
      </w:rPr>
    </w:lvl>
    <w:lvl w:ilvl="6" w:tplc="9E0A8B8A">
      <w:start w:val="1"/>
      <w:numFmt w:val="bullet"/>
      <w:lvlText w:val=""/>
      <w:lvlJc w:val="left"/>
      <w:pPr>
        <w:ind w:left="5040" w:hanging="360"/>
      </w:pPr>
      <w:rPr>
        <w:rFonts w:ascii="Symbol" w:hAnsi="Symbol" w:hint="default"/>
      </w:rPr>
    </w:lvl>
    <w:lvl w:ilvl="7" w:tplc="BD5E67A6">
      <w:start w:val="1"/>
      <w:numFmt w:val="bullet"/>
      <w:lvlText w:val="o"/>
      <w:lvlJc w:val="left"/>
      <w:pPr>
        <w:ind w:left="5760" w:hanging="360"/>
      </w:pPr>
      <w:rPr>
        <w:rFonts w:ascii="Courier New" w:hAnsi="Courier New" w:hint="default"/>
      </w:rPr>
    </w:lvl>
    <w:lvl w:ilvl="8" w:tplc="CCB0288E">
      <w:start w:val="1"/>
      <w:numFmt w:val="bullet"/>
      <w:lvlText w:val=""/>
      <w:lvlJc w:val="left"/>
      <w:pPr>
        <w:ind w:left="6480" w:hanging="360"/>
      </w:pPr>
      <w:rPr>
        <w:rFonts w:ascii="Wingdings" w:hAnsi="Wingdings" w:hint="default"/>
      </w:rPr>
    </w:lvl>
  </w:abstractNum>
  <w:abstractNum w:abstractNumId="1" w15:restartNumberingAfterBreak="0">
    <w:nsid w:val="5509CC7B"/>
    <w:multiLevelType w:val="hybridMultilevel"/>
    <w:tmpl w:val="C562D3BA"/>
    <w:lvl w:ilvl="0" w:tplc="FD9C1758">
      <w:start w:val="1"/>
      <w:numFmt w:val="bullet"/>
      <w:lvlText w:val=""/>
      <w:lvlJc w:val="left"/>
      <w:pPr>
        <w:ind w:left="720" w:hanging="360"/>
      </w:pPr>
      <w:rPr>
        <w:rFonts w:ascii="Symbol" w:hAnsi="Symbol" w:hint="default"/>
      </w:rPr>
    </w:lvl>
    <w:lvl w:ilvl="1" w:tplc="EF7C13D2">
      <w:start w:val="1"/>
      <w:numFmt w:val="bullet"/>
      <w:lvlText w:val="o"/>
      <w:lvlJc w:val="left"/>
      <w:pPr>
        <w:ind w:left="1440" w:hanging="360"/>
      </w:pPr>
      <w:rPr>
        <w:rFonts w:ascii="Courier New" w:hAnsi="Courier New" w:hint="default"/>
      </w:rPr>
    </w:lvl>
    <w:lvl w:ilvl="2" w:tplc="AE84928C">
      <w:start w:val="1"/>
      <w:numFmt w:val="bullet"/>
      <w:lvlText w:val=""/>
      <w:lvlJc w:val="left"/>
      <w:pPr>
        <w:ind w:left="2160" w:hanging="360"/>
      </w:pPr>
      <w:rPr>
        <w:rFonts w:ascii="Wingdings" w:hAnsi="Wingdings" w:hint="default"/>
      </w:rPr>
    </w:lvl>
    <w:lvl w:ilvl="3" w:tplc="6F9AF484">
      <w:start w:val="1"/>
      <w:numFmt w:val="bullet"/>
      <w:lvlText w:val=""/>
      <w:lvlJc w:val="left"/>
      <w:pPr>
        <w:ind w:left="2880" w:hanging="360"/>
      </w:pPr>
      <w:rPr>
        <w:rFonts w:ascii="Symbol" w:hAnsi="Symbol" w:hint="default"/>
      </w:rPr>
    </w:lvl>
    <w:lvl w:ilvl="4" w:tplc="1FC41E9A">
      <w:start w:val="1"/>
      <w:numFmt w:val="bullet"/>
      <w:lvlText w:val="o"/>
      <w:lvlJc w:val="left"/>
      <w:pPr>
        <w:ind w:left="3600" w:hanging="360"/>
      </w:pPr>
      <w:rPr>
        <w:rFonts w:ascii="Courier New" w:hAnsi="Courier New" w:hint="default"/>
      </w:rPr>
    </w:lvl>
    <w:lvl w:ilvl="5" w:tplc="598E2CB0">
      <w:start w:val="1"/>
      <w:numFmt w:val="bullet"/>
      <w:lvlText w:val=""/>
      <w:lvlJc w:val="left"/>
      <w:pPr>
        <w:ind w:left="4320" w:hanging="360"/>
      </w:pPr>
      <w:rPr>
        <w:rFonts w:ascii="Wingdings" w:hAnsi="Wingdings" w:hint="default"/>
      </w:rPr>
    </w:lvl>
    <w:lvl w:ilvl="6" w:tplc="DEC24868">
      <w:start w:val="1"/>
      <w:numFmt w:val="bullet"/>
      <w:lvlText w:val=""/>
      <w:lvlJc w:val="left"/>
      <w:pPr>
        <w:ind w:left="5040" w:hanging="360"/>
      </w:pPr>
      <w:rPr>
        <w:rFonts w:ascii="Symbol" w:hAnsi="Symbol" w:hint="default"/>
      </w:rPr>
    </w:lvl>
    <w:lvl w:ilvl="7" w:tplc="290E54A0">
      <w:start w:val="1"/>
      <w:numFmt w:val="bullet"/>
      <w:lvlText w:val="o"/>
      <w:lvlJc w:val="left"/>
      <w:pPr>
        <w:ind w:left="5760" w:hanging="360"/>
      </w:pPr>
      <w:rPr>
        <w:rFonts w:ascii="Courier New" w:hAnsi="Courier New" w:hint="default"/>
      </w:rPr>
    </w:lvl>
    <w:lvl w:ilvl="8" w:tplc="EE723BEC">
      <w:start w:val="1"/>
      <w:numFmt w:val="bullet"/>
      <w:lvlText w:val=""/>
      <w:lvlJc w:val="left"/>
      <w:pPr>
        <w:ind w:left="6480" w:hanging="360"/>
      </w:pPr>
      <w:rPr>
        <w:rFonts w:ascii="Wingdings" w:hAnsi="Wingdings" w:hint="default"/>
      </w:rPr>
    </w:lvl>
  </w:abstractNum>
  <w:abstractNum w:abstractNumId="2" w15:restartNumberingAfterBreak="0">
    <w:nsid w:val="7D013465"/>
    <w:multiLevelType w:val="hybridMultilevel"/>
    <w:tmpl w:val="8AEE614E"/>
    <w:lvl w:ilvl="0" w:tplc="7ADCD666">
      <w:start w:val="1"/>
      <w:numFmt w:val="bullet"/>
      <w:lvlText w:val=""/>
      <w:lvlJc w:val="left"/>
      <w:pPr>
        <w:ind w:left="720" w:hanging="360"/>
      </w:pPr>
      <w:rPr>
        <w:rFonts w:ascii="Symbol" w:hAnsi="Symbol" w:hint="default"/>
      </w:rPr>
    </w:lvl>
    <w:lvl w:ilvl="1" w:tplc="B2B2C57E">
      <w:start w:val="1"/>
      <w:numFmt w:val="bullet"/>
      <w:lvlText w:val="o"/>
      <w:lvlJc w:val="left"/>
      <w:pPr>
        <w:ind w:left="1440" w:hanging="360"/>
      </w:pPr>
      <w:rPr>
        <w:rFonts w:ascii="Courier New" w:hAnsi="Courier New" w:hint="default"/>
      </w:rPr>
    </w:lvl>
    <w:lvl w:ilvl="2" w:tplc="07CEEE96">
      <w:start w:val="1"/>
      <w:numFmt w:val="bullet"/>
      <w:lvlText w:val=""/>
      <w:lvlJc w:val="left"/>
      <w:pPr>
        <w:ind w:left="2160" w:hanging="360"/>
      </w:pPr>
      <w:rPr>
        <w:rFonts w:ascii="Wingdings" w:hAnsi="Wingdings" w:hint="default"/>
      </w:rPr>
    </w:lvl>
    <w:lvl w:ilvl="3" w:tplc="B84E30C0">
      <w:start w:val="1"/>
      <w:numFmt w:val="bullet"/>
      <w:lvlText w:val=""/>
      <w:lvlJc w:val="left"/>
      <w:pPr>
        <w:ind w:left="2880" w:hanging="360"/>
      </w:pPr>
      <w:rPr>
        <w:rFonts w:ascii="Symbol" w:hAnsi="Symbol" w:hint="default"/>
      </w:rPr>
    </w:lvl>
    <w:lvl w:ilvl="4" w:tplc="AF2EEDD8">
      <w:start w:val="1"/>
      <w:numFmt w:val="bullet"/>
      <w:lvlText w:val="o"/>
      <w:lvlJc w:val="left"/>
      <w:pPr>
        <w:ind w:left="3600" w:hanging="360"/>
      </w:pPr>
      <w:rPr>
        <w:rFonts w:ascii="Courier New" w:hAnsi="Courier New" w:hint="default"/>
      </w:rPr>
    </w:lvl>
    <w:lvl w:ilvl="5" w:tplc="2DAA4060">
      <w:start w:val="1"/>
      <w:numFmt w:val="bullet"/>
      <w:lvlText w:val=""/>
      <w:lvlJc w:val="left"/>
      <w:pPr>
        <w:ind w:left="4320" w:hanging="360"/>
      </w:pPr>
      <w:rPr>
        <w:rFonts w:ascii="Wingdings" w:hAnsi="Wingdings" w:hint="default"/>
      </w:rPr>
    </w:lvl>
    <w:lvl w:ilvl="6" w:tplc="17DEEADE">
      <w:start w:val="1"/>
      <w:numFmt w:val="bullet"/>
      <w:lvlText w:val=""/>
      <w:lvlJc w:val="left"/>
      <w:pPr>
        <w:ind w:left="5040" w:hanging="360"/>
      </w:pPr>
      <w:rPr>
        <w:rFonts w:ascii="Symbol" w:hAnsi="Symbol" w:hint="default"/>
      </w:rPr>
    </w:lvl>
    <w:lvl w:ilvl="7" w:tplc="EFDA2054">
      <w:start w:val="1"/>
      <w:numFmt w:val="bullet"/>
      <w:lvlText w:val="o"/>
      <w:lvlJc w:val="left"/>
      <w:pPr>
        <w:ind w:left="5760" w:hanging="360"/>
      </w:pPr>
      <w:rPr>
        <w:rFonts w:ascii="Courier New" w:hAnsi="Courier New" w:hint="default"/>
      </w:rPr>
    </w:lvl>
    <w:lvl w:ilvl="8" w:tplc="909079A2">
      <w:start w:val="1"/>
      <w:numFmt w:val="bullet"/>
      <w:lvlText w:val=""/>
      <w:lvlJc w:val="left"/>
      <w:pPr>
        <w:ind w:left="6480" w:hanging="360"/>
      </w:pPr>
      <w:rPr>
        <w:rFonts w:ascii="Wingdings" w:hAnsi="Wingdings" w:hint="default"/>
      </w:rPr>
    </w:lvl>
  </w:abstractNum>
  <w:num w:numId="1" w16cid:durableId="1875116656">
    <w:abstractNumId w:val="1"/>
  </w:num>
  <w:num w:numId="2" w16cid:durableId="1510564370">
    <w:abstractNumId w:val="0"/>
  </w:num>
  <w:num w:numId="3" w16cid:durableId="1090394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922CF9"/>
    <w:rsid w:val="00055895"/>
    <w:rsid w:val="00061902"/>
    <w:rsid w:val="000E3091"/>
    <w:rsid w:val="0015500F"/>
    <w:rsid w:val="001816BA"/>
    <w:rsid w:val="00182363"/>
    <w:rsid w:val="001847C3"/>
    <w:rsid w:val="00186E9A"/>
    <w:rsid w:val="001F3930"/>
    <w:rsid w:val="00263AFE"/>
    <w:rsid w:val="002D3255"/>
    <w:rsid w:val="00331B62"/>
    <w:rsid w:val="0041054E"/>
    <w:rsid w:val="00447E8E"/>
    <w:rsid w:val="00450115"/>
    <w:rsid w:val="0048000D"/>
    <w:rsid w:val="005D705B"/>
    <w:rsid w:val="005E20A9"/>
    <w:rsid w:val="00666626"/>
    <w:rsid w:val="007011C5"/>
    <w:rsid w:val="00812320"/>
    <w:rsid w:val="008A0BD6"/>
    <w:rsid w:val="008A154D"/>
    <w:rsid w:val="0093557E"/>
    <w:rsid w:val="00970A36"/>
    <w:rsid w:val="009D1887"/>
    <w:rsid w:val="009E640C"/>
    <w:rsid w:val="00A360D8"/>
    <w:rsid w:val="00AA325F"/>
    <w:rsid w:val="00B86B79"/>
    <w:rsid w:val="00B95315"/>
    <w:rsid w:val="00BB110E"/>
    <w:rsid w:val="00C20B47"/>
    <w:rsid w:val="00C260C6"/>
    <w:rsid w:val="00CA6A80"/>
    <w:rsid w:val="00D271D2"/>
    <w:rsid w:val="00D4672D"/>
    <w:rsid w:val="00E44220"/>
    <w:rsid w:val="00EC21A8"/>
    <w:rsid w:val="00F18508"/>
    <w:rsid w:val="00FA6BA0"/>
    <w:rsid w:val="013A4C93"/>
    <w:rsid w:val="013AD215"/>
    <w:rsid w:val="0150CA38"/>
    <w:rsid w:val="01BE6A60"/>
    <w:rsid w:val="020307A3"/>
    <w:rsid w:val="021E8184"/>
    <w:rsid w:val="026A059C"/>
    <w:rsid w:val="030B7DF8"/>
    <w:rsid w:val="0318143D"/>
    <w:rsid w:val="0372D1A2"/>
    <w:rsid w:val="03B361A0"/>
    <w:rsid w:val="03E1F67D"/>
    <w:rsid w:val="042FCB7E"/>
    <w:rsid w:val="0446620A"/>
    <w:rsid w:val="04F2A78D"/>
    <w:rsid w:val="053E2DBF"/>
    <w:rsid w:val="054F3201"/>
    <w:rsid w:val="05BAF335"/>
    <w:rsid w:val="064785BE"/>
    <w:rsid w:val="06B407D8"/>
    <w:rsid w:val="073D6C93"/>
    <w:rsid w:val="076E5B8C"/>
    <w:rsid w:val="076EC033"/>
    <w:rsid w:val="07C05AFE"/>
    <w:rsid w:val="08308F91"/>
    <w:rsid w:val="0842BCF7"/>
    <w:rsid w:val="090A9094"/>
    <w:rsid w:val="097F2680"/>
    <w:rsid w:val="09BB6ED8"/>
    <w:rsid w:val="09D4F093"/>
    <w:rsid w:val="0A3099CE"/>
    <w:rsid w:val="0A40DBCA"/>
    <w:rsid w:val="0AA660F5"/>
    <w:rsid w:val="0BC79DE7"/>
    <w:rsid w:val="0BC9A2AF"/>
    <w:rsid w:val="0CA8DC99"/>
    <w:rsid w:val="0CB6C742"/>
    <w:rsid w:val="0DF13C91"/>
    <w:rsid w:val="0E3F857E"/>
    <w:rsid w:val="0E6A2757"/>
    <w:rsid w:val="0ED06A16"/>
    <w:rsid w:val="0EEC4455"/>
    <w:rsid w:val="0F04C460"/>
    <w:rsid w:val="0FA56895"/>
    <w:rsid w:val="107AA037"/>
    <w:rsid w:val="10E5CE60"/>
    <w:rsid w:val="10E7A5A5"/>
    <w:rsid w:val="11D5111E"/>
    <w:rsid w:val="12032287"/>
    <w:rsid w:val="128BB71F"/>
    <w:rsid w:val="133D987A"/>
    <w:rsid w:val="134D6136"/>
    <w:rsid w:val="13B0C2DC"/>
    <w:rsid w:val="13C2F195"/>
    <w:rsid w:val="13F17F2B"/>
    <w:rsid w:val="147F61E1"/>
    <w:rsid w:val="15513B6E"/>
    <w:rsid w:val="15F5CCB1"/>
    <w:rsid w:val="16CC3330"/>
    <w:rsid w:val="16DCDDBC"/>
    <w:rsid w:val="17B3D140"/>
    <w:rsid w:val="17B5A5E0"/>
    <w:rsid w:val="17C73726"/>
    <w:rsid w:val="182B9EE8"/>
    <w:rsid w:val="18963852"/>
    <w:rsid w:val="18A98C71"/>
    <w:rsid w:val="18AF81B0"/>
    <w:rsid w:val="18ECDD2B"/>
    <w:rsid w:val="18FF5527"/>
    <w:rsid w:val="199D0B80"/>
    <w:rsid w:val="19E11F14"/>
    <w:rsid w:val="1A223306"/>
    <w:rsid w:val="1A45BCA9"/>
    <w:rsid w:val="1B07D2F9"/>
    <w:rsid w:val="1CB3929B"/>
    <w:rsid w:val="1CB4C7E1"/>
    <w:rsid w:val="1D2D0296"/>
    <w:rsid w:val="1D6A1280"/>
    <w:rsid w:val="1D6E431C"/>
    <w:rsid w:val="1E147B97"/>
    <w:rsid w:val="1E2B9121"/>
    <w:rsid w:val="1E69037D"/>
    <w:rsid w:val="1ECEC017"/>
    <w:rsid w:val="20771CC3"/>
    <w:rsid w:val="21418B29"/>
    <w:rsid w:val="2154F10F"/>
    <w:rsid w:val="21882BDA"/>
    <w:rsid w:val="219A4E76"/>
    <w:rsid w:val="21A4CB39"/>
    <w:rsid w:val="21A74884"/>
    <w:rsid w:val="21AEBF39"/>
    <w:rsid w:val="21D19D30"/>
    <w:rsid w:val="22037512"/>
    <w:rsid w:val="2259BD03"/>
    <w:rsid w:val="2329F088"/>
    <w:rsid w:val="24094E6F"/>
    <w:rsid w:val="244B6BEF"/>
    <w:rsid w:val="2458EBE4"/>
    <w:rsid w:val="248C91D1"/>
    <w:rsid w:val="24C6C21A"/>
    <w:rsid w:val="24E0020B"/>
    <w:rsid w:val="25E73C50"/>
    <w:rsid w:val="25E9D617"/>
    <w:rsid w:val="2684F950"/>
    <w:rsid w:val="26FC8285"/>
    <w:rsid w:val="26FD5184"/>
    <w:rsid w:val="272D2E26"/>
    <w:rsid w:val="275E2402"/>
    <w:rsid w:val="275F9C8D"/>
    <w:rsid w:val="27ABEFBC"/>
    <w:rsid w:val="2815559D"/>
    <w:rsid w:val="2919D917"/>
    <w:rsid w:val="29872118"/>
    <w:rsid w:val="2999320C"/>
    <w:rsid w:val="2A72F685"/>
    <w:rsid w:val="2AD0F19E"/>
    <w:rsid w:val="2ADF3209"/>
    <w:rsid w:val="2AE1C882"/>
    <w:rsid w:val="2B11F606"/>
    <w:rsid w:val="2B867BC6"/>
    <w:rsid w:val="2BDE8E42"/>
    <w:rsid w:val="2C4B39D2"/>
    <w:rsid w:val="2C752B4E"/>
    <w:rsid w:val="2D2C4C39"/>
    <w:rsid w:val="2E3CB163"/>
    <w:rsid w:val="2E47FDB3"/>
    <w:rsid w:val="2E5BBDA8"/>
    <w:rsid w:val="2EFC1400"/>
    <w:rsid w:val="2FD938B5"/>
    <w:rsid w:val="2FF6629C"/>
    <w:rsid w:val="303378D4"/>
    <w:rsid w:val="3044D725"/>
    <w:rsid w:val="305FE2D5"/>
    <w:rsid w:val="308D6D57"/>
    <w:rsid w:val="30AC9082"/>
    <w:rsid w:val="30ED5676"/>
    <w:rsid w:val="311C2B40"/>
    <w:rsid w:val="3163D3D6"/>
    <w:rsid w:val="324860E3"/>
    <w:rsid w:val="32531D44"/>
    <w:rsid w:val="3358C376"/>
    <w:rsid w:val="33CF8523"/>
    <w:rsid w:val="33EEEDA5"/>
    <w:rsid w:val="3465119F"/>
    <w:rsid w:val="348642AE"/>
    <w:rsid w:val="34A03C10"/>
    <w:rsid w:val="34D0CD8F"/>
    <w:rsid w:val="358ABE06"/>
    <w:rsid w:val="37AE9DF6"/>
    <w:rsid w:val="37C4A33C"/>
    <w:rsid w:val="3862600D"/>
    <w:rsid w:val="38633347"/>
    <w:rsid w:val="39074868"/>
    <w:rsid w:val="39CF7278"/>
    <w:rsid w:val="39F51E27"/>
    <w:rsid w:val="39FE306E"/>
    <w:rsid w:val="3AD15D18"/>
    <w:rsid w:val="3AD82B0F"/>
    <w:rsid w:val="3B501E65"/>
    <w:rsid w:val="3C13940E"/>
    <w:rsid w:val="3C73FB70"/>
    <w:rsid w:val="3DB1DAAE"/>
    <w:rsid w:val="3DDBBABC"/>
    <w:rsid w:val="3E0FCBD1"/>
    <w:rsid w:val="3E2AF4EB"/>
    <w:rsid w:val="3E5701C3"/>
    <w:rsid w:val="3F09B5FD"/>
    <w:rsid w:val="3F0BEFA0"/>
    <w:rsid w:val="3F5D50AA"/>
    <w:rsid w:val="3F5D618F"/>
    <w:rsid w:val="3FAB9C32"/>
    <w:rsid w:val="3FC4FEE2"/>
    <w:rsid w:val="3FCB58B5"/>
    <w:rsid w:val="4001DF64"/>
    <w:rsid w:val="40ACBF71"/>
    <w:rsid w:val="40CBF053"/>
    <w:rsid w:val="41455EF7"/>
    <w:rsid w:val="4175E9EE"/>
    <w:rsid w:val="419DAFC5"/>
    <w:rsid w:val="42474F08"/>
    <w:rsid w:val="424C73B9"/>
    <w:rsid w:val="4261B304"/>
    <w:rsid w:val="427F2A97"/>
    <w:rsid w:val="42F42591"/>
    <w:rsid w:val="438697E5"/>
    <w:rsid w:val="454F6881"/>
    <w:rsid w:val="4651FD6A"/>
    <w:rsid w:val="4665402F"/>
    <w:rsid w:val="466750F6"/>
    <w:rsid w:val="466A3D9C"/>
    <w:rsid w:val="471355D5"/>
    <w:rsid w:val="47136642"/>
    <w:rsid w:val="471AC02B"/>
    <w:rsid w:val="471FE4DC"/>
    <w:rsid w:val="481AE7F3"/>
    <w:rsid w:val="48247A92"/>
    <w:rsid w:val="4828A630"/>
    <w:rsid w:val="48C84968"/>
    <w:rsid w:val="48EFAFFA"/>
    <w:rsid w:val="4993B4A6"/>
    <w:rsid w:val="49B6B854"/>
    <w:rsid w:val="4A5A3DCE"/>
    <w:rsid w:val="4B1248C7"/>
    <w:rsid w:val="4B1F2349"/>
    <w:rsid w:val="4B3AC219"/>
    <w:rsid w:val="4C640831"/>
    <w:rsid w:val="4C66E9DB"/>
    <w:rsid w:val="4C74BEDF"/>
    <w:rsid w:val="4D2703F9"/>
    <w:rsid w:val="4D30FE79"/>
    <w:rsid w:val="4D64B9D0"/>
    <w:rsid w:val="4D6CF113"/>
    <w:rsid w:val="4DF045DD"/>
    <w:rsid w:val="4E7A0E39"/>
    <w:rsid w:val="4EC94CDC"/>
    <w:rsid w:val="4F008A31"/>
    <w:rsid w:val="4F11CE64"/>
    <w:rsid w:val="4FAD3C88"/>
    <w:rsid w:val="503BE6AE"/>
    <w:rsid w:val="50877BAC"/>
    <w:rsid w:val="509C5A92"/>
    <w:rsid w:val="5101B407"/>
    <w:rsid w:val="528E6E25"/>
    <w:rsid w:val="52B313A1"/>
    <w:rsid w:val="53244712"/>
    <w:rsid w:val="536308F1"/>
    <w:rsid w:val="542A3E86"/>
    <w:rsid w:val="54A80F37"/>
    <w:rsid w:val="54E94FBD"/>
    <w:rsid w:val="5527F976"/>
    <w:rsid w:val="552FCBB8"/>
    <w:rsid w:val="553AB96F"/>
    <w:rsid w:val="553BBAA0"/>
    <w:rsid w:val="55B1854B"/>
    <w:rsid w:val="55B50AA5"/>
    <w:rsid w:val="55D8A36F"/>
    <w:rsid w:val="55EAB463"/>
    <w:rsid w:val="5627FDEC"/>
    <w:rsid w:val="5649CCB8"/>
    <w:rsid w:val="56D689D0"/>
    <w:rsid w:val="57B1CF48"/>
    <w:rsid w:val="57FED229"/>
    <w:rsid w:val="584994FD"/>
    <w:rsid w:val="5849B2CD"/>
    <w:rsid w:val="58626135"/>
    <w:rsid w:val="58ECAB67"/>
    <w:rsid w:val="593ED1C7"/>
    <w:rsid w:val="59BD0308"/>
    <w:rsid w:val="59CF64E4"/>
    <w:rsid w:val="59D4C9A4"/>
    <w:rsid w:val="5B79E2EB"/>
    <w:rsid w:val="5BCD362B"/>
    <w:rsid w:val="5C21E8F8"/>
    <w:rsid w:val="5C71E847"/>
    <w:rsid w:val="5CE3C7C3"/>
    <w:rsid w:val="5D2DA428"/>
    <w:rsid w:val="5D3B1C94"/>
    <w:rsid w:val="5D525D74"/>
    <w:rsid w:val="5D86C4F8"/>
    <w:rsid w:val="5E5D927B"/>
    <w:rsid w:val="5E7FE4C0"/>
    <w:rsid w:val="5EA49F9B"/>
    <w:rsid w:val="5ECD061C"/>
    <w:rsid w:val="5ED88252"/>
    <w:rsid w:val="5F04D6ED"/>
    <w:rsid w:val="5F82B913"/>
    <w:rsid w:val="5FB4B4F5"/>
    <w:rsid w:val="6029D344"/>
    <w:rsid w:val="60593A9B"/>
    <w:rsid w:val="60922CF9"/>
    <w:rsid w:val="60A0A74E"/>
    <w:rsid w:val="61C814ED"/>
    <w:rsid w:val="629216BC"/>
    <w:rsid w:val="62AEE087"/>
    <w:rsid w:val="62F0AAA8"/>
    <w:rsid w:val="63197EBF"/>
    <w:rsid w:val="6363E54E"/>
    <w:rsid w:val="640CD147"/>
    <w:rsid w:val="64AACF42"/>
    <w:rsid w:val="64BAE694"/>
    <w:rsid w:val="64DE47B6"/>
    <w:rsid w:val="64E080C6"/>
    <w:rsid w:val="651F9BA7"/>
    <w:rsid w:val="653FA262"/>
    <w:rsid w:val="65940DC0"/>
    <w:rsid w:val="65E4B0DB"/>
    <w:rsid w:val="66A3B626"/>
    <w:rsid w:val="66DB72C3"/>
    <w:rsid w:val="6731E4A9"/>
    <w:rsid w:val="67C84961"/>
    <w:rsid w:val="6808E835"/>
    <w:rsid w:val="683E35FC"/>
    <w:rsid w:val="6874D2B6"/>
    <w:rsid w:val="6911AEDF"/>
    <w:rsid w:val="69918523"/>
    <w:rsid w:val="6A13E866"/>
    <w:rsid w:val="6AEAECED"/>
    <w:rsid w:val="6AF8B378"/>
    <w:rsid w:val="6B0C42C3"/>
    <w:rsid w:val="6B6089FD"/>
    <w:rsid w:val="6B9AB1F5"/>
    <w:rsid w:val="6C168139"/>
    <w:rsid w:val="6C1D0000"/>
    <w:rsid w:val="6C9483D9"/>
    <w:rsid w:val="6D38A353"/>
    <w:rsid w:val="6D59B49F"/>
    <w:rsid w:val="6D91A159"/>
    <w:rsid w:val="6DA49452"/>
    <w:rsid w:val="6DD0461C"/>
    <w:rsid w:val="6E2554AC"/>
    <w:rsid w:val="6E506881"/>
    <w:rsid w:val="6F4E21FB"/>
    <w:rsid w:val="706EC474"/>
    <w:rsid w:val="7073CD1B"/>
    <w:rsid w:val="70E9F25C"/>
    <w:rsid w:val="7125B436"/>
    <w:rsid w:val="717D1637"/>
    <w:rsid w:val="71919EB7"/>
    <w:rsid w:val="719CE903"/>
    <w:rsid w:val="724F7516"/>
    <w:rsid w:val="725A88FF"/>
    <w:rsid w:val="72D3A738"/>
    <w:rsid w:val="72F7E9E3"/>
    <w:rsid w:val="73466110"/>
    <w:rsid w:val="7370E2EE"/>
    <w:rsid w:val="73FA2B74"/>
    <w:rsid w:val="746381A0"/>
    <w:rsid w:val="74646521"/>
    <w:rsid w:val="74BD9D8F"/>
    <w:rsid w:val="75F9E31E"/>
    <w:rsid w:val="75FF5201"/>
    <w:rsid w:val="770A2772"/>
    <w:rsid w:val="7720CF0F"/>
    <w:rsid w:val="777DE827"/>
    <w:rsid w:val="778C4470"/>
    <w:rsid w:val="7851C7BF"/>
    <w:rsid w:val="78A5F7D3"/>
    <w:rsid w:val="7945ADAF"/>
    <w:rsid w:val="79534730"/>
    <w:rsid w:val="796A2710"/>
    <w:rsid w:val="79C7805A"/>
    <w:rsid w:val="79ED8EAC"/>
    <w:rsid w:val="7A37F895"/>
    <w:rsid w:val="7A3B2821"/>
    <w:rsid w:val="7A5017D1"/>
    <w:rsid w:val="7B41AB86"/>
    <w:rsid w:val="7B5A6D64"/>
    <w:rsid w:val="7B806038"/>
    <w:rsid w:val="7BA290AF"/>
    <w:rsid w:val="7C9D60B6"/>
    <w:rsid w:val="7CCF765F"/>
    <w:rsid w:val="7CEEA07A"/>
    <w:rsid w:val="7CFA5CFB"/>
    <w:rsid w:val="7D35AFFA"/>
    <w:rsid w:val="7DAFB2A9"/>
    <w:rsid w:val="7DE8A9FB"/>
    <w:rsid w:val="7E6819DD"/>
    <w:rsid w:val="7E9C150D"/>
    <w:rsid w:val="7F9EBCC4"/>
    <w:rsid w:val="7F9F01B3"/>
    <w:rsid w:val="7FA11E33"/>
    <w:rsid w:val="7FA9B235"/>
    <w:rsid w:val="7FC2D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2CF9"/>
  <w15:chartTrackingRefBased/>
  <w15:docId w15:val="{736B6D42-4FF5-422D-8DA7-A2651AD85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7C4A33C"/>
    <w:rPr>
      <w:lang w:val="en-GB"/>
    </w:rPr>
  </w:style>
  <w:style w:type="paragraph" w:styleId="Heading1">
    <w:name w:val="heading 1"/>
    <w:basedOn w:val="Normal"/>
    <w:next w:val="Normal"/>
    <w:link w:val="Heading1Char"/>
    <w:uiPriority w:val="9"/>
    <w:qFormat/>
    <w:rsid w:val="37C4A3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7C4A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7C4A33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7C4A33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7C4A33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7C4A33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7C4A33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7C4A33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7C4A33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7C4A33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7C4A33C"/>
    <w:rPr>
      <w:rFonts w:eastAsiaTheme="minorEastAsia"/>
      <w:color w:val="5A5A5A"/>
    </w:rPr>
  </w:style>
  <w:style w:type="paragraph" w:styleId="Quote">
    <w:name w:val="Quote"/>
    <w:basedOn w:val="Normal"/>
    <w:next w:val="Normal"/>
    <w:link w:val="QuoteChar"/>
    <w:uiPriority w:val="29"/>
    <w:qFormat/>
    <w:rsid w:val="37C4A33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7C4A33C"/>
    <w:pPr>
      <w:spacing w:before="360" w:after="360"/>
      <w:ind w:left="864" w:right="864"/>
      <w:jc w:val="center"/>
    </w:pPr>
    <w:rPr>
      <w:i/>
      <w:iCs/>
      <w:color w:val="4472C4" w:themeColor="accent1"/>
    </w:rPr>
  </w:style>
  <w:style w:type="paragraph" w:styleId="ListParagraph">
    <w:name w:val="List Paragraph"/>
    <w:basedOn w:val="Normal"/>
    <w:uiPriority w:val="34"/>
    <w:qFormat/>
    <w:rsid w:val="37C4A33C"/>
    <w:pPr>
      <w:ind w:left="720"/>
      <w:contextualSpacing/>
    </w:pPr>
  </w:style>
  <w:style w:type="character" w:customStyle="1" w:styleId="Heading1Char">
    <w:name w:val="Heading 1 Char"/>
    <w:basedOn w:val="DefaultParagraphFont"/>
    <w:link w:val="Heading1"/>
    <w:uiPriority w:val="9"/>
    <w:rsid w:val="37C4A33C"/>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7C4A33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7C4A33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7C4A33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7C4A33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7C4A33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7C4A33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7C4A33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7C4A33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7C4A33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7C4A33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7C4A33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7C4A33C"/>
    <w:rPr>
      <w:i/>
      <w:iCs/>
      <w:noProof w:val="0"/>
      <w:color w:val="4472C4" w:themeColor="accent1"/>
      <w:lang w:val="en-GB"/>
    </w:rPr>
  </w:style>
  <w:style w:type="paragraph" w:styleId="TOC1">
    <w:name w:val="toc 1"/>
    <w:basedOn w:val="Normal"/>
    <w:next w:val="Normal"/>
    <w:uiPriority w:val="39"/>
    <w:unhideWhenUsed/>
    <w:rsid w:val="37C4A33C"/>
    <w:pPr>
      <w:spacing w:after="100"/>
    </w:pPr>
  </w:style>
  <w:style w:type="paragraph" w:styleId="TOC2">
    <w:name w:val="toc 2"/>
    <w:basedOn w:val="Normal"/>
    <w:next w:val="Normal"/>
    <w:uiPriority w:val="39"/>
    <w:unhideWhenUsed/>
    <w:rsid w:val="37C4A33C"/>
    <w:pPr>
      <w:spacing w:after="100"/>
      <w:ind w:left="220"/>
    </w:pPr>
  </w:style>
  <w:style w:type="paragraph" w:styleId="TOC3">
    <w:name w:val="toc 3"/>
    <w:basedOn w:val="Normal"/>
    <w:next w:val="Normal"/>
    <w:uiPriority w:val="39"/>
    <w:unhideWhenUsed/>
    <w:rsid w:val="37C4A33C"/>
    <w:pPr>
      <w:spacing w:after="100"/>
      <w:ind w:left="440"/>
    </w:pPr>
  </w:style>
  <w:style w:type="paragraph" w:styleId="TOC4">
    <w:name w:val="toc 4"/>
    <w:basedOn w:val="Normal"/>
    <w:next w:val="Normal"/>
    <w:uiPriority w:val="39"/>
    <w:unhideWhenUsed/>
    <w:rsid w:val="37C4A33C"/>
    <w:pPr>
      <w:spacing w:after="100"/>
      <w:ind w:left="660"/>
    </w:pPr>
  </w:style>
  <w:style w:type="paragraph" w:styleId="TOC5">
    <w:name w:val="toc 5"/>
    <w:basedOn w:val="Normal"/>
    <w:next w:val="Normal"/>
    <w:uiPriority w:val="39"/>
    <w:unhideWhenUsed/>
    <w:rsid w:val="37C4A33C"/>
    <w:pPr>
      <w:spacing w:after="100"/>
      <w:ind w:left="880"/>
    </w:pPr>
  </w:style>
  <w:style w:type="paragraph" w:styleId="TOC6">
    <w:name w:val="toc 6"/>
    <w:basedOn w:val="Normal"/>
    <w:next w:val="Normal"/>
    <w:uiPriority w:val="39"/>
    <w:unhideWhenUsed/>
    <w:rsid w:val="37C4A33C"/>
    <w:pPr>
      <w:spacing w:after="100"/>
      <w:ind w:left="1100"/>
    </w:pPr>
  </w:style>
  <w:style w:type="paragraph" w:styleId="TOC7">
    <w:name w:val="toc 7"/>
    <w:basedOn w:val="Normal"/>
    <w:next w:val="Normal"/>
    <w:uiPriority w:val="39"/>
    <w:unhideWhenUsed/>
    <w:rsid w:val="37C4A33C"/>
    <w:pPr>
      <w:spacing w:after="100"/>
      <w:ind w:left="1320"/>
    </w:pPr>
  </w:style>
  <w:style w:type="paragraph" w:styleId="TOC8">
    <w:name w:val="toc 8"/>
    <w:basedOn w:val="Normal"/>
    <w:next w:val="Normal"/>
    <w:uiPriority w:val="39"/>
    <w:unhideWhenUsed/>
    <w:rsid w:val="37C4A33C"/>
    <w:pPr>
      <w:spacing w:after="100"/>
      <w:ind w:left="1540"/>
    </w:pPr>
  </w:style>
  <w:style w:type="paragraph" w:styleId="TOC9">
    <w:name w:val="toc 9"/>
    <w:basedOn w:val="Normal"/>
    <w:next w:val="Normal"/>
    <w:uiPriority w:val="39"/>
    <w:unhideWhenUsed/>
    <w:rsid w:val="37C4A33C"/>
    <w:pPr>
      <w:spacing w:after="100"/>
      <w:ind w:left="1760"/>
    </w:pPr>
  </w:style>
  <w:style w:type="paragraph" w:styleId="EndnoteText">
    <w:name w:val="endnote text"/>
    <w:basedOn w:val="Normal"/>
    <w:link w:val="EndnoteTextChar"/>
    <w:uiPriority w:val="99"/>
    <w:semiHidden/>
    <w:unhideWhenUsed/>
    <w:rsid w:val="37C4A33C"/>
    <w:pPr>
      <w:spacing w:after="0"/>
    </w:pPr>
    <w:rPr>
      <w:sz w:val="20"/>
      <w:szCs w:val="20"/>
    </w:rPr>
  </w:style>
  <w:style w:type="character" w:customStyle="1" w:styleId="EndnoteTextChar">
    <w:name w:val="Endnote Text Char"/>
    <w:basedOn w:val="DefaultParagraphFont"/>
    <w:link w:val="EndnoteText"/>
    <w:uiPriority w:val="99"/>
    <w:semiHidden/>
    <w:rsid w:val="37C4A33C"/>
    <w:rPr>
      <w:noProof w:val="0"/>
      <w:sz w:val="20"/>
      <w:szCs w:val="20"/>
      <w:lang w:val="en-GB"/>
    </w:rPr>
  </w:style>
  <w:style w:type="paragraph" w:styleId="Footer">
    <w:name w:val="footer"/>
    <w:basedOn w:val="Normal"/>
    <w:link w:val="FooterChar"/>
    <w:uiPriority w:val="99"/>
    <w:unhideWhenUsed/>
    <w:rsid w:val="37C4A33C"/>
    <w:pPr>
      <w:tabs>
        <w:tab w:val="center" w:pos="4680"/>
        <w:tab w:val="right" w:pos="9360"/>
      </w:tabs>
      <w:spacing w:after="0"/>
    </w:pPr>
  </w:style>
  <w:style w:type="character" w:customStyle="1" w:styleId="FooterChar">
    <w:name w:val="Footer Char"/>
    <w:basedOn w:val="DefaultParagraphFont"/>
    <w:link w:val="Footer"/>
    <w:uiPriority w:val="99"/>
    <w:rsid w:val="37C4A33C"/>
    <w:rPr>
      <w:noProof w:val="0"/>
      <w:lang w:val="en-GB"/>
    </w:rPr>
  </w:style>
  <w:style w:type="paragraph" w:styleId="FootnoteText">
    <w:name w:val="footnote text"/>
    <w:basedOn w:val="Normal"/>
    <w:link w:val="FootnoteTextChar"/>
    <w:uiPriority w:val="99"/>
    <w:semiHidden/>
    <w:unhideWhenUsed/>
    <w:rsid w:val="37C4A33C"/>
    <w:pPr>
      <w:spacing w:after="0"/>
    </w:pPr>
    <w:rPr>
      <w:sz w:val="20"/>
      <w:szCs w:val="20"/>
    </w:rPr>
  </w:style>
  <w:style w:type="character" w:customStyle="1" w:styleId="FootnoteTextChar">
    <w:name w:val="Footnote Text Char"/>
    <w:basedOn w:val="DefaultParagraphFont"/>
    <w:link w:val="FootnoteText"/>
    <w:uiPriority w:val="99"/>
    <w:semiHidden/>
    <w:rsid w:val="37C4A33C"/>
    <w:rPr>
      <w:noProof w:val="0"/>
      <w:sz w:val="20"/>
      <w:szCs w:val="20"/>
      <w:lang w:val="en-GB"/>
    </w:rPr>
  </w:style>
  <w:style w:type="paragraph" w:styleId="Header">
    <w:name w:val="header"/>
    <w:basedOn w:val="Normal"/>
    <w:link w:val="HeaderChar"/>
    <w:uiPriority w:val="99"/>
    <w:unhideWhenUsed/>
    <w:rsid w:val="37C4A33C"/>
    <w:pPr>
      <w:tabs>
        <w:tab w:val="center" w:pos="4680"/>
        <w:tab w:val="right" w:pos="9360"/>
      </w:tabs>
      <w:spacing w:after="0"/>
    </w:pPr>
  </w:style>
  <w:style w:type="character" w:customStyle="1" w:styleId="HeaderChar">
    <w:name w:val="Header Char"/>
    <w:basedOn w:val="DefaultParagraphFont"/>
    <w:link w:val="Header"/>
    <w:uiPriority w:val="99"/>
    <w:rsid w:val="37C4A33C"/>
    <w:rPr>
      <w:noProof w:val="0"/>
      <w:lang w:val="en-GB"/>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9E640C"/>
    <w:rPr>
      <w:color w:val="605E5C"/>
      <w:shd w:val="clear" w:color="auto" w:fill="E1DFDD"/>
    </w:rPr>
  </w:style>
  <w:style w:type="character" w:styleId="FollowedHyperlink">
    <w:name w:val="FollowedHyperlink"/>
    <w:basedOn w:val="DefaultParagraphFont"/>
    <w:uiPriority w:val="99"/>
    <w:semiHidden/>
    <w:unhideWhenUsed/>
    <w:rsid w:val="007011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record/2019-19129-001" TargetMode="External"/><Relationship Id="rId18" Type="http://schemas.openxmlformats.org/officeDocument/2006/relationships/hyperlink" Target="https://uk.lunette.com/blogs/news/periods-and-prisons-in-the-uk" TargetMode="External"/><Relationship Id="rId26" Type="http://schemas.openxmlformats.org/officeDocument/2006/relationships/hyperlink" Target="https://www.ons.gov.uk/peoplepopulationandcommunity/birthsdeathsandmarriages/families/bulletins/familiesandhouseholds/2022" TargetMode="External"/><Relationship Id="rId3" Type="http://schemas.openxmlformats.org/officeDocument/2006/relationships/settings" Target="settings.xml"/><Relationship Id="rId21" Type="http://schemas.openxmlformats.org/officeDocument/2006/relationships/hyperlink" Target="https://www.gov.uk/government/statistics/prison-population-figures-2019" TargetMode="External"/><Relationship Id="rId34" Type="http://schemas.microsoft.com/office/2020/10/relationships/intelligence" Target="intelligence2.xml"/><Relationship Id="rId7" Type="http://schemas.openxmlformats.org/officeDocument/2006/relationships/hyperlink" Target="https://www.researchgate.net/publication/368491037_The_Powerful_Role_of_Mothers_in_Adolescent_Purpose_Development" TargetMode="External"/><Relationship Id="rId12" Type="http://schemas.openxmlformats.org/officeDocument/2006/relationships/hyperlink" Target="https://www.jstor.org/stable/3053868" TargetMode="External"/><Relationship Id="rId17" Type="http://schemas.openxmlformats.org/officeDocument/2006/relationships/hyperlink" Target="https://pubmed.ncbi.nlm.nih.gov/30903239/" TargetMode="External"/><Relationship Id="rId25" Type="http://schemas.openxmlformats.org/officeDocument/2006/relationships/hyperlink" Target="https://www.nacro.org.uk/news/remember-women-in-prison-this-mothers-day-nacro/"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mc/articles/PMC8263052/" TargetMode="External"/><Relationship Id="rId20" Type="http://schemas.openxmlformats.org/officeDocument/2006/relationships/hyperlink" Target="https://www.mentalhealth.org.uk/explore-mental-health/publications/looking-after-your-mental-health-prison-guide-male-prisoners#:~:text=Regular%20physical%20activity%20and%20exercise,the%20risk%20of%20depression1" TargetMode="External"/><Relationship Id="rId29" Type="http://schemas.openxmlformats.org/officeDocument/2006/relationships/hyperlink" Target="https://www.jstor.org/stable/29513432" TargetMode="External"/><Relationship Id="rId1" Type="http://schemas.openxmlformats.org/officeDocument/2006/relationships/numbering" Target="numbering.xml"/><Relationship Id="rId6" Type="http://schemas.openxmlformats.org/officeDocument/2006/relationships/hyperlink" Target="https://www.penalreform.org/blog/period-poverty-in-prisons-ensuring-menstrual-hygiene-and/" TargetMode="External"/><Relationship Id="rId11" Type="http://schemas.openxmlformats.org/officeDocument/2006/relationships/hyperlink" Target="https://www.catch-22.org.uk/resources/the-challenges-of-being-transgender-in-prison/" TargetMode="External"/><Relationship Id="rId24" Type="http://schemas.openxmlformats.org/officeDocument/2006/relationships/hyperlink" Target="https://bpspsychub.onlinelibrary.wiley.com/doi/epdf/10.1348/135532500168047" TargetMode="External"/><Relationship Id="rId32" Type="http://schemas.openxmlformats.org/officeDocument/2006/relationships/fontTable" Target="fontTable.xml"/><Relationship Id="rId5" Type="http://schemas.openxmlformats.org/officeDocument/2006/relationships/hyperlink" Target="https://onlinelibrary-wiley-com.ezproxy.uwtsd.ac.uk/doi/full/10.1111/1467-9566.13052" TargetMode="External"/><Relationship Id="rId15" Type="http://schemas.openxmlformats.org/officeDocument/2006/relationships/hyperlink" Target="https://www.jstor.org/stable/2136401" TargetMode="External"/><Relationship Id="rId23" Type="http://schemas.openxmlformats.org/officeDocument/2006/relationships/hyperlink" Target="https://pubmed.ncbi.nlm.nih.gov/14999449/" TargetMode="External"/><Relationship Id="rId28" Type="http://schemas.openxmlformats.org/officeDocument/2006/relationships/hyperlink" Target="https://www.samaritans.org/about-samaritans/research-policy/suicide-facts-and-figures/latest-suicide-data/" TargetMode="External"/><Relationship Id="rId10" Type="http://schemas.openxmlformats.org/officeDocument/2006/relationships/hyperlink" Target="https://www.tandfonline.com/doi/epdf/10.1080/14616734.2010.488119?needAccess=true" TargetMode="External"/><Relationship Id="rId19" Type="http://schemas.openxmlformats.org/officeDocument/2006/relationships/hyperlink" Target="https://www.mentalhealth.org.uk/explore-mental-health/a-z-topics/women-and-mental-health" TargetMode="External"/><Relationship Id="rId31" Type="http://schemas.openxmlformats.org/officeDocument/2006/relationships/hyperlink" Target="https://www.gov.uk/life-in-prison/pregnancy-and-childcare-in-prison#:~:text=Women%20who%20give%20birth%20in,prisoner's%20parents%2C%20or%20fostering" TargetMode="External"/><Relationship Id="rId4" Type="http://schemas.openxmlformats.org/officeDocument/2006/relationships/webSettings" Target="webSettings.xml"/><Relationship Id="rId9" Type="http://schemas.openxmlformats.org/officeDocument/2006/relationships/hyperlink" Target="https://files.eric.ed.gov/fulltext/EJ1148803.pdf" TargetMode="External"/><Relationship Id="rId14" Type="http://schemas.openxmlformats.org/officeDocument/2006/relationships/hyperlink" Target="https://www.joghr.org/article/32436-period-poverty-why-it-should-be-everybody-s-business" TargetMode="External"/><Relationship Id="rId22" Type="http://schemas.openxmlformats.org/officeDocument/2006/relationships/hyperlink" Target="https://www.gov.uk/government/statistics/women-and-the-criminal-justice-system-2021/women-and-the-criminal-justice-system-2021" TargetMode="External"/><Relationship Id="rId27" Type="http://schemas.openxmlformats.org/officeDocument/2006/relationships/hyperlink" Target="https://www.ons.gov.uk/peoplepopulationandcommunity/birthsdeathsandmarriages/deaths/articles/drugrelateddeathsandsuicideinprisoncustodyinenglandandwales/2023-01-26" TargetMode="External"/><Relationship Id="rId30" Type="http://schemas.openxmlformats.org/officeDocument/2006/relationships/hyperlink" Target="https://www.worldbank.org/en/news/feature/2020/05/28/menstrual-hygiene-day-2020" TargetMode="External"/><Relationship Id="rId8" Type="http://schemas.openxmlformats.org/officeDocument/2006/relationships/hyperlink" Target="https://www.tandfonline.com/doi/full/10.1080/14681990902926764?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10</Pages>
  <Words>4095</Words>
  <Characters>23343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Thomas Orr (2313951)</dc:creator>
  <cp:keywords/>
  <dc:description/>
  <cp:lastModifiedBy>Kezia Thomas Orr (2313951)</cp:lastModifiedBy>
  <cp:revision>3</cp:revision>
  <dcterms:created xsi:type="dcterms:W3CDTF">2023-11-04T14:51:00Z</dcterms:created>
  <dcterms:modified xsi:type="dcterms:W3CDTF">2023-11-17T22:27:00Z</dcterms:modified>
</cp:coreProperties>
</file>