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8F691" w14:textId="77777777" w:rsidR="00F34C42" w:rsidRDefault="00F34C42" w:rsidP="00F34C42">
      <w:pPr>
        <w:pStyle w:val="Title"/>
        <w:jc w:val="both"/>
        <w:rPr>
          <w:lang w:val="en-IN"/>
        </w:rPr>
      </w:pPr>
      <w:r w:rsidRPr="00F34C42">
        <w:rPr>
          <w:noProof/>
          <w:lang w:val="en-IN"/>
        </w:rPr>
        <w:drawing>
          <wp:anchor distT="0" distB="0" distL="114300" distR="114300" simplePos="0" relativeHeight="251659264" behindDoc="0" locked="0" layoutInCell="1" allowOverlap="1" wp14:anchorId="00E6801F" wp14:editId="25CDC51C">
            <wp:simplePos x="0" y="0"/>
            <wp:positionH relativeFrom="column">
              <wp:posOffset>-457200</wp:posOffset>
            </wp:positionH>
            <wp:positionV relativeFrom="paragraph">
              <wp:posOffset>-457200</wp:posOffset>
            </wp:positionV>
            <wp:extent cx="1811547" cy="724619"/>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3E07C569" w14:textId="77777777" w:rsidR="00F34C42" w:rsidRDefault="00F34C42" w:rsidP="00435837">
      <w:pPr>
        <w:pStyle w:val="Title"/>
        <w:rPr>
          <w:lang w:val="en-IN"/>
        </w:rPr>
      </w:pPr>
    </w:p>
    <w:p w14:paraId="4B2D117B" w14:textId="77777777" w:rsidR="00F34C42" w:rsidRDefault="00F34C42" w:rsidP="00F34C42">
      <w:pPr>
        <w:rPr>
          <w:lang w:val="en-IN"/>
        </w:rPr>
      </w:pPr>
    </w:p>
    <w:p w14:paraId="1B046856" w14:textId="77777777" w:rsidR="00F34C42" w:rsidRDefault="00F34C42" w:rsidP="00F34C42">
      <w:pPr>
        <w:rPr>
          <w:lang w:val="en-IN"/>
        </w:rPr>
      </w:pPr>
    </w:p>
    <w:p w14:paraId="13237E1E" w14:textId="77777777" w:rsidR="00F34C42" w:rsidRDefault="00F34C42" w:rsidP="00F34C42">
      <w:pPr>
        <w:rPr>
          <w:lang w:val="en-IN"/>
        </w:rPr>
      </w:pPr>
    </w:p>
    <w:p w14:paraId="53A9F454" w14:textId="77777777" w:rsidR="00F34C42" w:rsidRDefault="00F34C42" w:rsidP="00F34C42">
      <w:pPr>
        <w:rPr>
          <w:lang w:val="en-IN"/>
        </w:rPr>
      </w:pPr>
    </w:p>
    <w:p w14:paraId="3A0F1388" w14:textId="77777777" w:rsidR="00F34C42" w:rsidRDefault="00F34C42" w:rsidP="00F34C42">
      <w:pPr>
        <w:rPr>
          <w:lang w:val="en-IN"/>
        </w:rPr>
      </w:pPr>
    </w:p>
    <w:p w14:paraId="6F6D1A27" w14:textId="77777777" w:rsidR="00F34C42" w:rsidRDefault="00F34C42" w:rsidP="00F34C42">
      <w:pPr>
        <w:rPr>
          <w:lang w:val="en-IN"/>
        </w:rPr>
      </w:pPr>
    </w:p>
    <w:p w14:paraId="47912A87" w14:textId="77777777" w:rsidR="00F34C42" w:rsidRDefault="00F34C42" w:rsidP="00F34C42">
      <w:pPr>
        <w:rPr>
          <w:lang w:val="en-IN"/>
        </w:rPr>
      </w:pPr>
    </w:p>
    <w:p w14:paraId="2719474C" w14:textId="77777777" w:rsidR="00F34C42" w:rsidRPr="00F34C42" w:rsidRDefault="00F34C42" w:rsidP="00F34C42">
      <w:pPr>
        <w:rPr>
          <w:lang w:val="en-IN"/>
        </w:rPr>
      </w:pPr>
    </w:p>
    <w:p w14:paraId="0FD108AD" w14:textId="77777777" w:rsidR="00F34C42" w:rsidRDefault="00F34C42" w:rsidP="00F34C42">
      <w:pPr>
        <w:pStyle w:val="Title"/>
        <w:spacing w:line="480" w:lineRule="auto"/>
        <w:rPr>
          <w:lang w:val="en-IN"/>
        </w:rPr>
      </w:pPr>
      <w:r>
        <w:rPr>
          <w:lang w:val="en-IN"/>
        </w:rPr>
        <w:t>BMLW4003</w:t>
      </w:r>
    </w:p>
    <w:p w14:paraId="6146950F" w14:textId="77777777" w:rsidR="0002061C" w:rsidRDefault="00435837" w:rsidP="00F34C42">
      <w:pPr>
        <w:pStyle w:val="Title"/>
        <w:spacing w:line="480" w:lineRule="auto"/>
        <w:rPr>
          <w:lang w:val="en-IN"/>
        </w:rPr>
      </w:pPr>
      <w:r>
        <w:rPr>
          <w:lang w:val="en-IN"/>
        </w:rPr>
        <w:t>Law and Legal Practice</w:t>
      </w:r>
    </w:p>
    <w:p w14:paraId="6BD153D6" w14:textId="77777777" w:rsidR="00435837" w:rsidRPr="00F34C42" w:rsidRDefault="00F34C42" w:rsidP="00F34C42">
      <w:pPr>
        <w:spacing w:line="480" w:lineRule="auto"/>
        <w:jc w:val="center"/>
        <w:rPr>
          <w:rFonts w:eastAsiaTheme="majorEastAsia" w:cstheme="majorBidi"/>
          <w:b/>
          <w:i/>
          <w:spacing w:val="-10"/>
          <w:kern w:val="28"/>
          <w:sz w:val="48"/>
          <w:szCs w:val="56"/>
          <w:lang w:val="en-IN"/>
        </w:rPr>
      </w:pPr>
      <w:r w:rsidRPr="00F34C42">
        <w:rPr>
          <w:rFonts w:eastAsiaTheme="majorEastAsia" w:cstheme="majorBidi"/>
          <w:b/>
          <w:i/>
          <w:spacing w:val="-10"/>
          <w:kern w:val="28"/>
          <w:sz w:val="48"/>
          <w:szCs w:val="56"/>
          <w:lang w:val="en-IN"/>
        </w:rPr>
        <w:t>Diversity in the Judiciary (Supreme Court)</w:t>
      </w:r>
    </w:p>
    <w:p w14:paraId="588A2E74" w14:textId="77777777" w:rsidR="00435837" w:rsidRDefault="00435837" w:rsidP="00435837">
      <w:pPr>
        <w:rPr>
          <w:lang w:val="en-IN"/>
        </w:rPr>
      </w:pPr>
    </w:p>
    <w:p w14:paraId="4824FFC4" w14:textId="77777777" w:rsidR="00435837" w:rsidRDefault="00435837" w:rsidP="00435837">
      <w:pPr>
        <w:rPr>
          <w:lang w:val="en-IN"/>
        </w:rPr>
      </w:pPr>
    </w:p>
    <w:p w14:paraId="4E74E40F" w14:textId="77777777" w:rsidR="00435837" w:rsidRDefault="00435837" w:rsidP="00435837">
      <w:pPr>
        <w:rPr>
          <w:lang w:val="en-IN"/>
        </w:rPr>
      </w:pPr>
    </w:p>
    <w:p w14:paraId="755DF5D4" w14:textId="77777777" w:rsidR="00F34C42" w:rsidRDefault="00F34C42" w:rsidP="00435837">
      <w:pPr>
        <w:rPr>
          <w:lang w:val="en-IN"/>
        </w:rPr>
      </w:pPr>
    </w:p>
    <w:p w14:paraId="30ACB2D0" w14:textId="77777777" w:rsidR="00F34C42" w:rsidRDefault="00F34C42" w:rsidP="00435837">
      <w:pPr>
        <w:rPr>
          <w:lang w:val="en-IN"/>
        </w:rPr>
      </w:pPr>
    </w:p>
    <w:p w14:paraId="6C54A582" w14:textId="77777777" w:rsidR="00F34C42" w:rsidRDefault="00F34C42" w:rsidP="00435837">
      <w:pPr>
        <w:rPr>
          <w:lang w:val="en-IN"/>
        </w:rPr>
      </w:pPr>
    </w:p>
    <w:p w14:paraId="065E652A" w14:textId="77777777" w:rsidR="00F34C42" w:rsidRDefault="00F34C42" w:rsidP="00435837">
      <w:pPr>
        <w:rPr>
          <w:lang w:val="en-IN"/>
        </w:rPr>
      </w:pPr>
    </w:p>
    <w:p w14:paraId="6E5BB653" w14:textId="77777777" w:rsidR="00F34C42" w:rsidRDefault="00F34C42" w:rsidP="00435837">
      <w:pPr>
        <w:rPr>
          <w:lang w:val="en-IN"/>
        </w:rPr>
      </w:pPr>
    </w:p>
    <w:p w14:paraId="4F6E8596" w14:textId="77777777" w:rsidR="00F34C42" w:rsidRDefault="00F34C42" w:rsidP="00435837">
      <w:pPr>
        <w:rPr>
          <w:lang w:val="en-IN"/>
        </w:rPr>
      </w:pPr>
    </w:p>
    <w:p w14:paraId="5E07BA03" w14:textId="72494D93" w:rsidR="00435837" w:rsidRPr="00F34C42" w:rsidRDefault="00F34C42" w:rsidP="00435837">
      <w:pPr>
        <w:rPr>
          <w:b/>
          <w:sz w:val="32"/>
          <w:lang w:val="en-IN"/>
        </w:rPr>
      </w:pPr>
      <w:r w:rsidRPr="00F34C42">
        <w:rPr>
          <w:b/>
          <w:sz w:val="32"/>
          <w:lang w:val="en-IN"/>
        </w:rPr>
        <w:t xml:space="preserve">Student Name – </w:t>
      </w:r>
      <w:r w:rsidR="007714DB">
        <w:rPr>
          <w:b/>
          <w:sz w:val="32"/>
          <w:lang w:val="en-IN"/>
        </w:rPr>
        <w:t>Cristina Rusu</w:t>
      </w:r>
    </w:p>
    <w:p w14:paraId="6977DBDB" w14:textId="25D1D603" w:rsidR="00F34C42" w:rsidRPr="00F34C42" w:rsidRDefault="00F34C42" w:rsidP="00435837">
      <w:pPr>
        <w:rPr>
          <w:b/>
          <w:sz w:val="32"/>
          <w:lang w:val="en-IN"/>
        </w:rPr>
      </w:pPr>
      <w:r w:rsidRPr="00F34C42">
        <w:rPr>
          <w:b/>
          <w:sz w:val="32"/>
          <w:lang w:val="en-IN"/>
        </w:rPr>
        <w:t xml:space="preserve">Student ID - </w:t>
      </w:r>
      <w:r w:rsidR="003C38C6">
        <w:rPr>
          <w:b/>
          <w:sz w:val="32"/>
          <w:lang w:val="en-IN"/>
        </w:rPr>
        <w:t>2132015</w:t>
      </w:r>
    </w:p>
    <w:p w14:paraId="363A4770" w14:textId="77777777" w:rsidR="00F34C42" w:rsidRDefault="00F34C42">
      <w:pPr>
        <w:spacing w:after="160" w:line="259" w:lineRule="auto"/>
        <w:jc w:val="left"/>
        <w:rPr>
          <w:lang w:val="en-IN"/>
        </w:rPr>
      </w:pPr>
      <w:r>
        <w:rPr>
          <w:lang w:val="en-IN"/>
        </w:rPr>
        <w:br w:type="page"/>
      </w:r>
    </w:p>
    <w:p w14:paraId="74D35639" w14:textId="77777777" w:rsidR="00435837" w:rsidRDefault="00884136" w:rsidP="00F34C42">
      <w:pPr>
        <w:pStyle w:val="Heading1"/>
        <w:jc w:val="center"/>
        <w:rPr>
          <w:lang w:val="en-IN"/>
        </w:rPr>
      </w:pPr>
      <w:bookmarkStart w:id="0" w:name="_Toc105164569"/>
      <w:r>
        <w:rPr>
          <w:lang w:val="en-IN"/>
        </w:rPr>
        <w:lastRenderedPageBreak/>
        <w:t xml:space="preserve">Essay: </w:t>
      </w:r>
      <w:r w:rsidR="00F742FB">
        <w:rPr>
          <w:lang w:val="en-IN"/>
        </w:rPr>
        <w:t>Importance of Diversity in the context of Supreme Court</w:t>
      </w:r>
      <w:bookmarkEnd w:id="0"/>
    </w:p>
    <w:p w14:paraId="6A9FADEF" w14:textId="16794BEC" w:rsidR="008E4710" w:rsidRDefault="00D9201C" w:rsidP="00F742FB">
      <w:pPr>
        <w:rPr>
          <w:lang w:val="en-IN"/>
        </w:rPr>
      </w:pPr>
      <w:r>
        <w:rPr>
          <w:lang w:val="en-IN"/>
        </w:rPr>
        <w:t xml:space="preserve">The essay would demonstrate the </w:t>
      </w:r>
      <w:r w:rsidR="00446BD2">
        <w:rPr>
          <w:lang w:val="en-IN"/>
        </w:rPr>
        <w:t>composition of the supreme court while focusing on the procedure of the appointment of the ju</w:t>
      </w:r>
      <w:r w:rsidR="004C0011">
        <w:rPr>
          <w:lang w:val="en-IN"/>
        </w:rPr>
        <w:t>dicial officers</w:t>
      </w:r>
      <w:r w:rsidR="00446BD2">
        <w:rPr>
          <w:lang w:val="en-IN"/>
        </w:rPr>
        <w:t xml:space="preserve"> in the supreme court. </w:t>
      </w:r>
      <w:r w:rsidR="007F6758">
        <w:rPr>
          <w:lang w:val="en-IN"/>
        </w:rPr>
        <w:t xml:space="preserve">The Supreme Court is the final court or the </w:t>
      </w:r>
      <w:r w:rsidR="004C0011">
        <w:rPr>
          <w:lang w:val="en-IN"/>
        </w:rPr>
        <w:t>uppermost</w:t>
      </w:r>
      <w:r w:rsidR="007F6758">
        <w:rPr>
          <w:lang w:val="en-IN"/>
        </w:rPr>
        <w:t xml:space="preserve"> court in the UK. It is also considered to be </w:t>
      </w:r>
      <w:r w:rsidR="004C0011">
        <w:rPr>
          <w:lang w:val="en-IN"/>
        </w:rPr>
        <w:t>the</w:t>
      </w:r>
      <w:r w:rsidR="007F6758">
        <w:rPr>
          <w:lang w:val="en-IN"/>
        </w:rPr>
        <w:t xml:space="preserve"> </w:t>
      </w:r>
      <w:r w:rsidR="004C0011">
        <w:rPr>
          <w:lang w:val="en-IN"/>
        </w:rPr>
        <w:t>last</w:t>
      </w:r>
      <w:r w:rsidR="007F6758">
        <w:rPr>
          <w:lang w:val="en-IN"/>
        </w:rPr>
        <w:t xml:space="preserve"> court of </w:t>
      </w:r>
      <w:r w:rsidR="004C0011">
        <w:rPr>
          <w:lang w:val="en-IN"/>
        </w:rPr>
        <w:t xml:space="preserve">making an </w:t>
      </w:r>
      <w:r w:rsidR="007F6758">
        <w:rPr>
          <w:lang w:val="en-IN"/>
        </w:rPr>
        <w:t xml:space="preserve">appeal for all the </w:t>
      </w:r>
      <w:r w:rsidR="004C0011">
        <w:rPr>
          <w:lang w:val="en-IN"/>
        </w:rPr>
        <w:t>civil cases</w:t>
      </w:r>
      <w:r w:rsidR="007F6758">
        <w:rPr>
          <w:lang w:val="en-IN"/>
        </w:rPr>
        <w:t xml:space="preserve"> a</w:t>
      </w:r>
      <w:r w:rsidR="004C0011">
        <w:rPr>
          <w:lang w:val="en-IN"/>
        </w:rPr>
        <w:t>s well as</w:t>
      </w:r>
      <w:r w:rsidR="007F6758">
        <w:rPr>
          <w:lang w:val="en-IN"/>
        </w:rPr>
        <w:t xml:space="preserve"> criminal cases in Northern Ireland, </w:t>
      </w:r>
      <w:r w:rsidR="004C0011">
        <w:rPr>
          <w:lang w:val="en-IN"/>
        </w:rPr>
        <w:t xml:space="preserve">England, </w:t>
      </w:r>
      <w:r w:rsidR="007F6758">
        <w:rPr>
          <w:lang w:val="en-IN"/>
        </w:rPr>
        <w:t>and Wales. No appeal could be made beyond the supreme court, which means that the decision of the supreme court is final and binding on all the lower courts and the tribunals</w:t>
      </w:r>
      <w:r w:rsidR="00E5686D">
        <w:rPr>
          <w:lang w:val="en-IN"/>
        </w:rPr>
        <w:t xml:space="preserve"> (Hanretty, 2020)</w:t>
      </w:r>
      <w:r w:rsidR="007F6758">
        <w:rPr>
          <w:lang w:val="en-IN"/>
        </w:rPr>
        <w:t xml:space="preserve">. </w:t>
      </w:r>
      <w:r w:rsidR="008E4710">
        <w:rPr>
          <w:lang w:val="en-IN"/>
        </w:rPr>
        <w:t xml:space="preserve">The judges of the supreme court hear those appeals in which such points of law are involved that are considered important from the </w:t>
      </w:r>
      <w:r w:rsidR="004C0011">
        <w:rPr>
          <w:lang w:val="en-IN"/>
        </w:rPr>
        <w:t>opinion</w:t>
      </w:r>
      <w:r w:rsidR="008E4710">
        <w:rPr>
          <w:lang w:val="en-IN"/>
        </w:rPr>
        <w:t xml:space="preserve"> of the general public (Supremecourt.uk, 2022).</w:t>
      </w:r>
      <w:r w:rsidR="005F2890">
        <w:rPr>
          <w:lang w:val="en-IN"/>
        </w:rPr>
        <w:t xml:space="preserve"> Only those cases that are important from the constitutional </w:t>
      </w:r>
      <w:r w:rsidR="004C0011">
        <w:rPr>
          <w:lang w:val="en-IN"/>
        </w:rPr>
        <w:t>perspective</w:t>
      </w:r>
      <w:r w:rsidR="005F2890">
        <w:rPr>
          <w:lang w:val="en-IN"/>
        </w:rPr>
        <w:t xml:space="preserve"> and to the public are heard by the supreme court. The supreme court has maintained the position of a leader in the world of common law and the court with the highest authority and power in the UK. </w:t>
      </w:r>
      <w:r w:rsidR="000F7960">
        <w:rPr>
          <w:lang w:val="en-IN"/>
        </w:rPr>
        <w:t>The position of the Supreme court has been restored after the Brexit (Keating, 2022</w:t>
      </w:r>
      <w:r w:rsidR="000D5CBD">
        <w:rPr>
          <w:lang w:val="en-IN"/>
        </w:rPr>
        <w:t>, p. 497</w:t>
      </w:r>
      <w:r w:rsidR="000F7960">
        <w:rPr>
          <w:lang w:val="en-IN"/>
        </w:rPr>
        <w:t>).</w:t>
      </w:r>
    </w:p>
    <w:p w14:paraId="0AE092F4" w14:textId="7EFACE64" w:rsidR="00CC603E" w:rsidRDefault="00CC603E" w:rsidP="00F34C42">
      <w:pPr>
        <w:spacing w:before="240"/>
        <w:rPr>
          <w:lang w:val="en-IN"/>
        </w:rPr>
      </w:pPr>
      <w:r>
        <w:rPr>
          <w:lang w:val="en-IN"/>
        </w:rPr>
        <w:t>The Supreme Court Act 1981 determines the appointment and the powers of the judges of the Supreme Court</w:t>
      </w:r>
      <w:r w:rsidR="00F34C42">
        <w:rPr>
          <w:lang w:val="en-IN"/>
        </w:rPr>
        <w:t xml:space="preserve"> (Legislation.Gov.UK</w:t>
      </w:r>
      <w:r w:rsidR="009E2644">
        <w:rPr>
          <w:lang w:val="en-IN"/>
        </w:rPr>
        <w:t>, 1981)</w:t>
      </w:r>
      <w:r w:rsidR="00CE1E1A">
        <w:rPr>
          <w:lang w:val="en-IN"/>
        </w:rPr>
        <w:t xml:space="preserve">. According to this Act, the Supreme Court is the compilation of the Court </w:t>
      </w:r>
      <w:r w:rsidR="004C0011">
        <w:rPr>
          <w:lang w:val="en-IN"/>
        </w:rPr>
        <w:t xml:space="preserve">where </w:t>
      </w:r>
      <w:r w:rsidR="00CE1E1A">
        <w:rPr>
          <w:lang w:val="en-IN"/>
        </w:rPr>
        <w:t>Appeal</w:t>
      </w:r>
      <w:r w:rsidR="004C0011">
        <w:rPr>
          <w:lang w:val="en-IN"/>
        </w:rPr>
        <w:t xml:space="preserve"> could be made</w:t>
      </w:r>
      <w:r w:rsidR="00CE1E1A">
        <w:rPr>
          <w:lang w:val="en-IN"/>
        </w:rPr>
        <w:t>, the Crown Court, and the High Court of Justice.</w:t>
      </w:r>
      <w:r w:rsidR="00EB5A78">
        <w:rPr>
          <w:lang w:val="en-IN"/>
        </w:rPr>
        <w:t xml:space="preserve"> When the office of Lord Chief Justice, President of the Family Division,</w:t>
      </w:r>
      <w:r w:rsidR="004C0011">
        <w:rPr>
          <w:lang w:val="en-IN"/>
        </w:rPr>
        <w:t xml:space="preserve"> Master of the Rolls,</w:t>
      </w:r>
      <w:r w:rsidR="00EB5A78">
        <w:rPr>
          <w:lang w:val="en-IN"/>
        </w:rPr>
        <w:t xml:space="preserve"> or Vice-Chancellor becomes </w:t>
      </w:r>
      <w:r w:rsidR="004C0011">
        <w:rPr>
          <w:lang w:val="en-IN"/>
        </w:rPr>
        <w:t>unoccupied</w:t>
      </w:r>
      <w:r w:rsidR="00EB5A78">
        <w:rPr>
          <w:lang w:val="en-IN"/>
        </w:rPr>
        <w:t>, then a qualified person would be appointed by her majesty through a letter patent. A person would not be eligible for the appointment at the position of Lord Chief Justice, President of the Family Division, Master of the Rolls, or Vice-Chancellor, if he is not eligible or qualified to be appointed at the position</w:t>
      </w:r>
      <w:r w:rsidR="00D9201C">
        <w:rPr>
          <w:lang w:val="en-IN"/>
        </w:rPr>
        <w:t xml:space="preserve"> of Lord Justice of Appeal or is at present a ju</w:t>
      </w:r>
      <w:r w:rsidR="004C0011">
        <w:rPr>
          <w:lang w:val="en-IN"/>
        </w:rPr>
        <w:t>dicial officer</w:t>
      </w:r>
      <w:r w:rsidR="00D9201C">
        <w:rPr>
          <w:lang w:val="en-IN"/>
        </w:rPr>
        <w:t xml:space="preserve"> of the Court of Appeal. </w:t>
      </w:r>
      <w:r w:rsidR="00BD6837">
        <w:rPr>
          <w:lang w:val="en-IN"/>
        </w:rPr>
        <w:t xml:space="preserve">A person could only be assigned to the position of Lord Justice of Appeal when he has a standing of 15 years as a barrister or served at the position of the judge of a </w:t>
      </w:r>
      <w:r w:rsidR="004C0011">
        <w:rPr>
          <w:lang w:val="en-IN"/>
        </w:rPr>
        <w:t>principal court</w:t>
      </w:r>
      <w:r w:rsidR="00BD6837">
        <w:rPr>
          <w:lang w:val="en-IN"/>
        </w:rPr>
        <w:t>. For the appointment to the position of a puisne judge in the High court, the standing of a minimum of 10 years as an advocate is mandatory. The person who has been appointed to any of the above-mentioned positions would be liable to take an oath of allegiance as well as a</w:t>
      </w:r>
      <w:r w:rsidR="004C0011">
        <w:rPr>
          <w:lang w:val="en-IN"/>
        </w:rPr>
        <w:t>n</w:t>
      </w:r>
      <w:r w:rsidR="00BD6837">
        <w:rPr>
          <w:lang w:val="en-IN"/>
        </w:rPr>
        <w:t xml:space="preserve"> oath</w:t>
      </w:r>
      <w:r w:rsidR="004C0011">
        <w:rPr>
          <w:lang w:val="en-IN"/>
        </w:rPr>
        <w:t xml:space="preserve"> taken in the court before the judge</w:t>
      </w:r>
      <w:r w:rsidR="00BD6837">
        <w:rPr>
          <w:lang w:val="en-IN"/>
        </w:rPr>
        <w:t xml:space="preserve"> as stated in the Promissory Oaths Act 1868</w:t>
      </w:r>
      <w:r w:rsidR="00CD058A">
        <w:rPr>
          <w:lang w:val="en-IN"/>
        </w:rPr>
        <w:t xml:space="preserve"> and the oath is to be taken in the presence of Lord Chancellor. </w:t>
      </w:r>
    </w:p>
    <w:p w14:paraId="6472480C" w14:textId="1EDC92E2" w:rsidR="00B36FC3" w:rsidRDefault="00B36FC3" w:rsidP="00F34C42">
      <w:pPr>
        <w:spacing w:before="240"/>
        <w:rPr>
          <w:lang w:val="en-IN"/>
        </w:rPr>
      </w:pPr>
      <w:r>
        <w:rPr>
          <w:lang w:val="en-IN"/>
        </w:rPr>
        <w:t xml:space="preserve">The </w:t>
      </w:r>
      <w:r w:rsidR="00F34C42">
        <w:rPr>
          <w:lang w:val="en-IN"/>
        </w:rPr>
        <w:t>Supreme Court</w:t>
      </w:r>
      <w:r>
        <w:rPr>
          <w:lang w:val="en-IN"/>
        </w:rPr>
        <w:t xml:space="preserve"> has the power to hear the issues relating to the devolution, which means whenever there is any dispute regarding the determination of the powers of a devolved </w:t>
      </w:r>
      <w:r>
        <w:rPr>
          <w:lang w:val="en-IN"/>
        </w:rPr>
        <w:lastRenderedPageBreak/>
        <w:t xml:space="preserve">government, </w:t>
      </w:r>
      <w:r w:rsidR="00F34C42">
        <w:rPr>
          <w:lang w:val="en-IN"/>
        </w:rPr>
        <w:t>and then</w:t>
      </w:r>
      <w:r>
        <w:rPr>
          <w:lang w:val="en-IN"/>
        </w:rPr>
        <w:t xml:space="preserve"> i</w:t>
      </w:r>
      <w:r w:rsidR="00F34C42">
        <w:rPr>
          <w:lang w:val="en-IN"/>
        </w:rPr>
        <w:t xml:space="preserve">t would be </w:t>
      </w:r>
      <w:r w:rsidR="005444CE">
        <w:rPr>
          <w:lang w:val="en-IN"/>
        </w:rPr>
        <w:t>caught</w:t>
      </w:r>
      <w:r w:rsidR="00F34C42">
        <w:rPr>
          <w:lang w:val="en-IN"/>
        </w:rPr>
        <w:t xml:space="preserve"> by the Supreme C</w:t>
      </w:r>
      <w:r>
        <w:rPr>
          <w:lang w:val="en-IN"/>
        </w:rPr>
        <w:t xml:space="preserve">ourt. </w:t>
      </w:r>
      <w:r w:rsidR="00C27EE9">
        <w:rPr>
          <w:lang w:val="en-IN"/>
        </w:rPr>
        <w:t xml:space="preserve">The power of final interpretation of the points of law in which there is an existence of the </w:t>
      </w:r>
      <w:proofErr w:type="gramStart"/>
      <w:r w:rsidR="00C27EE9">
        <w:rPr>
          <w:lang w:val="en-IN"/>
        </w:rPr>
        <w:t>dispute</w:t>
      </w:r>
      <w:proofErr w:type="gramEnd"/>
      <w:r w:rsidR="00C27EE9">
        <w:rPr>
          <w:lang w:val="en-IN"/>
        </w:rPr>
        <w:t xml:space="preserve"> and which is important from the purview of the constitution or the public in general. The powers of the supreme court in the UK </w:t>
      </w:r>
      <w:r w:rsidR="00566057">
        <w:rPr>
          <w:lang w:val="en-IN"/>
        </w:rPr>
        <w:t>are</w:t>
      </w:r>
      <w:r w:rsidR="00C27EE9">
        <w:rPr>
          <w:lang w:val="en-IN"/>
        </w:rPr>
        <w:t xml:space="preserve"> not wide like other nations. </w:t>
      </w:r>
      <w:r w:rsidR="00566057">
        <w:rPr>
          <w:lang w:val="en-IN"/>
        </w:rPr>
        <w:t>It does not have the power to void any primary legislation which is enacted by the supreme lawmaker, i.e., the parliament of the UK. The parliamentary sovereignty</w:t>
      </w:r>
      <w:r w:rsidR="005444CE">
        <w:rPr>
          <w:lang w:val="en-IN"/>
        </w:rPr>
        <w:t xml:space="preserve"> doctrine</w:t>
      </w:r>
      <w:r w:rsidR="00566057">
        <w:rPr>
          <w:lang w:val="en-IN"/>
        </w:rPr>
        <w:t xml:space="preserve"> is applicable in the UK, according to which the power has been </w:t>
      </w:r>
      <w:r w:rsidR="0053112A">
        <w:rPr>
          <w:lang w:val="en-IN"/>
        </w:rPr>
        <w:t xml:space="preserve">conferred on the parliament for making or amending any law without any restraint and the supreme court also cannot interfere with the power of the </w:t>
      </w:r>
      <w:r w:rsidR="005444CE">
        <w:rPr>
          <w:lang w:val="en-IN"/>
        </w:rPr>
        <w:t>legislature</w:t>
      </w:r>
      <w:r w:rsidR="0053112A">
        <w:rPr>
          <w:lang w:val="en-IN"/>
        </w:rPr>
        <w:t>. But the supreme court has the power to declare any act of parliament incompatible if it is inconsistent with the European Convention of Human Rights</w:t>
      </w:r>
      <w:r w:rsidR="00DC10B4">
        <w:rPr>
          <w:lang w:val="en-IN"/>
        </w:rPr>
        <w:t xml:space="preserve">. This is by issuing the “declaration of incompatibility” by the supreme court. But this declaration of the supreme court is not binding on the parliament. It is optional for the parliament to </w:t>
      </w:r>
      <w:r w:rsidR="00FC5570">
        <w:rPr>
          <w:lang w:val="en-IN"/>
        </w:rPr>
        <w:t xml:space="preserve">strike down the disputed Act or to keep it even after the issuance of the declaration of incompatibility by the supreme court. </w:t>
      </w:r>
      <w:r w:rsidR="00165386">
        <w:rPr>
          <w:lang w:val="en-IN"/>
        </w:rPr>
        <w:t>The representation of women in the profession of solicitor and Chartered Legal Executive. In the selection procedure of the judiciary in the year 2020-21, no disparity is being done with the women. It has been noticed that the ratio of women in recent years has enhanced, but still</w:t>
      </w:r>
      <w:r w:rsidR="00930D56">
        <w:rPr>
          <w:lang w:val="en-IN"/>
        </w:rPr>
        <w:t>,</w:t>
      </w:r>
      <w:r w:rsidR="00165386">
        <w:rPr>
          <w:lang w:val="en-IN"/>
        </w:rPr>
        <w:t xml:space="preserve"> the participation or representation of women in the appointments of </w:t>
      </w:r>
      <w:r w:rsidR="00930D56">
        <w:rPr>
          <w:lang w:val="en-IN"/>
        </w:rPr>
        <w:t xml:space="preserve">the </w:t>
      </w:r>
      <w:r w:rsidR="00165386">
        <w:rPr>
          <w:lang w:val="en-IN"/>
        </w:rPr>
        <w:t>senior court</w:t>
      </w:r>
      <w:r w:rsidR="00930D56">
        <w:rPr>
          <w:lang w:val="en-IN"/>
        </w:rPr>
        <w:t xml:space="preserve"> is less (Gov.</w:t>
      </w:r>
      <w:r w:rsidR="00F34C42">
        <w:rPr>
          <w:lang w:val="en-IN"/>
        </w:rPr>
        <w:t>UK</w:t>
      </w:r>
      <w:r w:rsidR="00930D56">
        <w:rPr>
          <w:lang w:val="en-IN"/>
        </w:rPr>
        <w:t xml:space="preserve">, 2021). </w:t>
      </w:r>
    </w:p>
    <w:p w14:paraId="0F42D10D" w14:textId="355D721F" w:rsidR="0037571A" w:rsidRDefault="0037571A" w:rsidP="00F34C42">
      <w:pPr>
        <w:spacing w:before="240"/>
        <w:rPr>
          <w:lang w:val="en-IN"/>
        </w:rPr>
      </w:pPr>
      <w:r>
        <w:rPr>
          <w:lang w:val="en-IN"/>
        </w:rPr>
        <w:t xml:space="preserve">In the case of </w:t>
      </w:r>
      <w:r w:rsidRPr="007E6058">
        <w:rPr>
          <w:b/>
          <w:bCs/>
          <w:i/>
          <w:iCs/>
          <w:lang w:val="en-IN"/>
        </w:rPr>
        <w:t>Her Majesty’s Treasury v Ahmed [2010] UKSC 2</w:t>
      </w:r>
      <w:r>
        <w:rPr>
          <w:lang w:val="en-IN"/>
        </w:rPr>
        <w:t xml:space="preserve">, it was held that the division of powers between the judiciary, parliament, and executive would come within the ambit of the fundamental rights of the citizens of the nation. The delegated legislation was considered illegal or </w:t>
      </w:r>
      <w:r w:rsidR="005444CE">
        <w:rPr>
          <w:lang w:val="en-IN"/>
        </w:rPr>
        <w:t>an</w:t>
      </w:r>
      <w:r>
        <w:rPr>
          <w:lang w:val="en-IN"/>
        </w:rPr>
        <w:t xml:space="preserve"> </w:t>
      </w:r>
      <w:r w:rsidR="005444CE">
        <w:rPr>
          <w:lang w:val="en-IN"/>
        </w:rPr>
        <w:t>abuse</w:t>
      </w:r>
      <w:r>
        <w:rPr>
          <w:lang w:val="en-IN"/>
        </w:rPr>
        <w:t xml:space="preserve"> of the fundamental </w:t>
      </w:r>
      <w:r w:rsidR="005444CE">
        <w:rPr>
          <w:lang w:val="en-IN"/>
        </w:rPr>
        <w:t>civil rights</w:t>
      </w:r>
      <w:r>
        <w:rPr>
          <w:lang w:val="en-IN"/>
        </w:rPr>
        <w:t xml:space="preserve"> of the </w:t>
      </w:r>
      <w:r w:rsidR="005444CE">
        <w:rPr>
          <w:lang w:val="en-IN"/>
        </w:rPr>
        <w:t>people</w:t>
      </w:r>
      <w:r>
        <w:rPr>
          <w:lang w:val="en-IN"/>
        </w:rPr>
        <w:t xml:space="preserve">. It was considered the landmark judgment of the </w:t>
      </w:r>
      <w:r w:rsidR="00F34C42">
        <w:rPr>
          <w:lang w:val="en-IN"/>
        </w:rPr>
        <w:t>Supreme Court</w:t>
      </w:r>
      <w:r>
        <w:rPr>
          <w:lang w:val="en-IN"/>
        </w:rPr>
        <w:t xml:space="preserve"> which helps in the determination of the control of the </w:t>
      </w:r>
      <w:r w:rsidR="00F34C42">
        <w:rPr>
          <w:lang w:val="en-IN"/>
        </w:rPr>
        <w:t>Supreme Court</w:t>
      </w:r>
      <w:r>
        <w:rPr>
          <w:lang w:val="en-IN"/>
        </w:rPr>
        <w:t xml:space="preserve"> over the inconsistent actions of the government in respect of the making of laws and policie</w:t>
      </w:r>
      <w:r w:rsidR="00F34C42">
        <w:rPr>
          <w:lang w:val="en-IN"/>
        </w:rPr>
        <w:t>s (Supremecourt.UK</w:t>
      </w:r>
      <w:r>
        <w:rPr>
          <w:lang w:val="en-IN"/>
        </w:rPr>
        <w:t>, 2022</w:t>
      </w:r>
      <w:r w:rsidR="00F34C42">
        <w:rPr>
          <w:lang w:val="en-IN"/>
        </w:rPr>
        <w:t>b</w:t>
      </w:r>
      <w:r>
        <w:rPr>
          <w:lang w:val="en-IN"/>
        </w:rPr>
        <w:t xml:space="preserve">). </w:t>
      </w:r>
    </w:p>
    <w:p w14:paraId="115A874A" w14:textId="77777777" w:rsidR="00930D56" w:rsidRDefault="006972F8" w:rsidP="00F34C42">
      <w:pPr>
        <w:spacing w:before="240"/>
        <w:rPr>
          <w:lang w:val="en-IN"/>
        </w:rPr>
      </w:pPr>
      <w:r>
        <w:rPr>
          <w:lang w:val="en-IN"/>
        </w:rPr>
        <w:t xml:space="preserve">The representation of Asians, minorities and black ethnic people is less among the members of the legal professions that are more experienced. No such evidence could be found that can prove the disparity or partiality with the minorities, Asians, and black people or representatives during the selection processes of </w:t>
      </w:r>
      <w:r w:rsidR="00FD13D5">
        <w:rPr>
          <w:lang w:val="en-IN"/>
        </w:rPr>
        <w:t xml:space="preserve">the </w:t>
      </w:r>
      <w:r>
        <w:rPr>
          <w:lang w:val="en-IN"/>
        </w:rPr>
        <w:t xml:space="preserve">judiciary in the year 2020-21. </w:t>
      </w:r>
      <w:r w:rsidR="00FD13D5">
        <w:rPr>
          <w:lang w:val="en-IN"/>
        </w:rPr>
        <w:t>There is no direct effect of ethnicity or gender on the decisions pronounced by the judges of the supreme court. But i</w:t>
      </w:r>
      <w:r w:rsidR="00C5375F">
        <w:rPr>
          <w:lang w:val="en-IN"/>
        </w:rPr>
        <w:t>n</w:t>
      </w:r>
      <w:r w:rsidR="00FD13D5">
        <w:rPr>
          <w:lang w:val="en-IN"/>
        </w:rPr>
        <w:t xml:space="preserve"> certain criminal cases in which the offense is being committed with or against a woman, the female judge is </w:t>
      </w:r>
      <w:r w:rsidR="00C5375F">
        <w:rPr>
          <w:lang w:val="en-IN"/>
        </w:rPr>
        <w:t xml:space="preserve">a </w:t>
      </w:r>
      <w:r w:rsidR="00FD13D5">
        <w:rPr>
          <w:lang w:val="en-IN"/>
        </w:rPr>
        <w:t xml:space="preserve">little bit more rigid or strict against the offender. </w:t>
      </w:r>
    </w:p>
    <w:p w14:paraId="5904D1C3" w14:textId="5F1AA65A" w:rsidR="00C5375F" w:rsidRDefault="00C5375F" w:rsidP="00F34C42">
      <w:pPr>
        <w:spacing w:before="240"/>
        <w:rPr>
          <w:lang w:val="en-IN"/>
        </w:rPr>
      </w:pPr>
      <w:r>
        <w:rPr>
          <w:lang w:val="en-IN"/>
        </w:rPr>
        <w:lastRenderedPageBreak/>
        <w:t xml:space="preserve">The Constitutional Reform Act 2005 determines the procedure for the appointment of justice in the supreme court. A selection committee is convened by the Lord Chancellor through the way of sending a letter to the </w:t>
      </w:r>
      <w:r w:rsidR="005444CE">
        <w:rPr>
          <w:lang w:val="en-IN"/>
        </w:rPr>
        <w:t>Leader</w:t>
      </w:r>
      <w:r>
        <w:rPr>
          <w:lang w:val="en-IN"/>
        </w:rPr>
        <w:t xml:space="preserve"> of the supreme court. The chairman of this selection committee would be the </w:t>
      </w:r>
      <w:r w:rsidR="005444CE">
        <w:rPr>
          <w:lang w:val="en-IN"/>
        </w:rPr>
        <w:t>Leader</w:t>
      </w:r>
      <w:r>
        <w:rPr>
          <w:lang w:val="en-IN"/>
        </w:rPr>
        <w:t xml:space="preserve"> of the supreme court. According to the Crime and Courts Act 2013, </w:t>
      </w:r>
      <w:r w:rsidR="002B62E1">
        <w:rPr>
          <w:lang w:val="en-IN"/>
        </w:rPr>
        <w:t xml:space="preserve">the deputy </w:t>
      </w:r>
      <w:r>
        <w:rPr>
          <w:lang w:val="en-IN"/>
        </w:rPr>
        <w:t xml:space="preserve">president has been removed from </w:t>
      </w:r>
      <w:r w:rsidR="002B62E1">
        <w:rPr>
          <w:lang w:val="en-IN"/>
        </w:rPr>
        <w:t xml:space="preserve">the selection committee for the </w:t>
      </w:r>
      <w:r w:rsidR="005444CE">
        <w:rPr>
          <w:lang w:val="en-IN"/>
        </w:rPr>
        <w:t>employment</w:t>
      </w:r>
      <w:r w:rsidR="002B62E1">
        <w:rPr>
          <w:lang w:val="en-IN"/>
        </w:rPr>
        <w:t xml:space="preserve"> of the supreme court judges. There is no specific procedure that is required to be followed by the </w:t>
      </w:r>
      <w:r w:rsidR="001B0C32">
        <w:rPr>
          <w:lang w:val="en-IN"/>
        </w:rPr>
        <w:t>selection</w:t>
      </w:r>
      <w:r w:rsidR="005444CE">
        <w:rPr>
          <w:lang w:val="en-IN"/>
        </w:rPr>
        <w:t xml:space="preserve"> </w:t>
      </w:r>
      <w:r w:rsidR="001B0C32">
        <w:rPr>
          <w:lang w:val="en-IN"/>
        </w:rPr>
        <w:t>committee</w:t>
      </w:r>
      <w:r w:rsidR="002B62E1">
        <w:rPr>
          <w:lang w:val="en-IN"/>
        </w:rPr>
        <w:t xml:space="preserve"> for appointing or selecting the judges for the supreme court. Certain requirements are also specified by the Constitutional Reform Act 2005 in respect of the selection procedure such as the selection of the judges of the supreme court must be done </w:t>
      </w:r>
      <w:r w:rsidR="001B0C32">
        <w:rPr>
          <w:lang w:val="en-IN"/>
        </w:rPr>
        <w:t>based on</w:t>
      </w:r>
      <w:r w:rsidR="002B62E1">
        <w:rPr>
          <w:lang w:val="en-IN"/>
        </w:rPr>
        <w:t xml:space="preserve"> merit. The candidate must possess all the required qualifications for that </w:t>
      </w:r>
      <w:proofErr w:type="gramStart"/>
      <w:r w:rsidR="002B62E1">
        <w:rPr>
          <w:lang w:val="en-IN"/>
        </w:rPr>
        <w:t>particular position</w:t>
      </w:r>
      <w:proofErr w:type="gramEnd"/>
      <w:r w:rsidR="002B62E1">
        <w:rPr>
          <w:lang w:val="en-IN"/>
        </w:rPr>
        <w:t xml:space="preserve"> in the supreme court. No person could be appointed if he is </w:t>
      </w:r>
      <w:r w:rsidR="001B0C32">
        <w:rPr>
          <w:lang w:val="en-IN"/>
        </w:rPr>
        <w:t>a</w:t>
      </w:r>
      <w:r w:rsidR="002B62E1">
        <w:rPr>
          <w:lang w:val="en-IN"/>
        </w:rPr>
        <w:t xml:space="preserve"> member of the selection committee</w:t>
      </w:r>
      <w:r w:rsidR="001B0C32">
        <w:rPr>
          <w:lang w:val="en-IN"/>
        </w:rPr>
        <w:t xml:space="preserve"> and the appointment of one person would be done for a particular position. It would also require to be ensured that the prospective candidate has all the required qualifications and experience for a particular position in the supreme court of the UK. The selection procedure is designed in such a manner that there is proper representation from Northern Ireland as well as Scotland in the supreme court of the UK. The selection committee </w:t>
      </w:r>
      <w:proofErr w:type="gramStart"/>
      <w:r w:rsidR="001B0C32">
        <w:rPr>
          <w:lang w:val="en-IN"/>
        </w:rPr>
        <w:t>has to</w:t>
      </w:r>
      <w:proofErr w:type="gramEnd"/>
      <w:r w:rsidR="001B0C32">
        <w:rPr>
          <w:lang w:val="en-IN"/>
        </w:rPr>
        <w:t xml:space="preserve"> submit a report to the Lord Chancellor</w:t>
      </w:r>
      <w:r w:rsidR="00F34C42">
        <w:rPr>
          <w:lang w:val="en-IN"/>
        </w:rPr>
        <w:t xml:space="preserve"> (Supremecourt.UK</w:t>
      </w:r>
      <w:r w:rsidR="004E2C0D">
        <w:rPr>
          <w:lang w:val="en-IN"/>
        </w:rPr>
        <w:t>, 2022</w:t>
      </w:r>
      <w:r w:rsidR="00F34C42">
        <w:rPr>
          <w:lang w:val="en-IN"/>
        </w:rPr>
        <w:t>a</w:t>
      </w:r>
      <w:r w:rsidR="004E2C0D">
        <w:rPr>
          <w:lang w:val="en-IN"/>
        </w:rPr>
        <w:t xml:space="preserve">). If the Lord Chancellor has no objection to the recommendations of the selection committee, then the name would be forwarded to the Prime Minister, which would be forwarded to Majesty the Queen, who would finalize the appointment of that person at the position in the supreme court of the UK. </w:t>
      </w:r>
    </w:p>
    <w:p w14:paraId="28F0024E" w14:textId="6F25F08D" w:rsidR="000A5939" w:rsidRDefault="000A5939" w:rsidP="00F34C42">
      <w:pPr>
        <w:spacing w:before="240"/>
        <w:rPr>
          <w:lang w:val="en-IN"/>
        </w:rPr>
      </w:pPr>
      <w:r>
        <w:rPr>
          <w:lang w:val="en-IN"/>
        </w:rPr>
        <w:t xml:space="preserve">The amendments were implemented by the Constitutional Reform Act 2005 and the traditional method of the appointment of judges in the </w:t>
      </w:r>
      <w:r w:rsidR="00F34C42">
        <w:rPr>
          <w:lang w:val="en-IN"/>
        </w:rPr>
        <w:t>Supreme Court</w:t>
      </w:r>
      <w:r>
        <w:rPr>
          <w:lang w:val="en-IN"/>
        </w:rPr>
        <w:t xml:space="preserve"> has been changed. The position of Lord Chancellor was abolished by this Act. Though the office of Lord Chancellor is still present, his power over the House of Lords was ended</w:t>
      </w:r>
      <w:r w:rsidR="00F34C42">
        <w:rPr>
          <w:lang w:val="en-IN"/>
        </w:rPr>
        <w:t xml:space="preserve"> (Legislation.Gov.UK</w:t>
      </w:r>
      <w:r w:rsidR="00726849">
        <w:rPr>
          <w:lang w:val="en-IN"/>
        </w:rPr>
        <w:t>, 2005)</w:t>
      </w:r>
      <w:r>
        <w:rPr>
          <w:lang w:val="en-IN"/>
        </w:rPr>
        <w:t xml:space="preserve">. A new board for the judicial appointments </w:t>
      </w:r>
      <w:r w:rsidR="00CB43AC">
        <w:rPr>
          <w:lang w:val="en-IN"/>
        </w:rPr>
        <w:t>has</w:t>
      </w:r>
      <w:r>
        <w:rPr>
          <w:lang w:val="en-IN"/>
        </w:rPr>
        <w:t xml:space="preserve"> been constituted </w:t>
      </w:r>
      <w:r w:rsidR="00CB43AC">
        <w:rPr>
          <w:lang w:val="en-IN"/>
        </w:rPr>
        <w:t xml:space="preserve">who would be held with the responsibility of the appointment of </w:t>
      </w:r>
      <w:r w:rsidR="005444CE">
        <w:rPr>
          <w:lang w:val="en-IN"/>
        </w:rPr>
        <w:t>adjudicators</w:t>
      </w:r>
      <w:r w:rsidR="00CB43AC">
        <w:rPr>
          <w:lang w:val="en-IN"/>
        </w:rPr>
        <w:t xml:space="preserve"> in the Supreme Court, in place of Lord Chancellor. </w:t>
      </w:r>
      <w:r w:rsidR="009D6386">
        <w:rPr>
          <w:lang w:val="en-IN"/>
        </w:rPr>
        <w:t>Many changes have been introduced in the selection procedure making the pro</w:t>
      </w:r>
      <w:r w:rsidR="00B30F79">
        <w:rPr>
          <w:lang w:val="en-IN"/>
        </w:rPr>
        <w:t xml:space="preserve">cedure wider and ensuring the larger participation from multiple backgrounds. Various new bodies are being established for dealing with the complaints against the judges and the system of the judiciary. </w:t>
      </w:r>
    </w:p>
    <w:p w14:paraId="1A95235C" w14:textId="3FC66CCF" w:rsidR="008E4710" w:rsidRDefault="0037571A" w:rsidP="00F34C42">
      <w:pPr>
        <w:spacing w:before="240"/>
        <w:rPr>
          <w:lang w:val="en-IN"/>
        </w:rPr>
      </w:pPr>
      <w:r>
        <w:rPr>
          <w:lang w:val="en-IN"/>
        </w:rPr>
        <w:lastRenderedPageBreak/>
        <w:t xml:space="preserve">The essay concludes that there is </w:t>
      </w:r>
      <w:r w:rsidR="00E5686D">
        <w:rPr>
          <w:lang w:val="en-IN"/>
        </w:rPr>
        <w:t xml:space="preserve">an </w:t>
      </w:r>
      <w:r>
        <w:rPr>
          <w:lang w:val="en-IN"/>
        </w:rPr>
        <w:t xml:space="preserve">equal or proper representation of people from all ethnicities and gender </w:t>
      </w:r>
      <w:r w:rsidR="00E5686D">
        <w:rPr>
          <w:lang w:val="en-IN"/>
        </w:rPr>
        <w:t xml:space="preserve">in the position of the judges of the </w:t>
      </w:r>
      <w:r w:rsidR="00F34C42">
        <w:rPr>
          <w:lang w:val="en-IN"/>
        </w:rPr>
        <w:t>Supreme Court</w:t>
      </w:r>
      <w:r w:rsidR="00E5686D">
        <w:rPr>
          <w:lang w:val="en-IN"/>
        </w:rPr>
        <w:t xml:space="preserve">. The supreme court of the UK is the </w:t>
      </w:r>
      <w:r w:rsidR="005444CE">
        <w:rPr>
          <w:lang w:val="en-IN"/>
        </w:rPr>
        <w:t>ultimate</w:t>
      </w:r>
      <w:r w:rsidR="00E5686D">
        <w:rPr>
          <w:lang w:val="en-IN"/>
        </w:rPr>
        <w:t xml:space="preserve"> court of </w:t>
      </w:r>
      <w:r w:rsidR="005444CE">
        <w:rPr>
          <w:lang w:val="en-IN"/>
        </w:rPr>
        <w:t>a plea</w:t>
      </w:r>
      <w:r w:rsidR="00E5686D">
        <w:rPr>
          <w:lang w:val="en-IN"/>
        </w:rPr>
        <w:t xml:space="preserve"> for all the civil and criminal cases in the entire nation. Though if certain actions of the parliament violated the fundamental rights of the citizens, then the supreme court can declare the action </w:t>
      </w:r>
      <w:proofErr w:type="gramStart"/>
      <w:r w:rsidR="00E5686D">
        <w:rPr>
          <w:lang w:val="en-IN"/>
        </w:rPr>
        <w:t>incompatible</w:t>
      </w:r>
      <w:proofErr w:type="gramEnd"/>
      <w:r w:rsidR="00E5686D">
        <w:rPr>
          <w:lang w:val="en-IN"/>
        </w:rPr>
        <w:t xml:space="preserve"> but it would not be binding on the parliament. The procedure of the </w:t>
      </w:r>
      <w:r w:rsidR="005444CE">
        <w:rPr>
          <w:lang w:val="en-IN"/>
        </w:rPr>
        <w:t>selection</w:t>
      </w:r>
      <w:r w:rsidR="00E5686D">
        <w:rPr>
          <w:lang w:val="en-IN"/>
        </w:rPr>
        <w:t xml:space="preserve"> of the </w:t>
      </w:r>
      <w:r w:rsidR="005444CE">
        <w:rPr>
          <w:lang w:val="en-IN"/>
        </w:rPr>
        <w:t>magistrates</w:t>
      </w:r>
      <w:r w:rsidR="00E5686D">
        <w:rPr>
          <w:lang w:val="en-IN"/>
        </w:rPr>
        <w:t xml:space="preserve"> of the supreme </w:t>
      </w:r>
      <w:r w:rsidR="005444CE">
        <w:rPr>
          <w:lang w:val="en-IN"/>
        </w:rPr>
        <w:t>law court</w:t>
      </w:r>
      <w:r w:rsidR="00E5686D">
        <w:rPr>
          <w:lang w:val="en-IN"/>
        </w:rPr>
        <w:t xml:space="preserve"> is done by the selection committee in the UK. </w:t>
      </w:r>
      <w:r w:rsidR="008E4710">
        <w:rPr>
          <w:lang w:val="en-IN"/>
        </w:rPr>
        <w:br w:type="page"/>
      </w:r>
    </w:p>
    <w:p w14:paraId="667A3CAA" w14:textId="77777777" w:rsidR="00F742FB" w:rsidRDefault="008E4710" w:rsidP="00F34C42">
      <w:pPr>
        <w:pStyle w:val="Heading1"/>
        <w:spacing w:before="0"/>
        <w:rPr>
          <w:lang w:val="en-IN"/>
        </w:rPr>
      </w:pPr>
      <w:bookmarkStart w:id="1" w:name="_Toc105164570"/>
      <w:r>
        <w:rPr>
          <w:lang w:val="en-IN"/>
        </w:rPr>
        <w:lastRenderedPageBreak/>
        <w:t>References</w:t>
      </w:r>
      <w:bookmarkEnd w:id="1"/>
    </w:p>
    <w:p w14:paraId="7A762118" w14:textId="77777777" w:rsidR="00F34C42" w:rsidRDefault="00F34C42" w:rsidP="00F34C42">
      <w:pPr>
        <w:spacing w:before="240"/>
        <w:rPr>
          <w:lang w:val="en-IN"/>
        </w:rPr>
      </w:pPr>
      <w:r>
        <w:rPr>
          <w:lang w:val="en-IN"/>
        </w:rPr>
        <w:t xml:space="preserve">Gov.UK (2021) </w:t>
      </w:r>
      <w:r w:rsidRPr="00C95F3C">
        <w:rPr>
          <w:i/>
          <w:iCs/>
          <w:lang w:val="en-IN"/>
        </w:rPr>
        <w:t>Diversity of the judiciary: Legal professions, new appointments and current post-holders – 2021 Statistics</w:t>
      </w:r>
      <w:r>
        <w:rPr>
          <w:lang w:val="en-IN"/>
        </w:rPr>
        <w:t xml:space="preserve">. Available at: </w:t>
      </w:r>
      <w:r w:rsidRPr="00F34C42">
        <w:rPr>
          <w:lang w:val="en-IN"/>
        </w:rPr>
        <w:t>https://www.gov.uk/government/statistics/diversity-of-the-judiciary-2021-statistics/diversity-of-the-judiciary-2021-statistics-report</w:t>
      </w:r>
      <w:r>
        <w:rPr>
          <w:lang w:val="en-IN"/>
        </w:rPr>
        <w:t>. [Accessed on: 03 June 2022]</w:t>
      </w:r>
    </w:p>
    <w:p w14:paraId="20E07FAB" w14:textId="77777777" w:rsidR="00F34C42" w:rsidRDefault="00F34C42" w:rsidP="00F34C42">
      <w:pPr>
        <w:spacing w:before="240"/>
        <w:rPr>
          <w:shd w:val="clear" w:color="auto" w:fill="FFFFFF"/>
        </w:rPr>
      </w:pPr>
      <w:r>
        <w:rPr>
          <w:shd w:val="clear" w:color="auto" w:fill="FFFFFF"/>
        </w:rPr>
        <w:t>Hanretty, C. (2020) </w:t>
      </w:r>
      <w:r w:rsidRPr="004F65C9">
        <w:rPr>
          <w:i/>
          <w:iCs/>
          <w:shd w:val="clear" w:color="auto" w:fill="FFFFFF"/>
        </w:rPr>
        <w:t>A court of specialists: Judicial behavior on the UK Supreme Court</w:t>
      </w:r>
      <w:r>
        <w:rPr>
          <w:shd w:val="clear" w:color="auto" w:fill="FFFFFF"/>
        </w:rPr>
        <w:t>. Oxford University Press, USA.</w:t>
      </w:r>
    </w:p>
    <w:p w14:paraId="5F8E96F7" w14:textId="77777777" w:rsidR="00F34C42" w:rsidRDefault="00F34C42" w:rsidP="00F34C42">
      <w:pPr>
        <w:spacing w:before="240"/>
        <w:rPr>
          <w:lang w:val="en-IN"/>
        </w:rPr>
      </w:pPr>
      <w:r w:rsidRPr="00C95F3C">
        <w:rPr>
          <w:i/>
          <w:iCs/>
          <w:lang w:val="en-IN"/>
        </w:rPr>
        <w:t xml:space="preserve">Her Majesty’s Treasury (Respondents) v Mohammed </w:t>
      </w:r>
      <w:proofErr w:type="spellStart"/>
      <w:r w:rsidRPr="00C95F3C">
        <w:rPr>
          <w:i/>
          <w:iCs/>
          <w:lang w:val="en-IN"/>
        </w:rPr>
        <w:t>Jabar</w:t>
      </w:r>
      <w:proofErr w:type="spellEnd"/>
      <w:r w:rsidRPr="00C95F3C">
        <w:rPr>
          <w:i/>
          <w:iCs/>
          <w:lang w:val="en-IN"/>
        </w:rPr>
        <w:t xml:space="preserve"> Ahmed and others (FC) (Appellants)</w:t>
      </w:r>
      <w:r>
        <w:rPr>
          <w:lang w:val="en-IN"/>
        </w:rPr>
        <w:t xml:space="preserve">. </w:t>
      </w:r>
      <w:r w:rsidRPr="00F34C42">
        <w:rPr>
          <w:lang w:val="en-IN"/>
        </w:rPr>
        <w:t>https://www.supremecourt.uk/cases/uksc-2009-0016.html</w:t>
      </w:r>
      <w:r>
        <w:rPr>
          <w:lang w:val="en-IN"/>
        </w:rPr>
        <w:t xml:space="preserve">. </w:t>
      </w:r>
    </w:p>
    <w:p w14:paraId="7C426562" w14:textId="77777777" w:rsidR="00F34C42" w:rsidRDefault="00F34C42" w:rsidP="00F34C42">
      <w:pPr>
        <w:spacing w:before="240"/>
        <w:rPr>
          <w:shd w:val="clear" w:color="auto" w:fill="FFFFFF"/>
        </w:rPr>
      </w:pPr>
      <w:r>
        <w:rPr>
          <w:shd w:val="clear" w:color="auto" w:fill="FFFFFF"/>
        </w:rPr>
        <w:t>Keating, M. (</w:t>
      </w:r>
      <w:proofErr w:type="gramStart"/>
      <w:r>
        <w:rPr>
          <w:shd w:val="clear" w:color="auto" w:fill="FFFFFF"/>
        </w:rPr>
        <w:t>2022)‘</w:t>
      </w:r>
      <w:proofErr w:type="gramEnd"/>
      <w:r>
        <w:rPr>
          <w:shd w:val="clear" w:color="auto" w:fill="FFFFFF"/>
        </w:rPr>
        <w:t>Taking back control? Brexit and the territorial constitution of the United Kingdom’, </w:t>
      </w:r>
      <w:r>
        <w:rPr>
          <w:i/>
          <w:iCs/>
          <w:shd w:val="clear" w:color="auto" w:fill="FFFFFF"/>
        </w:rPr>
        <w:t>Journal of European Public Policy</w:t>
      </w:r>
      <w:r>
        <w:rPr>
          <w:shd w:val="clear" w:color="auto" w:fill="FFFFFF"/>
        </w:rPr>
        <w:t>, </w:t>
      </w:r>
      <w:r w:rsidRPr="004F65C9">
        <w:rPr>
          <w:shd w:val="clear" w:color="auto" w:fill="FFFFFF"/>
        </w:rPr>
        <w:t>29</w:t>
      </w:r>
      <w:r>
        <w:rPr>
          <w:shd w:val="clear" w:color="auto" w:fill="FFFFFF"/>
        </w:rPr>
        <w:t>(4), pp.491-509.</w:t>
      </w:r>
      <w:r w:rsidRPr="00F34C42">
        <w:rPr>
          <w:shd w:val="clear" w:color="auto" w:fill="FFFFFF"/>
        </w:rPr>
        <w:t>https://www.tandfonline.com/doi/pdf/10.1080/13501763.2021.1876156</w:t>
      </w:r>
    </w:p>
    <w:p w14:paraId="1A3850C6" w14:textId="77777777" w:rsidR="00F34C42" w:rsidRDefault="00F34C42" w:rsidP="00F34C42">
      <w:pPr>
        <w:spacing w:before="240"/>
        <w:rPr>
          <w:lang w:val="en-IN"/>
        </w:rPr>
      </w:pPr>
      <w:r>
        <w:rPr>
          <w:lang w:val="en-IN"/>
        </w:rPr>
        <w:t xml:space="preserve">Legislation.Gov.UK. (1981) </w:t>
      </w:r>
      <w:r w:rsidRPr="00C95F3C">
        <w:rPr>
          <w:i/>
          <w:iCs/>
          <w:lang w:val="en-IN"/>
        </w:rPr>
        <w:t>Supreme Court Act 1981</w:t>
      </w:r>
      <w:r>
        <w:rPr>
          <w:lang w:val="en-IN"/>
        </w:rPr>
        <w:t xml:space="preserve">. Available at: </w:t>
      </w:r>
      <w:r w:rsidRPr="00F34C42">
        <w:rPr>
          <w:lang w:val="en-IN"/>
        </w:rPr>
        <w:t>https://www.legislation.gov.uk/ukpga/1981/54/contents/enacted</w:t>
      </w:r>
      <w:r>
        <w:rPr>
          <w:lang w:val="en-IN"/>
        </w:rPr>
        <w:t>. [Accessed on: 03 June 2022]</w:t>
      </w:r>
    </w:p>
    <w:p w14:paraId="7D7F6C41" w14:textId="77777777" w:rsidR="00F34C42" w:rsidRDefault="00F34C42" w:rsidP="00F34C42">
      <w:pPr>
        <w:spacing w:before="240"/>
        <w:rPr>
          <w:lang w:val="en-IN"/>
        </w:rPr>
      </w:pPr>
      <w:r>
        <w:rPr>
          <w:lang w:val="en-IN"/>
        </w:rPr>
        <w:t xml:space="preserve">Legislation.Gov.UK., (2005) </w:t>
      </w:r>
      <w:r w:rsidRPr="00C95F3C">
        <w:rPr>
          <w:i/>
          <w:iCs/>
          <w:lang w:val="en-IN"/>
        </w:rPr>
        <w:t>Constitutional Reform Act 2005</w:t>
      </w:r>
      <w:r>
        <w:rPr>
          <w:lang w:val="en-IN"/>
        </w:rPr>
        <w:t xml:space="preserve">. Available at: </w:t>
      </w:r>
      <w:proofErr w:type="gramStart"/>
      <w:r w:rsidRPr="00F34C42">
        <w:rPr>
          <w:lang w:val="en-IN"/>
        </w:rPr>
        <w:t>https://www.legislation.gov.uk/ukpga/2005/4/contents</w:t>
      </w:r>
      <w:r>
        <w:rPr>
          <w:lang w:val="en-IN"/>
        </w:rPr>
        <w:t xml:space="preserve"> .</w:t>
      </w:r>
      <w:proofErr w:type="gramEnd"/>
      <w:r>
        <w:rPr>
          <w:lang w:val="en-IN"/>
        </w:rPr>
        <w:t xml:space="preserve"> [Accessed on: 03 June 2022]</w:t>
      </w:r>
    </w:p>
    <w:p w14:paraId="1C68FFE3" w14:textId="77777777" w:rsidR="00F34C42" w:rsidRDefault="00F34C42" w:rsidP="00F34C42">
      <w:pPr>
        <w:spacing w:before="240"/>
        <w:rPr>
          <w:lang w:val="en-IN"/>
        </w:rPr>
      </w:pPr>
      <w:proofErr w:type="spellStart"/>
      <w:r>
        <w:rPr>
          <w:lang w:val="en-IN"/>
        </w:rPr>
        <w:t>Supremecourt</w:t>
      </w:r>
      <w:proofErr w:type="spellEnd"/>
      <w:r>
        <w:rPr>
          <w:lang w:val="en-IN"/>
        </w:rPr>
        <w:t xml:space="preserve">. UK.  (2022a) </w:t>
      </w:r>
      <w:r w:rsidRPr="00C95F3C">
        <w:rPr>
          <w:i/>
          <w:iCs/>
          <w:lang w:val="en-IN"/>
        </w:rPr>
        <w:t>Appointments of Justices</w:t>
      </w:r>
      <w:r>
        <w:rPr>
          <w:lang w:val="en-IN"/>
        </w:rPr>
        <w:t xml:space="preserve">. Available at: </w:t>
      </w:r>
      <w:r w:rsidRPr="00F34C42">
        <w:rPr>
          <w:lang w:val="en-IN"/>
        </w:rPr>
        <w:t>https://www.supremecourt.uk/about/appointments-of-justices.html</w:t>
      </w:r>
      <w:r>
        <w:rPr>
          <w:lang w:val="en-IN"/>
        </w:rPr>
        <w:t>. [Accessed on: 03 June 2022]</w:t>
      </w:r>
    </w:p>
    <w:p w14:paraId="032D6E20" w14:textId="77777777" w:rsidR="00F34C42" w:rsidRDefault="00F34C42" w:rsidP="00F34C42">
      <w:pPr>
        <w:spacing w:before="240"/>
        <w:rPr>
          <w:lang w:val="en-IN"/>
        </w:rPr>
      </w:pPr>
      <w:r>
        <w:rPr>
          <w:lang w:val="en-IN"/>
        </w:rPr>
        <w:t xml:space="preserve">Supremecourt.UK., (2022b) </w:t>
      </w:r>
      <w:r w:rsidRPr="00C95F3C">
        <w:rPr>
          <w:i/>
          <w:iCs/>
          <w:lang w:val="en-IN"/>
        </w:rPr>
        <w:t>Role of the Supreme Court</w:t>
      </w:r>
      <w:r>
        <w:rPr>
          <w:lang w:val="en-IN"/>
        </w:rPr>
        <w:t xml:space="preserve">. Available at: </w:t>
      </w:r>
      <w:r w:rsidRPr="00F34C42">
        <w:rPr>
          <w:lang w:val="en-IN"/>
        </w:rPr>
        <w:t>https://www.supremecourt.uk/about/role-of-the-supreme-court.html#:~:text=hears%20appeals%20on%20arguable%20points,in%20the%20common%20law%20world</w:t>
      </w:r>
      <w:r>
        <w:rPr>
          <w:lang w:val="en-IN"/>
        </w:rPr>
        <w:t>. [Accessed on: 03 June 2022]</w:t>
      </w:r>
    </w:p>
    <w:sectPr w:rsidR="00F34C42" w:rsidSect="00435837">
      <w:footerReference w:type="default" r:id="rId8"/>
      <w:pgSz w:w="11906" w:h="16838"/>
      <w:pgMar w:top="1440" w:right="1440" w:bottom="1440" w:left="1440" w:header="708" w:footer="708" w:gutter="0"/>
      <w:pgBorders w:offsetFrom="page">
        <w:top w:val="single" w:sz="12" w:space="24" w:color="auto" w:shadow="1"/>
        <w:left w:val="single" w:sz="12" w:space="24" w:color="auto" w:shadow="1"/>
        <w:bottom w:val="single" w:sz="12" w:space="24" w:color="auto" w:shadow="1"/>
        <w:right w:val="single" w:sz="12"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45D1C" w14:textId="77777777" w:rsidR="003309D4" w:rsidRDefault="003309D4" w:rsidP="00435837">
      <w:pPr>
        <w:spacing w:line="240" w:lineRule="auto"/>
      </w:pPr>
      <w:r>
        <w:separator/>
      </w:r>
    </w:p>
  </w:endnote>
  <w:endnote w:type="continuationSeparator" w:id="0">
    <w:p w14:paraId="4906EC2C" w14:textId="77777777" w:rsidR="003309D4" w:rsidRDefault="003309D4" w:rsidP="004358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716673"/>
      <w:docPartObj>
        <w:docPartGallery w:val="Page Numbers (Bottom of Page)"/>
        <w:docPartUnique/>
      </w:docPartObj>
    </w:sdtPr>
    <w:sdtEndPr>
      <w:rPr>
        <w:noProof/>
      </w:rPr>
    </w:sdtEndPr>
    <w:sdtContent>
      <w:p w14:paraId="47B021EF" w14:textId="77777777" w:rsidR="00435837" w:rsidRDefault="00603731">
        <w:pPr>
          <w:pStyle w:val="Footer"/>
          <w:jc w:val="center"/>
        </w:pPr>
        <w:r>
          <w:fldChar w:fldCharType="begin"/>
        </w:r>
        <w:r w:rsidR="00435837">
          <w:instrText xml:space="preserve"> PAGE   \* MERGEFORMAT </w:instrText>
        </w:r>
        <w:r>
          <w:fldChar w:fldCharType="separate"/>
        </w:r>
        <w:r w:rsidR="00F34C42">
          <w:rPr>
            <w:noProof/>
          </w:rPr>
          <w:t>6</w:t>
        </w:r>
        <w:r>
          <w:rPr>
            <w:noProof/>
          </w:rPr>
          <w:fldChar w:fldCharType="end"/>
        </w:r>
      </w:p>
    </w:sdtContent>
  </w:sdt>
  <w:p w14:paraId="4B129A53" w14:textId="77777777" w:rsidR="00435837" w:rsidRDefault="004358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7FF92" w14:textId="77777777" w:rsidR="003309D4" w:rsidRDefault="003309D4" w:rsidP="00435837">
      <w:pPr>
        <w:spacing w:line="240" w:lineRule="auto"/>
      </w:pPr>
      <w:r>
        <w:separator/>
      </w:r>
    </w:p>
  </w:footnote>
  <w:footnote w:type="continuationSeparator" w:id="0">
    <w:p w14:paraId="725C62E8" w14:textId="77777777" w:rsidR="003309D4" w:rsidRDefault="003309D4" w:rsidP="004358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5837"/>
    <w:rsid w:val="0002061C"/>
    <w:rsid w:val="000533D8"/>
    <w:rsid w:val="000A5939"/>
    <w:rsid w:val="000D5CBD"/>
    <w:rsid w:val="000F7960"/>
    <w:rsid w:val="00165386"/>
    <w:rsid w:val="001B0C32"/>
    <w:rsid w:val="001E0CEF"/>
    <w:rsid w:val="002B62E1"/>
    <w:rsid w:val="002C3301"/>
    <w:rsid w:val="003309D4"/>
    <w:rsid w:val="0037571A"/>
    <w:rsid w:val="003C38C6"/>
    <w:rsid w:val="003F359D"/>
    <w:rsid w:val="00435837"/>
    <w:rsid w:val="00446BD2"/>
    <w:rsid w:val="004C0011"/>
    <w:rsid w:val="004E2C0D"/>
    <w:rsid w:val="004F65C9"/>
    <w:rsid w:val="0053112A"/>
    <w:rsid w:val="005444CE"/>
    <w:rsid w:val="00566057"/>
    <w:rsid w:val="0056725E"/>
    <w:rsid w:val="005F2890"/>
    <w:rsid w:val="00603731"/>
    <w:rsid w:val="0068019F"/>
    <w:rsid w:val="006972F8"/>
    <w:rsid w:val="006F7BBD"/>
    <w:rsid w:val="00713E59"/>
    <w:rsid w:val="00726849"/>
    <w:rsid w:val="0074534F"/>
    <w:rsid w:val="007714DB"/>
    <w:rsid w:val="00792B5B"/>
    <w:rsid w:val="00797044"/>
    <w:rsid w:val="007E6058"/>
    <w:rsid w:val="007F6758"/>
    <w:rsid w:val="00881617"/>
    <w:rsid w:val="00884136"/>
    <w:rsid w:val="008E4710"/>
    <w:rsid w:val="00930D56"/>
    <w:rsid w:val="009522E8"/>
    <w:rsid w:val="00967D51"/>
    <w:rsid w:val="009D6386"/>
    <w:rsid w:val="009E2644"/>
    <w:rsid w:val="00B30F79"/>
    <w:rsid w:val="00B36FC3"/>
    <w:rsid w:val="00BB0F2E"/>
    <w:rsid w:val="00BD014B"/>
    <w:rsid w:val="00BD6837"/>
    <w:rsid w:val="00C27E05"/>
    <w:rsid w:val="00C27EE9"/>
    <w:rsid w:val="00C5375F"/>
    <w:rsid w:val="00C95F3C"/>
    <w:rsid w:val="00CB43AC"/>
    <w:rsid w:val="00CC603E"/>
    <w:rsid w:val="00CD058A"/>
    <w:rsid w:val="00CE1E1A"/>
    <w:rsid w:val="00D9201C"/>
    <w:rsid w:val="00DC10B4"/>
    <w:rsid w:val="00E12015"/>
    <w:rsid w:val="00E5686D"/>
    <w:rsid w:val="00EB5A78"/>
    <w:rsid w:val="00EF5DD2"/>
    <w:rsid w:val="00F34C42"/>
    <w:rsid w:val="00F742FB"/>
    <w:rsid w:val="00FC1007"/>
    <w:rsid w:val="00FC5570"/>
    <w:rsid w:val="00FD13D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ED6CF"/>
  <w15:docId w15:val="{009A13FA-882F-43F8-9311-5A57723F0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044"/>
    <w:pPr>
      <w:spacing w:after="0" w:line="360" w:lineRule="auto"/>
      <w:jc w:val="both"/>
    </w:pPr>
    <w:rPr>
      <w:rFonts w:ascii="Times New Roman" w:hAnsi="Times New Roman" w:cs="Calibri"/>
      <w:sz w:val="24"/>
      <w:szCs w:val="24"/>
      <w:lang w:val="en-US" w:eastAsia="en-GB"/>
    </w:rPr>
  </w:style>
  <w:style w:type="paragraph" w:styleId="Heading1">
    <w:name w:val="heading 1"/>
    <w:basedOn w:val="Normal"/>
    <w:next w:val="Normal"/>
    <w:link w:val="Heading1Char"/>
    <w:uiPriority w:val="9"/>
    <w:qFormat/>
    <w:rsid w:val="00BB0F2E"/>
    <w:pPr>
      <w:keepNext/>
      <w:keepLines/>
      <w:spacing w:before="24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B0F2E"/>
    <w:pPr>
      <w:keepNext/>
      <w:keepLines/>
      <w:spacing w:before="4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F2E"/>
    <w:rPr>
      <w:rFonts w:ascii="Times New Roman" w:eastAsiaTheme="majorEastAsia" w:hAnsi="Times New Roman" w:cstheme="majorBidi"/>
      <w:b/>
      <w:sz w:val="28"/>
      <w:szCs w:val="32"/>
      <w:lang w:val="en-US" w:eastAsia="en-GB"/>
    </w:rPr>
  </w:style>
  <w:style w:type="paragraph" w:styleId="Title">
    <w:name w:val="Title"/>
    <w:basedOn w:val="Normal"/>
    <w:next w:val="Normal"/>
    <w:link w:val="TitleChar"/>
    <w:uiPriority w:val="10"/>
    <w:qFormat/>
    <w:rsid w:val="00713E59"/>
    <w:pPr>
      <w:spacing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13E59"/>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BB0F2E"/>
    <w:rPr>
      <w:rFonts w:ascii="Times New Roman" w:eastAsiaTheme="majorEastAsia" w:hAnsi="Times New Roman" w:cstheme="majorBidi"/>
      <w:b/>
      <w:sz w:val="26"/>
      <w:szCs w:val="26"/>
      <w:lang w:val="en-US" w:eastAsia="en-GB"/>
    </w:rPr>
  </w:style>
  <w:style w:type="paragraph" w:styleId="Header">
    <w:name w:val="header"/>
    <w:basedOn w:val="Normal"/>
    <w:link w:val="HeaderChar"/>
    <w:uiPriority w:val="99"/>
    <w:unhideWhenUsed/>
    <w:rsid w:val="00435837"/>
    <w:pPr>
      <w:tabs>
        <w:tab w:val="center" w:pos="4513"/>
        <w:tab w:val="right" w:pos="9026"/>
      </w:tabs>
      <w:spacing w:line="240" w:lineRule="auto"/>
    </w:pPr>
  </w:style>
  <w:style w:type="character" w:customStyle="1" w:styleId="HeaderChar">
    <w:name w:val="Header Char"/>
    <w:basedOn w:val="DefaultParagraphFont"/>
    <w:link w:val="Header"/>
    <w:uiPriority w:val="99"/>
    <w:rsid w:val="00435837"/>
    <w:rPr>
      <w:rFonts w:ascii="Times New Roman" w:hAnsi="Times New Roman" w:cs="Calibri"/>
      <w:sz w:val="24"/>
      <w:szCs w:val="24"/>
      <w:lang w:val="en-US" w:eastAsia="en-GB"/>
    </w:rPr>
  </w:style>
  <w:style w:type="paragraph" w:styleId="Footer">
    <w:name w:val="footer"/>
    <w:basedOn w:val="Normal"/>
    <w:link w:val="FooterChar"/>
    <w:uiPriority w:val="99"/>
    <w:unhideWhenUsed/>
    <w:rsid w:val="00435837"/>
    <w:pPr>
      <w:tabs>
        <w:tab w:val="center" w:pos="4513"/>
        <w:tab w:val="right" w:pos="9026"/>
      </w:tabs>
      <w:spacing w:line="240" w:lineRule="auto"/>
    </w:pPr>
  </w:style>
  <w:style w:type="character" w:customStyle="1" w:styleId="FooterChar">
    <w:name w:val="Footer Char"/>
    <w:basedOn w:val="DefaultParagraphFont"/>
    <w:link w:val="Footer"/>
    <w:uiPriority w:val="99"/>
    <w:rsid w:val="00435837"/>
    <w:rPr>
      <w:rFonts w:ascii="Times New Roman" w:hAnsi="Times New Roman" w:cs="Calibri"/>
      <w:sz w:val="24"/>
      <w:szCs w:val="24"/>
      <w:lang w:val="en-US" w:eastAsia="en-GB"/>
    </w:rPr>
  </w:style>
  <w:style w:type="character" w:styleId="Hyperlink">
    <w:name w:val="Hyperlink"/>
    <w:basedOn w:val="DefaultParagraphFont"/>
    <w:uiPriority w:val="99"/>
    <w:unhideWhenUsed/>
    <w:rsid w:val="008E4710"/>
    <w:rPr>
      <w:color w:val="0563C1" w:themeColor="hyperlink"/>
      <w:u w:val="single"/>
    </w:rPr>
  </w:style>
  <w:style w:type="character" w:customStyle="1" w:styleId="UnresolvedMention1">
    <w:name w:val="Unresolved Mention1"/>
    <w:basedOn w:val="DefaultParagraphFont"/>
    <w:uiPriority w:val="99"/>
    <w:semiHidden/>
    <w:unhideWhenUsed/>
    <w:rsid w:val="008E4710"/>
    <w:rPr>
      <w:color w:val="605E5C"/>
      <w:shd w:val="clear" w:color="auto" w:fill="E1DFDD"/>
    </w:rPr>
  </w:style>
  <w:style w:type="paragraph" w:styleId="TOCHeading">
    <w:name w:val="TOC Heading"/>
    <w:basedOn w:val="Heading1"/>
    <w:next w:val="Normal"/>
    <w:uiPriority w:val="39"/>
    <w:unhideWhenUsed/>
    <w:qFormat/>
    <w:rsid w:val="004F65C9"/>
    <w:pPr>
      <w:spacing w:line="259" w:lineRule="auto"/>
      <w:outlineLvl w:val="9"/>
    </w:pPr>
    <w:rPr>
      <w:rFonts w:asciiTheme="majorHAnsi" w:hAnsiTheme="majorHAnsi"/>
      <w:b w:val="0"/>
      <w:color w:val="2F5496" w:themeColor="accent1" w:themeShade="BF"/>
      <w:sz w:val="32"/>
      <w:lang w:eastAsia="en-US"/>
    </w:rPr>
  </w:style>
  <w:style w:type="paragraph" w:styleId="TOC1">
    <w:name w:val="toc 1"/>
    <w:basedOn w:val="Normal"/>
    <w:next w:val="Normal"/>
    <w:autoRedefine/>
    <w:uiPriority w:val="39"/>
    <w:unhideWhenUsed/>
    <w:rsid w:val="004F65C9"/>
    <w:pPr>
      <w:spacing w:after="100"/>
    </w:pPr>
  </w:style>
  <w:style w:type="character" w:styleId="FollowedHyperlink">
    <w:name w:val="FollowedHyperlink"/>
    <w:basedOn w:val="DefaultParagraphFont"/>
    <w:uiPriority w:val="99"/>
    <w:semiHidden/>
    <w:unhideWhenUsed/>
    <w:rsid w:val="000D5CBD"/>
    <w:rPr>
      <w:color w:val="954F72" w:themeColor="followedHyperlink"/>
      <w:u w:val="single"/>
    </w:rPr>
  </w:style>
  <w:style w:type="paragraph" w:styleId="BalloonText">
    <w:name w:val="Balloon Text"/>
    <w:basedOn w:val="Normal"/>
    <w:link w:val="BalloonTextChar"/>
    <w:uiPriority w:val="99"/>
    <w:semiHidden/>
    <w:unhideWhenUsed/>
    <w:rsid w:val="00F34C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4C42"/>
    <w:rPr>
      <w:rFonts w:ascii="Tahoma" w:hAnsi="Tahoma" w:cs="Tahoma"/>
      <w:sz w:val="16"/>
      <w:szCs w:val="16"/>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23D40-5FD0-4265-A616-6444498B1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1567</Words>
  <Characters>8933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 rusu</cp:lastModifiedBy>
  <cp:revision>2</cp:revision>
  <dcterms:created xsi:type="dcterms:W3CDTF">2022-06-14T18:08:00Z</dcterms:created>
  <dcterms:modified xsi:type="dcterms:W3CDTF">2022-06-14T18:08:00Z</dcterms:modified>
</cp:coreProperties>
</file>