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 </w:t>
      </w:r>
    </w:p>
    <w:p w:rsidR="00000000" w:rsidDel="00000000" w:rsidP="00000000" w:rsidRDefault="00000000" w:rsidRPr="00000000" w14:paraId="00000002">
      <w:pPr>
        <w:rPr/>
      </w:pPr>
      <w:r w:rsidDel="00000000" w:rsidR="00000000" w:rsidRPr="00000000">
        <w:rPr>
          <w:rtl w:val="0"/>
        </w:rPr>
        <w:t xml:space="preserve">2305603</w:t>
      </w:r>
    </w:p>
    <w:p w:rsidR="00000000" w:rsidDel="00000000" w:rsidP="00000000" w:rsidRDefault="00000000" w:rsidRPr="00000000" w14:paraId="00000003">
      <w:pPr>
        <w:rPr/>
      </w:pPr>
      <w:r w:rsidDel="00000000" w:rsidR="00000000" w:rsidRPr="00000000">
        <w:rPr>
          <w:rtl w:val="0"/>
        </w:rPr>
        <w:t xml:space="preserve">Scott James</w:t>
      </w:r>
    </w:p>
    <w:p w:rsidR="00000000" w:rsidDel="00000000" w:rsidP="00000000" w:rsidRDefault="00000000" w:rsidRPr="00000000" w14:paraId="00000004">
      <w:pPr>
        <w:rPr/>
      </w:pPr>
      <w:r w:rsidDel="00000000" w:rsidR="00000000" w:rsidRPr="00000000">
        <w:rPr>
          <w:rtl w:val="0"/>
        </w:rPr>
        <w:t xml:space="preserve">Independent Project BMTP6015</w:t>
      </w:r>
    </w:p>
    <w:p w:rsidR="00000000" w:rsidDel="00000000" w:rsidP="00000000" w:rsidRDefault="00000000" w:rsidRPr="00000000" w14:paraId="00000005">
      <w:pPr>
        <w:rPr/>
      </w:pPr>
      <w:r w:rsidDel="00000000" w:rsidR="00000000" w:rsidRPr="00000000">
        <w:rPr>
          <w:rtl w:val="0"/>
        </w:rPr>
        <w:t xml:space="preserve">Research Project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Word Count - Element one - 2521</w:t>
      </w:r>
    </w:p>
    <w:p w:rsidR="00000000" w:rsidDel="00000000" w:rsidP="00000000" w:rsidRDefault="00000000" w:rsidRPr="00000000" w14:paraId="00000008">
      <w:pPr>
        <w:rPr/>
      </w:pPr>
      <w:r w:rsidDel="00000000" w:rsidR="00000000" w:rsidRPr="00000000">
        <w:rPr>
          <w:rtl w:val="0"/>
        </w:rPr>
        <w:t xml:space="preserve">Element two - 4320</w:t>
      </w:r>
    </w:p>
    <w:p w:rsidR="00000000" w:rsidDel="00000000" w:rsidP="00000000" w:rsidRDefault="00000000" w:rsidRPr="00000000" w14:paraId="00000009">
      <w:pPr>
        <w:widowControl w:val="0"/>
        <w:rPr>
          <w:b w:val="1"/>
          <w:bCs w:val="1"/>
          <w:i w:val="1"/>
          <w:iCs w:val="1"/>
          <w:sz w:val="24"/>
          <w:szCs w:val="24"/>
          <w:u w:val="single"/>
        </w:rPr>
      </w:pPr>
      <w:r w:rsidDel="00000000" w:rsidR="00000000" w:rsidRPr="00000000">
        <w:rPr>
          <w:rtl w:val="0"/>
        </w:rPr>
      </w:r>
    </w:p>
    <w:p w:rsidR="00000000" w:rsidDel="00000000" w:rsidP="00000000" w:rsidRDefault="00000000" w:rsidRPr="00000000" w14:paraId="0000000A">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Element Two</w:t>
      </w:r>
    </w:p>
    <w:p w:rsidR="00000000" w:rsidDel="00000000" w:rsidP="00000000" w:rsidRDefault="00000000" w:rsidRPr="00000000" w14:paraId="0000000B">
      <w:pPr>
        <w:widowControl w:val="0"/>
        <w:rPr/>
      </w:pPr>
      <w:r w:rsidDel="00000000" w:rsidR="00000000" w:rsidRPr="00000000">
        <w:rPr>
          <w:rtl w:val="0"/>
        </w:rPr>
        <w:t xml:space="preserve">To what extent can future Olympic Games achieve genuine environmental sustainability compared to London 2012, Tokyo 2020, and Paris 2024?</w:t>
      </w:r>
    </w:p>
    <w:p w:rsidR="00000000" w:rsidDel="00000000" w:rsidP="00000000" w:rsidRDefault="00000000" w:rsidRPr="00000000" w14:paraId="0000000C">
      <w:pPr>
        <w:widowControl w:val="0"/>
        <w:rPr>
          <w:b w:val="1"/>
          <w:bCs w:val="1"/>
          <w:i w:val="1"/>
          <w:iCs w:val="1"/>
          <w:u w:val="single"/>
        </w:rPr>
      </w:pPr>
      <w:r w:rsidDel="00000000" w:rsidR="00000000" w:rsidRPr="00000000">
        <w:rPr>
          <w:rtl w:val="0"/>
        </w:rPr>
      </w:r>
    </w:p>
    <w:p w:rsidR="00000000" w:rsidDel="00000000" w:rsidP="00000000" w:rsidRDefault="00000000" w:rsidRPr="00000000" w14:paraId="0000000D">
      <w:pPr>
        <w:widowControl w:val="0"/>
        <w:rPr>
          <w:b w:val="1"/>
          <w:bCs w:val="1"/>
          <w:i w:val="1"/>
          <w:iCs w:val="1"/>
          <w:u w:val="single"/>
        </w:rPr>
      </w:pPr>
      <w:r w:rsidDel="00000000" w:rsidR="00000000" w:rsidRPr="00000000">
        <w:rPr>
          <w:rtl w:val="0"/>
        </w:rPr>
      </w:r>
    </w:p>
    <w:p w:rsidR="00000000" w:rsidDel="00000000" w:rsidP="00000000" w:rsidRDefault="00000000" w:rsidRPr="00000000" w14:paraId="0000000E">
      <w:pPr>
        <w:widowControl w:val="0"/>
        <w:numPr>
          <w:ilvl w:val="0"/>
          <w:numId w:val="2"/>
        </w:numPr>
        <w:ind w:left="720" w:hanging="360"/>
        <w:rPr>
          <w:b w:val="1"/>
          <w:bCs w:val="1"/>
          <w:i w:val="1"/>
          <w:iCs w:val="1"/>
          <w:sz w:val="24"/>
          <w:szCs w:val="24"/>
          <w:u w:val="none"/>
        </w:rPr>
      </w:pPr>
      <w:r w:rsidDel="00000000" w:rsidR="00000000" w:rsidRPr="00000000">
        <w:rPr>
          <w:b w:val="1"/>
          <w:bCs w:val="1"/>
          <w:i w:val="1"/>
          <w:iCs w:val="1"/>
          <w:sz w:val="24"/>
          <w:szCs w:val="24"/>
          <w:u w:val="single"/>
          <w:rtl w:val="0"/>
        </w:rPr>
        <w:t xml:space="preserve">Literature Review –</w:t>
      </w:r>
    </w:p>
    <w:p w:rsidR="00000000" w:rsidDel="00000000" w:rsidP="00000000" w:rsidRDefault="00000000" w:rsidRPr="00000000" w14:paraId="0000000F">
      <w:pPr>
        <w:widowControl w:val="0"/>
        <w:rPr>
          <w:b w:val="1"/>
          <w:bCs w:val="1"/>
          <w:i w:val="1"/>
          <w:iCs w:val="1"/>
          <w:sz w:val="24"/>
          <w:szCs w:val="24"/>
          <w:u w:val="single"/>
        </w:rPr>
      </w:pPr>
      <w:r w:rsidDel="00000000" w:rsidR="00000000" w:rsidRPr="00000000">
        <w:rPr>
          <w:rtl w:val="0"/>
        </w:rPr>
      </w:r>
    </w:p>
    <w:p w:rsidR="00000000" w:rsidDel="00000000" w:rsidP="00000000" w:rsidRDefault="00000000" w:rsidRPr="00000000" w14:paraId="00000010">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 Introduction </w:t>
      </w:r>
    </w:p>
    <w:p w:rsidR="00000000" w:rsidDel="00000000" w:rsidP="00000000" w:rsidRDefault="00000000" w:rsidRPr="00000000" w14:paraId="00000011">
      <w:pPr>
        <w:rPr/>
      </w:pPr>
      <w:r w:rsidDel="00000000" w:rsidR="00000000" w:rsidRPr="00000000">
        <w:rPr>
          <w:rtl w:val="0"/>
        </w:rPr>
        <w:t xml:space="preserve">Environmental sustainability has become a central concern in the planning and delivery of mega sporting events, particularly the Olympic Games. As global awareness of climate change and environmental degradation has grown, governing bodies such as the International Olympic Committee have placed sustainability at the heart of their strategic agenda. Through initiatives such as Olympic Agenda 2020 and Agenda 2020+5, the IOC has emphasised the need for host cities to reduce carbon emissions, minimise waste, and use existing infrastructure (IOC, 2020). These policies reflect a broader shift in event management towards alignment with global sustainability goals, including those outlined by the United Nations in its Sustainable Development framework (United Nations, 2020).</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Despite these developments, the existing literature highlights ongoing challenges in achieving genuine environmental sustainability at the Olympic Games. Scholars such as Collins, Jones and Munday (2009) argue that the environmental impacts of mega-events are often difficult to measure accurately, particularly due to the scale and complexity of infrastructure development and international travel. Similarly, Boykoff (2020) suggests that sustainability claims made by event organisers can lack transparency, raising concerns about potential “greenwashing”. Preuss (2019) further supports this by highlighting inconsistencies between projected sustainability outcomes and actual long-term impacts.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Recent Olympic Games, including London 2012, Tokyo 2020 and Paris 2024, have each promoted ambitious environmental targets, particularly regarding carbon reduction and sustainable construction. However, the extent to which these targets translate into measurable outcomes remains debated in the literature. This review, therefore, critically examines existing research on environmental sustainability in the Olympic Games, focusing on key themes, evaluating the effectiveness of current strategies, and highlighting gaps that justify further investigation.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bCs w:val="1"/>
          <w:i w:val="1"/>
          <w:iCs w:val="1"/>
          <w:sz w:val="24"/>
          <w:szCs w:val="24"/>
          <w:u w:val="single"/>
        </w:rPr>
      </w:pPr>
      <w:r w:rsidDel="00000000" w:rsidR="00000000" w:rsidRPr="00000000">
        <w:rPr>
          <w:rtl w:val="0"/>
        </w:rPr>
      </w:r>
    </w:p>
    <w:p w:rsidR="00000000" w:rsidDel="00000000" w:rsidP="00000000" w:rsidRDefault="00000000" w:rsidRPr="00000000" w14:paraId="0000001A">
      <w:pPr>
        <w:rPr>
          <w:b w:val="1"/>
          <w:bCs w:val="1"/>
          <w:i w:val="1"/>
          <w:iCs w:val="1"/>
          <w:sz w:val="24"/>
          <w:szCs w:val="24"/>
          <w:u w:val="single"/>
        </w:rPr>
      </w:pPr>
      <w:r w:rsidDel="00000000" w:rsidR="00000000" w:rsidRPr="00000000">
        <w:rPr>
          <w:b w:val="1"/>
          <w:bCs w:val="1"/>
          <w:i w:val="1"/>
          <w:iCs w:val="1"/>
          <w:sz w:val="24"/>
          <w:szCs w:val="24"/>
          <w:u w:val="single"/>
          <w:rtl w:val="0"/>
        </w:rPr>
        <w:t xml:space="preserve">Environmental Impacts of Mega Events</w:t>
      </w:r>
    </w:p>
    <w:p w:rsidR="00000000" w:rsidDel="00000000" w:rsidP="00000000" w:rsidRDefault="00000000" w:rsidRPr="00000000" w14:paraId="0000001B">
      <w:pPr>
        <w:rPr/>
      </w:pPr>
      <w:r w:rsidDel="00000000" w:rsidR="00000000" w:rsidRPr="00000000">
        <w:rPr>
          <w:rtl w:val="0"/>
        </w:rPr>
        <w:t xml:space="preserve">The environmental impact of mega-sporting events, particularly the Olympic Games, is a major area of concern . Due to their global scale, such events require extensive infrastructure development, high levels of energy consumption, and large volumes of international travel. These factors contribute significantly to carbon emissions, resource depletion, and environmental degradation. According to the International Olympic Committee, the Olympic Games can generate millions of tonnes of carbon dioxide emissions, with transport and construction identified as the primary contributors (IOC, 2021). This highlights the scale of environmental pressure associated with hosting the Games.</w:t>
      </w:r>
    </w:p>
    <w:p w:rsidR="00000000" w:rsidDel="00000000" w:rsidP="00000000" w:rsidRDefault="00000000" w:rsidRPr="00000000" w14:paraId="0000001C">
      <w:pPr>
        <w:spacing w:after="240" w:before="240" w:lineRule="auto"/>
        <w:rPr/>
      </w:pPr>
      <w:r w:rsidDel="00000000" w:rsidR="00000000" w:rsidRPr="00000000">
        <w:rPr>
          <w:rtl w:val="0"/>
        </w:rPr>
        <w:t xml:space="preserve">One of the most widely discussed impacts is related to construction and infrastructure. Mega-events often require the development of new stadiums, athlete villages, and transport networks, which involve high levels of material use and energy consumption. Research from the Organisation for Economic Co-operation and Development shows that infrastructure development is a key driver of emissions in mega-events and can result in long-term environmental consequences if venues are underused after the event (OECD, 2020). This supports earlier academic work suggesting that Olympic-related construction often leads to environmental damage that extends beyond the duration of the Games.</w:t>
      </w:r>
    </w:p>
    <w:p w:rsidR="00000000" w:rsidDel="00000000" w:rsidP="00000000" w:rsidRDefault="00000000" w:rsidRPr="00000000" w14:paraId="0000001D">
      <w:pPr>
        <w:spacing w:after="240" w:before="240" w:lineRule="auto"/>
        <w:rPr/>
      </w:pPr>
      <w:r w:rsidDel="00000000" w:rsidR="00000000" w:rsidRPr="00000000">
        <w:rPr>
          <w:rtl w:val="0"/>
        </w:rPr>
        <w:t xml:space="preserve">In addition to construction, international travel is another major contributor to environmental impact. The Olympic Games attract millions of spectators, athletes, and officials from across the world, leading to a significant increase in aviation-related emissions. According to the United Nations Environment Programme, transport can account for a substantial proportion of total emissions associated with large sporting events, particularly due to long-haul flights (UNEP, 2019). This presents a major challenge for sustainability, as transport emissions are difficult for organisers to directly control.</w:t>
      </w:r>
    </w:p>
    <w:p w:rsidR="00000000" w:rsidDel="00000000" w:rsidP="00000000" w:rsidRDefault="00000000" w:rsidRPr="00000000" w14:paraId="0000001E">
      <w:pPr>
        <w:spacing w:after="240" w:before="240" w:lineRule="auto"/>
        <w:rPr/>
      </w:pPr>
      <w:r w:rsidDel="00000000" w:rsidR="00000000" w:rsidRPr="00000000">
        <w:rPr>
          <w:rtl w:val="0"/>
        </w:rPr>
        <w:t xml:space="preserve">Despite these challenges, recent Olympic Games have attempted to reduce their environmental impact through improved sustainability strategies. For example, London 2012 aimed to minimise waste and prioritised the use of previously developed land, while Paris 2024 has committed to reducing its carbon footprint by using existing venues and temporary structures. Official reports from the IOC suggest that these approaches have contributed to lower projected emissions compared to previous Games (IOC, 2024). However, the literature remains critical of whether such reductions represent genuine environmental progress.</w:t>
      </w:r>
    </w:p>
    <w:p w:rsidR="00000000" w:rsidDel="00000000" w:rsidP="00000000" w:rsidRDefault="00000000" w:rsidRPr="00000000" w14:paraId="0000001F">
      <w:pPr>
        <w:spacing w:after="240" w:before="240" w:lineRule="auto"/>
        <w:rPr/>
      </w:pPr>
      <w:r w:rsidDel="00000000" w:rsidR="00000000" w:rsidRPr="00000000">
        <w:rPr>
          <w:rtl w:val="0"/>
        </w:rPr>
        <w:t xml:space="preserve">A key issue identified by researchers is the reliability of environmental data. Many sustainability reports rely on estimated or projected emissions rather than verified post-event data, making it difficult to assess the true environmental impact accurately. This concern is supported by Collins, Jones and Munday (2009), who argue that the environmental effects of mega-events are often underestimated due to limitations in measurement methods. As a result, comparisons between different Olympic Games can be inconsistent and potentially misleading.</w:t>
      </w:r>
    </w:p>
    <w:p w:rsidR="00000000" w:rsidDel="00000000" w:rsidP="00000000" w:rsidRDefault="00000000" w:rsidRPr="00000000" w14:paraId="00000020">
      <w:pPr>
        <w:spacing w:after="240" w:before="240" w:lineRule="auto"/>
        <w:rPr/>
      </w:pPr>
      <w:r w:rsidDel="00000000" w:rsidR="00000000" w:rsidRPr="00000000">
        <w:rPr>
          <w:rtl w:val="0"/>
        </w:rPr>
        <w:t xml:space="preserve">The literature suggests that while efforts to improve sustainability are increasing, the Olympic Games continue to generate significant environmental impacts. The combination of large-scale construction, global travel, and limitations in data transparency raises important questions about whether genuine environmental sustainability can be achieved. These challenges highlight the need for more consistent measurement and critical evaluation, which this study aims to address through a comparative analysis of recent Olympic Games.</w:t>
      </w:r>
    </w:p>
    <w:p w:rsidR="00000000" w:rsidDel="00000000" w:rsidP="00000000" w:rsidRDefault="00000000" w:rsidRPr="00000000" w14:paraId="00000021">
      <w:pPr>
        <w:rPr>
          <w:b w:val="1"/>
          <w:bCs w:val="1"/>
          <w:i w:val="1"/>
          <w:iCs w:val="1"/>
          <w:sz w:val="24"/>
          <w:szCs w:val="24"/>
          <w:u w:val="single"/>
        </w:rPr>
      </w:pPr>
      <w:r w:rsidDel="00000000" w:rsidR="00000000" w:rsidRPr="00000000">
        <w:rPr>
          <w:b w:val="1"/>
          <w:bCs w:val="1"/>
          <w:i w:val="1"/>
          <w:iCs w:val="1"/>
          <w:sz w:val="24"/>
          <w:szCs w:val="24"/>
          <w:u w:val="single"/>
          <w:rtl w:val="0"/>
        </w:rPr>
        <w:t xml:space="preserve">Sustainability Strategies in the Olympic Games</w:t>
      </w:r>
    </w:p>
    <w:p w:rsidR="00000000" w:rsidDel="00000000" w:rsidP="00000000" w:rsidRDefault="00000000" w:rsidRPr="00000000" w14:paraId="00000022">
      <w:pPr>
        <w:rPr/>
      </w:pPr>
      <w:r w:rsidDel="00000000" w:rsidR="00000000" w:rsidRPr="00000000">
        <w:rPr>
          <w:rtl w:val="0"/>
        </w:rPr>
        <w:t xml:space="preserve">In response to growing environmental concerns, the Olympic Games have increasingly adopted sustainability strategies to reduce their overall impact. Central to this shift is the role of the International Olympic Committee, which introduced Olympic Agenda 2020 and Agenda 2020+5 to integrate sustainability into all stages of event planning and delivery (IOC, 2020). These frameworks encourage host cities to reduce carbon emissions, prioritise the use of existing infrastructure, and promote environmentally responsible practices. While these strategies represent significant progress, the literature debates the extent to which they result in measurable and lasting environmental improvements.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 prominent strategy is the increased use of existing and temporary venues, aiming to reduce the environmental costs of large-scale construction. For example, Paris 2024 has committed to delivering approximately 95% of its events using either existing or temporary facilities, significantly reducing the need for new infrastructure (IOC, 2024). Similarly, London 2012 focused on regenerating brownfield sites rather than developing new land, which was widely recognised as a positive step towards sustainable urban development. These strategies demonstrate a shift towards more resource-efficient planning; however, their effectiveness remains debated.</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Another key strategy is carbon management, with recent Olympic Games setting ambitious targets for reducing emissions. Paris 2024, for example, has pledged to halve its carbon footprint compared to previous Games, aligning its approach with international climate goals. According to the United Nations, reducing emissions at large-scale events is essential for meeting global sustainability targets (United Nations, 2020). However, critics argue that such targets are often based on projected rather than actual data, raising concerns about their reliability. Without consistent measurement frameworks, it is difficult to determine whether these targets are genuinely achieved.</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Waste management and the adoption of circular economy principles have also become central to Olympic sustainability strategies. The circular economy approach focuses on reducing waste through reuse, recycling, and sustainable material sourcing. Paris 2024 has emphasised this approach by aiming to minimise single-use materials and increase recycling rates across all venues. While this represents a progressive shift, research from the Ellen MacArthur Foundation highlights that successful implementation depends on long-term commitment and stakeholder cooperation, which can be difficult to maintain beyond the event itself.</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Despite these developments, the literature raises concerns about the overall effectiveness of Olympic sustainability strategies. A major criticism is that many initiatives focus on short-term outcomes rather than long-term environmental impact. For example, while temporary venues reduce immediate construction emissions, they may still require significant resources to produce and dismantle. Additionally, strategies often prioritise visible sustainability initiatives that enhance public image, rather than addressing more complex issues such as global travel emissions.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Inconsistencies in how sustainability is measured and reported also limit the ability to evaluate success across different Olympic Games. Without standardised metrics, it is difficult to compare the performance of London 2012, Tokyo 2020, and Paris 2024 in a meaningful way. This lack of consistency supports concerns in the literature about transparency and accountability within Olympic sustainability reporting.</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While sustainability strategies in the Olympic Games have evolved significantly, their effectiveness remains contested. Although initiatives such as reduced construction, carbon targets, and circular economy practices demonstrate progress, ongoing challenges related to measurement, implementation, and long-term impact suggest that achieving genuine environmental sustainability remains a complex and unresolved issue.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bCs w:val="1"/>
          <w:i w:val="1"/>
          <w:iCs w:val="1"/>
          <w:u w:val="single"/>
        </w:rPr>
      </w:pPr>
      <w:r w:rsidDel="00000000" w:rsidR="00000000" w:rsidRPr="00000000">
        <w:rPr>
          <w:b w:val="1"/>
          <w:bCs w:val="1"/>
          <w:i w:val="1"/>
          <w:iCs w:val="1"/>
          <w:u w:val="single"/>
          <w:rtl w:val="0"/>
        </w:rPr>
        <w:t xml:space="preserve">Greenwashing and Sustainability report issues</w:t>
      </w:r>
    </w:p>
    <w:p w:rsidR="00000000" w:rsidDel="00000000" w:rsidP="00000000" w:rsidRDefault="00000000" w:rsidRPr="00000000" w14:paraId="00000031">
      <w:pPr>
        <w:rPr/>
      </w:pPr>
      <w:r w:rsidDel="00000000" w:rsidR="00000000" w:rsidRPr="00000000">
        <w:rPr>
          <w:rtl w:val="0"/>
        </w:rPr>
        <w:t xml:space="preserve">A significant issue within the literature on Olympic sustainability is the concept of greenwashing and the lack of transparency in environmental reporting. Greenwashing refers to the practice of organisations promoting environmentally friendly initiatives while failing to deliver meaningful or measurable environmental benefits. Within the context of the Olympic Games, this has become a growing concern as host cities increasingly promote ambitious sustainability targets without always providing clear or verifiable evidence of their outcomes. According to Jules Boykoff, sustainability narratives surrounding mega-events are often carefully constructed to enhance public perception, rather than to reflect genuine environmental performance (Boykoff, 2020).</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One of the main challenges identified in the literature is the reliance on self-reported data. Sustainability reports produced by organising committees are typically not independently verified, raising concerns about their reliability. The International Olympic Committee provides guidelines for sustainability reporting; however, there is no universal standard to ensure consistency across different Olympic Games (IOC, 2021). As a result, each host city may use different methods to calculate emissions, measure waste, or define sustainability success, making direct comparisons difficult.</w:t>
      </w:r>
    </w:p>
    <w:p w:rsidR="00000000" w:rsidDel="00000000" w:rsidP="00000000" w:rsidRDefault="00000000" w:rsidRPr="00000000" w14:paraId="00000034">
      <w:pPr>
        <w:spacing w:after="240" w:before="240" w:lineRule="auto"/>
        <w:rPr/>
      </w:pPr>
      <w:r w:rsidDel="00000000" w:rsidR="00000000" w:rsidRPr="00000000">
        <w:rPr>
          <w:rtl w:val="0"/>
        </w:rPr>
        <w:t xml:space="preserve">Another limitation identified in the literature is the short-term nature of sustainability reporting. Most Olympic sustainability reports focus on the planning and delivery phases of the Games, with limited attention given to long-term environmental impacts. This is problematic, as many of the environmental consequences associated with mega-events, such as infrastructure use and urban development, only become apparent over time. As a result, initial sustainability claims may not accurately reflect long-term outcomes.</w:t>
      </w:r>
    </w:p>
    <w:p w:rsidR="00000000" w:rsidDel="00000000" w:rsidP="00000000" w:rsidRDefault="00000000" w:rsidRPr="00000000" w14:paraId="00000035">
      <w:pPr>
        <w:spacing w:after="240" w:before="240" w:lineRule="auto"/>
        <w:rPr/>
      </w:pPr>
      <w:r w:rsidDel="00000000" w:rsidR="00000000" w:rsidRPr="00000000">
        <w:rPr>
          <w:rtl w:val="0"/>
        </w:rPr>
        <w:t xml:space="preserve">Overall, the literature suggests that while sustainability reporting has become more prominent in the Olympic Games, significant issues remain regarding transparency, consistency, and accountability. The presence of greenwashing, combined with the lack of standardised measurement and independent verification, makes it difficult to assess whether sustainability targets are genuinely achieved. These limitations highlight a critical gap in existing research and reinforce the need for more rigorous and comparative evaluation methods, which this study aims to address.</w:t>
      </w:r>
    </w:p>
    <w:p w:rsidR="00000000" w:rsidDel="00000000" w:rsidP="00000000" w:rsidRDefault="00000000" w:rsidRPr="00000000" w14:paraId="00000036">
      <w:pPr>
        <w:rPr>
          <w:b w:val="1"/>
          <w:bCs w:val="1"/>
          <w:i w:val="1"/>
          <w:iCs w:val="1"/>
          <w:sz w:val="24"/>
          <w:szCs w:val="24"/>
          <w:u w:val="single"/>
        </w:rPr>
      </w:pPr>
      <w:r w:rsidDel="00000000" w:rsidR="00000000" w:rsidRPr="00000000">
        <w:rPr>
          <w:rtl w:val="0"/>
        </w:rPr>
      </w:r>
    </w:p>
    <w:p w:rsidR="00000000" w:rsidDel="00000000" w:rsidP="00000000" w:rsidRDefault="00000000" w:rsidRPr="00000000" w14:paraId="00000037">
      <w:pPr>
        <w:rPr>
          <w:b w:val="1"/>
          <w:bCs w:val="1"/>
          <w:i w:val="1"/>
          <w:iCs w:val="1"/>
          <w:sz w:val="24"/>
          <w:szCs w:val="24"/>
          <w:u w:val="single"/>
        </w:rPr>
      </w:pPr>
      <w:r w:rsidDel="00000000" w:rsidR="00000000" w:rsidRPr="00000000">
        <w:rPr>
          <w:rtl w:val="0"/>
        </w:rPr>
      </w:r>
    </w:p>
    <w:p w:rsidR="00000000" w:rsidDel="00000000" w:rsidP="00000000" w:rsidRDefault="00000000" w:rsidRPr="00000000" w14:paraId="00000038">
      <w:pPr>
        <w:rPr>
          <w:b w:val="1"/>
          <w:bCs w:val="1"/>
          <w:i w:val="1"/>
          <w:iCs w:val="1"/>
          <w:sz w:val="24"/>
          <w:szCs w:val="24"/>
          <w:u w:val="single"/>
        </w:rPr>
      </w:pPr>
      <w:r w:rsidDel="00000000" w:rsidR="00000000" w:rsidRPr="00000000">
        <w:rPr>
          <w:b w:val="1"/>
          <w:bCs w:val="1"/>
          <w:i w:val="1"/>
          <w:iCs w:val="1"/>
          <w:sz w:val="24"/>
          <w:szCs w:val="24"/>
          <w:u w:val="single"/>
          <w:rtl w:val="0"/>
        </w:rPr>
        <w:t xml:space="preserve">Legacy and Long term sustainability </w:t>
      </w:r>
    </w:p>
    <w:p w:rsidR="00000000" w:rsidDel="00000000" w:rsidP="00000000" w:rsidRDefault="00000000" w:rsidRPr="00000000" w14:paraId="00000039">
      <w:pPr>
        <w:rPr/>
      </w:pPr>
      <w:r w:rsidDel="00000000" w:rsidR="00000000" w:rsidRPr="00000000">
        <w:rPr>
          <w:rtl w:val="0"/>
        </w:rPr>
        <w:t xml:space="preserve">A key area of debate within the literature on Olympic sustainability is the extent to which the Games deliver meaningful long-term environmental and social legacies. While host cities frequently promote the Olympics as a catalyst for sustainable urban development, research suggests that these legacy outcomes are often inconsistent and difficult to measure. According to UK Government reports on London 2012, the Games contributed to the regeneration of East London, including the transformation of previously contaminated land into public spaces and housing (GOV.UK, 2013). This has been widely cited as a positive example of long-term planning; however, some studies argue that the environmental benefits were not as extensive as initially claimed.</w:t>
      </w:r>
    </w:p>
    <w:p w:rsidR="00000000" w:rsidDel="00000000" w:rsidP="00000000" w:rsidRDefault="00000000" w:rsidRPr="00000000" w14:paraId="0000003A">
      <w:pPr>
        <w:spacing w:after="240" w:before="240" w:lineRule="auto"/>
        <w:rPr/>
      </w:pPr>
      <w:r w:rsidDel="00000000" w:rsidR="00000000" w:rsidRPr="00000000">
        <w:rPr>
          <w:rtl w:val="0"/>
        </w:rPr>
        <w:t xml:space="preserve">One of the main challenges in evaluating Olympic legacy is the lack of long-term data. Research from the Office for National Statistics indicates that while there were short-term improvements in employment and infrastructure following London 2012, the long-term economic and social impacts were more limited than expected (ONS, 2018). This raises important questions about whether sustainability initiatives associated with the Games create lasting benefits or simply temporary improvements. In environmental terms, similar concerns exist regarding the continued use of Olympic venues, with some facilities becoming underutilised after the event, reducing their overall sustainability value.</w:t>
      </w:r>
    </w:p>
    <w:p w:rsidR="00000000" w:rsidDel="00000000" w:rsidP="00000000" w:rsidRDefault="00000000" w:rsidRPr="00000000" w14:paraId="0000003B">
      <w:pPr>
        <w:rPr/>
      </w:pPr>
      <w:r w:rsidDel="00000000" w:rsidR="00000000" w:rsidRPr="00000000">
        <w:rPr>
          <w:rtl w:val="0"/>
        </w:rPr>
        <w:t xml:space="preserve">The case of Tokyo 2020 further highlights the complexity of achieving long-term sustainability. Due to the COVID-19 pandemic, many of the expected social and economic benefits were significantly reduced. According to data published by the Tokyo Metropolitan Government, the postponement of the Games led to increased costs and reduced tourism revenue, thereby limiting the overall legacy impact (Tokyo Metropolitan Government, 2021). In addition, restrictions on spectators meant that opportunities for community engagement and social sustainability were significantly constrained. This demonstrates how external factors can influence the success of Olympic legacy planning, making it difficult to achieve consistent outcomes across different host cities.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Paris 2024 has sought to address some of these issues by placing greater emphasis on long-term sustainability from the outset. According to official planning documents, the Games aim to create lasting environmental benefits through the use of existing infrastructure, low-carbon construction, and community-focused urban development. However, as research from the European Environment Agency highlights, the success of such initiatives can only be properly assessed over time, once the Games have concluded and long-term impacts become measurable (EEA, 2022). This underscores a key limitation within the literature: the reliance on projected legacy outcomes rather than verified long-term data.</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Another important issue is the imbalance between environmental, economic, and social sustainability. While some host cities achieve success in one area, they may fall short in others. For example, economic regeneration may come at the expense of environmental impact, particularly when large-scale construction is required. This illustrates the difficulty of achieving a balanced and holistic approach to sustainability within the Olympic Games.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Overall, the literature suggests that while the Olympic Games have the potential to deliver positive long-term legacies, these outcomes are not guaranteed. Limitations in data, external disruptions, and inconsistencies in planning all contribute to uncertainty about the Games' true sustainability impact. This reinforces the need for more comprehensive and long-term evaluation, which remains a key gap in existing research.</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bCs w:val="1"/>
          <w:i w:val="1"/>
          <w:iCs w:val="1"/>
          <w:sz w:val="24"/>
          <w:szCs w:val="24"/>
          <w:u w:val="single"/>
        </w:rPr>
      </w:pPr>
      <w:r w:rsidDel="00000000" w:rsidR="00000000" w:rsidRPr="00000000">
        <w:rPr>
          <w:b w:val="1"/>
          <w:bCs w:val="1"/>
          <w:i w:val="1"/>
          <w:iCs w:val="1"/>
          <w:sz w:val="24"/>
          <w:szCs w:val="24"/>
          <w:u w:val="single"/>
          <w:rtl w:val="0"/>
        </w:rPr>
        <w:t xml:space="preserve">Research Gaps in Olympic Sustainability </w:t>
      </w:r>
    </w:p>
    <w:p w:rsidR="00000000" w:rsidDel="00000000" w:rsidP="00000000" w:rsidRDefault="00000000" w:rsidRPr="00000000" w14:paraId="00000046">
      <w:pPr>
        <w:rPr/>
      </w:pPr>
      <w:r w:rsidDel="00000000" w:rsidR="00000000" w:rsidRPr="00000000">
        <w:rPr>
          <w:rtl w:val="0"/>
        </w:rPr>
        <w:t xml:space="preserve">Despite the growing body of research on sustainability within the Olympic Games, several important gaps remain within the existing literature. One of the most significant limitations is the lack of consistent and standardised methods for measuring environmental performance. Different host cities use varying metrics and reporting frameworks, making it difficult to directly compare sustainability outcomes across events. According to the European Commission, consistent environmental indicators are essential for accurately assessing progress towards sustainability goals (European Commission, 2020). However, within the context of the Olympic Games, such standardisation is still lacking, limiting the reliability of cross-event comparisons.</w:t>
      </w:r>
    </w:p>
    <w:p w:rsidR="00000000" w:rsidDel="00000000" w:rsidP="00000000" w:rsidRDefault="00000000" w:rsidRPr="00000000" w14:paraId="00000047">
      <w:pPr>
        <w:spacing w:after="240" w:before="240" w:lineRule="auto"/>
        <w:rPr/>
      </w:pPr>
      <w:r w:rsidDel="00000000" w:rsidR="00000000" w:rsidRPr="00000000">
        <w:rPr>
          <w:rtl w:val="0"/>
        </w:rPr>
        <w:t xml:space="preserve">Another key gap is the over-reliance on official reports produced by organising committees and governing bodies. While these documents provide valuable insights into sustainability strategies and targets, they often present a favourable view of performance and may not fully reflect actual environmental outcomes. Research from the Transparency International highlights the importance of independent evaluation in ensuring accountability and reducing bias in large-scale projects (Transparency International, 2021). The limited availability of independent assessments within Olympic sustainability research suggests that current findings may not always provide a complete or objective picture.</w:t>
      </w:r>
    </w:p>
    <w:p w:rsidR="00000000" w:rsidDel="00000000" w:rsidP="00000000" w:rsidRDefault="00000000" w:rsidRPr="00000000" w14:paraId="00000048">
      <w:pPr>
        <w:spacing w:after="240" w:before="240" w:lineRule="auto"/>
        <w:rPr/>
      </w:pPr>
      <w:r w:rsidDel="00000000" w:rsidR="00000000" w:rsidRPr="00000000">
        <w:rPr>
          <w:rtl w:val="0"/>
        </w:rPr>
        <w:t xml:space="preserve">In addition, there is a lack of long-term environmental data within the literature. Most studies focus on the planning and delivery stages of the Games, with relatively little attention given to post-event impacts. This is a significant limitation, as many environmental consequences, such as infrastructure use, urban development, and ecological change, only become apparent over time. Without long-term data, it is difficult to determine whether sustainability initiatives have lasting benefits or simply short-term effects. This issue is particularly relevant when assessing claims related to legacy and sustainable development.</w:t>
      </w:r>
    </w:p>
    <w:p w:rsidR="00000000" w:rsidDel="00000000" w:rsidP="00000000" w:rsidRDefault="00000000" w:rsidRPr="00000000" w14:paraId="00000049">
      <w:pPr>
        <w:rPr/>
      </w:pPr>
      <w:r w:rsidDel="00000000" w:rsidR="00000000" w:rsidRPr="00000000">
        <w:rPr>
          <w:rtl w:val="0"/>
        </w:rPr>
        <w:t xml:space="preserve">Furthermore, existing research often focuses on individual case studies rather than comparative analysis. While studies on events such as London 2012 or Tokyo 2020 provide valuable insights, there is limited research that systematically compares multiple Olympic Games using consistent criteria. According to the World Economic Forum, comparative approaches are essential for identifying best practices and improving policy development across global events (World Economic Forum, 2020). The lack of comparative research limits the ability to draw broader conclusions about sustainability performance across the Olympic Games as a whole.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These gaps highlight the need for more comprehensive, transparent, and comparative approaches to evaluating Olympic sustainability. This study addresses these limitations by critically comparing London 2012, Tokyo 2020, and Paris 2024 using consistent criteria and a range of credible sources. In doing so, it aims to provide a more balanced and evidence-based assessment of whether future Olympic Games can achieve genuine environmental sustainability.</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bCs w:val="1"/>
          <w:i w:val="1"/>
          <w:iCs w:val="1"/>
          <w:sz w:val="24"/>
          <w:szCs w:val="24"/>
          <w:u w:val="single"/>
        </w:rPr>
      </w:pPr>
      <w:r w:rsidDel="00000000" w:rsidR="00000000" w:rsidRPr="00000000">
        <w:rPr>
          <w:b w:val="1"/>
          <w:bCs w:val="1"/>
          <w:i w:val="1"/>
          <w:iCs w:val="1"/>
          <w:sz w:val="24"/>
          <w:szCs w:val="24"/>
          <w:u w:val="single"/>
          <w:rtl w:val="0"/>
        </w:rPr>
        <w:t xml:space="preserve">2. Research Design and Methodology </w:t>
      </w:r>
    </w:p>
    <w:p w:rsidR="00000000" w:rsidDel="00000000" w:rsidP="00000000" w:rsidRDefault="00000000" w:rsidRPr="00000000" w14:paraId="0000004E">
      <w:pPr>
        <w:rPr>
          <w:b w:val="1"/>
          <w:bCs w:val="1"/>
          <w:i w:val="1"/>
          <w:iCs w:val="1"/>
          <w:sz w:val="24"/>
          <w:szCs w:val="24"/>
          <w:u w:val="single"/>
        </w:rPr>
      </w:pPr>
      <w:r w:rsidDel="00000000" w:rsidR="00000000" w:rsidRPr="00000000">
        <w:rPr>
          <w:rtl w:val="0"/>
        </w:rPr>
      </w:r>
    </w:p>
    <w:p w:rsidR="00000000" w:rsidDel="00000000" w:rsidP="00000000" w:rsidRDefault="00000000" w:rsidRPr="00000000" w14:paraId="0000004F">
      <w:pPr>
        <w:rPr>
          <w:b w:val="1"/>
          <w:bCs w:val="1"/>
          <w:i w:val="1"/>
          <w:iCs w:val="1"/>
          <w:sz w:val="24"/>
          <w:szCs w:val="24"/>
          <w:u w:val="single"/>
        </w:rPr>
      </w:pPr>
      <w:r w:rsidDel="00000000" w:rsidR="00000000" w:rsidRPr="00000000">
        <w:rPr>
          <w:b w:val="1"/>
          <w:bCs w:val="1"/>
          <w:i w:val="1"/>
          <w:iCs w:val="1"/>
          <w:sz w:val="24"/>
          <w:szCs w:val="24"/>
          <w:u w:val="single"/>
          <w:rtl w:val="0"/>
        </w:rPr>
        <w:t xml:space="preserve">Research Design</w:t>
      </w:r>
    </w:p>
    <w:p w:rsidR="00000000" w:rsidDel="00000000" w:rsidP="00000000" w:rsidRDefault="00000000" w:rsidRPr="00000000" w14:paraId="00000050">
      <w:pPr>
        <w:rPr>
          <w:highlight w:val="white"/>
        </w:rPr>
      </w:pPr>
      <w:r w:rsidDel="00000000" w:rsidR="00000000" w:rsidRPr="00000000">
        <w:rPr>
          <w:highlight w:val="white"/>
          <w:rtl w:val="0"/>
        </w:rPr>
        <w:t xml:space="preserve">In </w:t>
      </w:r>
      <w:r w:rsidDel="00000000" w:rsidR="00000000" w:rsidRPr="00000000">
        <w:rPr>
          <w:highlight w:val="white"/>
          <w:rtl w:val="0"/>
        </w:rPr>
        <w:t xml:space="preserve">order </w:t>
      </w:r>
      <w:r w:rsidDel="00000000" w:rsidR="00000000" w:rsidRPr="00000000">
        <w:rPr>
          <w:highlight w:val="white"/>
          <w:rtl w:val="0"/>
        </w:rPr>
        <w:t xml:space="preserve">to </w:t>
      </w:r>
      <w:r w:rsidDel="00000000" w:rsidR="00000000" w:rsidRPr="00000000">
        <w:rPr>
          <w:highlight w:val="white"/>
          <w:rtl w:val="0"/>
        </w:rPr>
        <w:t xml:space="preserve">assess </w:t>
      </w:r>
      <w:r w:rsidDel="00000000" w:rsidR="00000000" w:rsidRPr="00000000">
        <w:rPr>
          <w:highlight w:val="white"/>
          <w:rtl w:val="0"/>
        </w:rPr>
        <w:t xml:space="preserve">the </w:t>
      </w:r>
      <w:r w:rsidDel="00000000" w:rsidR="00000000" w:rsidRPr="00000000">
        <w:rPr>
          <w:highlight w:val="white"/>
          <w:rtl w:val="0"/>
        </w:rPr>
        <w:t xml:space="preserve">degree </w:t>
      </w:r>
      <w:r w:rsidDel="00000000" w:rsidR="00000000" w:rsidRPr="00000000">
        <w:rPr>
          <w:highlight w:val="white"/>
          <w:rtl w:val="0"/>
        </w:rPr>
        <w:t xml:space="preserve">to which future Olympic Games can </w:t>
      </w:r>
      <w:r w:rsidDel="00000000" w:rsidR="00000000" w:rsidRPr="00000000">
        <w:rPr>
          <w:highlight w:val="white"/>
          <w:rtl w:val="0"/>
        </w:rPr>
        <w:t xml:space="preserve">attain true </w:t>
      </w:r>
      <w:r w:rsidDel="00000000" w:rsidR="00000000" w:rsidRPr="00000000">
        <w:rPr>
          <w:highlight w:val="white"/>
          <w:rtl w:val="0"/>
        </w:rPr>
        <w:t xml:space="preserve">environmental sustainability, this study </w:t>
      </w:r>
      <w:r w:rsidDel="00000000" w:rsidR="00000000" w:rsidRPr="00000000">
        <w:rPr>
          <w:highlight w:val="white"/>
          <w:rtl w:val="0"/>
        </w:rPr>
        <w:t xml:space="preserve">uses </w:t>
      </w:r>
      <w:r w:rsidDel="00000000" w:rsidR="00000000" w:rsidRPr="00000000">
        <w:rPr>
          <w:highlight w:val="white"/>
          <w:rtl w:val="0"/>
        </w:rPr>
        <w:t xml:space="preserve">a mixed-methods research </w:t>
      </w:r>
      <w:r w:rsidDel="00000000" w:rsidR="00000000" w:rsidRPr="00000000">
        <w:rPr>
          <w:highlight w:val="white"/>
          <w:rtl w:val="0"/>
        </w:rPr>
        <w:t xml:space="preserve">methodology.</w:t>
      </w:r>
      <w:r w:rsidDel="00000000" w:rsidR="00000000" w:rsidRPr="00000000">
        <w:rPr>
          <w:highlight w:val="white"/>
          <w:rtl w:val="0"/>
        </w:rPr>
        <w:t xml:space="preserve"> </w:t>
      </w:r>
      <w:r w:rsidDel="00000000" w:rsidR="00000000" w:rsidRPr="00000000">
        <w:rPr>
          <w:highlight w:val="white"/>
          <w:rtl w:val="0"/>
        </w:rPr>
        <w:t xml:space="preserve">By combining </w:t>
      </w:r>
      <w:r w:rsidDel="00000000" w:rsidR="00000000" w:rsidRPr="00000000">
        <w:rPr>
          <w:highlight w:val="white"/>
          <w:rtl w:val="0"/>
        </w:rPr>
        <w:t xml:space="preserve">quantitative and qualitative data, a </w:t>
      </w:r>
      <w:r w:rsidDel="00000000" w:rsidR="00000000" w:rsidRPr="00000000">
        <w:rPr>
          <w:highlight w:val="white"/>
          <w:rtl w:val="0"/>
        </w:rPr>
        <w:t xml:space="preserve">mixed-methods approach </w:t>
      </w:r>
      <w:r w:rsidDel="00000000" w:rsidR="00000000" w:rsidRPr="00000000">
        <w:rPr>
          <w:highlight w:val="white"/>
          <w:rtl w:val="0"/>
        </w:rPr>
        <w:t xml:space="preserve">enables </w:t>
      </w:r>
      <w:r w:rsidDel="00000000" w:rsidR="00000000" w:rsidRPr="00000000">
        <w:rPr>
          <w:highlight w:val="white"/>
          <w:rtl w:val="0"/>
        </w:rPr>
        <w:t xml:space="preserve">a more </w:t>
      </w:r>
      <w:r w:rsidDel="00000000" w:rsidR="00000000" w:rsidRPr="00000000">
        <w:rPr>
          <w:highlight w:val="white"/>
          <w:rtl w:val="0"/>
        </w:rPr>
        <w:t xml:space="preserve">thorough comprehension </w:t>
      </w:r>
      <w:r w:rsidDel="00000000" w:rsidR="00000000" w:rsidRPr="00000000">
        <w:rPr>
          <w:highlight w:val="white"/>
          <w:rtl w:val="0"/>
        </w:rPr>
        <w:t xml:space="preserve">of </w:t>
      </w:r>
      <w:r w:rsidDel="00000000" w:rsidR="00000000" w:rsidRPr="00000000">
        <w:rPr>
          <w:highlight w:val="white"/>
          <w:rtl w:val="0"/>
        </w:rPr>
        <w:t xml:space="preserve">intricate study issues.</w:t>
      </w:r>
      <w:r w:rsidDel="00000000" w:rsidR="00000000" w:rsidRPr="00000000">
        <w:rPr>
          <w:highlight w:val="white"/>
          <w:rtl w:val="0"/>
        </w:rPr>
        <w:t xml:space="preserve"> This is </w:t>
      </w:r>
      <w:r w:rsidDel="00000000" w:rsidR="00000000" w:rsidRPr="00000000">
        <w:rPr>
          <w:highlight w:val="white"/>
          <w:rtl w:val="0"/>
        </w:rPr>
        <w:t xml:space="preserve">especially important when </w:t>
      </w:r>
      <w:r w:rsidDel="00000000" w:rsidR="00000000" w:rsidRPr="00000000">
        <w:rPr>
          <w:highlight w:val="white"/>
          <w:rtl w:val="0"/>
        </w:rPr>
        <w:t xml:space="preserve">it comes to </w:t>
      </w:r>
      <w:r w:rsidDel="00000000" w:rsidR="00000000" w:rsidRPr="00000000">
        <w:rPr>
          <w:highlight w:val="white"/>
          <w:rtl w:val="0"/>
        </w:rPr>
        <w:t xml:space="preserve">major athletic </w:t>
      </w:r>
      <w:r w:rsidDel="00000000" w:rsidR="00000000" w:rsidRPr="00000000">
        <w:rPr>
          <w:highlight w:val="white"/>
          <w:rtl w:val="0"/>
        </w:rPr>
        <w:t xml:space="preserve">events, </w:t>
      </w:r>
      <w:r w:rsidDel="00000000" w:rsidR="00000000" w:rsidRPr="00000000">
        <w:rPr>
          <w:highlight w:val="white"/>
          <w:rtl w:val="0"/>
        </w:rPr>
        <w:t xml:space="preserve">because </w:t>
      </w:r>
      <w:r w:rsidDel="00000000" w:rsidR="00000000" w:rsidRPr="00000000">
        <w:rPr>
          <w:highlight w:val="white"/>
          <w:rtl w:val="0"/>
        </w:rPr>
        <w:t xml:space="preserve">sustainability </w:t>
      </w:r>
      <w:r w:rsidDel="00000000" w:rsidR="00000000" w:rsidRPr="00000000">
        <w:rPr>
          <w:highlight w:val="white"/>
          <w:rtl w:val="0"/>
        </w:rPr>
        <w:t xml:space="preserve">encompasses </w:t>
      </w:r>
      <w:r w:rsidDel="00000000" w:rsidR="00000000" w:rsidRPr="00000000">
        <w:rPr>
          <w:highlight w:val="white"/>
          <w:rtl w:val="0"/>
        </w:rPr>
        <w:t xml:space="preserve">both </w:t>
      </w:r>
      <w:r w:rsidDel="00000000" w:rsidR="00000000" w:rsidRPr="00000000">
        <w:rPr>
          <w:highlight w:val="white"/>
          <w:rtl w:val="0"/>
        </w:rPr>
        <w:t xml:space="preserve">quantifiable </w:t>
      </w:r>
      <w:r w:rsidDel="00000000" w:rsidR="00000000" w:rsidRPr="00000000">
        <w:rPr>
          <w:highlight w:val="white"/>
          <w:rtl w:val="0"/>
        </w:rPr>
        <w:t xml:space="preserve">environmental </w:t>
      </w:r>
      <w:r w:rsidDel="00000000" w:rsidR="00000000" w:rsidRPr="00000000">
        <w:rPr>
          <w:highlight w:val="white"/>
          <w:rtl w:val="0"/>
        </w:rPr>
        <w:t xml:space="preserve">results </w:t>
      </w:r>
      <w:r w:rsidDel="00000000" w:rsidR="00000000" w:rsidRPr="00000000">
        <w:rPr>
          <w:highlight w:val="white"/>
          <w:rtl w:val="0"/>
        </w:rPr>
        <w:t xml:space="preserve">and </w:t>
      </w:r>
      <w:r w:rsidDel="00000000" w:rsidR="00000000" w:rsidRPr="00000000">
        <w:rPr>
          <w:highlight w:val="white"/>
          <w:rtl w:val="0"/>
        </w:rPr>
        <w:t xml:space="preserve">personal opinions.</w:t>
      </w:r>
      <w:r w:rsidDel="00000000" w:rsidR="00000000" w:rsidRPr="00000000">
        <w:rPr>
          <w:highlight w:val="white"/>
          <w:rtl w:val="0"/>
        </w:rPr>
        <w:t xml:space="preserve"> </w:t>
      </w:r>
      <w:r w:rsidDel="00000000" w:rsidR="00000000" w:rsidRPr="00000000">
        <w:rPr>
          <w:highlight w:val="white"/>
          <w:rtl w:val="0"/>
        </w:rPr>
        <w:t xml:space="preserve">According to </w:t>
      </w:r>
      <w:r w:rsidDel="00000000" w:rsidR="00000000" w:rsidRPr="00000000">
        <w:rPr>
          <w:highlight w:val="white"/>
          <w:rtl w:val="0"/>
        </w:rPr>
        <w:t xml:space="preserve">Creswell and Poth (2018), </w:t>
      </w:r>
      <w:r w:rsidDel="00000000" w:rsidR="00000000" w:rsidRPr="00000000">
        <w:rPr>
          <w:highlight w:val="white"/>
          <w:rtl w:val="0"/>
        </w:rPr>
        <w:t xml:space="preserve">including several </w:t>
      </w:r>
      <w:r w:rsidDel="00000000" w:rsidR="00000000" w:rsidRPr="00000000">
        <w:rPr>
          <w:highlight w:val="white"/>
          <w:rtl w:val="0"/>
        </w:rPr>
        <w:t xml:space="preserve">data </w:t>
      </w:r>
      <w:r w:rsidDel="00000000" w:rsidR="00000000" w:rsidRPr="00000000">
        <w:rPr>
          <w:highlight w:val="white"/>
          <w:rtl w:val="0"/>
        </w:rPr>
        <w:t xml:space="preserve">types might increase </w:t>
      </w:r>
      <w:r w:rsidDel="00000000" w:rsidR="00000000" w:rsidRPr="00000000">
        <w:rPr>
          <w:highlight w:val="white"/>
          <w:rtl w:val="0"/>
        </w:rPr>
        <w:t xml:space="preserve">the validity of research by </w:t>
      </w:r>
      <w:r w:rsidDel="00000000" w:rsidR="00000000" w:rsidRPr="00000000">
        <w:rPr>
          <w:highlight w:val="white"/>
          <w:rtl w:val="0"/>
        </w:rPr>
        <w:t xml:space="preserve">offering several viewpoints </w:t>
      </w:r>
      <w:r w:rsidDel="00000000" w:rsidR="00000000" w:rsidRPr="00000000">
        <w:rPr>
          <w:highlight w:val="white"/>
          <w:rtl w:val="0"/>
        </w:rPr>
        <w:t xml:space="preserve">on the same </w:t>
      </w:r>
      <w:r w:rsidDel="00000000" w:rsidR="00000000" w:rsidRPr="00000000">
        <w:rPr>
          <w:highlight w:val="white"/>
          <w:rtl w:val="0"/>
        </w:rPr>
        <w:t xml:space="preserve">problem.</w:t>
      </w:r>
      <w:r w:rsidDel="00000000" w:rsidR="00000000" w:rsidRPr="00000000">
        <w:rPr>
          <w:rtl w:val="0"/>
        </w:rPr>
      </w:r>
    </w:p>
    <w:p w:rsidR="00000000" w:rsidDel="00000000" w:rsidP="00000000" w:rsidRDefault="00000000" w:rsidRPr="00000000" w14:paraId="00000051">
      <w:pPr>
        <w:rPr>
          <w:highlight w:val="white"/>
        </w:rPr>
      </w:pPr>
      <w:r w:rsidDel="00000000" w:rsidR="00000000" w:rsidRPr="00000000">
        <w:rPr>
          <w:rtl w:val="0"/>
        </w:rPr>
      </w:r>
    </w:p>
    <w:p w:rsidR="00000000" w:rsidDel="00000000" w:rsidP="00000000" w:rsidRDefault="00000000" w:rsidRPr="00000000" w14:paraId="00000052">
      <w:pPr>
        <w:rPr>
          <w:highlight w:val="white"/>
        </w:rPr>
      </w:pPr>
      <w:r w:rsidDel="00000000" w:rsidR="00000000" w:rsidRPr="00000000">
        <w:rPr>
          <w:rtl w:val="0"/>
        </w:rPr>
        <w:t xml:space="preserve">The quantitative component of this study is based on a structured survey, which is used to collect data on public perceptions of sustainability within the Olympic Games. </w:t>
      </w:r>
      <w:r w:rsidDel="00000000" w:rsidR="00000000" w:rsidRPr="00000000">
        <w:rPr>
          <w:highlight w:val="white"/>
          <w:rtl w:val="0"/>
        </w:rPr>
        <w:t xml:space="preserve">This allows the research to identify patterns in awareness, trust, and attitudes towards environmental claims made by organisers. In contrast, the qualitative component focuses on the analysis of secondary data, including official sustainability reports, policy documents, and independent evaluations relating to London 2012, Tokyo 2020, and Paris 2024. This ensures that the study is not limited to either perception or reported performance, but instead critically evaluates both.</w:t>
      </w:r>
    </w:p>
    <w:p w:rsidR="00000000" w:rsidDel="00000000" w:rsidP="00000000" w:rsidRDefault="00000000" w:rsidRPr="00000000" w14:paraId="00000053">
      <w:pPr>
        <w:rPr>
          <w:highlight w:val="white"/>
        </w:rPr>
      </w:pPr>
      <w:r w:rsidDel="00000000" w:rsidR="00000000" w:rsidRPr="00000000">
        <w:rPr>
          <w:rtl w:val="0"/>
        </w:rPr>
      </w:r>
    </w:p>
    <w:p w:rsidR="00000000" w:rsidDel="00000000" w:rsidP="00000000" w:rsidRDefault="00000000" w:rsidRPr="00000000" w14:paraId="00000054">
      <w:pPr>
        <w:rPr>
          <w:highlight w:val="white"/>
        </w:rPr>
      </w:pPr>
      <w:r w:rsidDel="00000000" w:rsidR="00000000" w:rsidRPr="00000000">
        <w:rPr>
          <w:highlight w:val="white"/>
          <w:rtl w:val="0"/>
        </w:rPr>
        <w:t xml:space="preserve">The research is also guided by a comparative case study approach, focusing on three Olympic Games with different contexts and sustainability strategies. Case study research is particularly useful when analysing real-world issues within their specific environments (Yin, 2018). By comparing multiple cases, the study is able to identify similarities and differences in sustainability approaches and outcomes. This is essential in addressing the research question, as it allows for a clearer assessment of whether improvements in sustainability reflect genuine progress or variations in reporting and implementation.</w:t>
      </w:r>
    </w:p>
    <w:p w:rsidR="00000000" w:rsidDel="00000000" w:rsidP="00000000" w:rsidRDefault="00000000" w:rsidRPr="00000000" w14:paraId="00000055">
      <w:pPr>
        <w:rPr>
          <w:highlight w:val="white"/>
        </w:rPr>
      </w:pPr>
      <w:r w:rsidDel="00000000" w:rsidR="00000000" w:rsidRPr="00000000">
        <w:rPr>
          <w:rtl w:val="0"/>
        </w:rPr>
      </w:r>
    </w:p>
    <w:p w:rsidR="00000000" w:rsidDel="00000000" w:rsidP="00000000" w:rsidRDefault="00000000" w:rsidRPr="00000000" w14:paraId="00000056">
      <w:pPr>
        <w:rPr>
          <w:highlight w:val="white"/>
        </w:rPr>
      </w:pPr>
      <w:r w:rsidDel="00000000" w:rsidR="00000000" w:rsidRPr="00000000">
        <w:rPr>
          <w:highlight w:val="white"/>
          <w:rtl w:val="0"/>
        </w:rPr>
        <w:t xml:space="preserve">All </w:t>
      </w:r>
      <w:r w:rsidDel="00000000" w:rsidR="00000000" w:rsidRPr="00000000">
        <w:rPr>
          <w:highlight w:val="white"/>
          <w:rtl w:val="0"/>
        </w:rPr>
        <w:t xml:space="preserve">things considered, </w:t>
      </w:r>
      <w:r w:rsidDel="00000000" w:rsidR="00000000" w:rsidRPr="00000000">
        <w:rPr>
          <w:highlight w:val="white"/>
          <w:rtl w:val="0"/>
        </w:rPr>
        <w:t xml:space="preserve">the </w:t>
      </w:r>
      <w:r w:rsidDel="00000000" w:rsidR="00000000" w:rsidRPr="00000000">
        <w:rPr>
          <w:highlight w:val="white"/>
          <w:rtl w:val="0"/>
        </w:rPr>
        <w:t xml:space="preserve">selected </w:t>
      </w:r>
      <w:r w:rsidDel="00000000" w:rsidR="00000000" w:rsidRPr="00000000">
        <w:rPr>
          <w:highlight w:val="white"/>
          <w:rtl w:val="0"/>
        </w:rPr>
        <w:t xml:space="preserve">research design is a </w:t>
      </w:r>
      <w:r w:rsidDel="00000000" w:rsidR="00000000" w:rsidRPr="00000000">
        <w:rPr>
          <w:highlight w:val="white"/>
          <w:rtl w:val="0"/>
        </w:rPr>
        <w:t xml:space="preserve">good fit for </w:t>
      </w:r>
      <w:r w:rsidDel="00000000" w:rsidR="00000000" w:rsidRPr="00000000">
        <w:rPr>
          <w:highlight w:val="white"/>
          <w:rtl w:val="0"/>
        </w:rPr>
        <w:t xml:space="preserve">the study's </w:t>
      </w:r>
      <w:r w:rsidDel="00000000" w:rsidR="00000000" w:rsidRPr="00000000">
        <w:rPr>
          <w:highlight w:val="white"/>
          <w:rtl w:val="0"/>
        </w:rPr>
        <w:t xml:space="preserve">objectives.</w:t>
      </w:r>
      <w:r w:rsidDel="00000000" w:rsidR="00000000" w:rsidRPr="00000000">
        <w:rPr>
          <w:highlight w:val="white"/>
          <w:rtl w:val="0"/>
        </w:rPr>
        <w:t xml:space="preserve"> The </w:t>
      </w:r>
      <w:r w:rsidDel="00000000" w:rsidR="00000000" w:rsidRPr="00000000">
        <w:rPr>
          <w:highlight w:val="white"/>
          <w:rtl w:val="0"/>
        </w:rPr>
        <w:t xml:space="preserve">study </w:t>
      </w:r>
      <w:r w:rsidDel="00000000" w:rsidR="00000000" w:rsidRPr="00000000">
        <w:rPr>
          <w:highlight w:val="white"/>
          <w:rtl w:val="0"/>
        </w:rPr>
        <w:t xml:space="preserve">is able to </w:t>
      </w:r>
      <w:r w:rsidDel="00000000" w:rsidR="00000000" w:rsidRPr="00000000">
        <w:rPr>
          <w:highlight w:val="white"/>
          <w:rtl w:val="0"/>
        </w:rPr>
        <w:t xml:space="preserve">offer </w:t>
      </w:r>
      <w:r w:rsidDel="00000000" w:rsidR="00000000" w:rsidRPr="00000000">
        <w:rPr>
          <w:highlight w:val="white"/>
          <w:rtl w:val="0"/>
        </w:rPr>
        <w:t xml:space="preserve">a more critical and </w:t>
      </w:r>
      <w:r w:rsidDel="00000000" w:rsidR="00000000" w:rsidRPr="00000000">
        <w:rPr>
          <w:highlight w:val="white"/>
          <w:rtl w:val="0"/>
        </w:rPr>
        <w:t xml:space="preserve">impartial assessment </w:t>
      </w:r>
      <w:r w:rsidDel="00000000" w:rsidR="00000000" w:rsidRPr="00000000">
        <w:rPr>
          <w:highlight w:val="white"/>
          <w:rtl w:val="0"/>
        </w:rPr>
        <w:t xml:space="preserve">of Olympic sustainability by </w:t>
      </w:r>
      <w:r w:rsidDel="00000000" w:rsidR="00000000" w:rsidRPr="00000000">
        <w:rPr>
          <w:highlight w:val="white"/>
          <w:rtl w:val="0"/>
        </w:rPr>
        <w:t xml:space="preserve">using </w:t>
      </w:r>
      <w:r w:rsidDel="00000000" w:rsidR="00000000" w:rsidRPr="00000000">
        <w:rPr>
          <w:highlight w:val="white"/>
          <w:rtl w:val="0"/>
        </w:rPr>
        <w:t xml:space="preserve">a comparative </w:t>
      </w:r>
      <w:r w:rsidDel="00000000" w:rsidR="00000000" w:rsidRPr="00000000">
        <w:rPr>
          <w:highlight w:val="white"/>
          <w:rtl w:val="0"/>
        </w:rPr>
        <w:t xml:space="preserve">approach, </w:t>
      </w:r>
      <w:r w:rsidDel="00000000" w:rsidR="00000000" w:rsidRPr="00000000">
        <w:rPr>
          <w:highlight w:val="white"/>
          <w:rtl w:val="0"/>
        </w:rPr>
        <w:t xml:space="preserve">secondary analysis, and survey data. The </w:t>
      </w:r>
      <w:r w:rsidDel="00000000" w:rsidR="00000000" w:rsidRPr="00000000">
        <w:rPr>
          <w:highlight w:val="white"/>
          <w:rtl w:val="0"/>
        </w:rPr>
        <w:t xml:space="preserve">goal </w:t>
      </w:r>
      <w:r w:rsidDel="00000000" w:rsidR="00000000" w:rsidRPr="00000000">
        <w:rPr>
          <w:highlight w:val="white"/>
          <w:rtl w:val="0"/>
        </w:rPr>
        <w:t xml:space="preserve">of </w:t>
      </w:r>
      <w:r w:rsidDel="00000000" w:rsidR="00000000" w:rsidRPr="00000000">
        <w:rPr>
          <w:highlight w:val="white"/>
          <w:rtl w:val="0"/>
        </w:rPr>
        <w:t xml:space="preserve">ascertaining </w:t>
      </w:r>
      <w:r w:rsidDel="00000000" w:rsidR="00000000" w:rsidRPr="00000000">
        <w:rPr>
          <w:highlight w:val="white"/>
          <w:rtl w:val="0"/>
        </w:rPr>
        <w:t xml:space="preserve">if future Olympic Games </w:t>
      </w:r>
      <w:r w:rsidDel="00000000" w:rsidR="00000000" w:rsidRPr="00000000">
        <w:rPr>
          <w:highlight w:val="white"/>
          <w:rtl w:val="0"/>
        </w:rPr>
        <w:t xml:space="preserve">may attain true </w:t>
      </w:r>
      <w:r w:rsidDel="00000000" w:rsidR="00000000" w:rsidRPr="00000000">
        <w:rPr>
          <w:highlight w:val="white"/>
          <w:rtl w:val="0"/>
        </w:rPr>
        <w:t xml:space="preserve">and verifiable environmental sustainability </w:t>
      </w:r>
      <w:r w:rsidDel="00000000" w:rsidR="00000000" w:rsidRPr="00000000">
        <w:rPr>
          <w:highlight w:val="white"/>
          <w:rtl w:val="0"/>
        </w:rPr>
        <w:t xml:space="preserve">is directly </w:t>
      </w:r>
      <w:r w:rsidDel="00000000" w:rsidR="00000000" w:rsidRPr="00000000">
        <w:rPr>
          <w:highlight w:val="white"/>
          <w:rtl w:val="0"/>
        </w:rPr>
        <w:t xml:space="preserve">supported by </w:t>
      </w:r>
      <w:r w:rsidDel="00000000" w:rsidR="00000000" w:rsidRPr="00000000">
        <w:rPr>
          <w:highlight w:val="white"/>
          <w:rtl w:val="0"/>
        </w:rPr>
        <w:t xml:space="preserve">this.</w:t>
      </w:r>
    </w:p>
    <w:p w:rsidR="00000000" w:rsidDel="00000000" w:rsidP="00000000" w:rsidRDefault="00000000" w:rsidRPr="00000000" w14:paraId="00000057">
      <w:pPr>
        <w:rPr>
          <w:highlight w:val="white"/>
        </w:rPr>
      </w:pPr>
      <w:r w:rsidDel="00000000" w:rsidR="00000000" w:rsidRPr="00000000">
        <w:rPr>
          <w:rtl w:val="0"/>
        </w:rPr>
      </w:r>
    </w:p>
    <w:p w:rsidR="00000000" w:rsidDel="00000000" w:rsidP="00000000" w:rsidRDefault="00000000" w:rsidRPr="00000000" w14:paraId="00000058">
      <w:pPr>
        <w:spacing w:after="240" w:before="240" w:lineRule="auto"/>
        <w:rPr>
          <w:b w:val="1"/>
          <w:bCs w:val="1"/>
          <w:i w:val="1"/>
          <w:iCs w:val="1"/>
          <w:sz w:val="24"/>
          <w:szCs w:val="24"/>
          <w:highlight w:val="white"/>
          <w:u w:val="single"/>
        </w:rPr>
      </w:pPr>
      <w:r w:rsidDel="00000000" w:rsidR="00000000" w:rsidRPr="00000000">
        <w:rPr>
          <w:b w:val="1"/>
          <w:bCs w:val="1"/>
          <w:i w:val="1"/>
          <w:iCs w:val="1"/>
          <w:sz w:val="24"/>
          <w:szCs w:val="24"/>
          <w:highlight w:val="white"/>
          <w:u w:val="single"/>
          <w:rtl w:val="0"/>
        </w:rPr>
        <w:t xml:space="preserve">Methods</w:t>
      </w:r>
    </w:p>
    <w:p w:rsidR="00000000" w:rsidDel="00000000" w:rsidP="00000000" w:rsidRDefault="00000000" w:rsidRPr="00000000" w14:paraId="00000059">
      <w:pPr>
        <w:spacing w:after="240" w:before="240" w:lineRule="auto"/>
        <w:rPr>
          <w:highlight w:val="white"/>
        </w:rPr>
      </w:pPr>
      <w:r w:rsidDel="00000000" w:rsidR="00000000" w:rsidRPr="00000000">
        <w:rPr>
          <w:highlight w:val="white"/>
          <w:rtl w:val="0"/>
        </w:rPr>
        <w:t xml:space="preserve">This study uses a mixed-methods approach, combining both primary and secondary research methods to examine environmental sustainability within the Olympic Games. This approach is appropriate as the research aims to evaluate both measurable environmental outcomes and public perceptions, which cannot be fully understood using a single method. Mixed-methods research allows for a more complete understanding of complex issues by integrating different types of data (Creswell and Poth, 2018).</w:t>
      </w:r>
    </w:p>
    <w:p w:rsidR="00000000" w:rsidDel="00000000" w:rsidP="00000000" w:rsidRDefault="00000000" w:rsidRPr="00000000" w14:paraId="0000005A">
      <w:pPr>
        <w:spacing w:after="240" w:before="240" w:lineRule="auto"/>
        <w:rPr>
          <w:highlight w:val="white"/>
        </w:rPr>
      </w:pPr>
      <w:r w:rsidDel="00000000" w:rsidR="00000000" w:rsidRPr="00000000">
        <w:rPr>
          <w:highlight w:val="white"/>
          <w:rtl w:val="0"/>
        </w:rPr>
        <w:t xml:space="preserve">The primary method used in this study is a quantitative survey, designed to collect numerical data from participants regarding their perceptions of sustainability within the Olympic Games. The survey focuses on areas such as awareness of environmental initiatives, trust in sustainability reporting, and opinions on whether future Olympic Games can achieve genuine environmental sustainability. Quantitative methods are useful in identifying patterns and trends across a group of respondents, allowing findings to be presented clearly through statistics. According to Saunders, Lewis and Thornhill (2016), surveys are an effective way of collecting standardised data that can be easily compared and analysed.</w:t>
      </w:r>
    </w:p>
    <w:p w:rsidR="00000000" w:rsidDel="00000000" w:rsidP="00000000" w:rsidRDefault="00000000" w:rsidRPr="00000000" w14:paraId="0000005B">
      <w:pPr>
        <w:spacing w:after="240" w:before="240" w:lineRule="auto"/>
        <w:rPr>
          <w:highlight w:val="white"/>
        </w:rPr>
      </w:pPr>
      <w:r w:rsidDel="00000000" w:rsidR="00000000" w:rsidRPr="00000000">
        <w:rPr>
          <w:highlight w:val="white"/>
          <w:rtl w:val="0"/>
        </w:rPr>
        <w:t xml:space="preserve">In addition to primary data, the study also uses secondary data analysis. This involves examining existing sources such as official Olympic sustainability reports, academic journal articles, and publications from organisations including the International Olympic Committee. Secondary data is particularly valuable in this research as it provides access to factual information on environmental performance, including carbon emissions, infrastructure impact, and sustainability strategies implemented by host cities. Bowen (2009) highlights that document analysis is a systematic method for reviewing and evaluating documents, making it suitable for identifying key themes and inconsistencies within sustainability reporting.</w:t>
      </w:r>
    </w:p>
    <w:p w:rsidR="00000000" w:rsidDel="00000000" w:rsidP="00000000" w:rsidRDefault="00000000" w:rsidRPr="00000000" w14:paraId="0000005C">
      <w:pPr>
        <w:spacing w:after="240" w:before="240" w:lineRule="auto"/>
        <w:rPr>
          <w:highlight w:val="white"/>
        </w:rPr>
      </w:pPr>
      <w:r w:rsidDel="00000000" w:rsidR="00000000" w:rsidRPr="00000000">
        <w:rPr>
          <w:highlight w:val="white"/>
          <w:rtl w:val="0"/>
        </w:rPr>
        <w:t xml:space="preserve">The use of both primary and secondary methods allows for data triangulation, which strengthens the reliability and validity of the research. By comparing survey findings with existing documented evidence, the study is able to identify whether public perceptions align with reported sustainability outcomes. This is important in the context of mega-events, where previous research has suggested that sustainability claims may not always reflect actual performance. For example, Boykoff (2020) argues that some Olympic sustainability narratives may involve elements of “greenwashing,” making it essential to critically assess both perception and evidence.</w:t>
      </w:r>
    </w:p>
    <w:p w:rsidR="00000000" w:rsidDel="00000000" w:rsidP="00000000" w:rsidRDefault="00000000" w:rsidRPr="00000000" w14:paraId="0000005D">
      <w:pPr>
        <w:spacing w:after="240" w:before="240" w:lineRule="auto"/>
        <w:rPr>
          <w:highlight w:val="white"/>
        </w:rPr>
      </w:pPr>
      <w:r w:rsidDel="00000000" w:rsidR="00000000" w:rsidRPr="00000000">
        <w:rPr>
          <w:highlight w:val="white"/>
          <w:rtl w:val="0"/>
        </w:rPr>
        <w:t xml:space="preserve">However, there are limitations associated with the chosen methods. Survey data may be influenced by respondents’ knowledge or personal opinions, which can affect accuracy. Similarly, secondary data may be biased depending on the source, particularly when analysing official reports produced by event organisers. To reduce these limitations, the study will use multiple sources and apply a critical approach when interpreting findings.</w:t>
      </w:r>
    </w:p>
    <w:p w:rsidR="00000000" w:rsidDel="00000000" w:rsidP="00000000" w:rsidRDefault="00000000" w:rsidRPr="00000000" w14:paraId="0000005E">
      <w:pPr>
        <w:spacing w:after="240" w:before="240" w:lineRule="auto"/>
        <w:rPr>
          <w:highlight w:val="white"/>
        </w:rPr>
      </w:pPr>
      <w:r w:rsidDel="00000000" w:rsidR="00000000" w:rsidRPr="00000000">
        <w:rPr>
          <w:highlight w:val="white"/>
          <w:rtl w:val="0"/>
        </w:rPr>
        <w:t xml:space="preserve">Overall, the combination of survey data and secondary data analysis provides a suitable and balanced method for addressing the research question. It enables the study to examine both the reality of environmental sustainability and how it is perceived, which is essential in determining whether future Olympic Games can achieve genuine sustainability.</w:t>
      </w:r>
    </w:p>
    <w:p w:rsidR="00000000" w:rsidDel="00000000" w:rsidP="00000000" w:rsidRDefault="00000000" w:rsidRPr="00000000" w14:paraId="0000005F">
      <w:pPr>
        <w:spacing w:after="240" w:before="240" w:lineRule="auto"/>
        <w:rPr>
          <w:highlight w:val="white"/>
        </w:rPr>
      </w:pPr>
      <w:r w:rsidDel="00000000" w:rsidR="00000000" w:rsidRPr="00000000">
        <w:rPr>
          <w:rtl w:val="0"/>
        </w:rPr>
      </w:r>
    </w:p>
    <w:p w:rsidR="00000000" w:rsidDel="00000000" w:rsidP="00000000" w:rsidRDefault="00000000" w:rsidRPr="00000000" w14:paraId="00000060">
      <w:pPr>
        <w:spacing w:after="240" w:before="240" w:lineRule="auto"/>
        <w:rPr>
          <w:b w:val="1"/>
          <w:bCs w:val="1"/>
          <w:i w:val="1"/>
          <w:iCs w:val="1"/>
          <w:sz w:val="24"/>
          <w:szCs w:val="24"/>
          <w:highlight w:val="white"/>
          <w:u w:val="single"/>
        </w:rPr>
      </w:pPr>
      <w:r w:rsidDel="00000000" w:rsidR="00000000" w:rsidRPr="00000000">
        <w:rPr>
          <w:b w:val="1"/>
          <w:bCs w:val="1"/>
          <w:i w:val="1"/>
          <w:iCs w:val="1"/>
          <w:sz w:val="24"/>
          <w:szCs w:val="24"/>
          <w:highlight w:val="white"/>
          <w:u w:val="single"/>
          <w:rtl w:val="0"/>
        </w:rPr>
        <w:t xml:space="preserve">Sampling</w:t>
      </w:r>
    </w:p>
    <w:p w:rsidR="00000000" w:rsidDel="00000000" w:rsidP="00000000" w:rsidRDefault="00000000" w:rsidRPr="00000000" w14:paraId="00000061">
      <w:pPr>
        <w:spacing w:after="240" w:before="240" w:lineRule="auto"/>
        <w:rPr>
          <w:highlight w:val="white"/>
        </w:rPr>
      </w:pPr>
      <w:r w:rsidDel="00000000" w:rsidR="00000000" w:rsidRPr="00000000">
        <w:rPr>
          <w:highlight w:val="white"/>
          <w:rtl w:val="0"/>
        </w:rPr>
        <w:t xml:space="preserve">This study uses a non-probability sampling method, specifically convenience sampling, to select participants for the survey. Convenience sampling involves selecting individuals who are easily accessible to the researcher, making it a practical and commonly used approach in small-scale academic studies. This method is appropriate for the current research due to time constraints and limited access to a wider population. According to Etikan, Musa and Alkassim (2016), convenience sampling is widely used in exploratory research where the aim is to gain initial insights rather than produce fully generalisable results.</w:t>
      </w:r>
    </w:p>
    <w:p w:rsidR="00000000" w:rsidDel="00000000" w:rsidP="00000000" w:rsidRDefault="00000000" w:rsidRPr="00000000" w14:paraId="00000062">
      <w:pPr>
        <w:spacing w:after="240" w:before="240" w:lineRule="auto"/>
        <w:rPr>
          <w:highlight w:val="white"/>
        </w:rPr>
      </w:pPr>
      <w:r w:rsidDel="00000000" w:rsidR="00000000" w:rsidRPr="00000000">
        <w:rPr>
          <w:highlight w:val="white"/>
          <w:rtl w:val="0"/>
        </w:rPr>
        <w:t xml:space="preserve">The sample for this study will consist of approximately 20 participants, primarily drawn from the researcher’s personal network, including friends, family, and peers. While this sample size is relatively small, it is considered suitable for undergraduate-level research, where the focus is on identifying patterns and gaining an understanding of general perceptions rather than producing statistically representative findings. Saunders, Lewis and Thornhill (2016) note that smaller sample sizes can still provide valuable data when the research is clearly defined and the methodology is applied consistently.</w:t>
      </w:r>
    </w:p>
    <w:p w:rsidR="00000000" w:rsidDel="00000000" w:rsidP="00000000" w:rsidRDefault="00000000" w:rsidRPr="00000000" w14:paraId="00000063">
      <w:pPr>
        <w:spacing w:after="240" w:before="240" w:lineRule="auto"/>
        <w:rPr>
          <w:highlight w:val="white"/>
        </w:rPr>
      </w:pPr>
      <w:r w:rsidDel="00000000" w:rsidR="00000000" w:rsidRPr="00000000">
        <w:rPr>
          <w:highlight w:val="white"/>
          <w:rtl w:val="0"/>
        </w:rPr>
        <w:t xml:space="preserve">The selection of participants will not be restricted by specific demographic criteria, as the aim of the survey is to capture a broad range of general public opinions regarding environmental sustainability in the Olympic Games. This approach allows the study to explore overall awareness and attitudes, rather than focusing on a particular subgroup. However, it is acknowledged that the use of convenience sampling may introduce bias, as participants may share similar backgrounds or perspectives. This limits the generalisability of the findings to a wider population.</w:t>
      </w:r>
    </w:p>
    <w:p w:rsidR="00000000" w:rsidDel="00000000" w:rsidP="00000000" w:rsidRDefault="00000000" w:rsidRPr="00000000" w14:paraId="00000064">
      <w:pPr>
        <w:spacing w:after="240" w:before="240" w:lineRule="auto"/>
        <w:rPr>
          <w:highlight w:val="white"/>
        </w:rPr>
      </w:pPr>
      <w:r w:rsidDel="00000000" w:rsidR="00000000" w:rsidRPr="00000000">
        <w:rPr>
          <w:highlight w:val="white"/>
          <w:rtl w:val="0"/>
        </w:rPr>
        <w:t xml:space="preserve">Despite these limitations, the chosen sampling method is appropriate for the scope and objectives of the study. The primary aim is not to produce statistically representative results, but to support the research through additional insight into public perceptions. The findings from the survey will be used alongside secondary data to strengthen the overall analysis through comparison and triangulation. As highlighted by Bryman (2016), combining different data sources can improve the credibility of research, even when individual methods have limitations.</w:t>
      </w:r>
    </w:p>
    <w:p w:rsidR="00000000" w:rsidDel="00000000" w:rsidP="00000000" w:rsidRDefault="00000000" w:rsidRPr="00000000" w14:paraId="00000065">
      <w:pPr>
        <w:spacing w:after="240" w:before="240" w:lineRule="auto"/>
        <w:rPr>
          <w:highlight w:val="white"/>
        </w:rPr>
      </w:pPr>
      <w:r w:rsidDel="00000000" w:rsidR="00000000" w:rsidRPr="00000000">
        <w:rPr>
          <w:highlight w:val="white"/>
          <w:rtl w:val="0"/>
        </w:rPr>
        <w:t xml:space="preserve">Furthermore, the manageable sample size ensures that the data can be effectively analysed within the time constraints of the project. This is particularly important when considering the later stages of the research, including data analysis and discussion. Overall, the use of convenience sampling with a sample of 20 participants provides a practical, feasible, and academically justified approach for this study.</w:t>
      </w:r>
    </w:p>
    <w:p w:rsidR="00000000" w:rsidDel="00000000" w:rsidP="00000000" w:rsidRDefault="00000000" w:rsidRPr="00000000" w14:paraId="00000066">
      <w:pPr>
        <w:spacing w:after="240" w:before="240" w:lineRule="auto"/>
        <w:rPr>
          <w:b w:val="1"/>
          <w:bCs w:val="1"/>
          <w:i w:val="1"/>
          <w:iCs w:val="1"/>
          <w:sz w:val="24"/>
          <w:szCs w:val="24"/>
          <w:highlight w:val="white"/>
          <w:u w:val="single"/>
        </w:rPr>
      </w:pPr>
      <w:r w:rsidDel="00000000" w:rsidR="00000000" w:rsidRPr="00000000">
        <w:rPr>
          <w:b w:val="1"/>
          <w:bCs w:val="1"/>
          <w:i w:val="1"/>
          <w:iCs w:val="1"/>
          <w:sz w:val="24"/>
          <w:szCs w:val="24"/>
          <w:highlight w:val="white"/>
          <w:u w:val="single"/>
          <w:rtl w:val="0"/>
        </w:rPr>
        <w:t xml:space="preserve">3. Data Collection</w:t>
      </w:r>
    </w:p>
    <w:p w:rsidR="00000000" w:rsidDel="00000000" w:rsidP="00000000" w:rsidRDefault="00000000" w:rsidRPr="00000000" w14:paraId="00000067">
      <w:pPr>
        <w:spacing w:after="240" w:before="240" w:lineRule="auto"/>
        <w:rPr>
          <w:b w:val="1"/>
          <w:bCs w:val="1"/>
          <w:i w:val="1"/>
          <w:iCs w:val="1"/>
          <w:sz w:val="24"/>
          <w:szCs w:val="24"/>
          <w:highlight w:val="white"/>
          <w:u w:val="single"/>
        </w:rPr>
      </w:pPr>
      <w:r w:rsidDel="00000000" w:rsidR="00000000" w:rsidRPr="00000000">
        <w:rPr>
          <w:b w:val="1"/>
          <w:bCs w:val="1"/>
          <w:i w:val="1"/>
          <w:iCs w:val="1"/>
          <w:sz w:val="24"/>
          <w:szCs w:val="24"/>
          <w:highlight w:val="white"/>
          <w:u w:val="single"/>
          <w:rtl w:val="0"/>
        </w:rPr>
        <w:t xml:space="preserve">Tools + Procedure + Ethics </w:t>
      </w:r>
    </w:p>
    <w:p w:rsidR="00000000" w:rsidDel="00000000" w:rsidP="00000000" w:rsidRDefault="00000000" w:rsidRPr="00000000" w14:paraId="00000068">
      <w:pPr>
        <w:spacing w:after="240" w:before="240" w:lineRule="auto"/>
        <w:rPr>
          <w:highlight w:val="white"/>
        </w:rPr>
      </w:pPr>
      <w:r w:rsidDel="00000000" w:rsidR="00000000" w:rsidRPr="00000000">
        <w:rPr>
          <w:highlight w:val="white"/>
          <w:rtl w:val="0"/>
        </w:rPr>
        <w:t xml:space="preserve">Data for this study will be collected using an online questionnaire created through Google Forms. This platform is widely used in academic research due to its accessibility, ease of use, and ability to automatically organise responses into charts and summaries. The questionnaire will consist of approximately 10–15 closed-ended questions designed to collect quantitative data on participants’ perceptions of environmental sustainability within the Olympic Games. Closed-ended questions are used to ensure consistency in responses and to allow for straightforward comparison and analysis.</w:t>
      </w:r>
    </w:p>
    <w:p w:rsidR="00000000" w:rsidDel="00000000" w:rsidP="00000000" w:rsidRDefault="00000000" w:rsidRPr="00000000" w14:paraId="00000069">
      <w:pPr>
        <w:spacing w:after="240" w:before="240" w:lineRule="auto"/>
        <w:rPr>
          <w:highlight w:val="white"/>
        </w:rPr>
      </w:pPr>
      <w:r w:rsidDel="00000000" w:rsidR="00000000" w:rsidRPr="00000000">
        <w:rPr>
          <w:highlight w:val="white"/>
          <w:rtl w:val="0"/>
        </w:rPr>
        <w:t xml:space="preserve">The survey will be distributed using email and social media platforms, allowing the researcher to reach participants quickly and efficiently. This method supports the use of convenience sampling, as it enables the researcher to share the questionnaire with individuals within their personal network, including friends, family, and peers. Online distribution is also beneficial as it allows participants to complete the survey at their own convenience, which can improve response rates. According to Evans and Mathur (2018), online surveys are a cost-effective and flexible method of data collection, particularly suitable for small-scale research projects.</w:t>
      </w:r>
    </w:p>
    <w:p w:rsidR="00000000" w:rsidDel="00000000" w:rsidP="00000000" w:rsidRDefault="00000000" w:rsidRPr="00000000" w14:paraId="0000006A">
      <w:pPr>
        <w:spacing w:after="240" w:before="240" w:lineRule="auto"/>
        <w:rPr>
          <w:highlight w:val="white"/>
        </w:rPr>
      </w:pPr>
      <w:r w:rsidDel="00000000" w:rsidR="00000000" w:rsidRPr="00000000">
        <w:rPr>
          <w:highlight w:val="white"/>
          <w:rtl w:val="0"/>
        </w:rPr>
        <w:t xml:space="preserve">To ensure consistency in data collection, all participants will receive the same questionnaire with identical questions and response options. The survey will remain open for a set period of time to allow sufficient responses to be gathered. Clear instructions will be provided at the beginning of the questionnaire to ensure participants understand the purpose of the study and how to complete the survey.</w:t>
      </w:r>
    </w:p>
    <w:p w:rsidR="00000000" w:rsidDel="00000000" w:rsidP="00000000" w:rsidRDefault="00000000" w:rsidRPr="00000000" w14:paraId="0000006B">
      <w:pPr>
        <w:spacing w:after="240" w:before="240" w:lineRule="auto"/>
        <w:rPr>
          <w:highlight w:val="white"/>
        </w:rPr>
      </w:pPr>
      <w:r w:rsidDel="00000000" w:rsidR="00000000" w:rsidRPr="00000000">
        <w:rPr>
          <w:highlight w:val="white"/>
          <w:rtl w:val="0"/>
        </w:rPr>
        <w:t xml:space="preserve">Ethical considerations will also be taken into account during the data collection process. Participation will be entirely voluntary, and respondents will be informed that they can withdraw at any time before submitting their responses. No personal identifying information will be collected, ensuring anonymity and confidentiality. In line with ethical research guidelines outlined by British Educational Research Association (2018), the study will ensure that all data is handled responsibly and used solely for academic purposes.</w:t>
      </w:r>
    </w:p>
    <w:p w:rsidR="00000000" w:rsidDel="00000000" w:rsidP="00000000" w:rsidRDefault="00000000" w:rsidRPr="00000000" w14:paraId="0000006C">
      <w:pPr>
        <w:spacing w:after="240" w:before="240" w:lineRule="auto"/>
        <w:rPr>
          <w:highlight w:val="white"/>
        </w:rPr>
      </w:pPr>
      <w:r w:rsidDel="00000000" w:rsidR="00000000" w:rsidRPr="00000000">
        <w:rPr>
          <w:highlight w:val="white"/>
          <w:rtl w:val="0"/>
        </w:rPr>
        <w:t xml:space="preserve">Overall, the use of an online survey distributed via email and social media provides a practical and efficient method of data collection. It ensures that data is collected consistently, ethically, and in a format that can be easily analysed in later stages of the research.</w:t>
      </w:r>
    </w:p>
    <w:p w:rsidR="00000000" w:rsidDel="00000000" w:rsidP="00000000" w:rsidRDefault="00000000" w:rsidRPr="00000000" w14:paraId="0000006D">
      <w:pPr>
        <w:rPr>
          <w:b w:val="1"/>
          <w:bCs w:val="1"/>
          <w:i w:val="1"/>
          <w:iCs w:val="1"/>
          <w:sz w:val="24"/>
          <w:szCs w:val="24"/>
          <w:highlight w:val="white"/>
          <w:u w:val="single"/>
        </w:rPr>
      </w:pPr>
      <w:r w:rsidDel="00000000" w:rsidR="00000000" w:rsidRPr="00000000">
        <w:rPr>
          <w:b w:val="1"/>
          <w:bCs w:val="1"/>
          <w:i w:val="1"/>
          <w:iCs w:val="1"/>
          <w:sz w:val="24"/>
          <w:szCs w:val="24"/>
          <w:highlight w:val="white"/>
          <w:u w:val="single"/>
          <w:rtl w:val="0"/>
        </w:rPr>
        <w:t xml:space="preserve">Data Analysis </w:t>
      </w:r>
    </w:p>
    <w:p w:rsidR="00000000" w:rsidDel="00000000" w:rsidP="00000000" w:rsidRDefault="00000000" w:rsidRPr="00000000" w14:paraId="0000006E">
      <w:pPr>
        <w:spacing w:after="240" w:before="240" w:lineRule="auto"/>
        <w:rPr>
          <w:highlight w:val="white"/>
        </w:rPr>
      </w:pPr>
      <w:r w:rsidDel="00000000" w:rsidR="00000000" w:rsidRPr="00000000">
        <w:rPr>
          <w:highlight w:val="white"/>
          <w:rtl w:val="0"/>
        </w:rPr>
        <w:t xml:space="preserve">This study will apply both quantitative and qualitative data analysis techniques in order to examine the findings collected from the survey and secondary sources. The use of a mixed-methods approach allows for a more comprehensive understanding of environmental sustainability within the Olympic Games, as it combines numerical data with interpretive insights (Creswell and Poth, 2018).</w:t>
      </w:r>
    </w:p>
    <w:p w:rsidR="00000000" w:rsidDel="00000000" w:rsidP="00000000" w:rsidRDefault="00000000" w:rsidRPr="00000000" w14:paraId="0000006F">
      <w:pPr>
        <w:spacing w:after="240" w:before="240" w:lineRule="auto"/>
        <w:rPr>
          <w:highlight w:val="white"/>
        </w:rPr>
      </w:pPr>
      <w:r w:rsidDel="00000000" w:rsidR="00000000" w:rsidRPr="00000000">
        <w:rPr>
          <w:highlight w:val="white"/>
          <w:rtl w:val="0"/>
        </w:rPr>
        <w:t xml:space="preserve">The quantitative data collected from the survey will be analysed using descriptive statistics. Responses from Google Forms will be automatically organised into charts and graphs, allowing for clear visual representation of patterns and trends. Key findings will be presented using percentages and frequencies, making it easier to identify common responses among participants. This approach is widely used in survey-based research, as it enables researchers to summarise data in a structured and accessible format (Saunders, Lewis and Thornhill, 2016). The quantitative analysis will focus on identifying trends in public awareness, perceptions of environmental impact, and levels of trust in Olympic sustainability claims.</w:t>
      </w:r>
    </w:p>
    <w:p w:rsidR="00000000" w:rsidDel="00000000" w:rsidP="00000000" w:rsidRDefault="00000000" w:rsidRPr="00000000" w14:paraId="00000070">
      <w:pPr>
        <w:spacing w:after="240" w:before="240" w:lineRule="auto"/>
        <w:rPr>
          <w:highlight w:val="white"/>
        </w:rPr>
      </w:pPr>
      <w:r w:rsidDel="00000000" w:rsidR="00000000" w:rsidRPr="00000000">
        <w:rPr>
          <w:highlight w:val="white"/>
          <w:rtl w:val="0"/>
        </w:rPr>
        <w:t xml:space="preserve">In addition to quantitative analysis, qualitative data will be examined using thematic analysis. This will apply primarily to the open-ended question included in the survey, where participants are able to provide their own opinions on how the Olympic Games could improve sustainability. Thematic analysis involves identifying recurring ideas or patterns within responses and grouping them into key themes (Braun and Clarke, 2006). For example, responses may highlight themes such as reducing carbon emissions, limiting construction, or improving transparency. This method allows for a deeper understanding of participant perspectives beyond numerical data.</w:t>
      </w:r>
    </w:p>
    <w:p w:rsidR="00000000" w:rsidDel="00000000" w:rsidP="00000000" w:rsidRDefault="00000000" w:rsidRPr="00000000" w14:paraId="00000071">
      <w:pPr>
        <w:spacing w:after="240" w:before="240" w:lineRule="auto"/>
        <w:rPr>
          <w:highlight w:val="white"/>
        </w:rPr>
      </w:pPr>
      <w:r w:rsidDel="00000000" w:rsidR="00000000" w:rsidRPr="00000000">
        <w:rPr>
          <w:highlight w:val="white"/>
          <w:rtl w:val="0"/>
        </w:rPr>
        <w:t xml:space="preserve">The combination of quantitative and qualitative analysis strengthens the overall reliability of the study through data triangulation. By comparing statistical trends with thematic insights, the research is able to provide a more balanced and detailed evaluation of sustainability in the Olympic Games. As noted by Bowen (2009), combining multiple forms of data enhances validity and supports more credible research findings. This approach supports the research aim by linking public perception with documented environmental performance, allowing for a more critical assessment of whether future Olympic Games can achieve genuine environmental sustainability.</w:t>
      </w:r>
    </w:p>
    <w:p w:rsidR="00000000" w:rsidDel="00000000" w:rsidP="00000000" w:rsidRDefault="00000000" w:rsidRPr="00000000" w14:paraId="00000072">
      <w:pPr>
        <w:pStyle w:val="Heading1"/>
        <w:keepNext w:val="0"/>
        <w:keepLines w:val="0"/>
        <w:spacing w:after="360" w:before="0" w:line="360" w:lineRule="auto"/>
        <w:rPr>
          <w:b w:val="1"/>
          <w:bCs w:val="1"/>
          <w:i w:val="1"/>
          <w:iCs w:val="1"/>
          <w:sz w:val="24"/>
          <w:szCs w:val="24"/>
          <w:highlight w:val="white"/>
          <w:u w:val="single"/>
        </w:rPr>
      </w:pPr>
      <w:bookmarkStart w:colFirst="0" w:colLast="0" w:name="_hnp980amaedc" w:id="0"/>
      <w:bookmarkEnd w:id="0"/>
      <w:r w:rsidDel="00000000" w:rsidR="00000000" w:rsidRPr="00000000">
        <w:rPr>
          <w:b w:val="1"/>
          <w:bCs w:val="1"/>
          <w:i w:val="1"/>
          <w:iCs w:val="1"/>
          <w:sz w:val="24"/>
          <w:szCs w:val="24"/>
          <w:highlight w:val="white"/>
          <w:u w:val="single"/>
          <w:rtl w:val="0"/>
        </w:rPr>
        <w:t xml:space="preserve">Reference list</w:t>
      </w:r>
    </w:p>
    <w:p w:rsidR="00000000" w:rsidDel="00000000" w:rsidP="00000000" w:rsidRDefault="00000000" w:rsidRPr="00000000" w14:paraId="00000073">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Andre, J., Rookwood, J. and Parnell, D. (2023). </w:t>
      </w:r>
      <w:r w:rsidDel="00000000" w:rsidR="00000000" w:rsidRPr="00000000">
        <w:rPr>
          <w:i w:val="1"/>
          <w:iCs w:val="1"/>
          <w:highlight w:val="white"/>
          <w:rtl w:val="0"/>
        </w:rPr>
        <w:t xml:space="preserve">The Sport Mega-Events of the 2020s</w:t>
      </w:r>
      <w:r w:rsidDel="00000000" w:rsidR="00000000" w:rsidRPr="00000000">
        <w:rPr>
          <w:highlight w:val="white"/>
          <w:rtl w:val="0"/>
        </w:rPr>
        <w:t xml:space="preserve">. Taylor &amp; Francis.</w:t>
      </w:r>
    </w:p>
    <w:p w:rsidR="00000000" w:rsidDel="00000000" w:rsidP="00000000" w:rsidRDefault="00000000" w:rsidRPr="00000000" w14:paraId="00000074">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Anon, (2024). </w:t>
      </w:r>
      <w:r w:rsidDel="00000000" w:rsidR="00000000" w:rsidRPr="00000000">
        <w:rPr>
          <w:i w:val="1"/>
          <w:iCs w:val="1"/>
          <w:highlight w:val="white"/>
          <w:rtl w:val="0"/>
        </w:rPr>
        <w:t xml:space="preserve">Tokyo Metropolitan Gov​</w:t>
      </w:r>
      <w:r w:rsidDel="00000000" w:rsidR="00000000" w:rsidRPr="00000000">
        <w:rPr>
          <w:highlight w:val="white"/>
          <w:rtl w:val="0"/>
        </w:rPr>
        <w:t xml:space="preserve">. [online] Available at: </w:t>
      </w:r>
      <w:hyperlink r:id="rId6">
        <w:r w:rsidDel="00000000" w:rsidR="00000000" w:rsidRPr="00000000">
          <w:rPr>
            <w:color w:val="1155cc"/>
            <w:highlight w:val="white"/>
            <w:u w:val="single"/>
            <w:rtl w:val="0"/>
          </w:rPr>
          <w:t xml:space="preserve">https://www.english.metro.tokyo.lg.jp/top</w:t>
        </w:r>
      </w:hyperlink>
      <w:r w:rsidDel="00000000" w:rsidR="00000000" w:rsidRPr="00000000">
        <w:rPr>
          <w:highlight w:val="white"/>
          <w:rtl w:val="0"/>
        </w:rPr>
        <w:t xml:space="preserve">. </w:t>
      </w:r>
    </w:p>
    <w:p w:rsidR="00000000" w:rsidDel="00000000" w:rsidP="00000000" w:rsidRDefault="00000000" w:rsidRPr="00000000" w14:paraId="00000075">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BERA (2018). </w:t>
      </w:r>
      <w:r w:rsidDel="00000000" w:rsidR="00000000" w:rsidRPr="00000000">
        <w:rPr>
          <w:i w:val="1"/>
          <w:iCs w:val="1"/>
          <w:highlight w:val="white"/>
          <w:rtl w:val="0"/>
        </w:rPr>
        <w:t xml:space="preserve">Ethical Guidelines for Educational Research, fourth edition (2018)</w:t>
      </w:r>
      <w:r w:rsidDel="00000000" w:rsidR="00000000" w:rsidRPr="00000000">
        <w:rPr>
          <w:highlight w:val="white"/>
          <w:rtl w:val="0"/>
        </w:rPr>
        <w:t xml:space="preserve">. [online] Bera.ac.uk. Available at: </w:t>
      </w:r>
      <w:hyperlink r:id="rId7">
        <w:r w:rsidDel="00000000" w:rsidR="00000000" w:rsidRPr="00000000">
          <w:rPr>
            <w:color w:val="1155cc"/>
            <w:highlight w:val="white"/>
            <w:u w:val="single"/>
            <w:rtl w:val="0"/>
          </w:rPr>
          <w:t xml:space="preserve">https://www.bera.ac.uk/publication/ethical-guidelines-for-educational-research-2018</w:t>
        </w:r>
      </w:hyperlink>
      <w:r w:rsidDel="00000000" w:rsidR="00000000" w:rsidRPr="00000000">
        <w:rPr>
          <w:highlight w:val="white"/>
          <w:rtl w:val="0"/>
        </w:rPr>
        <w:t xml:space="preserve">. </w:t>
      </w:r>
    </w:p>
    <w:p w:rsidR="00000000" w:rsidDel="00000000" w:rsidP="00000000" w:rsidRDefault="00000000" w:rsidRPr="00000000" w14:paraId="00000076">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Bowen, G.A. (2009). Document Analysis as a Qualitative Research Method. </w:t>
      </w:r>
      <w:r w:rsidDel="00000000" w:rsidR="00000000" w:rsidRPr="00000000">
        <w:rPr>
          <w:i w:val="1"/>
          <w:iCs w:val="1"/>
          <w:highlight w:val="white"/>
          <w:rtl w:val="0"/>
        </w:rPr>
        <w:t xml:space="preserve">Qualitative Research Journal</w:t>
      </w:r>
      <w:r w:rsidDel="00000000" w:rsidR="00000000" w:rsidRPr="00000000">
        <w:rPr>
          <w:highlight w:val="white"/>
          <w:rtl w:val="0"/>
        </w:rPr>
        <w:t xml:space="preserve">, [online] 9(2), pp.27–40. doi:</w:t>
      </w:r>
      <w:hyperlink r:id="rId8">
        <w:r w:rsidDel="00000000" w:rsidR="00000000" w:rsidRPr="00000000">
          <w:rPr>
            <w:color w:val="1155cc"/>
            <w:highlight w:val="white"/>
            <w:u w:val="single"/>
            <w:rtl w:val="0"/>
          </w:rPr>
          <w:t xml:space="preserve">https://doi.org/10.3316/QRJ0902027</w:t>
        </w:r>
      </w:hyperlink>
      <w:r w:rsidDel="00000000" w:rsidR="00000000" w:rsidRPr="00000000">
        <w:rPr>
          <w:highlight w:val="white"/>
          <w:rtl w:val="0"/>
        </w:rPr>
        <w:t xml:space="preserve">. </w:t>
      </w:r>
    </w:p>
    <w:p w:rsidR="00000000" w:rsidDel="00000000" w:rsidP="00000000" w:rsidRDefault="00000000" w:rsidRPr="00000000" w14:paraId="00000077">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Bryman, A. (2016). </w:t>
      </w:r>
      <w:r w:rsidDel="00000000" w:rsidR="00000000" w:rsidRPr="00000000">
        <w:rPr>
          <w:i w:val="1"/>
          <w:iCs w:val="1"/>
          <w:highlight w:val="white"/>
          <w:rtl w:val="0"/>
        </w:rPr>
        <w:t xml:space="preserve">Social Research Methods</w:t>
      </w:r>
      <w:r w:rsidDel="00000000" w:rsidR="00000000" w:rsidRPr="00000000">
        <w:rPr>
          <w:highlight w:val="white"/>
          <w:rtl w:val="0"/>
        </w:rPr>
        <w:t xml:space="preserve">. 5th ed. [online] Oxford: Oxford University Press. Available at: </w:t>
      </w:r>
      <w:hyperlink r:id="rId9">
        <w:r w:rsidDel="00000000" w:rsidR="00000000" w:rsidRPr="00000000">
          <w:rPr>
            <w:color w:val="1155cc"/>
            <w:highlight w:val="white"/>
            <w:u w:val="single"/>
            <w:rtl w:val="0"/>
          </w:rPr>
          <w:t xml:space="preserve">https://ktpu.kpi.ua/wp-content/uploads/2014/02/social-research-methods-alan-bryman.pdf</w:t>
        </w:r>
      </w:hyperlink>
      <w:r w:rsidDel="00000000" w:rsidR="00000000" w:rsidRPr="00000000">
        <w:rPr>
          <w:highlight w:val="white"/>
          <w:rtl w:val="0"/>
        </w:rPr>
        <w:t xml:space="preserve">. </w:t>
      </w:r>
    </w:p>
    <w:p w:rsidR="00000000" w:rsidDel="00000000" w:rsidP="00000000" w:rsidRDefault="00000000" w:rsidRPr="00000000" w14:paraId="00000078">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Creswell, J. and Poth, C. (2018a). </w:t>
      </w:r>
      <w:r w:rsidDel="00000000" w:rsidR="00000000" w:rsidRPr="00000000">
        <w:rPr>
          <w:i w:val="1"/>
          <w:iCs w:val="1"/>
          <w:highlight w:val="white"/>
          <w:rtl w:val="0"/>
        </w:rPr>
        <w:t xml:space="preserve">Qualitative Inquiry and Research Design: Choosing Among Five Approaches</w:t>
      </w:r>
      <w:r w:rsidDel="00000000" w:rsidR="00000000" w:rsidRPr="00000000">
        <w:rPr>
          <w:highlight w:val="white"/>
          <w:rtl w:val="0"/>
        </w:rPr>
        <w:t xml:space="preserve">. 4th ed. Los Angeles: SAGE Publications.</w:t>
      </w:r>
    </w:p>
    <w:p w:rsidR="00000000" w:rsidDel="00000000" w:rsidP="00000000" w:rsidRDefault="00000000" w:rsidRPr="00000000" w14:paraId="00000079">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Creswell, J.W. and Poth, C.N. (2018b). </w:t>
      </w:r>
      <w:r w:rsidDel="00000000" w:rsidR="00000000" w:rsidRPr="00000000">
        <w:rPr>
          <w:i w:val="1"/>
          <w:iCs w:val="1"/>
          <w:highlight w:val="white"/>
          <w:rtl w:val="0"/>
        </w:rPr>
        <w:t xml:space="preserve">Qualitative inquiry &amp; research design: Choosing among five approaches</w:t>
      </w:r>
      <w:r w:rsidDel="00000000" w:rsidR="00000000" w:rsidRPr="00000000">
        <w:rPr>
          <w:highlight w:val="white"/>
          <w:rtl w:val="0"/>
        </w:rPr>
        <w:t xml:space="preserve">. Thousand Oaks: Sage Publications, Inc.</w:t>
      </w:r>
    </w:p>
    <w:p w:rsidR="00000000" w:rsidDel="00000000" w:rsidP="00000000" w:rsidRDefault="00000000" w:rsidRPr="00000000" w14:paraId="0000007A">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EEA (2024). </w:t>
      </w:r>
      <w:r w:rsidDel="00000000" w:rsidR="00000000" w:rsidRPr="00000000">
        <w:rPr>
          <w:i w:val="1"/>
          <w:iCs w:val="1"/>
          <w:highlight w:val="white"/>
          <w:rtl w:val="0"/>
        </w:rPr>
        <w:t xml:space="preserve">European Environment Agency</w:t>
      </w:r>
      <w:r w:rsidDel="00000000" w:rsidR="00000000" w:rsidRPr="00000000">
        <w:rPr>
          <w:highlight w:val="white"/>
          <w:rtl w:val="0"/>
        </w:rPr>
        <w:t xml:space="preserve">. [online] www.eea.europa.eu. Available at: </w:t>
      </w:r>
      <w:hyperlink r:id="rId10">
        <w:r w:rsidDel="00000000" w:rsidR="00000000" w:rsidRPr="00000000">
          <w:rPr>
            <w:color w:val="1155cc"/>
            <w:highlight w:val="white"/>
            <w:u w:val="single"/>
            <w:rtl w:val="0"/>
          </w:rPr>
          <w:t xml:space="preserve">https://www.eea.europa.eu/en</w:t>
        </w:r>
      </w:hyperlink>
      <w:r w:rsidDel="00000000" w:rsidR="00000000" w:rsidRPr="00000000">
        <w:rPr>
          <w:highlight w:val="white"/>
          <w:rtl w:val="0"/>
        </w:rPr>
        <w:t xml:space="preserve">. </w:t>
      </w:r>
    </w:p>
    <w:p w:rsidR="00000000" w:rsidDel="00000000" w:rsidP="00000000" w:rsidRDefault="00000000" w:rsidRPr="00000000" w14:paraId="0000007B">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Ellen MacArthur Foundation (2022). </w:t>
      </w:r>
      <w:r w:rsidDel="00000000" w:rsidR="00000000" w:rsidRPr="00000000">
        <w:rPr>
          <w:i w:val="1"/>
          <w:iCs w:val="1"/>
          <w:highlight w:val="white"/>
          <w:rtl w:val="0"/>
        </w:rPr>
        <w:t xml:space="preserve">Circular Economy - UK, USA, Europe, Asia &amp; South America - The Ellen MacArthur Foundation</w:t>
      </w:r>
      <w:r w:rsidDel="00000000" w:rsidR="00000000" w:rsidRPr="00000000">
        <w:rPr>
          <w:highlight w:val="white"/>
          <w:rtl w:val="0"/>
        </w:rPr>
        <w:t xml:space="preserve">. [online] Ellenmacarthurfoundation.org. Available at: </w:t>
      </w:r>
      <w:hyperlink r:id="rId11">
        <w:r w:rsidDel="00000000" w:rsidR="00000000" w:rsidRPr="00000000">
          <w:rPr>
            <w:color w:val="1155cc"/>
            <w:highlight w:val="white"/>
            <w:u w:val="single"/>
            <w:rtl w:val="0"/>
          </w:rPr>
          <w:t xml:space="preserve">https://www.ellenmacarthurfoundation.org/</w:t>
        </w:r>
      </w:hyperlink>
      <w:r w:rsidDel="00000000" w:rsidR="00000000" w:rsidRPr="00000000">
        <w:rPr>
          <w:highlight w:val="white"/>
          <w:rtl w:val="0"/>
        </w:rPr>
        <w:t xml:space="preserve">. </w:t>
      </w:r>
    </w:p>
    <w:p w:rsidR="00000000" w:rsidDel="00000000" w:rsidP="00000000" w:rsidRDefault="00000000" w:rsidRPr="00000000" w14:paraId="0000007C">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environment.ec.europa.eu. (n.d.). </w:t>
      </w:r>
      <w:r w:rsidDel="00000000" w:rsidR="00000000" w:rsidRPr="00000000">
        <w:rPr>
          <w:i w:val="1"/>
          <w:iCs w:val="1"/>
          <w:highlight w:val="white"/>
          <w:rtl w:val="0"/>
        </w:rPr>
        <w:t xml:space="preserve">Environment</w:t>
      </w:r>
      <w:r w:rsidDel="00000000" w:rsidR="00000000" w:rsidRPr="00000000">
        <w:rPr>
          <w:highlight w:val="white"/>
          <w:rtl w:val="0"/>
        </w:rPr>
        <w:t xml:space="preserve">. [online] Available at: </w:t>
      </w:r>
      <w:hyperlink r:id="rId12">
        <w:r w:rsidDel="00000000" w:rsidR="00000000" w:rsidRPr="00000000">
          <w:rPr>
            <w:color w:val="1155cc"/>
            <w:highlight w:val="white"/>
            <w:u w:val="single"/>
            <w:rtl w:val="0"/>
          </w:rPr>
          <w:t xml:space="preserve">https://environment.ec.europa.eu/index_en</w:t>
        </w:r>
      </w:hyperlink>
      <w:r w:rsidDel="00000000" w:rsidR="00000000" w:rsidRPr="00000000">
        <w:rPr>
          <w:highlight w:val="white"/>
          <w:rtl w:val="0"/>
        </w:rPr>
        <w:t xml:space="preserve">. </w:t>
      </w:r>
    </w:p>
    <w:p w:rsidR="00000000" w:rsidDel="00000000" w:rsidP="00000000" w:rsidRDefault="00000000" w:rsidRPr="00000000" w14:paraId="0000007D">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GOV.UK (2013). </w:t>
      </w:r>
      <w:r w:rsidDel="00000000" w:rsidR="00000000" w:rsidRPr="00000000">
        <w:rPr>
          <w:i w:val="1"/>
          <w:iCs w:val="1"/>
          <w:highlight w:val="white"/>
          <w:rtl w:val="0"/>
        </w:rPr>
        <w:t xml:space="preserve">Inspired by 2012: The legacy from the London 2012 Olympic and Paralympic Games A joint UK Government and Mayor of London report</w:t>
      </w:r>
      <w:r w:rsidDel="00000000" w:rsidR="00000000" w:rsidRPr="00000000">
        <w:rPr>
          <w:highlight w:val="white"/>
          <w:rtl w:val="0"/>
        </w:rPr>
        <w:t xml:space="preserve">. [online] Available at: </w:t>
      </w:r>
      <w:hyperlink r:id="rId13">
        <w:r w:rsidDel="00000000" w:rsidR="00000000" w:rsidRPr="00000000">
          <w:rPr>
            <w:color w:val="1155cc"/>
            <w:highlight w:val="white"/>
            <w:u w:val="single"/>
            <w:rtl w:val="0"/>
          </w:rPr>
          <w:t xml:space="preserve">https://assets.publishing.service.gov.uk/media/5a7c9f9f40f0b65b3de0a190/2901179_OlympicLegacy_acc.pdf</w:t>
        </w:r>
      </w:hyperlink>
      <w:r w:rsidDel="00000000" w:rsidR="00000000" w:rsidRPr="00000000">
        <w:rPr>
          <w:highlight w:val="white"/>
          <w:rtl w:val="0"/>
        </w:rPr>
        <w:t xml:space="preserve">. </w:t>
      </w:r>
    </w:p>
    <w:p w:rsidR="00000000" w:rsidDel="00000000" w:rsidP="00000000" w:rsidRDefault="00000000" w:rsidRPr="00000000" w14:paraId="0000007E">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Ilias Bantekas (2023). </w:t>
      </w:r>
      <w:r w:rsidDel="00000000" w:rsidR="00000000" w:rsidRPr="00000000">
        <w:rPr>
          <w:i w:val="1"/>
          <w:iCs w:val="1"/>
          <w:highlight w:val="white"/>
          <w:rtl w:val="0"/>
        </w:rPr>
        <w:t xml:space="preserve">The Un Sustainable Development Goals</w:t>
      </w:r>
      <w:r w:rsidDel="00000000" w:rsidR="00000000" w:rsidRPr="00000000">
        <w:rPr>
          <w:highlight w:val="white"/>
          <w:rtl w:val="0"/>
        </w:rPr>
        <w:t xml:space="preserve">. Oxford University Press, USA.</w:t>
      </w:r>
    </w:p>
    <w:p w:rsidR="00000000" w:rsidDel="00000000" w:rsidP="00000000" w:rsidRDefault="00000000" w:rsidRPr="00000000" w14:paraId="0000007F">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International Olympic Committee (2024). </w:t>
      </w:r>
      <w:r w:rsidDel="00000000" w:rsidR="00000000" w:rsidRPr="00000000">
        <w:rPr>
          <w:i w:val="1"/>
          <w:iCs w:val="1"/>
          <w:highlight w:val="white"/>
          <w:rtl w:val="0"/>
        </w:rPr>
        <w:t xml:space="preserve">Paris 2024 Sustainable Gamess</w:t>
      </w:r>
      <w:r w:rsidDel="00000000" w:rsidR="00000000" w:rsidRPr="00000000">
        <w:rPr>
          <w:highlight w:val="white"/>
          <w:rtl w:val="0"/>
        </w:rPr>
        <w:t xml:space="preserve">. [online] Olympics.com. Available at: </w:t>
      </w:r>
      <w:hyperlink r:id="rId14">
        <w:r w:rsidDel="00000000" w:rsidR="00000000" w:rsidRPr="00000000">
          <w:rPr>
            <w:color w:val="1155cc"/>
            <w:highlight w:val="white"/>
            <w:u w:val="single"/>
            <w:rtl w:val="0"/>
          </w:rPr>
          <w:t xml:space="preserve">https://www.olympics.com/ioc/paris-2024-sustainable-games</w:t>
        </w:r>
      </w:hyperlink>
      <w:r w:rsidDel="00000000" w:rsidR="00000000" w:rsidRPr="00000000">
        <w:rPr>
          <w:highlight w:val="white"/>
          <w:rtl w:val="0"/>
        </w:rPr>
        <w:t xml:space="preserve">. </w:t>
      </w:r>
    </w:p>
    <w:p w:rsidR="00000000" w:rsidDel="00000000" w:rsidP="00000000" w:rsidRDefault="00000000" w:rsidRPr="00000000" w14:paraId="00000080">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IOC (2020). </w:t>
      </w:r>
      <w:r w:rsidDel="00000000" w:rsidR="00000000" w:rsidRPr="00000000">
        <w:rPr>
          <w:i w:val="1"/>
          <w:iCs w:val="1"/>
          <w:highlight w:val="white"/>
          <w:rtl w:val="0"/>
        </w:rPr>
        <w:t xml:space="preserve">Sustainability</w:t>
      </w:r>
      <w:r w:rsidDel="00000000" w:rsidR="00000000" w:rsidRPr="00000000">
        <w:rPr>
          <w:highlight w:val="white"/>
          <w:rtl w:val="0"/>
        </w:rPr>
        <w:t xml:space="preserve">. [online] Olympics.com. Available at: </w:t>
      </w:r>
      <w:hyperlink r:id="rId15">
        <w:r w:rsidDel="00000000" w:rsidR="00000000" w:rsidRPr="00000000">
          <w:rPr>
            <w:color w:val="1155cc"/>
            <w:highlight w:val="white"/>
            <w:u w:val="single"/>
            <w:rtl w:val="0"/>
          </w:rPr>
          <w:t xml:space="preserve">https://www.olympics.com/ioc/sustainability</w:t>
        </w:r>
      </w:hyperlink>
      <w:r w:rsidDel="00000000" w:rsidR="00000000" w:rsidRPr="00000000">
        <w:rPr>
          <w:highlight w:val="white"/>
          <w:rtl w:val="0"/>
        </w:rPr>
        <w:t xml:space="preserve">. </w:t>
      </w:r>
    </w:p>
    <w:p w:rsidR="00000000" w:rsidDel="00000000" w:rsidP="00000000" w:rsidRDefault="00000000" w:rsidRPr="00000000" w14:paraId="00000081">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Lienhard, P. and Holger Preuss (2014). </w:t>
      </w:r>
      <w:r w:rsidDel="00000000" w:rsidR="00000000" w:rsidRPr="00000000">
        <w:rPr>
          <w:i w:val="1"/>
          <w:iCs w:val="1"/>
          <w:highlight w:val="white"/>
          <w:rtl w:val="0"/>
        </w:rPr>
        <w:t xml:space="preserve">Legacy, Sustainability and CSR at Mega Sport Events An Analysis of the UEFA EURO 2008 in Switzerland</w:t>
      </w:r>
      <w:r w:rsidDel="00000000" w:rsidR="00000000" w:rsidRPr="00000000">
        <w:rPr>
          <w:highlight w:val="white"/>
          <w:rtl w:val="0"/>
        </w:rPr>
        <w:t xml:space="preserve">. Wiesbaden Springer Fachmedien Wiesbaden, Imprint: Springer Gabler.</w:t>
      </w:r>
    </w:p>
    <w:p w:rsidR="00000000" w:rsidDel="00000000" w:rsidP="00000000" w:rsidRDefault="00000000" w:rsidRPr="00000000" w14:paraId="00000082">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McCullough, B.P., Kellison, T. and E. Nicole Melton (2022). </w:t>
      </w:r>
      <w:r w:rsidDel="00000000" w:rsidR="00000000" w:rsidRPr="00000000">
        <w:rPr>
          <w:i w:val="1"/>
          <w:iCs w:val="1"/>
          <w:highlight w:val="white"/>
          <w:rtl w:val="0"/>
        </w:rPr>
        <w:t xml:space="preserve">The Routledge Handbook of Sport and Sustainable Development</w:t>
      </w:r>
      <w:r w:rsidDel="00000000" w:rsidR="00000000" w:rsidRPr="00000000">
        <w:rPr>
          <w:highlight w:val="white"/>
          <w:rtl w:val="0"/>
        </w:rPr>
        <w:t xml:space="preserve">. Routledge.</w:t>
      </w:r>
    </w:p>
    <w:p w:rsidR="00000000" w:rsidDel="00000000" w:rsidP="00000000" w:rsidRDefault="00000000" w:rsidRPr="00000000" w14:paraId="00000083">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OECD (n.d.). </w:t>
      </w:r>
      <w:r w:rsidDel="00000000" w:rsidR="00000000" w:rsidRPr="00000000">
        <w:rPr>
          <w:i w:val="1"/>
          <w:iCs w:val="1"/>
          <w:highlight w:val="white"/>
          <w:rtl w:val="0"/>
        </w:rPr>
        <w:t xml:space="preserve">GOV</w:t>
      </w:r>
      <w:r w:rsidDel="00000000" w:rsidR="00000000" w:rsidRPr="00000000">
        <w:rPr>
          <w:highlight w:val="white"/>
          <w:rtl w:val="0"/>
        </w:rPr>
        <w:t xml:space="preserve">. [online] OECD. Available at: </w:t>
      </w:r>
      <w:hyperlink r:id="rId16">
        <w:r w:rsidDel="00000000" w:rsidR="00000000" w:rsidRPr="00000000">
          <w:rPr>
            <w:color w:val="1155cc"/>
            <w:highlight w:val="white"/>
            <w:u w:val="single"/>
            <w:rtl w:val="0"/>
          </w:rPr>
          <w:t xml:space="preserve">https://www.oecd.org/en/about/directorates/directorate-for-public-governance.html</w:t>
        </w:r>
      </w:hyperlink>
      <w:r w:rsidDel="00000000" w:rsidR="00000000" w:rsidRPr="00000000">
        <w:rPr>
          <w:highlight w:val="white"/>
          <w:rtl w:val="0"/>
        </w:rPr>
        <w:t xml:space="preserve">. </w:t>
      </w:r>
    </w:p>
    <w:p w:rsidR="00000000" w:rsidDel="00000000" w:rsidP="00000000" w:rsidRDefault="00000000" w:rsidRPr="00000000" w14:paraId="00000084">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Okoko, J.M., Tunison, S. and Walker, K.D. (2023). </w:t>
      </w:r>
      <w:r w:rsidDel="00000000" w:rsidR="00000000" w:rsidRPr="00000000">
        <w:rPr>
          <w:i w:val="1"/>
          <w:iCs w:val="1"/>
          <w:highlight w:val="white"/>
          <w:rtl w:val="0"/>
        </w:rPr>
        <w:t xml:space="preserve">Varieties of Qualitative Research Methods</w:t>
      </w:r>
      <w:r w:rsidDel="00000000" w:rsidR="00000000" w:rsidRPr="00000000">
        <w:rPr>
          <w:highlight w:val="white"/>
          <w:rtl w:val="0"/>
        </w:rPr>
        <w:t xml:space="preserve">. Springer Nature.</w:t>
      </w:r>
    </w:p>
    <w:p w:rsidR="00000000" w:rsidDel="00000000" w:rsidP="00000000" w:rsidRDefault="00000000" w:rsidRPr="00000000" w14:paraId="00000085">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Olympic Agenda 2020+5. (2021).</w:t>
      </w:r>
    </w:p>
    <w:p w:rsidR="00000000" w:rsidDel="00000000" w:rsidP="00000000" w:rsidRDefault="00000000" w:rsidRPr="00000000" w14:paraId="00000086">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Prof. Michela Marchiori (2018). </w:t>
      </w:r>
      <w:r w:rsidDel="00000000" w:rsidR="00000000" w:rsidRPr="00000000">
        <w:rPr>
          <w:i w:val="1"/>
          <w:iCs w:val="1"/>
          <w:highlight w:val="white"/>
          <w:rtl w:val="0"/>
        </w:rPr>
        <w:t xml:space="preserve">ECRM 2018 17th European Conference on Research Methods in Business and Management</w:t>
      </w:r>
      <w:r w:rsidDel="00000000" w:rsidR="00000000" w:rsidRPr="00000000">
        <w:rPr>
          <w:highlight w:val="white"/>
          <w:rtl w:val="0"/>
        </w:rPr>
        <w:t xml:space="preserve">. Academic Conferences and publishing limited.</w:t>
      </w:r>
    </w:p>
    <w:p w:rsidR="00000000" w:rsidDel="00000000" w:rsidP="00000000" w:rsidRDefault="00000000" w:rsidRPr="00000000" w14:paraId="00000087">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Smart Survey (2019). </w:t>
      </w:r>
      <w:r w:rsidDel="00000000" w:rsidR="00000000" w:rsidRPr="00000000">
        <w:rPr>
          <w:i w:val="1"/>
          <w:iCs w:val="1"/>
          <w:highlight w:val="white"/>
          <w:rtl w:val="0"/>
        </w:rPr>
        <w:t xml:space="preserve">10 Advantages of Online Surveys | SmartSurvey</w:t>
      </w:r>
      <w:r w:rsidDel="00000000" w:rsidR="00000000" w:rsidRPr="00000000">
        <w:rPr>
          <w:highlight w:val="white"/>
          <w:rtl w:val="0"/>
        </w:rPr>
        <w:t xml:space="preserve">. [online] Smartsurvey.co.uk. Available at: </w:t>
      </w:r>
      <w:hyperlink r:id="rId17">
        <w:r w:rsidDel="00000000" w:rsidR="00000000" w:rsidRPr="00000000">
          <w:rPr>
            <w:color w:val="1155cc"/>
            <w:highlight w:val="white"/>
            <w:u w:val="single"/>
            <w:rtl w:val="0"/>
          </w:rPr>
          <w:t xml:space="preserve">https://www.smartsurvey.co.uk/articles/10-advantages-of-online-surveys</w:t>
        </w:r>
      </w:hyperlink>
      <w:r w:rsidDel="00000000" w:rsidR="00000000" w:rsidRPr="00000000">
        <w:rPr>
          <w:highlight w:val="white"/>
          <w:rtl w:val="0"/>
        </w:rPr>
        <w:t xml:space="preserve">. </w:t>
      </w:r>
    </w:p>
    <w:p w:rsidR="00000000" w:rsidDel="00000000" w:rsidP="00000000" w:rsidRDefault="00000000" w:rsidRPr="00000000" w14:paraId="00000088">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Transparency International (2024). </w:t>
      </w:r>
      <w:r w:rsidDel="00000000" w:rsidR="00000000" w:rsidRPr="00000000">
        <w:rPr>
          <w:i w:val="1"/>
          <w:iCs w:val="1"/>
          <w:highlight w:val="white"/>
          <w:rtl w:val="0"/>
        </w:rPr>
        <w:t xml:space="preserve">Corruption Perception Index</w:t>
      </w:r>
      <w:r w:rsidDel="00000000" w:rsidR="00000000" w:rsidRPr="00000000">
        <w:rPr>
          <w:highlight w:val="white"/>
          <w:rtl w:val="0"/>
        </w:rPr>
        <w:t xml:space="preserve">. [online] Transparency.org. Available at: </w:t>
      </w:r>
      <w:hyperlink r:id="rId18">
        <w:r w:rsidDel="00000000" w:rsidR="00000000" w:rsidRPr="00000000">
          <w:rPr>
            <w:color w:val="1155cc"/>
            <w:highlight w:val="white"/>
            <w:u w:val="single"/>
            <w:rtl w:val="0"/>
          </w:rPr>
          <w:t xml:space="preserve">https://www.transparency.org/en/</w:t>
        </w:r>
      </w:hyperlink>
      <w:r w:rsidDel="00000000" w:rsidR="00000000" w:rsidRPr="00000000">
        <w:rPr>
          <w:highlight w:val="white"/>
          <w:rtl w:val="0"/>
        </w:rPr>
        <w:t xml:space="preserve">. </w:t>
      </w:r>
    </w:p>
    <w:p w:rsidR="00000000" w:rsidDel="00000000" w:rsidP="00000000" w:rsidRDefault="00000000" w:rsidRPr="00000000" w14:paraId="00000089">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UN Environment Programme (2024). </w:t>
      </w:r>
      <w:r w:rsidDel="00000000" w:rsidR="00000000" w:rsidRPr="00000000">
        <w:rPr>
          <w:i w:val="1"/>
          <w:iCs w:val="1"/>
          <w:highlight w:val="white"/>
          <w:rtl w:val="0"/>
        </w:rPr>
        <w:t xml:space="preserve">The Olympics are part of a push to ‘green’ sports. Here’s why that’s important.</w:t>
      </w:r>
      <w:r w:rsidDel="00000000" w:rsidR="00000000" w:rsidRPr="00000000">
        <w:rPr>
          <w:highlight w:val="white"/>
          <w:rtl w:val="0"/>
        </w:rPr>
        <w:t xml:space="preserve"> [online] UNEP. Available at: </w:t>
      </w:r>
      <w:hyperlink r:id="rId19">
        <w:r w:rsidDel="00000000" w:rsidR="00000000" w:rsidRPr="00000000">
          <w:rPr>
            <w:color w:val="1155cc"/>
            <w:highlight w:val="white"/>
            <w:u w:val="single"/>
            <w:rtl w:val="0"/>
          </w:rPr>
          <w:t xml:space="preserve">https://www.unep.org/news-and-stories/story/olympics-are-part-push-green-sports-heres-why-thats-important</w:t>
        </w:r>
      </w:hyperlink>
      <w:r w:rsidDel="00000000" w:rsidR="00000000" w:rsidRPr="00000000">
        <w:rPr>
          <w:highlight w:val="white"/>
          <w:rtl w:val="0"/>
        </w:rPr>
        <w:t xml:space="preserve">. </w:t>
      </w:r>
    </w:p>
    <w:p w:rsidR="00000000" w:rsidDel="00000000" w:rsidP="00000000" w:rsidRDefault="00000000" w:rsidRPr="00000000" w14:paraId="0000008A">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United Nations (2015). </w:t>
      </w:r>
      <w:r w:rsidDel="00000000" w:rsidR="00000000" w:rsidRPr="00000000">
        <w:rPr>
          <w:i w:val="1"/>
          <w:iCs w:val="1"/>
          <w:highlight w:val="white"/>
          <w:rtl w:val="0"/>
        </w:rPr>
        <w:t xml:space="preserve">The 17 sustainable development goals</w:t>
      </w:r>
      <w:r w:rsidDel="00000000" w:rsidR="00000000" w:rsidRPr="00000000">
        <w:rPr>
          <w:highlight w:val="white"/>
          <w:rtl w:val="0"/>
        </w:rPr>
        <w:t xml:space="preserve">. [online] United Nations. Available at: </w:t>
      </w:r>
      <w:hyperlink r:id="rId20">
        <w:r w:rsidDel="00000000" w:rsidR="00000000" w:rsidRPr="00000000">
          <w:rPr>
            <w:color w:val="1155cc"/>
            <w:highlight w:val="white"/>
            <w:u w:val="single"/>
            <w:rtl w:val="0"/>
          </w:rPr>
          <w:t xml:space="preserve">https://sdgs.un.org/goals</w:t>
        </w:r>
      </w:hyperlink>
      <w:r w:rsidDel="00000000" w:rsidR="00000000" w:rsidRPr="00000000">
        <w:rPr>
          <w:highlight w:val="white"/>
          <w:rtl w:val="0"/>
        </w:rPr>
        <w:t xml:space="preserve">. </w:t>
      </w:r>
    </w:p>
    <w:p w:rsidR="00000000" w:rsidDel="00000000" w:rsidP="00000000" w:rsidRDefault="00000000" w:rsidRPr="00000000" w14:paraId="0000008B">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Vassil Girginov and Katerina Girginova (2025). </w:t>
      </w:r>
      <w:r w:rsidDel="00000000" w:rsidR="00000000" w:rsidRPr="00000000">
        <w:rPr>
          <w:i w:val="1"/>
          <w:iCs w:val="1"/>
          <w:highlight w:val="white"/>
          <w:rtl w:val="0"/>
        </w:rPr>
        <w:t xml:space="preserve">Handbook on Sport and Culture</w:t>
      </w:r>
      <w:r w:rsidDel="00000000" w:rsidR="00000000" w:rsidRPr="00000000">
        <w:rPr>
          <w:highlight w:val="white"/>
          <w:rtl w:val="0"/>
        </w:rPr>
        <w:t xml:space="preserve">. Edward Elgar Publishing.</w:t>
      </w:r>
    </w:p>
    <w:p w:rsidR="00000000" w:rsidDel="00000000" w:rsidP="00000000" w:rsidRDefault="00000000" w:rsidRPr="00000000" w14:paraId="0000008C">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WEF (2023). </w:t>
      </w:r>
      <w:r w:rsidDel="00000000" w:rsidR="00000000" w:rsidRPr="00000000">
        <w:rPr>
          <w:i w:val="1"/>
          <w:iCs w:val="1"/>
          <w:highlight w:val="white"/>
          <w:rtl w:val="0"/>
        </w:rPr>
        <w:t xml:space="preserve">The World Economic Forum</w:t>
      </w:r>
      <w:r w:rsidDel="00000000" w:rsidR="00000000" w:rsidRPr="00000000">
        <w:rPr>
          <w:highlight w:val="white"/>
          <w:rtl w:val="0"/>
        </w:rPr>
        <w:t xml:space="preserve">. [online] World Economic Forum. Available at: </w:t>
      </w:r>
      <w:hyperlink r:id="rId21">
        <w:r w:rsidDel="00000000" w:rsidR="00000000" w:rsidRPr="00000000">
          <w:rPr>
            <w:color w:val="1155cc"/>
            <w:highlight w:val="white"/>
            <w:u w:val="single"/>
            <w:rtl w:val="0"/>
          </w:rPr>
          <w:t xml:space="preserve">https://www.weforum.org/</w:t>
        </w:r>
      </w:hyperlink>
      <w:r w:rsidDel="00000000" w:rsidR="00000000" w:rsidRPr="00000000">
        <w:rPr>
          <w:highlight w:val="white"/>
          <w:rtl w:val="0"/>
        </w:rPr>
        <w:t xml:space="preserve">. </w:t>
      </w:r>
    </w:p>
    <w:p w:rsidR="00000000" w:rsidDel="00000000" w:rsidP="00000000" w:rsidRDefault="00000000" w:rsidRPr="00000000" w14:paraId="0000008D">
      <w:pPr>
        <w:numPr>
          <w:ilvl w:val="0"/>
          <w:numId w:val="1"/>
        </w:numPr>
        <w:spacing w:after="0" w:afterAutospacing="0" w:line="360" w:lineRule="auto"/>
        <w:ind w:left="720" w:hanging="360"/>
        <w:rPr>
          <w:highlight w:val="white"/>
          <w:u w:val="none"/>
        </w:rPr>
      </w:pPr>
      <w:r w:rsidDel="00000000" w:rsidR="00000000" w:rsidRPr="00000000">
        <w:rPr>
          <w:highlight w:val="white"/>
          <w:rtl w:val="0"/>
        </w:rPr>
        <w:t xml:space="preserve">Willig, C. (2021). </w:t>
      </w:r>
      <w:r w:rsidDel="00000000" w:rsidR="00000000" w:rsidRPr="00000000">
        <w:rPr>
          <w:i w:val="1"/>
          <w:iCs w:val="1"/>
          <w:highlight w:val="white"/>
          <w:rtl w:val="0"/>
        </w:rPr>
        <w:t xml:space="preserve">Introducing qualitative research in psychology </w:t>
      </w:r>
      <w:r w:rsidDel="00000000" w:rsidR="00000000" w:rsidRPr="00000000">
        <w:rPr>
          <w:highlight w:val="white"/>
          <w:rtl w:val="0"/>
        </w:rPr>
        <w:t xml:space="preserve">. 4th ed. S.L.: Open University Press.</w:t>
      </w:r>
    </w:p>
    <w:p w:rsidR="00000000" w:rsidDel="00000000" w:rsidP="00000000" w:rsidRDefault="00000000" w:rsidRPr="00000000" w14:paraId="0000008E">
      <w:pPr>
        <w:numPr>
          <w:ilvl w:val="0"/>
          <w:numId w:val="1"/>
        </w:numPr>
        <w:spacing w:after="240" w:line="360" w:lineRule="auto"/>
        <w:ind w:left="720" w:hanging="360"/>
        <w:rPr>
          <w:highlight w:val="white"/>
          <w:u w:val="none"/>
        </w:rPr>
      </w:pPr>
      <w:r w:rsidDel="00000000" w:rsidR="00000000" w:rsidRPr="00000000">
        <w:rPr>
          <w:highlight w:val="white"/>
          <w:rtl w:val="0"/>
        </w:rPr>
        <w:t xml:space="preserve">Yin, R.K. (2018). </w:t>
      </w:r>
      <w:r w:rsidDel="00000000" w:rsidR="00000000" w:rsidRPr="00000000">
        <w:rPr>
          <w:i w:val="1"/>
          <w:iCs w:val="1"/>
          <w:highlight w:val="white"/>
          <w:rtl w:val="0"/>
        </w:rPr>
        <w:t xml:space="preserve">Case Study Research and Applications: Design and Methods</w:t>
      </w:r>
      <w:r w:rsidDel="00000000" w:rsidR="00000000" w:rsidRPr="00000000">
        <w:rPr>
          <w:highlight w:val="white"/>
          <w:rtl w:val="0"/>
        </w:rPr>
        <w:t xml:space="preserve">. 6th ed. SAGE Publications.</w:t>
      </w:r>
    </w:p>
    <w:p w:rsidR="00000000" w:rsidDel="00000000" w:rsidP="00000000" w:rsidRDefault="00000000" w:rsidRPr="00000000" w14:paraId="0000008F">
      <w:pPr>
        <w:rPr>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sdgs.un.org/goals" TargetMode="External"/><Relationship Id="rId11" Type="http://schemas.openxmlformats.org/officeDocument/2006/relationships/hyperlink" Target="https://www.ellenmacarthurfoundation.org/" TargetMode="External"/><Relationship Id="rId10" Type="http://schemas.openxmlformats.org/officeDocument/2006/relationships/hyperlink" Target="https://www.eea.europa.eu/en" TargetMode="External"/><Relationship Id="rId21" Type="http://schemas.openxmlformats.org/officeDocument/2006/relationships/hyperlink" Target="https://www.weforum.org/" TargetMode="External"/><Relationship Id="rId13" Type="http://schemas.openxmlformats.org/officeDocument/2006/relationships/hyperlink" Target="https://assets.publishing.service.gov.uk/media/5a7c9f9f40f0b65b3de0a190/2901179_OlympicLegacy_acc.pdf" TargetMode="External"/><Relationship Id="rId12" Type="http://schemas.openxmlformats.org/officeDocument/2006/relationships/hyperlink" Target="https://environment.ec.europa.eu/index_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ktpu.kpi.ua/wp-content/uploads/2014/02/social-research-methods-alan-bryman.pdf" TargetMode="External"/><Relationship Id="rId15" Type="http://schemas.openxmlformats.org/officeDocument/2006/relationships/hyperlink" Target="https://www.olympics.com/ioc/sustainability" TargetMode="External"/><Relationship Id="rId14" Type="http://schemas.openxmlformats.org/officeDocument/2006/relationships/hyperlink" Target="https://www.olympics.com/ioc/paris-2024-sustainable-games" TargetMode="External"/><Relationship Id="rId17" Type="http://schemas.openxmlformats.org/officeDocument/2006/relationships/hyperlink" Target="https://www.smartsurvey.co.uk/articles/10-advantages-of-online-surveys" TargetMode="External"/><Relationship Id="rId16" Type="http://schemas.openxmlformats.org/officeDocument/2006/relationships/hyperlink" Target="https://www.oecd.org/en/about/directorates/directorate-for-public-governance.html" TargetMode="External"/><Relationship Id="rId5" Type="http://schemas.openxmlformats.org/officeDocument/2006/relationships/styles" Target="styles.xml"/><Relationship Id="rId19" Type="http://schemas.openxmlformats.org/officeDocument/2006/relationships/hyperlink" Target="https://www.unep.org/news-and-stories/story/olympics-are-part-push-green-sports-heres-why-thats-important" TargetMode="External"/><Relationship Id="rId6" Type="http://schemas.openxmlformats.org/officeDocument/2006/relationships/hyperlink" Target="https://www.english.metro.tokyo.lg.jp/top" TargetMode="External"/><Relationship Id="rId18" Type="http://schemas.openxmlformats.org/officeDocument/2006/relationships/hyperlink" Target="https://www.transparency.org/en/" TargetMode="External"/><Relationship Id="rId7" Type="http://schemas.openxmlformats.org/officeDocument/2006/relationships/hyperlink" Target="https://www.bera.ac.uk/publication/ethical-guidelines-for-educational-research-2018" TargetMode="External"/><Relationship Id="rId8" Type="http://schemas.openxmlformats.org/officeDocument/2006/relationships/hyperlink" Target="https://doi.org/10.3316/QRJ0902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