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28"/>
          <w:szCs w:val="28"/>
        </w:rPr>
      </w:pPr>
      <w:r w:rsidDel="00000000" w:rsidR="00000000" w:rsidRPr="00000000">
        <w:rPr/>
        <w:drawing>
          <wp:inline distB="0" distT="0" distL="0" distR="0">
            <wp:extent cx="3489529" cy="1392456"/>
            <wp:effectExtent b="0" l="0" r="0" t="0"/>
            <wp:docPr descr="University of Wales Trinity Saint David - University Transcription Services" id="3" name="image2.png"/>
            <a:graphic>
              <a:graphicData uri="http://schemas.openxmlformats.org/drawingml/2006/picture">
                <pic:pic>
                  <pic:nvPicPr>
                    <pic:cNvPr descr="University of Wales Trinity Saint David - University Transcription Services" id="0" name="image2.png"/>
                    <pic:cNvPicPr preferRelativeResize="0"/>
                  </pic:nvPicPr>
                  <pic:blipFill>
                    <a:blip r:embed="rId6"/>
                    <a:srcRect b="0" l="0" r="0" t="0"/>
                    <a:stretch>
                      <a:fillRect/>
                    </a:stretch>
                  </pic:blipFill>
                  <pic:spPr>
                    <a:xfrm>
                      <a:off x="0" y="0"/>
                      <a:ext cx="3489529" cy="1392456"/>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Assessment 1 </w:t>
      </w:r>
    </w:p>
    <w:p w:rsidR="00000000" w:rsidDel="00000000" w:rsidP="00000000" w:rsidRDefault="00000000" w:rsidRPr="00000000" w14:paraId="00000008">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Name:</w:t>
      </w:r>
      <w:r w:rsidDel="00000000" w:rsidR="00000000" w:rsidRPr="00000000">
        <w:rPr>
          <w:rFonts w:ascii="Arial" w:cs="Arial" w:eastAsia="Arial" w:hAnsi="Arial"/>
          <w:sz w:val="28"/>
          <w:szCs w:val="28"/>
          <w:rtl w:val="0"/>
        </w:rPr>
        <w:t xml:space="preserve"> Asaduzzaman Tutul</w:t>
      </w:r>
    </w:p>
    <w:p w:rsidR="00000000" w:rsidDel="00000000" w:rsidP="00000000" w:rsidRDefault="00000000" w:rsidRPr="00000000" w14:paraId="0000000A">
      <w:pPr>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ID:</w:t>
      </w:r>
      <w:r w:rsidDel="00000000" w:rsidR="00000000" w:rsidRPr="00000000">
        <w:rPr>
          <w:rFonts w:ascii="Arial" w:cs="Arial" w:eastAsia="Arial" w:hAnsi="Arial"/>
          <w:sz w:val="28"/>
          <w:szCs w:val="28"/>
          <w:rtl w:val="0"/>
        </w:rPr>
        <w:t xml:space="preserve"> 2435434</w:t>
      </w:r>
    </w:p>
    <w:p w:rsidR="00000000" w:rsidDel="00000000" w:rsidP="00000000" w:rsidRDefault="00000000" w:rsidRPr="00000000" w14:paraId="0000000B">
      <w:pPr>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 Name:</w:t>
      </w:r>
      <w:r w:rsidDel="00000000" w:rsidR="00000000" w:rsidRPr="00000000">
        <w:rPr>
          <w:rFonts w:ascii="Arial" w:cs="Arial" w:eastAsia="Arial" w:hAnsi="Arial"/>
          <w:sz w:val="28"/>
          <w:szCs w:val="28"/>
          <w:rtl w:val="0"/>
        </w:rPr>
        <w:t xml:space="preserve"> Human Capital Management</w:t>
      </w:r>
    </w:p>
    <w:p w:rsidR="00000000" w:rsidDel="00000000" w:rsidP="00000000" w:rsidRDefault="00000000" w:rsidRPr="00000000" w14:paraId="0000000C">
      <w:pPr>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Module code:</w:t>
      </w:r>
      <w:r w:rsidDel="00000000" w:rsidR="00000000" w:rsidRPr="00000000">
        <w:rPr>
          <w:rFonts w:ascii="Arial" w:cs="Arial" w:eastAsia="Arial" w:hAnsi="Arial"/>
          <w:sz w:val="28"/>
          <w:szCs w:val="28"/>
          <w:rtl w:val="0"/>
        </w:rPr>
        <w:t xml:space="preserve">  LCMB7023</w:t>
      </w:r>
    </w:p>
    <w:p w:rsidR="00000000" w:rsidDel="00000000" w:rsidP="00000000" w:rsidRDefault="00000000" w:rsidRPr="00000000" w14:paraId="0000000D">
      <w:pPr>
        <w:jc w:val="center"/>
        <w:rPr>
          <w:rFonts w:ascii="Arial" w:cs="Arial" w:eastAsia="Arial" w:hAnsi="Arial"/>
          <w:sz w:val="28"/>
          <w:szCs w:val="28"/>
        </w:rPr>
      </w:pPr>
      <w:r w:rsidDel="00000000" w:rsidR="00000000" w:rsidRPr="00000000">
        <w:rPr>
          <w:rFonts w:ascii="Arial" w:cs="Arial" w:eastAsia="Arial" w:hAnsi="Arial"/>
          <w:b w:val="1"/>
          <w:sz w:val="28"/>
          <w:szCs w:val="28"/>
          <w:rtl w:val="0"/>
        </w:rPr>
        <w:t xml:space="preserve">Lecturer's Name:</w:t>
      </w:r>
      <w:r w:rsidDel="00000000" w:rsidR="00000000" w:rsidRPr="00000000">
        <w:rPr>
          <w:rFonts w:ascii="Arial" w:cs="Arial" w:eastAsia="Arial" w:hAnsi="Arial"/>
          <w:sz w:val="28"/>
          <w:szCs w:val="28"/>
          <w:rtl w:val="0"/>
        </w:rPr>
        <w:t xml:space="preserve"> Dr Gladius Kulothungan</w:t>
      </w:r>
    </w:p>
    <w:p w:rsidR="00000000" w:rsidDel="00000000" w:rsidP="00000000" w:rsidRDefault="00000000" w:rsidRPr="00000000" w14:paraId="0000000E">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Word count: 2500</w:t>
      </w:r>
    </w:p>
    <w:p w:rsidR="00000000" w:rsidDel="00000000" w:rsidP="00000000" w:rsidRDefault="00000000" w:rsidRPr="00000000" w14:paraId="0000000F">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Term 1</w:t>
      </w:r>
    </w:p>
    <w:p w:rsidR="00000000" w:rsidDel="00000000" w:rsidP="00000000" w:rsidRDefault="00000000" w:rsidRPr="00000000" w14:paraId="00000011">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48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Contents</w:t>
      </w:r>
    </w:p>
    <w:sdt>
      <w:sdtPr>
        <w:id w:val="700686137"/>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y2clyhk5v4p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m3izdf17pmw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Technological Advancements and HRM Strategies (Q1)</w:t>
              <w:tab/>
              <w:t xml:space="preserve">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rx37y1yice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Demographic and Geopolitical Factors (Q2)</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jow5v1rm111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 Addressing Skills Gaps and Talent Shortages (Q3)</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rl4jdbj5pig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 Personal Perspective: Employee Viewpoint (Q4)</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qt9ulr3w0s7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5.1 Technology and Digital Fluency</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9qyfh0lnd1t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5.2 Communication and Teamwork</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8ouyz4tjyw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5.3 Leadership and Self-Directed Learning</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thid7kipnh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fpfsmuruqk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rPr>
          <w:rFonts w:ascii="Arial" w:cs="Arial" w:eastAsia="Arial" w:hAnsi="Arial"/>
          <w:b w:val="1"/>
          <w:sz w:val="24"/>
          <w:szCs w:val="24"/>
        </w:rPr>
        <w:sectPr>
          <w:footerReference r:id="rId7" w:type="default"/>
          <w:footerReference r:id="rId8" w:type="first"/>
          <w:pgSz w:h="15840" w:w="12240" w:orient="portrait"/>
          <w:pgMar w:bottom="1440" w:top="1440" w:left="1440" w:right="1440" w:header="720" w:footer="720"/>
          <w:pgNumType w:start="0"/>
          <w:titlePg w:val="1"/>
        </w:sect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y2clyhk5v4pt" w:id="0"/>
      <w:bookmarkEnd w:id="0"/>
      <w:r w:rsidDel="00000000" w:rsidR="00000000" w:rsidRPr="00000000">
        <w:rPr>
          <w:rtl w:val="0"/>
        </w:rPr>
        <w:t xml:space="preserve">Introduction</w:t>
      </w:r>
    </w:p>
    <w:p w:rsidR="00000000" w:rsidDel="00000000" w:rsidP="00000000" w:rsidRDefault="00000000" w:rsidRPr="00000000" w14:paraId="0000002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Rapid technological, demographic, and geopolitical transformations are changing how firms acquire, develop, and manage human resources.  These external influences constantly threaten established employment patterns, forcing HRM and IHRM to become strategic partners in administrative functions.  Effective human capital leaders must grasp these dynamics to preserve organizational resilience and competitiveness.</w:t>
      </w:r>
    </w:p>
    <w:p w:rsidR="00000000" w:rsidDel="00000000" w:rsidP="00000000" w:rsidRDefault="00000000" w:rsidRPr="00000000" w14:paraId="0000002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thorough, research-based study looks at how macro-environmental factors affect strategic HRM. It will look at how new technologies are changing the skills needed for jobs and the way jobs are structured (Q1), how demographic and geopolitical issues are affecting global job markets (Q2), and how strategic HRM actions can fill skills gaps and talent shortages (Q3). Finally, the report will talk about the author's talents for working internationally and provide a strategy for improvement based on what they have learned so far and what they have learned in school (Q4). We want to put these important data together to figure out how adaptable future global human capital leaders will be.</w:t>
      </w:r>
    </w:p>
    <w:p w:rsidR="00000000" w:rsidDel="00000000" w:rsidP="00000000" w:rsidRDefault="00000000" w:rsidRPr="00000000" w14:paraId="00000023">
      <w:pPr>
        <w:pStyle w:val="Heading1"/>
        <w:rPr/>
      </w:pPr>
      <w:bookmarkStart w:colFirst="0" w:colLast="0" w:name="_m3izdf17pmw7" w:id="1"/>
      <w:bookmarkEnd w:id="1"/>
      <w:r w:rsidDel="00000000" w:rsidR="00000000" w:rsidRPr="00000000">
        <w:rPr>
          <w:rtl w:val="0"/>
        </w:rPr>
        <w:t xml:space="preserve">2. Technological Advancements and HRM Strategies (Q1)</w:t>
      </w:r>
    </w:p>
    <w:p w:rsidR="00000000" w:rsidDel="00000000" w:rsidP="00000000" w:rsidRDefault="00000000" w:rsidRPr="00000000" w14:paraId="0000002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contemporary labour market is undergoing a profound structural transformation, primarily driven by advances in Artificial Intelligence (AI), automation, and digital labour platforms. This technological convergence reshapes the employment landscape by altering job roles and demanding a radical overhaul of traditional Human Resource Management (HRM) and International Human Resource Management (IHRM) strategies.</w:t>
      </w:r>
    </w:p>
    <w:p w:rsidR="00000000" w:rsidDel="00000000" w:rsidP="00000000" w:rsidRDefault="00000000" w:rsidRPr="00000000" w14:paraId="0000002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Reshaping Labour Markets</w:t>
      </w:r>
    </w:p>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Substitution vs. Augmentation concept examines technology's underlying impact. AI replaces moderately skilled clerical tasks and adds to highly skilled, non-routine jobs (Autor, 2015; Frey &amp; Osborne, 2017). 4. Skill-Biased Technical Change (SBTC) is common in rich nations. Recent World Bank research of 25 nations with 3.5 billion people found that high-income countries had an average AI Occupational Exposure (AIOE) of $62 (on a $0-100 scale), whereas low-income countries have $37 (Demombynes, Langbein &amp; Weber, 2025, p. 15). This illustrates that technology works best in areas with infrastructure and experienced workers.</w:t>
      </w:r>
    </w:p>
    <w:p w:rsidR="00000000" w:rsidDel="00000000" w:rsidP="00000000" w:rsidRDefault="00000000" w:rsidRPr="00000000" w14:paraId="00000027">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44546a"/>
          <w:sz w:val="22"/>
          <w:szCs w:val="22"/>
          <w:u w:val="none"/>
          <w:shd w:fill="auto" w:val="clear"/>
          <w:vertAlign w:val="baseline"/>
        </w:rPr>
      </w:pPr>
      <w:r w:rsidDel="00000000" w:rsidR="00000000" w:rsidRPr="00000000">
        <w:rPr>
          <w:rFonts w:ascii="Calibri" w:cs="Calibri" w:eastAsia="Calibri" w:hAnsi="Calibri"/>
          <w:b w:val="1"/>
          <w:i w:val="0"/>
          <w:smallCaps w:val="0"/>
          <w:strike w:val="0"/>
          <w:color w:val="44546a"/>
          <w:sz w:val="18"/>
          <w:szCs w:val="18"/>
          <w:u w:val="none"/>
          <w:shd w:fill="auto" w:val="clear"/>
          <w:vertAlign w:val="baseline"/>
          <w:rtl w:val="0"/>
        </w:rPr>
        <w:t xml:space="preserve">T</w:t>
      </w:r>
      <w:r w:rsidDel="00000000" w:rsidR="00000000" w:rsidRPr="00000000">
        <w:rPr>
          <w:rFonts w:ascii="Calibri" w:cs="Calibri" w:eastAsia="Calibri" w:hAnsi="Calibri"/>
          <w:b w:val="1"/>
          <w:i w:val="0"/>
          <w:smallCaps w:val="0"/>
          <w:strike w:val="0"/>
          <w:color w:val="44546a"/>
          <w:sz w:val="22"/>
          <w:szCs w:val="22"/>
          <w:u w:val="none"/>
          <w:shd w:fill="auto" w:val="clear"/>
          <w:vertAlign w:val="baseline"/>
          <w:rtl w:val="0"/>
        </w:rPr>
        <w:t xml:space="preserve">able 1</w:t>
      </w:r>
      <w:r w:rsidDel="00000000" w:rsidR="00000000" w:rsidRPr="00000000">
        <w:rPr>
          <w:rFonts w:ascii="Calibri" w:cs="Calibri" w:eastAsia="Calibri" w:hAnsi="Calibri"/>
          <w:b w:val="0"/>
          <w:i w:val="0"/>
          <w:smallCaps w:val="0"/>
          <w:strike w:val="0"/>
          <w:color w:val="44546a"/>
          <w:sz w:val="22"/>
          <w:szCs w:val="22"/>
          <w:u w:val="none"/>
          <w:shd w:fill="auto" w:val="clear"/>
          <w:vertAlign w:val="baseline"/>
          <w:rtl w:val="0"/>
        </w:rPr>
        <w:t xml:space="preserve"> AI Occupational Exposure by Country Income Level </w:t>
      </w:r>
    </w:p>
    <w:p w:rsidR="00000000" w:rsidDel="00000000" w:rsidP="00000000" w:rsidRDefault="00000000" w:rsidRPr="00000000" w14:paraId="00000028">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0"/>
          <w:smallCaps w:val="0"/>
          <w:strike w:val="0"/>
          <w:color w:val="44546a"/>
          <w:sz w:val="22"/>
          <w:szCs w:val="22"/>
          <w:u w:val="none"/>
          <w:shd w:fill="auto" w:val="clear"/>
          <w:vertAlign w:val="baseline"/>
          <w:rtl w:val="0"/>
        </w:rPr>
        <w:t xml:space="preserve">(Source: Demombynes, Langbein &amp; Weber, 2025, p. 12, p. 15)</w:t>
      </w:r>
      <w:r w:rsidDel="00000000" w:rsidR="00000000" w:rsidRPr="00000000">
        <w:rPr>
          <w:rtl w:val="0"/>
        </w:rPr>
      </w:r>
    </w:p>
    <w:tbl>
      <w:tblPr>
        <w:tblStyle w:val="Table1"/>
        <w:tblW w:w="6878.0" w:type="dxa"/>
        <w:jc w:val="center"/>
        <w:tblBorders>
          <w:top w:color="000000" w:space="0" w:sz="4" w:val="single"/>
          <w:left w:color="000000" w:space="0" w:sz="4" w:val="single"/>
          <w:bottom w:color="000000" w:space="0" w:sz="4" w:val="single"/>
          <w:right w:color="000000" w:space="0" w:sz="4" w:val="single"/>
        </w:tblBorders>
        <w:tblLayout w:type="fixed"/>
        <w:tblLook w:val="0400"/>
      </w:tblPr>
      <w:tblGrid>
        <w:gridCol w:w="1771"/>
        <w:gridCol w:w="2058"/>
        <w:gridCol w:w="3049"/>
        <w:tblGridChange w:id="0">
          <w:tblGrid>
            <w:gridCol w:w="1771"/>
            <w:gridCol w:w="2058"/>
            <w:gridCol w:w="3049"/>
          </w:tblGrid>
        </w:tblGridChange>
      </w:tblGrid>
      <w:tr>
        <w:trPr>
          <w:cantSplit w:val="0"/>
          <w:tblHeader w:val="1"/>
        </w:trPr>
        <w:tc>
          <w:tcPr>
            <w:tcMar>
              <w:top w:w="120.0" w:type="dxa"/>
              <w:left w:w="180.0" w:type="dxa"/>
              <w:bottom w:w="120.0" w:type="dxa"/>
              <w:right w:w="180.0" w:type="dxa"/>
            </w:tcMar>
            <w:vAlign w:val="center"/>
          </w:tcPr>
          <w:p w:rsidR="00000000" w:rsidDel="00000000" w:rsidP="00000000" w:rsidRDefault="00000000" w:rsidRPr="00000000" w14:paraId="00000029">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Income Group</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2A">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Mean AIOE Score</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2B">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High Exposure Workers (%)</w:t>
            </w:r>
            <w:r w:rsidDel="00000000" w:rsidR="00000000" w:rsidRPr="00000000">
              <w:rPr>
                <w:rtl w:val="0"/>
              </w:rPr>
            </w:r>
          </w:p>
        </w:tc>
      </w:tr>
      <w:tr>
        <w:trPr>
          <w:cantSplit w:val="0"/>
          <w:tblHeader w:val="0"/>
        </w:trPr>
        <w:tc>
          <w:tcPr>
            <w:tcMar>
              <w:top w:w="120.0" w:type="dxa"/>
              <w:left w:w="180.0" w:type="dxa"/>
              <w:bottom w:w="120.0" w:type="dxa"/>
              <w:right w:w="180.0" w:type="dxa"/>
            </w:tcMar>
            <w:vAlign w:val="center"/>
          </w:tcPr>
          <w:p w:rsidR="00000000" w:rsidDel="00000000" w:rsidP="00000000" w:rsidRDefault="00000000" w:rsidRPr="00000000" w14:paraId="0000002C">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High-income</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2D">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62</w:t>
            </w:r>
          </w:p>
        </w:tc>
        <w:tc>
          <w:tcPr>
            <w:tcMar>
              <w:top w:w="120.0" w:type="dxa"/>
              <w:left w:w="180.0" w:type="dxa"/>
              <w:bottom w:w="120.0" w:type="dxa"/>
              <w:right w:w="180.0" w:type="dxa"/>
            </w:tcMar>
            <w:vAlign w:val="center"/>
          </w:tcPr>
          <w:p w:rsidR="00000000" w:rsidDel="00000000" w:rsidP="00000000" w:rsidRDefault="00000000" w:rsidRPr="00000000" w14:paraId="0000002E">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r>
      <w:tr>
        <w:trPr>
          <w:cantSplit w:val="0"/>
          <w:tblHeader w:val="0"/>
        </w:trPr>
        <w:tc>
          <w:tcPr>
            <w:tcMar>
              <w:top w:w="120.0" w:type="dxa"/>
              <w:left w:w="180.0" w:type="dxa"/>
              <w:bottom w:w="120.0" w:type="dxa"/>
              <w:right w:w="180.0" w:type="dxa"/>
            </w:tcMar>
            <w:vAlign w:val="center"/>
          </w:tcPr>
          <w:p w:rsidR="00000000" w:rsidDel="00000000" w:rsidP="00000000" w:rsidRDefault="00000000" w:rsidRPr="00000000" w14:paraId="0000002F">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Upper-middle</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30">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49</w:t>
            </w:r>
          </w:p>
        </w:tc>
        <w:tc>
          <w:tcPr>
            <w:tcMar>
              <w:top w:w="120.0" w:type="dxa"/>
              <w:left w:w="180.0" w:type="dxa"/>
              <w:bottom w:w="120.0" w:type="dxa"/>
              <w:right w:w="180.0" w:type="dxa"/>
            </w:tcMar>
            <w:vAlign w:val="center"/>
          </w:tcPr>
          <w:p w:rsidR="00000000" w:rsidDel="00000000" w:rsidP="00000000" w:rsidRDefault="00000000" w:rsidRPr="00000000" w14:paraId="00000031">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tcMar>
              <w:top w:w="120.0" w:type="dxa"/>
              <w:left w:w="180.0" w:type="dxa"/>
              <w:bottom w:w="120.0" w:type="dxa"/>
              <w:right w:w="180.0" w:type="dxa"/>
            </w:tcMar>
            <w:vAlign w:val="center"/>
          </w:tcPr>
          <w:p w:rsidR="00000000" w:rsidDel="00000000" w:rsidP="00000000" w:rsidRDefault="00000000" w:rsidRPr="00000000" w14:paraId="00000032">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Lower-middle</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33">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44</w:t>
            </w:r>
          </w:p>
        </w:tc>
        <w:tc>
          <w:tcPr>
            <w:tcMar>
              <w:top w:w="120.0" w:type="dxa"/>
              <w:left w:w="180.0" w:type="dxa"/>
              <w:bottom w:w="120.0" w:type="dxa"/>
              <w:right w:w="180.0" w:type="dxa"/>
            </w:tcMar>
            <w:vAlign w:val="center"/>
          </w:tcPr>
          <w:p w:rsidR="00000000" w:rsidDel="00000000" w:rsidP="00000000" w:rsidRDefault="00000000" w:rsidRPr="00000000" w14:paraId="00000034">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r>
      <w:tr>
        <w:trPr>
          <w:cantSplit w:val="0"/>
          <w:tblHeader w:val="0"/>
        </w:trPr>
        <w:tc>
          <w:tcPr>
            <w:tcMar>
              <w:top w:w="120.0" w:type="dxa"/>
              <w:left w:w="180.0" w:type="dxa"/>
              <w:bottom w:w="120.0" w:type="dxa"/>
              <w:right w:w="180.0" w:type="dxa"/>
            </w:tcMar>
            <w:vAlign w:val="center"/>
          </w:tcPr>
          <w:p w:rsidR="00000000" w:rsidDel="00000000" w:rsidP="00000000" w:rsidRDefault="00000000" w:rsidRPr="00000000" w14:paraId="00000035">
            <w:pPr>
              <w:spacing w:line="3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Low-income</w:t>
            </w:r>
            <w:r w:rsidDel="00000000" w:rsidR="00000000" w:rsidRPr="00000000">
              <w:rPr>
                <w:rtl w:val="0"/>
              </w:rPr>
            </w:r>
          </w:p>
        </w:tc>
        <w:tc>
          <w:tcPr>
            <w:tcMar>
              <w:top w:w="120.0" w:type="dxa"/>
              <w:left w:w="180.0" w:type="dxa"/>
              <w:bottom w:w="120.0" w:type="dxa"/>
              <w:right w:w="180.0" w:type="dxa"/>
            </w:tcMar>
            <w:vAlign w:val="center"/>
          </w:tcPr>
          <w:p w:rsidR="00000000" w:rsidDel="00000000" w:rsidP="00000000" w:rsidRDefault="00000000" w:rsidRPr="00000000" w14:paraId="00000036">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37</w:t>
            </w:r>
          </w:p>
        </w:tc>
        <w:tc>
          <w:tcPr>
            <w:tcMar>
              <w:top w:w="120.0" w:type="dxa"/>
              <w:left w:w="180.0" w:type="dxa"/>
              <w:bottom w:w="120.0" w:type="dxa"/>
              <w:right w:w="180.0" w:type="dxa"/>
            </w:tcMar>
            <w:vAlign w:val="center"/>
          </w:tcPr>
          <w:p w:rsidR="00000000" w:rsidDel="00000000" w:rsidP="00000000" w:rsidRDefault="00000000" w:rsidRPr="00000000" w14:paraId="00000037">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r>
    </w:tbl>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emergence of digital platforms has profoundly transformed the employer-employee relationship, giving rise to the "gig economy" and the "digital nomad" workforce (Woodcock &amp; Graham, 2020). 5. 5. This makes things more flexible, but it goes against traditional HR ideas about jobs and perks. 6. This research shows that people in low-income nations are far less likely to work in jobs that are sensitive to AI. For example, only $12 of them work in jobs that are very vulnerable to AI, compared to developed economies (Demombynes, Langbein &amp; Weber, 2025, p. 12).</w:t>
      </w:r>
    </w:p>
    <w:p w:rsidR="00000000" w:rsidDel="00000000" w:rsidP="00000000" w:rsidRDefault="00000000" w:rsidRPr="00000000" w14:paraId="0000003A">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Implications for Strategic HRM and IHRM</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tl w:val="0"/>
        </w:rPr>
        <w:t xml:space="preserve"> </w:t>
      </w:r>
      <w:r w:rsidDel="00000000" w:rsidR="00000000" w:rsidRPr="00000000">
        <w:rPr>
          <w:rFonts w:ascii="Arial" w:cs="Arial" w:eastAsia="Arial" w:hAnsi="Arial"/>
          <w:sz w:val="24"/>
          <w:szCs w:val="24"/>
          <w:rtl w:val="0"/>
        </w:rPr>
        <w:t xml:space="preserve">The infrastructure gap hinders AI deployment in underdeveloped nations.  AI-exposed workers in low-income nations lack domestic electricity, rising to 51% in rural areas (Demombynes, Langbein &amp; Weber, 2025, p. 24).  As a result, HICs and LMICs need different HR strategies.  Technology constrains IHRM, requiring a strong strategic framework.  Strategic International Human Resource Management (SIHRM) emphasises proactive human capital development for the most vulnerable (Steingruber, 1996).  This approach requires HRM to be closely aligned with the firm's global strategy, adapting the organizational structure and managing human resources to address external challenges.  The following paradigm shows how external pressures, including AI economic pressures, geopolitical requirements, and cultural norms, must directly influence the firm's goals and strategy, as well as the design of its IHRM function.  This strategic vision mirrors Singapore's commitment to workforce development (Yusuf, 2020, p. 4).</w:t>
      </w:r>
      <w:r w:rsidDel="00000000" w:rsidR="00000000" w:rsidRPr="00000000">
        <w:drawing>
          <wp:anchor allowOverlap="1" behindDoc="0" distB="0" distT="0" distL="114300" distR="114300" hidden="0" layoutInCell="1" locked="0" relativeHeight="0" simplePos="0">
            <wp:simplePos x="0" y="0"/>
            <wp:positionH relativeFrom="column">
              <wp:posOffset>3324225</wp:posOffset>
            </wp:positionH>
            <wp:positionV relativeFrom="paragraph">
              <wp:posOffset>2978150</wp:posOffset>
            </wp:positionV>
            <wp:extent cx="2620645" cy="3300095"/>
            <wp:effectExtent b="0" l="0" r="0" t="0"/>
            <wp:wrapSquare wrapText="bothSides" distB="0" distT="0" distL="114300" distR="114300"/>
            <wp:docPr descr="figure 2" id="2" name="image1.png"/>
            <a:graphic>
              <a:graphicData uri="http://schemas.openxmlformats.org/drawingml/2006/picture">
                <pic:pic>
                  <pic:nvPicPr>
                    <pic:cNvPr descr="figure 2" id="0" name="image1.png"/>
                    <pic:cNvPicPr preferRelativeResize="0"/>
                  </pic:nvPicPr>
                  <pic:blipFill>
                    <a:blip r:embed="rId9"/>
                    <a:srcRect b="0" l="0" r="0" t="0"/>
                    <a:stretch>
                      <a:fillRect/>
                    </a:stretch>
                  </pic:blipFill>
                  <pic:spPr>
                    <a:xfrm>
                      <a:off x="0" y="0"/>
                      <a:ext cx="2620645" cy="3300095"/>
                    </a:xfrm>
                    <a:prstGeom prst="rect"/>
                    <a:ln/>
                  </pic:spPr>
                </pic:pic>
              </a:graphicData>
            </a:graphic>
          </wp:anchor>
        </w:drawing>
      </w:r>
    </w:p>
    <w:p w:rsidR="00000000" w:rsidDel="00000000" w:rsidP="00000000" w:rsidRDefault="00000000" w:rsidRPr="00000000" w14:paraId="0000003E">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data shows that AI disproportionately affects educated workers and women, mandating a strategic shift toward systemic reskilling and upskilling programs designed to augment human labour. The integration of AI also introduces complex ethical challenges: AI-driven HR systems are susceptible to algorithmic bias, which can exacerbate existing workplace inequalities, particularly for the female workforce already disproportionately exposed.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3322954</wp:posOffset>
                </wp:positionH>
                <wp:positionV relativeFrom="paragraph">
                  <wp:posOffset>2615565</wp:posOffset>
                </wp:positionV>
                <wp:extent cx="2620645" cy="635"/>
                <wp:effectExtent b="6985" l="0" r="8255" t="0"/>
                <wp:wrapSquare wrapText="bothSides" distB="0" distT="0" distL="114300" distR="114300"/>
                <wp:docPr id="1" name=""/>
                <a:graphic>
                  <a:graphicData uri="http://schemas.microsoft.com/office/word/2010/wordprocessingShape">
                    <wps:wsp>
                      <wps:cNvSpPr txBox="1"/>
                      <wps:spPr>
                        <a:xfrm>
                          <a:off x="0" y="0"/>
                          <a:ext cx="2620645" cy="635"/>
                        </a:xfrm>
                        <a:prstGeom prst="rect">
                          <a:avLst/>
                        </a:prstGeom>
                        <a:solidFill>
                          <a:prstClr val="white"/>
                        </a:solidFill>
                        <a:ln>
                          <a:noFill/>
                        </a:ln>
                      </wps:spPr>
                      <wps:txbx>
                        <w:txbxContent>
                          <w:p w:rsidR="004972D5" w:rsidDel="00000000" w:rsidP="004972D5" w:rsidRDefault="004972D5" w:rsidRPr="004972D5" w14:paraId="1E26D8A2" w14:textId="30CD7328">
                            <w:pPr>
                              <w:pStyle w:val="Caption"/>
                              <w:rPr>
                                <w:lang w:val="en-GB"/>
                              </w:rPr>
                            </w:pPr>
                            <w:r w:rsidDel="00000000" w:rsidR="00000000" w:rsidRPr="004972D5">
                              <w:rPr>
                                <w:i w:val="0"/>
                                <w:iCs w:val="0"/>
                              </w:rPr>
                              <w:t xml:space="preserve">Figure </w:t>
                            </w:r>
                            <w:r w:rsidDel="00000000" w:rsidR="00000000" w:rsidRPr="004972D5">
                              <w:rPr>
                                <w:i w:val="0"/>
                                <w:iCs w:val="0"/>
                              </w:rPr>
                              <w:fldChar w:fldCharType="begin"/>
                            </w:r>
                            <w:r w:rsidDel="00000000" w:rsidR="00000000" w:rsidRPr="004972D5">
                              <w:rPr>
                                <w:i w:val="0"/>
                                <w:iCs w:val="0"/>
                              </w:rPr>
                              <w:instrText xml:space="preserve"> SEQ Figure \* ARABIC </w:instrText>
                            </w:r>
                            <w:r w:rsidDel="00000000" w:rsidR="00000000" w:rsidRPr="004972D5">
                              <w:rPr>
                                <w:i w:val="0"/>
                                <w:iCs w:val="0"/>
                              </w:rPr>
                              <w:fldChar w:fldCharType="separate"/>
                            </w:r>
                            <w:r w:rsidDel="00000000" w:rsidR="00000000" w:rsidRPr="004972D5">
                              <w:rPr>
                                <w:i w:val="0"/>
                                <w:iCs w:val="0"/>
                                <w:noProof w:val="1"/>
                              </w:rPr>
                              <w:t>1</w:t>
                            </w:r>
                            <w:r w:rsidDel="00000000" w:rsidR="00000000" w:rsidRPr="004972D5">
                              <w:rPr>
                                <w:i w:val="0"/>
                                <w:iCs w:val="0"/>
                              </w:rPr>
                              <w:fldChar w:fldCharType="end"/>
                            </w:r>
                            <w:r w:rsidDel="00000000" w:rsidR="00000000" w:rsidRPr="004972D5">
                              <w:rPr>
                                <w:i w:val="0"/>
                                <w:iCs w:val="0"/>
                              </w:rPr>
                              <w:t xml:space="preserve"> Interrelationships of Core Elements in Strategic HRM</w:t>
                            </w:r>
                            <w:r w:rsidDel="00000000" w:rsidR="00000000" w:rsidRPr="00000000">
                              <w:rPr>
                                <w:i w:val="0"/>
                                <w:iCs w:val="0"/>
                              </w:rPr>
                              <w:t xml:space="preserve">. </w:t>
                            </w:r>
                            <w:r w:rsidDel="00000000" w:rsidR="00000000" w:rsidRPr="004972D5">
                              <w:rPr>
                                <w:lang w:val="en-GB"/>
                              </w:rPr>
                              <w:t xml:space="preserve">(Source: Tichy, </w:t>
                            </w:r>
                            <w:proofErr w:type="spellStart"/>
                            <w:r w:rsidDel="00000000" w:rsidR="00000000" w:rsidRPr="004972D5">
                              <w:rPr>
                                <w:lang w:val="en-GB"/>
                              </w:rPr>
                              <w:t>Fombrum</w:t>
                            </w:r>
                            <w:proofErr w:type="spellEnd"/>
                            <w:r w:rsidDel="00000000" w:rsidR="00000000" w:rsidRPr="004972D5">
                              <w:rPr>
                                <w:lang w:val="en-GB"/>
                              </w:rPr>
                              <w:t xml:space="preserve">, &amp; Devanna, 1982, p. 48, cited in </w:t>
                            </w:r>
                            <w:proofErr w:type="spellStart"/>
                            <w:r w:rsidDel="00000000" w:rsidR="00000000" w:rsidRPr="004972D5">
                              <w:rPr>
                                <w:lang w:val="en-GB"/>
                              </w:rPr>
                              <w:t>Steingruber</w:t>
                            </w:r>
                            <w:proofErr w:type="spellEnd"/>
                            <w:r w:rsidDel="00000000" w:rsidR="00000000" w:rsidRPr="004972D5">
                              <w:rPr>
                                <w:lang w:val="en-GB"/>
                              </w:rPr>
                              <w:t>, 1996)</w:t>
                            </w:r>
                          </w:p>
                        </w:txbxContent>
                      </wps:txbx>
                      <wps:bodyPr anchorCtr="0" anchor="t" bIns="0" rtlCol="0" compatLnSpc="1" forceAA="0" fromWordArt="0" horzOverflow="overflow" lIns="0" numCol="1" spcFirstLastPara="0" rIns="0" rot="0" spcCol="0" vert="horz" wrap="square" tIns="0" vertOverflow="overflow">
                        <a:prstTxWarp prst="textNoShape">
                          <a:avLst/>
                        </a:prstTxWarp>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3322954</wp:posOffset>
                </wp:positionH>
                <wp:positionV relativeFrom="paragraph">
                  <wp:posOffset>2615565</wp:posOffset>
                </wp:positionV>
                <wp:extent cx="2628900" cy="7620"/>
                <wp:effectExtent b="0" l="0" r="0" t="0"/>
                <wp:wrapSquare wrapText="bothSides" distB="0" distT="0" distL="114300" distR="114300"/>
                <wp:docPr id="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2628900" cy="7620"/>
                        </a:xfrm>
                        <a:prstGeom prst="rect"/>
                        <a:ln/>
                      </pic:spPr>
                    </pic:pic>
                  </a:graphicData>
                </a:graphic>
              </wp:anchor>
            </w:drawing>
          </mc:Fallback>
        </mc:AlternateContent>
      </w:r>
    </w:p>
    <w:p w:rsidR="00000000" w:rsidDel="00000000" w:rsidP="00000000" w:rsidRDefault="00000000" w:rsidRPr="00000000" w14:paraId="00000040">
      <w:pPr>
        <w:pStyle w:val="Heading1"/>
        <w:spacing w:before="240" w:lineRule="auto"/>
        <w:rPr/>
      </w:pPr>
      <w:bookmarkStart w:colFirst="0" w:colLast="0" w:name="_krx37y1yicen" w:id="2"/>
      <w:bookmarkEnd w:id="2"/>
      <w:r w:rsidDel="00000000" w:rsidR="00000000" w:rsidRPr="00000000">
        <w:rPr>
          <w:rtl w:val="0"/>
        </w:rPr>
        <w:t xml:space="preserve">3 Demographic and Geopolitical Factors (Q2)</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complexity of the contemporary labor market is significantly heightened by macro-level demographic and geopolitical factors, presenting dynamic and often contradictory challenges for HR management. The external instability necessitates adaptable HRM strategies that emphasize legal compliance and risk mitigation (Obeidat, Masa'deh, &amp; Abdallah, 2023).</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Industrialized economies are experiencing an aging workforce, which poses risks to talent pipelines and underscores the need for enhanced succession planning. Conversely, emerging nations encounter significant youth bulges, complicating efforts to enhance skills among the population and integrate extensive, often informally employed, labor forces. Demographic pressures are exacerbated by geopolitical protectionism (Cerna, 2016; Stiglitz, 2017), limiting IHRM's capacity to acquire talent on a global scale.</w:t>
        <w:br w:type="textWrapping"/>
        <w:t xml:space="preserve">Gender differences in AI exposure demonstrate intricate patterns throughout various developmental stages. Women employed in AI positions exhibit a higher likelihood of encountering AI technologies compared to their male counterparts across all income brackets. In high-income nations, a 9 percentage-point disparity exists, whereas upper-middle-income countries exhibit a 14 percentage-point differential for highly exposed workers (Demombynes, Langbein &amp; Weber, 2025). This pattern challenges the assumption that women in developing economies predominantly occupy low-skill, low-exposure roles, indicating that their prevalence in service and clerical occupations heightens their susceptibility to AI disruption.</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increase in violence, trade disputes, and economic nationalism (Dicken, 2015) contributes to global instability, necessitating that MNCs adopt rigorous risk management strategies for their expatriates (Tarique et al., 2015). The philosophy of the developmental state in East Asia created a stable environment that facilitated ongoing investment in human resources.  </w:t>
      </w:r>
    </w:p>
    <w:p w:rsidR="00000000" w:rsidDel="00000000" w:rsidP="00000000" w:rsidRDefault="00000000" w:rsidRPr="00000000" w14:paraId="0000004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Challenges for HR Professionals</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challenges for HR demand tailored responses, especially regarding education and occupation:</w:t>
      </w:r>
    </w:p>
    <w:p w:rsidR="00000000" w:rsidDel="00000000" w:rsidP="00000000" w:rsidRDefault="00000000" w:rsidRPr="00000000" w14:paraId="00000046">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44546a"/>
          <w:sz w:val="22"/>
          <w:szCs w:val="22"/>
          <w:u w:val="none"/>
          <w:shd w:fill="auto" w:val="clear"/>
          <w:vertAlign w:val="baseline"/>
        </w:rPr>
      </w:pPr>
      <w:r w:rsidDel="00000000" w:rsidR="00000000" w:rsidRPr="00000000">
        <w:rPr>
          <w:rFonts w:ascii="Calibri" w:cs="Calibri" w:eastAsia="Calibri" w:hAnsi="Calibri"/>
          <w:b w:val="0"/>
          <w:i w:val="0"/>
          <w:smallCaps w:val="0"/>
          <w:strike w:val="0"/>
          <w:color w:val="44546a"/>
          <w:sz w:val="22"/>
          <w:szCs w:val="22"/>
          <w:u w:val="none"/>
          <w:shd w:fill="auto" w:val="clear"/>
          <w:vertAlign w:val="baseline"/>
          <w:rtl w:val="0"/>
        </w:rPr>
        <w:t xml:space="preserve">Table 2 AI Exposure - Low Exposure Workers by Education Level  (Source: Adapted from Demombynes, Langbein &amp; Weber, 2025, p. 21)</w:t>
      </w:r>
    </w:p>
    <w:tbl>
      <w:tblPr>
        <w:tblStyle w:val="Table2"/>
        <w:tblW w:w="7266.0" w:type="dxa"/>
        <w:jc w:val="center"/>
        <w:tblLayout w:type="fixed"/>
        <w:tblLook w:val="0400"/>
      </w:tblPr>
      <w:tblGrid>
        <w:gridCol w:w="2123"/>
        <w:gridCol w:w="1178"/>
        <w:gridCol w:w="1361"/>
        <w:gridCol w:w="1386"/>
        <w:gridCol w:w="1218"/>
        <w:tblGridChange w:id="0">
          <w:tblGrid>
            <w:gridCol w:w="2123"/>
            <w:gridCol w:w="1178"/>
            <w:gridCol w:w="1361"/>
            <w:gridCol w:w="1386"/>
            <w:gridCol w:w="1218"/>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Fonts w:ascii="Arial" w:cs="Arial" w:eastAsia="Arial" w:hAnsi="Arial"/>
                <w:b w:val="1"/>
                <w:rtl w:val="0"/>
              </w:rPr>
              <w:t xml:space="preserve">Education Level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b w:val="1"/>
                <w:rtl w:val="0"/>
              </w:rPr>
              <w:t xml:space="preserve">LIC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Fonts w:ascii="Arial" w:cs="Arial" w:eastAsia="Arial" w:hAnsi="Arial"/>
                <w:b w:val="1"/>
                <w:rtl w:val="0"/>
              </w:rPr>
              <w:t xml:space="preserve">LMIC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Fonts w:ascii="Arial" w:cs="Arial" w:eastAsia="Arial" w:hAnsi="Arial"/>
                <w:b w:val="1"/>
                <w:rtl w:val="0"/>
              </w:rPr>
              <w:t xml:space="preserve">UMIC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b w:val="1"/>
                <w:rtl w:val="0"/>
              </w:rPr>
              <w:t xml:space="preserve">HIC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b w:val="1"/>
                <w:rtl w:val="0"/>
              </w:rPr>
              <w:t xml:space="preserve">No education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rtl w:val="0"/>
              </w:rPr>
              <w:t xml:space="preserve">36</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Fonts w:ascii="Arial" w:cs="Arial" w:eastAsia="Arial" w:hAnsi="Arial"/>
                <w:rtl w:val="0"/>
              </w:rPr>
              <w:t xml:space="preserve">34</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Fonts w:ascii="Arial" w:cs="Arial" w:eastAsia="Arial" w:hAnsi="Arial"/>
                <w:rtl w:val="0"/>
              </w:rPr>
              <w:t xml:space="preserve">43</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Fonts w:ascii="Arial" w:cs="Arial" w:eastAsia="Arial" w:hAnsi="Arial"/>
                <w:rtl w:val="0"/>
              </w:rPr>
              <w:t xml:space="preserve">57</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b w:val="1"/>
                <w:rtl w:val="0"/>
              </w:rPr>
              <w:t xml:space="preserve">Primary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57</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40</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Fonts w:ascii="Arial" w:cs="Arial" w:eastAsia="Arial" w:hAnsi="Arial"/>
                <w:rtl w:val="0"/>
              </w:rPr>
              <w:t xml:space="preserve">40</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rtl w:val="0"/>
              </w:rPr>
              <w:t xml:space="preserve">48</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Secondary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39</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Fonts w:ascii="Arial" w:cs="Arial" w:eastAsia="Arial" w:hAnsi="Arial"/>
                <w:rtl w:val="0"/>
              </w:rPr>
              <w:t xml:space="preserve">33</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Fonts w:ascii="Arial" w:cs="Arial" w:eastAsia="Arial" w:hAnsi="Arial"/>
                <w:rtl w:val="0"/>
              </w:rPr>
              <w:t xml:space="preserve">23</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rtl w:val="0"/>
              </w:rPr>
              <w:t xml:space="preserve">25</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b w:val="1"/>
                <w:rtl w:val="0"/>
              </w:rPr>
              <w:t xml:space="preserve">Post-secondary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8</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rtl w:val="0"/>
              </w:rPr>
              <w:t xml:space="preserve">12</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5</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rtl w:val="0"/>
              </w:rPr>
              <w:t xml:space="preserve">6</w:t>
            </w:r>
          </w:p>
        </w:tc>
      </w:tr>
    </w:tbl>
    <w:p w:rsidR="00000000" w:rsidDel="00000000" w:rsidP="00000000" w:rsidRDefault="00000000" w:rsidRPr="00000000" w14:paraId="0000006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Talent Mobility and Compliance:</w:t>
      </w:r>
      <w:r w:rsidDel="00000000" w:rsidR="00000000" w:rsidRPr="00000000">
        <w:rPr>
          <w:rFonts w:ascii="Arial" w:cs="Arial" w:eastAsia="Arial" w:hAnsi="Arial"/>
          <w:sz w:val="24"/>
          <w:szCs w:val="24"/>
          <w:rtl w:val="0"/>
        </w:rPr>
        <w:t xml:space="preserve"> HR must overcome increasingly stringent immigration laws and cross-border regulatory fragmentation. Compliance extends to adapting to diverse national cultures, as cultural hesitancy influences employee willingness to accept international assignments (Hofstede, 1991).</w:t>
      </w:r>
    </w:p>
    <w:p w:rsidR="00000000" w:rsidDel="00000000" w:rsidP="00000000" w:rsidRDefault="00000000" w:rsidRPr="00000000" w14:paraId="00000062">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Compensation and Equity:</w:t>
      </w:r>
      <w:r w:rsidDel="00000000" w:rsidR="00000000" w:rsidRPr="00000000">
        <w:rPr>
          <w:rFonts w:ascii="Arial" w:cs="Arial" w:eastAsia="Arial" w:hAnsi="Arial"/>
          <w:sz w:val="24"/>
          <w:szCs w:val="24"/>
          <w:rtl w:val="0"/>
        </w:rPr>
        <w:t xml:space="preserve"> Managing globally dispersed teams requires establishing competitive and equitable compensation frameworks that account for local cost of living, tax disparities, and currency fluctuations.</w:t>
      </w:r>
    </w:p>
    <w:p w:rsidR="00000000" w:rsidDel="00000000" w:rsidP="00000000" w:rsidRDefault="00000000" w:rsidRPr="00000000" w14:paraId="00000063">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Strategic Workforce Planning (SWP):</w:t>
      </w:r>
      <w:r w:rsidDel="00000000" w:rsidR="00000000" w:rsidRPr="00000000">
        <w:rPr>
          <w:rFonts w:ascii="Arial" w:cs="Arial" w:eastAsia="Arial" w:hAnsi="Arial"/>
          <w:sz w:val="24"/>
          <w:szCs w:val="24"/>
          <w:rtl w:val="0"/>
        </w:rPr>
        <w:t xml:space="preserve"> Multivariate analysis demonstrates that occupation choice is the strongest predictor of AI exposure, with professionals showing 56% to 66% increases in exposure compared to elementary occupations across all income levels (Demombynes, Langbein &amp; Weber, 2025). This confirms that SWP must move beyond demographic forecasting to focus on occupational restructuring and skill transformation, as technological exposure correlates more strongly with job function than worker characteristics.</w:t>
      </w:r>
    </w:p>
    <w:p w:rsidR="00000000" w:rsidDel="00000000" w:rsidP="00000000" w:rsidRDefault="00000000" w:rsidRPr="00000000" w14:paraId="00000064">
      <w:pPr>
        <w:pStyle w:val="Heading1"/>
        <w:rPr>
          <w:sz w:val="24"/>
          <w:szCs w:val="24"/>
        </w:rPr>
      </w:pPr>
      <w:bookmarkStart w:colFirst="0" w:colLast="0" w:name="_jow5v1rm111s" w:id="3"/>
      <w:bookmarkEnd w:id="3"/>
      <w:r w:rsidDel="00000000" w:rsidR="00000000" w:rsidRPr="00000000">
        <w:rPr>
          <w:rtl w:val="0"/>
        </w:rPr>
        <w:t xml:space="preserve">4. Addressing Skills Gaps and Talent Shortages (Q3)</w:t>
      </w:r>
      <w:r w:rsidDel="00000000" w:rsidR="00000000" w:rsidRPr="00000000">
        <w:rPr>
          <w:rtl w:val="0"/>
        </w:rPr>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persistent skills gap and talent shortage represent a critical failure point for strategic goal attainment, requiring HR to move beyond transactional roles to become a true strategic partner (Ulrich, Younger, &amp; Brockbank, 2017). The solution lies in a multipronged Build, Buy, or Borrow strategy focused on developing organizational agility and committing to lifelong learning.</w:t>
      </w:r>
    </w:p>
    <w:p w:rsidR="00000000" w:rsidDel="00000000" w:rsidP="00000000" w:rsidRDefault="00000000" w:rsidRPr="00000000" w14:paraId="00000066">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4.1 Strategic Interventions</w:t>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Resource-Based View (RBV) of this method says that human capital, which includes unique, valuable, and hard to copy skills, gives a business an edge over its competitors. When foreign markets don't have the right people, businesses have to look within. </w:t>
        <w:br w:type="textWrapping"/>
        <w:t xml:space="preserve">Re- and up-skilling: The "Build" Imperative It's best to spend within your own company. Becker's (1993) Human Capital Theory says that education is an investment with a good return. Corporate programs need to meet the public commitment of economies that are doing well. Basic and technical schooling helped build a strong workforce, which was key to East Asia's economic miracle (Tilak, 2001). HRM needs to do something similar by requiring people to keep learning through programs like corporate universities and micro-credentialing so that people can move from doing chores that can be done by machines to working on data science or AI maintenance (Frey &amp; Osborne, 2017). This leads to ongoing improvements in labor, which makes the market less sensitive to shocks. </w:t>
        <w:br w:type="textWrapping"/>
        <w:t xml:space="preserve">Plan "Buy" and "Borrow" Building is important, but when there are serious shortages, you need to hire strategically ("Buy") and hire people on the spot ("Borrow"). To find and target unique talent pools around the world, the "Buy" approach needs HR analytics powered by AI. This goes beyond standard recruitment funnels. Digital platforms and the gig economy (Woodcock &amp; Graham, 2020) are used in the "Borrow" approach to quickly find people with specific skills for project-based work. This lets the organization keep an organic (agile) structure without a big, internal mechanistic structure (Mullins &amp; McLean, 2019).</w:t>
      </w:r>
    </w:p>
    <w:p w:rsidR="00000000" w:rsidDel="00000000" w:rsidP="00000000" w:rsidRDefault="00000000" w:rsidRPr="00000000" w14:paraId="0000006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4.2 Structural Adaptability and Investment</w:t>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execute the Build strategy effectively, organizations require two key elements: financial commitment and structural flexibility.</w:t>
      </w:r>
    </w:p>
    <w:p w:rsidR="00000000" w:rsidDel="00000000" w:rsidP="00000000" w:rsidRDefault="00000000" w:rsidRPr="00000000" w14:paraId="0000006A">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Prioritizing Educational Investment:</w:t>
      </w:r>
      <w:r w:rsidDel="00000000" w:rsidR="00000000" w:rsidRPr="00000000">
        <w:rPr>
          <w:rFonts w:ascii="Arial" w:cs="Arial" w:eastAsia="Arial" w:hAnsi="Arial"/>
          <w:sz w:val="24"/>
          <w:szCs w:val="24"/>
          <w:rtl w:val="0"/>
        </w:rPr>
        <w:t xml:space="preserve"> The long-term need for skilled human capital must be considered when allocating resources strategically.  Focusing on this area repeatedly is evident in countries that are doing well.  Table 11 from the World Bank document shows that many countries spend heavily on research and development (e.g., Korea reached 2.81% of GNP and Japan 3.33% in the mid-1990s) (Tilak, 2001, Table 11). Companies need to make the same kind of commitment if they want to stay ahead of the curve in technology.</w:t>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But the "Build" approach has major infrastructure problems in places that are still developing.  According to a World Bank study, $41 of workers in low-income countries who perform AI-related jobs lack access to power (Demombynes, Langbein &amp; Weber, 2025, p. 22).  This produces a paradox: job descriptions indicate that people in specific roles are likely to be affected by AI, yet basic service gaps limit actual exposure.  So, the HRM plan needs to work on two different time frames: first, it needs to fix any immediate infrastructure problems; second, it needs to build up technology skills so that the future is ready.</w:t>
      </w:r>
    </w:p>
    <w:p w:rsidR="00000000" w:rsidDel="00000000" w:rsidP="00000000" w:rsidRDefault="00000000" w:rsidRPr="00000000" w14:paraId="0000006C">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0"/>
          <w:smallCaps w:val="0"/>
          <w:strike w:val="0"/>
          <w:color w:val="44546a"/>
          <w:sz w:val="18"/>
          <w:szCs w:val="18"/>
          <w:u w:val="none"/>
          <w:shd w:fill="auto" w:val="clear"/>
          <w:vertAlign w:val="baseline"/>
          <w:rtl w:val="0"/>
        </w:rPr>
        <w:t xml:space="preserve">Table 3: Improvement in Mean Years of Schooling of Adult Population (25+) </w:t>
        <w:br w:type="textWrapping"/>
        <w:t xml:space="preserve">(Source: Tilak, J.B.G. (2001) Building human capital in East Asia: what others can learn, Table 6.)</w:t>
      </w:r>
    </w:p>
    <w:tbl>
      <w:tblPr>
        <w:tblStyle w:val="Table3"/>
        <w:tblW w:w="6929.000000000001" w:type="dxa"/>
        <w:jc w:val="center"/>
        <w:tblBorders>
          <w:top w:color="000000" w:space="0" w:sz="4" w:val="single"/>
          <w:left w:color="000000" w:space="0" w:sz="4" w:val="single"/>
          <w:bottom w:color="000000" w:space="0" w:sz="4" w:val="single"/>
          <w:right w:color="000000" w:space="0" w:sz="4" w:val="single"/>
        </w:tblBorders>
        <w:tblLayout w:type="fixed"/>
        <w:tblLook w:val="0400"/>
      </w:tblPr>
      <w:tblGrid>
        <w:gridCol w:w="1378"/>
        <w:gridCol w:w="1128"/>
        <w:gridCol w:w="1128"/>
        <w:gridCol w:w="1488"/>
        <w:gridCol w:w="1807"/>
        <w:tblGridChange w:id="0">
          <w:tblGrid>
            <w:gridCol w:w="1378"/>
            <w:gridCol w:w="1128"/>
            <w:gridCol w:w="1128"/>
            <w:gridCol w:w="1488"/>
            <w:gridCol w:w="1807"/>
          </w:tblGrid>
        </w:tblGridChange>
      </w:tblGrid>
      <w:tr>
        <w:trPr>
          <w:cantSplit w:val="0"/>
          <w:tblHeader w:val="0"/>
        </w:trPr>
        <w:tc>
          <w:tcPr>
            <w:vAlign w:val="center"/>
          </w:tcPr>
          <w:p w:rsidR="00000000" w:rsidDel="00000000" w:rsidP="00000000" w:rsidRDefault="00000000" w:rsidRPr="00000000" w14:paraId="0000006D">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Economy</w:t>
            </w:r>
          </w:p>
        </w:tc>
        <w:tc>
          <w:tcPr>
            <w:vAlign w:val="center"/>
          </w:tcPr>
          <w:p w:rsidR="00000000" w:rsidDel="00000000" w:rsidP="00000000" w:rsidRDefault="00000000" w:rsidRPr="00000000" w14:paraId="0000006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1980 (All)</w:t>
            </w:r>
          </w:p>
        </w:tc>
        <w:tc>
          <w:tcPr>
            <w:vAlign w:val="center"/>
          </w:tcPr>
          <w:p w:rsidR="00000000" w:rsidDel="00000000" w:rsidP="00000000" w:rsidRDefault="00000000" w:rsidRPr="00000000" w14:paraId="0000006F">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1992 (All)</w:t>
            </w:r>
          </w:p>
        </w:tc>
        <w:tc>
          <w:tcPr>
            <w:vAlign w:val="center"/>
          </w:tcPr>
          <w:p w:rsidR="00000000" w:rsidDel="00000000" w:rsidP="00000000" w:rsidRDefault="00000000" w:rsidRPr="00000000" w14:paraId="00000070">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1992 (Males)</w:t>
            </w:r>
          </w:p>
        </w:tc>
        <w:tc>
          <w:tcPr>
            <w:vAlign w:val="center"/>
          </w:tcPr>
          <w:p w:rsidR="00000000" w:rsidDel="00000000" w:rsidP="00000000" w:rsidRDefault="00000000" w:rsidRPr="00000000" w14:paraId="0000007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1992 (Females)</w:t>
            </w:r>
          </w:p>
        </w:tc>
      </w:tr>
      <w:tr>
        <w:trPr>
          <w:cantSplit w:val="0"/>
          <w:tblHeader w:val="0"/>
        </w:trPr>
        <w:tc>
          <w:tcPr>
            <w:vAlign w:val="center"/>
          </w:tcPr>
          <w:p w:rsidR="00000000" w:rsidDel="00000000" w:rsidP="00000000" w:rsidRDefault="00000000" w:rsidRPr="00000000" w14:paraId="00000072">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Singapore</w:t>
            </w:r>
            <w:r w:rsidDel="00000000" w:rsidR="00000000" w:rsidRPr="00000000">
              <w:rPr>
                <w:rtl w:val="0"/>
              </w:rPr>
            </w:r>
          </w:p>
        </w:tc>
        <w:tc>
          <w:tcPr>
            <w:vAlign w:val="center"/>
          </w:tcPr>
          <w:p w:rsidR="00000000" w:rsidDel="00000000" w:rsidP="00000000" w:rsidRDefault="00000000" w:rsidRPr="00000000" w14:paraId="00000073">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3.5</w:t>
            </w:r>
          </w:p>
        </w:tc>
        <w:tc>
          <w:tcPr>
            <w:vAlign w:val="center"/>
          </w:tcPr>
          <w:p w:rsidR="00000000" w:rsidDel="00000000" w:rsidP="00000000" w:rsidRDefault="00000000" w:rsidRPr="00000000" w14:paraId="0000007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4.0</w:t>
            </w:r>
          </w:p>
        </w:tc>
        <w:tc>
          <w:tcPr>
            <w:vAlign w:val="center"/>
          </w:tcPr>
          <w:p w:rsidR="00000000" w:rsidDel="00000000" w:rsidP="00000000" w:rsidRDefault="00000000" w:rsidRPr="00000000" w14:paraId="00000075">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4.8</w:t>
            </w:r>
          </w:p>
        </w:tc>
        <w:tc>
          <w:tcPr>
            <w:vAlign w:val="center"/>
          </w:tcPr>
          <w:p w:rsidR="00000000" w:rsidDel="00000000" w:rsidP="00000000" w:rsidRDefault="00000000" w:rsidRPr="00000000" w14:paraId="00000076">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3.2</w:t>
            </w:r>
          </w:p>
        </w:tc>
      </w:tr>
      <w:tr>
        <w:trPr>
          <w:cantSplit w:val="0"/>
          <w:tblHeader w:val="0"/>
        </w:trPr>
        <w:tc>
          <w:tcPr>
            <w:vAlign w:val="center"/>
          </w:tcPr>
          <w:p w:rsidR="00000000" w:rsidDel="00000000" w:rsidP="00000000" w:rsidRDefault="00000000" w:rsidRPr="00000000" w14:paraId="00000077">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China</w:t>
            </w:r>
            <w:r w:rsidDel="00000000" w:rsidR="00000000" w:rsidRPr="00000000">
              <w:rPr>
                <w:rtl w:val="0"/>
              </w:rPr>
            </w:r>
          </w:p>
        </w:tc>
        <w:tc>
          <w:tcPr>
            <w:vAlign w:val="center"/>
          </w:tcPr>
          <w:p w:rsidR="00000000" w:rsidDel="00000000" w:rsidP="00000000" w:rsidRDefault="00000000" w:rsidRPr="00000000" w14:paraId="00000078">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4.8</w:t>
            </w:r>
          </w:p>
        </w:tc>
        <w:tc>
          <w:tcPr>
            <w:vAlign w:val="center"/>
          </w:tcPr>
          <w:p w:rsidR="00000000" w:rsidDel="00000000" w:rsidP="00000000" w:rsidRDefault="00000000" w:rsidRPr="00000000" w14:paraId="0000007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5.0</w:t>
            </w:r>
          </w:p>
        </w:tc>
        <w:tc>
          <w:tcPr>
            <w:vAlign w:val="center"/>
          </w:tcPr>
          <w:p w:rsidR="00000000" w:rsidDel="00000000" w:rsidP="00000000" w:rsidRDefault="00000000" w:rsidRPr="00000000" w14:paraId="0000007A">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6.3</w:t>
            </w:r>
          </w:p>
        </w:tc>
        <w:tc>
          <w:tcPr>
            <w:vAlign w:val="center"/>
          </w:tcPr>
          <w:p w:rsidR="00000000" w:rsidDel="00000000" w:rsidP="00000000" w:rsidRDefault="00000000" w:rsidRPr="00000000" w14:paraId="0000007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3.8</w:t>
            </w:r>
          </w:p>
        </w:tc>
      </w:tr>
      <w:tr>
        <w:trPr>
          <w:cantSplit w:val="0"/>
          <w:tblHeader w:val="0"/>
        </w:trPr>
        <w:tc>
          <w:tcPr>
            <w:vAlign w:val="center"/>
          </w:tcPr>
          <w:p w:rsidR="00000000" w:rsidDel="00000000" w:rsidP="00000000" w:rsidRDefault="00000000" w:rsidRPr="00000000" w14:paraId="0000007C">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Hong Kong</w:t>
            </w:r>
            <w:r w:rsidDel="00000000" w:rsidR="00000000" w:rsidRPr="00000000">
              <w:rPr>
                <w:rtl w:val="0"/>
              </w:rPr>
            </w:r>
          </w:p>
        </w:tc>
        <w:tc>
          <w:tcPr>
            <w:vAlign w:val="center"/>
          </w:tcPr>
          <w:p w:rsidR="00000000" w:rsidDel="00000000" w:rsidP="00000000" w:rsidRDefault="00000000" w:rsidRPr="00000000" w14:paraId="0000007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6.2</w:t>
            </w:r>
          </w:p>
        </w:tc>
        <w:tc>
          <w:tcPr>
            <w:vAlign w:val="center"/>
          </w:tcPr>
          <w:p w:rsidR="00000000" w:rsidDel="00000000" w:rsidP="00000000" w:rsidRDefault="00000000" w:rsidRPr="00000000" w14:paraId="0000007E">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7.2</w:t>
            </w:r>
          </w:p>
        </w:tc>
        <w:tc>
          <w:tcPr>
            <w:vAlign w:val="center"/>
          </w:tcPr>
          <w:p w:rsidR="00000000" w:rsidDel="00000000" w:rsidP="00000000" w:rsidRDefault="00000000" w:rsidRPr="00000000" w14:paraId="0000007F">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8.8</w:t>
            </w:r>
          </w:p>
        </w:tc>
        <w:tc>
          <w:tcPr>
            <w:vAlign w:val="center"/>
          </w:tcPr>
          <w:p w:rsidR="00000000" w:rsidDel="00000000" w:rsidP="00000000" w:rsidRDefault="00000000" w:rsidRPr="00000000" w14:paraId="00000080">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5.5</w:t>
            </w:r>
          </w:p>
        </w:tc>
      </w:tr>
      <w:tr>
        <w:trPr>
          <w:cantSplit w:val="0"/>
          <w:tblHeader w:val="0"/>
        </w:trPr>
        <w:tc>
          <w:tcPr>
            <w:vAlign w:val="center"/>
          </w:tcPr>
          <w:p w:rsidR="00000000" w:rsidDel="00000000" w:rsidP="00000000" w:rsidRDefault="00000000" w:rsidRPr="00000000" w14:paraId="00000081">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Korea</w:t>
            </w:r>
            <w:r w:rsidDel="00000000" w:rsidR="00000000" w:rsidRPr="00000000">
              <w:rPr>
                <w:rtl w:val="0"/>
              </w:rPr>
            </w:r>
          </w:p>
        </w:tc>
        <w:tc>
          <w:tcPr>
            <w:vAlign w:val="center"/>
          </w:tcPr>
          <w:p w:rsidR="00000000" w:rsidDel="00000000" w:rsidP="00000000" w:rsidRDefault="00000000" w:rsidRPr="00000000" w14:paraId="0000008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6.6</w:t>
            </w:r>
          </w:p>
        </w:tc>
        <w:tc>
          <w:tcPr>
            <w:vAlign w:val="center"/>
          </w:tcPr>
          <w:p w:rsidR="00000000" w:rsidDel="00000000" w:rsidP="00000000" w:rsidRDefault="00000000" w:rsidRPr="00000000" w14:paraId="00000083">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9.3</w:t>
            </w:r>
          </w:p>
        </w:tc>
        <w:tc>
          <w:tcPr>
            <w:vAlign w:val="center"/>
          </w:tcPr>
          <w:p w:rsidR="00000000" w:rsidDel="00000000" w:rsidP="00000000" w:rsidRDefault="00000000" w:rsidRPr="00000000" w14:paraId="0000008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11.6</w:t>
            </w:r>
          </w:p>
        </w:tc>
        <w:tc>
          <w:tcPr>
            <w:vAlign w:val="center"/>
          </w:tcPr>
          <w:p w:rsidR="00000000" w:rsidDel="00000000" w:rsidP="00000000" w:rsidRDefault="00000000" w:rsidRPr="00000000" w14:paraId="00000085">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7.1</w:t>
            </w:r>
          </w:p>
        </w:tc>
      </w:tr>
      <w:tr>
        <w:trPr>
          <w:cantSplit w:val="0"/>
          <w:tblHeader w:val="0"/>
        </w:trPr>
        <w:tc>
          <w:tcPr>
            <w:vAlign w:val="center"/>
          </w:tcPr>
          <w:p w:rsidR="00000000" w:rsidDel="00000000" w:rsidP="00000000" w:rsidRDefault="00000000" w:rsidRPr="00000000" w14:paraId="00000086">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Japan</w:t>
            </w:r>
            <w:r w:rsidDel="00000000" w:rsidR="00000000" w:rsidRPr="00000000">
              <w:rPr>
                <w:rtl w:val="0"/>
              </w:rPr>
            </w:r>
          </w:p>
        </w:tc>
        <w:tc>
          <w:tcPr>
            <w:vAlign w:val="center"/>
          </w:tcPr>
          <w:p w:rsidR="00000000" w:rsidDel="00000000" w:rsidP="00000000" w:rsidRDefault="00000000" w:rsidRPr="00000000" w14:paraId="00000087">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10.4</w:t>
            </w:r>
          </w:p>
        </w:tc>
        <w:tc>
          <w:tcPr>
            <w:vAlign w:val="center"/>
          </w:tcPr>
          <w:p w:rsidR="00000000" w:rsidDel="00000000" w:rsidP="00000000" w:rsidRDefault="00000000" w:rsidRPr="00000000" w14:paraId="00000088">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10.8</w:t>
            </w:r>
          </w:p>
        </w:tc>
        <w:tc>
          <w:tcPr>
            <w:vAlign w:val="center"/>
          </w:tcPr>
          <w:p w:rsidR="00000000" w:rsidDel="00000000" w:rsidP="00000000" w:rsidRDefault="00000000" w:rsidRPr="00000000" w14:paraId="0000008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10.9</w:t>
            </w:r>
          </w:p>
        </w:tc>
        <w:tc>
          <w:tcPr>
            <w:vAlign w:val="center"/>
          </w:tcPr>
          <w:p w:rsidR="00000000" w:rsidDel="00000000" w:rsidP="00000000" w:rsidRDefault="00000000" w:rsidRPr="00000000" w14:paraId="0000008A">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10.7</w:t>
            </w:r>
          </w:p>
        </w:tc>
      </w:tr>
    </w:tbl>
    <w:p w:rsidR="00000000" w:rsidDel="00000000" w:rsidP="00000000" w:rsidRDefault="00000000" w:rsidRPr="00000000" w14:paraId="0000008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Structural Agility:</w:t>
      </w:r>
      <w:r w:rsidDel="00000000" w:rsidR="00000000" w:rsidRPr="00000000">
        <w:rPr>
          <w:rFonts w:ascii="Arial" w:cs="Arial" w:eastAsia="Arial" w:hAnsi="Arial"/>
          <w:sz w:val="24"/>
          <w:szCs w:val="24"/>
          <w:rtl w:val="0"/>
        </w:rPr>
        <w:t xml:space="preserve"> Centralised, formalised mechanistic organisational structures hinder quick change needed to bridge skills gaps (Robbins &amp; Coulter, 2021). HRM should advocate for flatter, decentralized, Organic structures (Mullins &amp; McLean, 2019) that enable line managers to swiftly reskill and redeploy. This lets the company view training as a vital, high-return investment needed to stay relevant. </w:t>
      </w:r>
    </w:p>
    <w:p w:rsidR="00000000" w:rsidDel="00000000" w:rsidP="00000000" w:rsidRDefault="00000000" w:rsidRPr="00000000" w14:paraId="0000008D">
      <w:pPr>
        <w:pStyle w:val="Heading1"/>
        <w:rPr/>
      </w:pPr>
      <w:bookmarkStart w:colFirst="0" w:colLast="0" w:name="_rl4jdbj5pig9" w:id="4"/>
      <w:bookmarkEnd w:id="4"/>
      <w:r w:rsidDel="00000000" w:rsidR="00000000" w:rsidRPr="00000000">
        <w:rPr>
          <w:rtl w:val="0"/>
        </w:rPr>
        <w:t xml:space="preserve">5. Personal Perspective: Employee Viewpoint (Q4)</w:t>
      </w:r>
    </w:p>
    <w:p w:rsidR="00000000" w:rsidDel="00000000" w:rsidP="00000000" w:rsidRDefault="00000000" w:rsidRPr="00000000" w14:paraId="0000008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 disruption (Q1) and geopolitical risk (Q2) make the current labor market volatile and complex, requiring global competency and self-directed learning. This reflective report uses Gibbs' Reflective Cycle (1988) to organize my experiences and the Tarique et al. (2015) Receptivity Framework to evaluate my international career preparation across five domains.</w:t>
      </w:r>
    </w:p>
    <w:p w:rsidR="00000000" w:rsidDel="00000000" w:rsidP="00000000" w:rsidRDefault="00000000" w:rsidRPr="00000000" w14:paraId="0000008F">
      <w:pPr>
        <w:pStyle w:val="Heading2"/>
        <w:rPr/>
      </w:pPr>
      <w:bookmarkStart w:colFirst="0" w:colLast="0" w:name="_qt9ulr3w0s7u" w:id="5"/>
      <w:bookmarkEnd w:id="5"/>
      <w:r w:rsidDel="00000000" w:rsidR="00000000" w:rsidRPr="00000000">
        <w:rPr>
          <w:rtl w:val="0"/>
        </w:rPr>
        <w:t xml:space="preserve">5.1 Technology and Digital Fluency</w:t>
      </w:r>
    </w:p>
    <w:p w:rsidR="00000000" w:rsidDel="00000000" w:rsidP="00000000" w:rsidRDefault="00000000" w:rsidRPr="00000000" w14:paraId="0000009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MS Excel and Trello skills let me aggregate varied multinational datasets. Although Conscientiousness (Costa &amp; McCrae, 1992) is essential, I lack practical tools like low-code automation (e.g., Power Automate). My growth strategy is to take a micro-credential course on AI for Business Analytics to demonstrate the strategic importance of deep analytical skills (Yusuf, 2020, p. 6).</w:t>
      </w:r>
    </w:p>
    <w:p w:rsidR="00000000" w:rsidDel="00000000" w:rsidP="00000000" w:rsidRDefault="00000000" w:rsidRPr="00000000" w14:paraId="00000091">
      <w:pPr>
        <w:pStyle w:val="Heading2"/>
        <w:rPr/>
      </w:pPr>
      <w:bookmarkStart w:colFirst="0" w:colLast="0" w:name="_9qyfh0lnd1t2" w:id="6"/>
      <w:bookmarkEnd w:id="6"/>
      <w:r w:rsidDel="00000000" w:rsidR="00000000" w:rsidRPr="00000000">
        <w:rPr>
          <w:rtl w:val="0"/>
        </w:rPr>
        <w:t xml:space="preserve">5.2 Communication and Teamwork</w:t>
      </w:r>
    </w:p>
    <w:p w:rsidR="00000000" w:rsidDel="00000000" w:rsidP="00000000" w:rsidRDefault="00000000" w:rsidRPr="00000000" w14:paraId="0000009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am very good at formal, task-oriented collaboration that meets deadlines (Tuckman Model). An multinational group project, on the other hand, showed that I wasn't very good at communicating across cultures. I relied on high-context, formal communication (Hofstede, 1991), which was slow and inefficient for colleagues who were more low-context. </w:t>
        <w:br w:type="textWrapping"/>
        <w:t xml:space="preserve">My dependence on codified roles (a structural preference for certainty) also makes it harder for the team to feel empowered (Mullins &amp; McLean, 2019). This inflexible structure goes against the necessity for flexible, flat-structure teams that are needed in global HCM. I will use the ideas from The Culture Map to fix this and make sure that I be the facilitator in future initiatives, putting removing barriers ahead of telling people how to do things.</w:t>
      </w:r>
    </w:p>
    <w:p w:rsidR="00000000" w:rsidDel="00000000" w:rsidP="00000000" w:rsidRDefault="00000000" w:rsidRPr="00000000" w14:paraId="00000093">
      <w:pPr>
        <w:pStyle w:val="Heading2"/>
        <w:rPr/>
      </w:pPr>
      <w:bookmarkStart w:colFirst="0" w:colLast="0" w:name="_h8ouyz4tjywi" w:id="7"/>
      <w:bookmarkEnd w:id="7"/>
      <w:r w:rsidDel="00000000" w:rsidR="00000000" w:rsidRPr="00000000">
        <w:rPr>
          <w:rtl w:val="0"/>
        </w:rPr>
        <w:t xml:space="preserve">5.3 Leadership and Self-Directed Learning</w:t>
      </w:r>
    </w:p>
    <w:p w:rsidR="00000000" w:rsidDel="00000000" w:rsidP="00000000" w:rsidRDefault="00000000" w:rsidRPr="00000000" w14:paraId="0000009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organizational skills are good, but I struggle with crisis leadership and providing motivational constructive feedback. This deficit inhibits my advancement to top positions that require leaders to set high standards (Yusuf, 2020, p. 5). This relates to the Organizational Factor in Tarique et al.'s paradigm. I intend to attend a leadership training concentrating on "Leading Through Ambiguity" and use the SBI (Situation-Behavior-Impact) model for developmental feedback.</w:t>
      </w:r>
    </w:p>
    <w:p w:rsidR="00000000" w:rsidDel="00000000" w:rsidP="00000000" w:rsidRDefault="00000000" w:rsidRPr="00000000" w14:paraId="0000009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Finally, while my passion for this Master's degree is a strength, my weakness is the delay in getting formal criticism. I will keep a systematic reflection journal (Gibbs' Cycle) and organize proactive halfway feedback sessions to incorporate external critique early and maintain career sustainability.</w:t>
      </w:r>
    </w:p>
    <w:p w:rsidR="00000000" w:rsidDel="00000000" w:rsidP="00000000" w:rsidRDefault="00000000" w:rsidRPr="00000000" w14:paraId="0000009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8">
      <w:pPr>
        <w:rPr>
          <w:rFonts w:ascii="Arial" w:cs="Arial" w:eastAsia="Arial" w:hAnsi="Arial"/>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99">
      <w:pPr>
        <w:pStyle w:val="Heading1"/>
        <w:rPr/>
      </w:pPr>
      <w:bookmarkStart w:colFirst="0" w:colLast="0" w:name="_3thid7kipnhd" w:id="8"/>
      <w:bookmarkEnd w:id="8"/>
      <w:r w:rsidDel="00000000" w:rsidR="00000000" w:rsidRPr="00000000">
        <w:rPr>
          <w:rtl w:val="0"/>
        </w:rPr>
        <w:t xml:space="preserve">Conclusion </w:t>
      </w:r>
    </w:p>
    <w:p w:rsidR="00000000" w:rsidDel="00000000" w:rsidP="00000000" w:rsidRDefault="00000000" w:rsidRPr="00000000" w14:paraId="0000009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modern Human Capital Management (HCM) landscape is defined by the need to stand firm amid powerful external forces.   The critical report says that technological advances such as AI and automation are fundamentally reshaping the need for skilled workers.  But because of demographic changes and geopolitical uncertainties, talent strategy and global compliance are becoming increasingly complex.   If human resource management wants to stay ahead of the competition, it needs to become a real strategic partner.  This involves using the Build method and accepting organic, flexible frameworks that allow the workforce to change constantly.</w:t>
      </w:r>
    </w:p>
    <w:p w:rsidR="00000000" w:rsidDel="00000000" w:rsidP="00000000" w:rsidRDefault="00000000" w:rsidRPr="00000000" w14:paraId="0000009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The basis of organizational resilience is the ability of each person to do their job well.   After going through Gibbs' Cycle, I thought about what I had learned and decided that being good with technology and being able to learn on my own are both necessary skills for any future worldwide job.   This author wants to show that they can adapt to the changing and complicated world of human capital strategy by making a commitment to being better at things like inspiring leadership and being able to communicate across cultures.</w:t>
      </w:r>
    </w:p>
    <w:p w:rsidR="00000000" w:rsidDel="00000000" w:rsidP="00000000" w:rsidRDefault="00000000" w:rsidRPr="00000000" w14:paraId="0000009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1"/>
        <w:rPr/>
      </w:pPr>
      <w:bookmarkStart w:colFirst="0" w:colLast="0" w:name="_2fpfsmuruqko" w:id="9"/>
      <w:bookmarkEnd w:id="9"/>
      <w:r w:rsidDel="00000000" w:rsidR="00000000" w:rsidRPr="00000000">
        <w:rPr>
          <w:rtl w:val="0"/>
        </w:rPr>
        <w:t xml:space="preserve">References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Autor, D.H. (2015) 'Why are there still so many jobs? The history and future of workplace automation', </w:t>
      </w:r>
      <w:r w:rsidDel="00000000" w:rsidR="00000000" w:rsidRPr="00000000">
        <w:rPr>
          <w:rFonts w:ascii="Arial" w:cs="Arial" w:eastAsia="Arial" w:hAnsi="Arial"/>
          <w:i w:val="1"/>
          <w:sz w:val="24"/>
          <w:szCs w:val="24"/>
          <w:rtl w:val="0"/>
        </w:rPr>
        <w:t xml:space="preserve">Journal of Economic Perspectives</w:t>
      </w:r>
      <w:r w:rsidDel="00000000" w:rsidR="00000000" w:rsidRPr="00000000">
        <w:rPr>
          <w:rFonts w:ascii="Arial" w:cs="Arial" w:eastAsia="Arial" w:hAnsi="Arial"/>
          <w:sz w:val="24"/>
          <w:szCs w:val="24"/>
          <w:rtl w:val="0"/>
        </w:rPr>
        <w:t xml:space="preserve">, 29(3), pp. 3–30.</w:t>
      </w:r>
    </w:p>
    <w:p w:rsidR="00000000" w:rsidDel="00000000" w:rsidP="00000000" w:rsidRDefault="00000000" w:rsidRPr="00000000" w14:paraId="000000A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Becker, G.S. (1993) </w:t>
      </w:r>
      <w:r w:rsidDel="00000000" w:rsidR="00000000" w:rsidRPr="00000000">
        <w:rPr>
          <w:rFonts w:ascii="Arial" w:cs="Arial" w:eastAsia="Arial" w:hAnsi="Arial"/>
          <w:i w:val="1"/>
          <w:sz w:val="24"/>
          <w:szCs w:val="24"/>
          <w:rtl w:val="0"/>
        </w:rPr>
        <w:t xml:space="preserve">Human capital: a theoretical and empirical analysis, with special reference to education</w:t>
      </w:r>
      <w:r w:rsidDel="00000000" w:rsidR="00000000" w:rsidRPr="00000000">
        <w:rPr>
          <w:rFonts w:ascii="Arial" w:cs="Arial" w:eastAsia="Arial" w:hAnsi="Arial"/>
          <w:sz w:val="24"/>
          <w:szCs w:val="24"/>
          <w:rtl w:val="0"/>
        </w:rPr>
        <w:t xml:space="preserve">. Chicago: University of Chicago Press.</w:t>
      </w:r>
    </w:p>
    <w:p w:rsidR="00000000" w:rsidDel="00000000" w:rsidP="00000000" w:rsidRDefault="00000000" w:rsidRPr="00000000" w14:paraId="000000A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Bielińska-Dusza, E. (2022) 'The Motivation of Generations—What Drives Generation X, Y, Z', </w:t>
      </w:r>
      <w:r w:rsidDel="00000000" w:rsidR="00000000" w:rsidRPr="00000000">
        <w:rPr>
          <w:rFonts w:ascii="Arial" w:cs="Arial" w:eastAsia="Arial" w:hAnsi="Arial"/>
          <w:i w:val="1"/>
          <w:sz w:val="24"/>
          <w:szCs w:val="24"/>
          <w:rtl w:val="0"/>
        </w:rPr>
        <w:t xml:space="preserve">Journal of Human Resources Management Research</w:t>
      </w:r>
      <w:r w:rsidDel="00000000" w:rsidR="00000000" w:rsidRPr="00000000">
        <w:rPr>
          <w:rFonts w:ascii="Arial" w:cs="Arial" w:eastAsia="Arial" w:hAnsi="Arial"/>
          <w:sz w:val="24"/>
          <w:szCs w:val="24"/>
          <w:rtl w:val="0"/>
        </w:rPr>
        <w:t xml:space="preserve">, 2022.</w:t>
      </w:r>
    </w:p>
    <w:p w:rsidR="00000000" w:rsidDel="00000000" w:rsidP="00000000" w:rsidRDefault="00000000" w:rsidRPr="00000000" w14:paraId="000000A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BIS (2022) </w:t>
      </w:r>
      <w:r w:rsidDel="00000000" w:rsidR="00000000" w:rsidRPr="00000000">
        <w:rPr>
          <w:rFonts w:ascii="Arial" w:cs="Arial" w:eastAsia="Arial" w:hAnsi="Arial"/>
          <w:i w:val="1"/>
          <w:sz w:val="24"/>
          <w:szCs w:val="24"/>
          <w:rtl w:val="0"/>
        </w:rPr>
        <w:t xml:space="preserve">Workforce diversity and economic inclusion</w:t>
      </w:r>
      <w:r w:rsidDel="00000000" w:rsidR="00000000" w:rsidRPr="00000000">
        <w:rPr>
          <w:rFonts w:ascii="Arial" w:cs="Arial" w:eastAsia="Arial" w:hAnsi="Arial"/>
          <w:sz w:val="24"/>
          <w:szCs w:val="24"/>
          <w:rtl w:val="0"/>
        </w:rPr>
        <w:t xml:space="preserve">. London: UK Government.</w:t>
      </w:r>
    </w:p>
    <w:p w:rsidR="00000000" w:rsidDel="00000000" w:rsidP="00000000" w:rsidRDefault="00000000" w:rsidRPr="00000000" w14:paraId="000000A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Brewster, C., Chung, C. and Sparrow, P. (2016) </w:t>
      </w:r>
      <w:r w:rsidDel="00000000" w:rsidR="00000000" w:rsidRPr="00000000">
        <w:rPr>
          <w:rFonts w:ascii="Arial" w:cs="Arial" w:eastAsia="Arial" w:hAnsi="Arial"/>
          <w:i w:val="1"/>
          <w:sz w:val="24"/>
          <w:szCs w:val="24"/>
          <w:rtl w:val="0"/>
        </w:rPr>
        <w:t xml:space="preserve">Globalizing human resource management</w:t>
      </w:r>
      <w:r w:rsidDel="00000000" w:rsidR="00000000" w:rsidRPr="00000000">
        <w:rPr>
          <w:rFonts w:ascii="Arial" w:cs="Arial" w:eastAsia="Arial" w:hAnsi="Arial"/>
          <w:sz w:val="24"/>
          <w:szCs w:val="24"/>
          <w:rtl w:val="0"/>
        </w:rPr>
        <w:t xml:space="preserve">. London: Routledge.</w:t>
      </w:r>
    </w:p>
    <w:p w:rsidR="00000000" w:rsidDel="00000000" w:rsidP="00000000" w:rsidRDefault="00000000" w:rsidRPr="00000000" w14:paraId="000000A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Brynjolfsson, E. and McAfee, A. (2014) </w:t>
      </w:r>
      <w:r w:rsidDel="00000000" w:rsidR="00000000" w:rsidRPr="00000000">
        <w:rPr>
          <w:rFonts w:ascii="Arial" w:cs="Arial" w:eastAsia="Arial" w:hAnsi="Arial"/>
          <w:i w:val="1"/>
          <w:sz w:val="24"/>
          <w:szCs w:val="24"/>
          <w:rtl w:val="0"/>
        </w:rPr>
        <w:t xml:space="preserve">The second machine age</w:t>
      </w:r>
      <w:r w:rsidDel="00000000" w:rsidR="00000000" w:rsidRPr="00000000">
        <w:rPr>
          <w:rFonts w:ascii="Arial" w:cs="Arial" w:eastAsia="Arial" w:hAnsi="Arial"/>
          <w:sz w:val="24"/>
          <w:szCs w:val="24"/>
          <w:rtl w:val="0"/>
        </w:rPr>
        <w:t xml:space="preserve">. New York: W.W. Norton &amp; Company.</w:t>
      </w:r>
    </w:p>
    <w:p w:rsidR="00000000" w:rsidDel="00000000" w:rsidP="00000000" w:rsidRDefault="00000000" w:rsidRPr="00000000" w14:paraId="000000A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Cerna, L. (2016) 'The impact of high-skilled migration on the labor market', </w:t>
      </w:r>
      <w:r w:rsidDel="00000000" w:rsidR="00000000" w:rsidRPr="00000000">
        <w:rPr>
          <w:rFonts w:ascii="Arial" w:cs="Arial" w:eastAsia="Arial" w:hAnsi="Arial"/>
          <w:i w:val="1"/>
          <w:sz w:val="24"/>
          <w:szCs w:val="24"/>
          <w:rtl w:val="0"/>
        </w:rPr>
        <w:t xml:space="preserve">Migration Studies</w:t>
      </w:r>
      <w:r w:rsidDel="00000000" w:rsidR="00000000" w:rsidRPr="00000000">
        <w:rPr>
          <w:rFonts w:ascii="Arial" w:cs="Arial" w:eastAsia="Arial" w:hAnsi="Arial"/>
          <w:sz w:val="24"/>
          <w:szCs w:val="24"/>
          <w:rtl w:val="0"/>
        </w:rPr>
        <w:t xml:space="preserve">, 4(2), pp. 145–163.</w:t>
      </w:r>
    </w:p>
    <w:p w:rsidR="00000000" w:rsidDel="00000000" w:rsidP="00000000" w:rsidRDefault="00000000" w:rsidRPr="00000000" w14:paraId="000000A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Dicken, P. (2015) </w:t>
      </w:r>
      <w:r w:rsidDel="00000000" w:rsidR="00000000" w:rsidRPr="00000000">
        <w:rPr>
          <w:rFonts w:ascii="Arial" w:cs="Arial" w:eastAsia="Arial" w:hAnsi="Arial"/>
          <w:i w:val="1"/>
          <w:sz w:val="24"/>
          <w:szCs w:val="24"/>
          <w:rtl w:val="0"/>
        </w:rPr>
        <w:t xml:space="preserve">Global shift: mapping the changing contours of the world economy</w:t>
      </w:r>
      <w:r w:rsidDel="00000000" w:rsidR="00000000" w:rsidRPr="00000000">
        <w:rPr>
          <w:rFonts w:ascii="Arial" w:cs="Arial" w:eastAsia="Arial" w:hAnsi="Arial"/>
          <w:sz w:val="24"/>
          <w:szCs w:val="24"/>
          <w:rtl w:val="0"/>
        </w:rPr>
        <w:t xml:space="preserve">. 7th edn. London: Sage.</w:t>
      </w:r>
    </w:p>
    <w:p w:rsidR="00000000" w:rsidDel="00000000" w:rsidP="00000000" w:rsidRDefault="00000000" w:rsidRPr="00000000" w14:paraId="000000A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Frey, C.B. and Osborne, M.A. (2017) 'The future of employment: How susceptible are jobs to computerization?', </w:t>
      </w:r>
      <w:r w:rsidDel="00000000" w:rsidR="00000000" w:rsidRPr="00000000">
        <w:rPr>
          <w:rFonts w:ascii="Arial" w:cs="Arial" w:eastAsia="Arial" w:hAnsi="Arial"/>
          <w:i w:val="1"/>
          <w:sz w:val="24"/>
          <w:szCs w:val="24"/>
          <w:rtl w:val="0"/>
        </w:rPr>
        <w:t xml:space="preserve">Technological Forecasting and Social Change</w:t>
      </w:r>
      <w:r w:rsidDel="00000000" w:rsidR="00000000" w:rsidRPr="00000000">
        <w:rPr>
          <w:rFonts w:ascii="Arial" w:cs="Arial" w:eastAsia="Arial" w:hAnsi="Arial"/>
          <w:sz w:val="24"/>
          <w:szCs w:val="24"/>
          <w:rtl w:val="0"/>
        </w:rPr>
        <w:t xml:space="preserve">, 114, pp. 254–280.</w:t>
      </w:r>
    </w:p>
    <w:p w:rsidR="00000000" w:rsidDel="00000000" w:rsidP="00000000" w:rsidRDefault="00000000" w:rsidRPr="00000000" w14:paraId="000000A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Gibbs, G. (1988) </w:t>
      </w:r>
      <w:r w:rsidDel="00000000" w:rsidR="00000000" w:rsidRPr="00000000">
        <w:rPr>
          <w:rFonts w:ascii="Arial" w:cs="Arial" w:eastAsia="Arial" w:hAnsi="Arial"/>
          <w:i w:val="1"/>
          <w:sz w:val="24"/>
          <w:szCs w:val="24"/>
          <w:rtl w:val="0"/>
        </w:rPr>
        <w:t xml:space="preserve">Learning by doing: a guide to teaching and learning methods</w:t>
      </w:r>
      <w:r w:rsidDel="00000000" w:rsidR="00000000" w:rsidRPr="00000000">
        <w:rPr>
          <w:rFonts w:ascii="Arial" w:cs="Arial" w:eastAsia="Arial" w:hAnsi="Arial"/>
          <w:sz w:val="24"/>
          <w:szCs w:val="24"/>
          <w:rtl w:val="0"/>
        </w:rPr>
        <w:t xml:space="preserve">. Oxford: Further Education Unit, Oxford Polytechnic.</w:t>
      </w:r>
    </w:p>
    <w:p w:rsidR="00000000" w:rsidDel="00000000" w:rsidP="00000000" w:rsidRDefault="00000000" w:rsidRPr="00000000" w14:paraId="000000A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Hofstede, G. (1991) </w:t>
      </w:r>
      <w:r w:rsidDel="00000000" w:rsidR="00000000" w:rsidRPr="00000000">
        <w:rPr>
          <w:rFonts w:ascii="Arial" w:cs="Arial" w:eastAsia="Arial" w:hAnsi="Arial"/>
          <w:i w:val="1"/>
          <w:sz w:val="24"/>
          <w:szCs w:val="24"/>
          <w:rtl w:val="0"/>
        </w:rPr>
        <w:t xml:space="preserve">Cultures and organizations: software of the mind</w:t>
      </w:r>
      <w:r w:rsidDel="00000000" w:rsidR="00000000" w:rsidRPr="00000000">
        <w:rPr>
          <w:rFonts w:ascii="Arial" w:cs="Arial" w:eastAsia="Arial" w:hAnsi="Arial"/>
          <w:sz w:val="24"/>
          <w:szCs w:val="24"/>
          <w:rtl w:val="0"/>
        </w:rPr>
        <w:t xml:space="preserve">. London: McGraw-Hill.</w:t>
      </w:r>
    </w:p>
    <w:p w:rsidR="00000000" w:rsidDel="00000000" w:rsidP="00000000" w:rsidRDefault="00000000" w:rsidRPr="00000000" w14:paraId="000000A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Mullins, L.J. and McLean, J.E. (2019) </w:t>
      </w:r>
      <w:r w:rsidDel="00000000" w:rsidR="00000000" w:rsidRPr="00000000">
        <w:rPr>
          <w:rFonts w:ascii="Arial" w:cs="Arial" w:eastAsia="Arial" w:hAnsi="Arial"/>
          <w:i w:val="1"/>
          <w:sz w:val="24"/>
          <w:szCs w:val="24"/>
          <w:rtl w:val="0"/>
        </w:rPr>
        <w:t xml:space="preserve">Organisational behaviour in the workplace</w:t>
      </w:r>
      <w:r w:rsidDel="00000000" w:rsidR="00000000" w:rsidRPr="00000000">
        <w:rPr>
          <w:rFonts w:ascii="Arial" w:cs="Arial" w:eastAsia="Arial" w:hAnsi="Arial"/>
          <w:sz w:val="24"/>
          <w:szCs w:val="24"/>
          <w:rtl w:val="0"/>
        </w:rPr>
        <w:t xml:space="preserve">. 12th edn. Harlow: Pearson Education Limited.</w:t>
      </w:r>
    </w:p>
    <w:p w:rsidR="00000000" w:rsidDel="00000000" w:rsidP="00000000" w:rsidRDefault="00000000" w:rsidRPr="00000000" w14:paraId="000000A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Obeidat, B.Y., Masa'deh, R. and Abdallah, A. (2023) 'The Influence of External Environmental Factors on the Human Resource Management Function in Organizations', </w:t>
      </w:r>
      <w:r w:rsidDel="00000000" w:rsidR="00000000" w:rsidRPr="00000000">
        <w:rPr>
          <w:rFonts w:ascii="Arial" w:cs="Arial" w:eastAsia="Arial" w:hAnsi="Arial"/>
          <w:i w:val="1"/>
          <w:sz w:val="24"/>
          <w:szCs w:val="24"/>
          <w:rtl w:val="0"/>
        </w:rPr>
        <w:t xml:space="preserve">CSIT Research Journal</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Robbins, S. and Coulter, M. (2021) </w:t>
      </w:r>
      <w:r w:rsidDel="00000000" w:rsidR="00000000" w:rsidRPr="00000000">
        <w:rPr>
          <w:rFonts w:ascii="Arial" w:cs="Arial" w:eastAsia="Arial" w:hAnsi="Arial"/>
          <w:i w:val="1"/>
          <w:sz w:val="24"/>
          <w:szCs w:val="24"/>
          <w:rtl w:val="0"/>
        </w:rPr>
        <w:t xml:space="preserve">Management, Global Edition</w:t>
      </w:r>
      <w:r w:rsidDel="00000000" w:rsidR="00000000" w:rsidRPr="00000000">
        <w:rPr>
          <w:rFonts w:ascii="Arial" w:cs="Arial" w:eastAsia="Arial" w:hAnsi="Arial"/>
          <w:sz w:val="24"/>
          <w:szCs w:val="24"/>
          <w:rtl w:val="0"/>
        </w:rPr>
        <w:t xml:space="preserve">. 15th edn. Harlow: Pearson.</w:t>
      </w:r>
    </w:p>
    <w:p w:rsidR="00000000" w:rsidDel="00000000" w:rsidP="00000000" w:rsidRDefault="00000000" w:rsidRPr="00000000" w14:paraId="000000A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Schein, E.H. (2021) </w:t>
      </w:r>
      <w:r w:rsidDel="00000000" w:rsidR="00000000" w:rsidRPr="00000000">
        <w:rPr>
          <w:rFonts w:ascii="Arial" w:cs="Arial" w:eastAsia="Arial" w:hAnsi="Arial"/>
          <w:i w:val="1"/>
          <w:sz w:val="24"/>
          <w:szCs w:val="24"/>
          <w:rtl w:val="0"/>
        </w:rPr>
        <w:t xml:space="preserve">Organizational Culture and Leadership</w:t>
      </w:r>
      <w:r w:rsidDel="00000000" w:rsidR="00000000" w:rsidRPr="00000000">
        <w:rPr>
          <w:rFonts w:ascii="Arial" w:cs="Arial" w:eastAsia="Arial" w:hAnsi="Arial"/>
          <w:sz w:val="24"/>
          <w:szCs w:val="24"/>
          <w:rtl w:val="0"/>
        </w:rPr>
        <w:t xml:space="preserve">. 6th edn. Hoboken: Wiley.</w:t>
      </w:r>
    </w:p>
    <w:p w:rsidR="00000000" w:rsidDel="00000000" w:rsidP="00000000" w:rsidRDefault="00000000" w:rsidRPr="00000000" w14:paraId="000000A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Sparrow, P., Brewster, C. and Chung, C. (2016) </w:t>
      </w:r>
      <w:r w:rsidDel="00000000" w:rsidR="00000000" w:rsidRPr="00000000">
        <w:rPr>
          <w:rFonts w:ascii="Arial" w:cs="Arial" w:eastAsia="Arial" w:hAnsi="Arial"/>
          <w:i w:val="1"/>
          <w:sz w:val="24"/>
          <w:szCs w:val="24"/>
          <w:rtl w:val="0"/>
        </w:rPr>
        <w:t xml:space="preserve">Globalizing human resource management</w:t>
      </w:r>
      <w:r w:rsidDel="00000000" w:rsidR="00000000" w:rsidRPr="00000000">
        <w:rPr>
          <w:rFonts w:ascii="Arial" w:cs="Arial" w:eastAsia="Arial" w:hAnsi="Arial"/>
          <w:sz w:val="24"/>
          <w:szCs w:val="24"/>
          <w:rtl w:val="0"/>
        </w:rPr>
        <w:t xml:space="preserve">. London: Routledge.</w:t>
      </w:r>
    </w:p>
    <w:p w:rsidR="00000000" w:rsidDel="00000000" w:rsidP="00000000" w:rsidRDefault="00000000" w:rsidRPr="00000000" w14:paraId="000000B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Stiglitz, J.E. (2017) </w:t>
      </w:r>
      <w:r w:rsidDel="00000000" w:rsidR="00000000" w:rsidRPr="00000000">
        <w:rPr>
          <w:rFonts w:ascii="Arial" w:cs="Arial" w:eastAsia="Arial" w:hAnsi="Arial"/>
          <w:i w:val="1"/>
          <w:sz w:val="24"/>
          <w:szCs w:val="24"/>
          <w:rtl w:val="0"/>
        </w:rPr>
        <w:t xml:space="preserve">Globalization and its discontents revisited: anti-globalization in the era of Trump</w:t>
      </w:r>
      <w:r w:rsidDel="00000000" w:rsidR="00000000" w:rsidRPr="00000000">
        <w:rPr>
          <w:rFonts w:ascii="Arial" w:cs="Arial" w:eastAsia="Arial" w:hAnsi="Arial"/>
          <w:sz w:val="24"/>
          <w:szCs w:val="24"/>
          <w:rtl w:val="0"/>
        </w:rPr>
        <w:t xml:space="preserve">. New York: W.W. Norton &amp; Company.</w:t>
      </w:r>
    </w:p>
    <w:p w:rsidR="00000000" w:rsidDel="00000000" w:rsidP="00000000" w:rsidRDefault="00000000" w:rsidRPr="00000000" w14:paraId="000000B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Tarique, I., Schuler, R. and Schuler, R.S. (2015) </w:t>
      </w:r>
      <w:r w:rsidDel="00000000" w:rsidR="00000000" w:rsidRPr="00000000">
        <w:rPr>
          <w:rFonts w:ascii="Arial" w:cs="Arial" w:eastAsia="Arial" w:hAnsi="Arial"/>
          <w:i w:val="1"/>
          <w:sz w:val="24"/>
          <w:szCs w:val="24"/>
          <w:rtl w:val="0"/>
        </w:rPr>
        <w:t xml:space="preserve">International human resource management: policies and practices for the global enterprise</w:t>
      </w:r>
      <w:r w:rsidDel="00000000" w:rsidR="00000000" w:rsidRPr="00000000">
        <w:rPr>
          <w:rFonts w:ascii="Arial" w:cs="Arial" w:eastAsia="Arial" w:hAnsi="Arial"/>
          <w:sz w:val="24"/>
          <w:szCs w:val="24"/>
          <w:rtl w:val="0"/>
        </w:rPr>
        <w:t xml:space="preserve">. 2nd edn. New York: Routledge.</w:t>
      </w:r>
    </w:p>
    <w:p w:rsidR="00000000" w:rsidDel="00000000" w:rsidP="00000000" w:rsidRDefault="00000000" w:rsidRPr="00000000" w14:paraId="000000B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Ulrich, D., Younger, J. and Brockbank, W. (2017) </w:t>
      </w:r>
      <w:r w:rsidDel="00000000" w:rsidR="00000000" w:rsidRPr="00000000">
        <w:rPr>
          <w:rFonts w:ascii="Arial" w:cs="Arial" w:eastAsia="Arial" w:hAnsi="Arial"/>
          <w:i w:val="1"/>
          <w:sz w:val="24"/>
          <w:szCs w:val="24"/>
          <w:rtl w:val="0"/>
        </w:rPr>
        <w:t xml:space="preserve">The rise of HR: wisdom from 73 HR innovators</w:t>
      </w:r>
      <w:r w:rsidDel="00000000" w:rsidR="00000000" w:rsidRPr="00000000">
        <w:rPr>
          <w:rFonts w:ascii="Arial" w:cs="Arial" w:eastAsia="Arial" w:hAnsi="Arial"/>
          <w:sz w:val="24"/>
          <w:szCs w:val="24"/>
          <w:rtl w:val="0"/>
        </w:rPr>
        <w:t xml:space="preserve">. New York: McGraw-Hill.</w:t>
      </w:r>
    </w:p>
    <w:p w:rsidR="00000000" w:rsidDel="00000000" w:rsidP="00000000" w:rsidRDefault="00000000" w:rsidRPr="00000000" w14:paraId="000000B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Woodcock, J. and Graham, M. (2020) </w:t>
      </w:r>
      <w:r w:rsidDel="00000000" w:rsidR="00000000" w:rsidRPr="00000000">
        <w:rPr>
          <w:rFonts w:ascii="Arial" w:cs="Arial" w:eastAsia="Arial" w:hAnsi="Arial"/>
          <w:i w:val="1"/>
          <w:sz w:val="24"/>
          <w:szCs w:val="24"/>
          <w:rtl w:val="0"/>
        </w:rPr>
        <w:t xml:space="preserve">The gig economy: a critical introduction</w:t>
      </w:r>
      <w:r w:rsidDel="00000000" w:rsidR="00000000" w:rsidRPr="00000000">
        <w:rPr>
          <w:rFonts w:ascii="Arial" w:cs="Arial" w:eastAsia="Arial" w:hAnsi="Arial"/>
          <w:sz w:val="24"/>
          <w:szCs w:val="24"/>
          <w:rtl w:val="0"/>
        </w:rPr>
        <w:t xml:space="preserve">. Cambridge: Polity Press.</w:t>
      </w:r>
    </w:p>
    <w:p w:rsidR="00000000" w:rsidDel="00000000" w:rsidP="00000000" w:rsidRDefault="00000000" w:rsidRPr="00000000" w14:paraId="000000B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Yusuf, S. (2020) </w:t>
      </w:r>
      <w:r w:rsidDel="00000000" w:rsidR="00000000" w:rsidRPr="00000000">
        <w:rPr>
          <w:rFonts w:ascii="Arial" w:cs="Arial" w:eastAsia="Arial" w:hAnsi="Arial"/>
          <w:i w:val="1"/>
          <w:sz w:val="24"/>
          <w:szCs w:val="24"/>
          <w:rtl w:val="0"/>
        </w:rPr>
        <w:t xml:space="preserve">Building human capital: lessons from country experiences—how Singapore does it</w:t>
      </w:r>
      <w:r w:rsidDel="00000000" w:rsidR="00000000" w:rsidRPr="00000000">
        <w:rPr>
          <w:rFonts w:ascii="Arial" w:cs="Arial" w:eastAsia="Arial" w:hAnsi="Arial"/>
          <w:sz w:val="24"/>
          <w:szCs w:val="24"/>
          <w:rtl w:val="0"/>
        </w:rPr>
        <w:t xml:space="preserve">. Washington, D.C.: World Bank Group, The Growth Dialogue.</w:t>
      </w:r>
    </w:p>
    <w:p w:rsidR="00000000" w:rsidDel="00000000" w:rsidP="00000000" w:rsidRDefault="00000000" w:rsidRPr="00000000" w14:paraId="000000B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spacing w:line="360" w:lineRule="auto"/>
        <w:jc w:val="both"/>
        <w:rPr>
          <w:rFonts w:ascii="Arial" w:cs="Arial" w:eastAsia="Arial" w:hAnsi="Arial"/>
          <w:sz w:val="24"/>
          <w:szCs w:val="24"/>
        </w:rPr>
      </w:pPr>
      <w:r w:rsidDel="00000000" w:rsidR="00000000" w:rsidRPr="00000000">
        <w:rPr>
          <w:rtl w:val="0"/>
        </w:rPr>
      </w:r>
    </w:p>
    <w:sectPr>
      <w:type w:val="nextPage"/>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480" w:lineRule="auto"/>
    </w:pPr>
    <w:rPr>
      <w:rFonts w:ascii="Arial" w:cs="Arial" w:eastAsia="Arial" w:hAnsi="Arial"/>
      <w:b w:val="1"/>
      <w:color w:val="000000"/>
      <w:sz w:val="32"/>
      <w:szCs w:val="32"/>
    </w:rPr>
  </w:style>
  <w:style w:type="paragraph" w:styleId="Heading2">
    <w:name w:val="heading 2"/>
    <w:basedOn w:val="Normal"/>
    <w:next w:val="Normal"/>
    <w:pPr>
      <w:keepNext w:val="1"/>
      <w:keepLines w:val="1"/>
      <w:spacing w:after="120" w:before="160" w:lineRule="auto"/>
    </w:pPr>
    <w:rPr>
      <w:rFonts w:ascii="Arial" w:cs="Arial" w:eastAsia="Arial" w:hAnsi="Arial"/>
      <w:b w:val="1"/>
      <w:color w:val="000000"/>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e75b5"/>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