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BB6D0B" w14:textId="7F9E848B" w:rsidR="00B11732" w:rsidRPr="00744A26" w:rsidRDefault="00B11732" w:rsidP="006D5A5F">
      <w:pPr>
        <w:jc w:val="center"/>
        <w:rPr>
          <w:rFonts w:asciiTheme="majorHAnsi" w:hAnsiTheme="majorHAnsi" w:cstheme="majorHAnsi"/>
          <w:sz w:val="28"/>
          <w:szCs w:val="28"/>
        </w:rPr>
      </w:pPr>
      <w:r w:rsidRPr="00744A26">
        <w:rPr>
          <w:rFonts w:asciiTheme="majorHAnsi" w:hAnsiTheme="majorHAnsi" w:cstheme="majorHAnsi"/>
          <w:sz w:val="28"/>
          <w:szCs w:val="28"/>
        </w:rPr>
        <w:t>Continued Professional Development</w:t>
      </w:r>
    </w:p>
    <w:p w14:paraId="5D623FC4" w14:textId="50ACB417" w:rsidR="00F220DB" w:rsidRDefault="00F220DB" w:rsidP="006D5A5F">
      <w:pPr>
        <w:jc w:val="center"/>
        <w:rPr>
          <w:rFonts w:asciiTheme="majorHAnsi" w:hAnsiTheme="majorHAnsi" w:cstheme="majorHAnsi"/>
          <w:sz w:val="26"/>
          <w:szCs w:val="26"/>
        </w:rPr>
      </w:pPr>
      <w:r w:rsidRPr="00744A26">
        <w:rPr>
          <w:rFonts w:asciiTheme="majorHAnsi" w:hAnsiTheme="majorHAnsi" w:cstheme="majorHAnsi"/>
          <w:sz w:val="26"/>
          <w:szCs w:val="26"/>
        </w:rPr>
        <w:t>Part 1</w:t>
      </w:r>
      <w:r w:rsidR="00B11732" w:rsidRPr="00744A26">
        <w:rPr>
          <w:rFonts w:asciiTheme="majorHAnsi" w:hAnsiTheme="majorHAnsi" w:cstheme="majorHAnsi"/>
          <w:sz w:val="26"/>
          <w:szCs w:val="26"/>
        </w:rPr>
        <w:t xml:space="preserve">: </w:t>
      </w:r>
      <w:r w:rsidR="00B11732" w:rsidRPr="00744A26">
        <w:rPr>
          <w:rFonts w:asciiTheme="majorHAnsi" w:hAnsiTheme="majorHAnsi" w:cstheme="majorHAnsi"/>
          <w:sz w:val="26"/>
          <w:szCs w:val="26"/>
        </w:rPr>
        <w:t xml:space="preserve">Reflections on an </w:t>
      </w:r>
      <w:r w:rsidR="006D5A5F" w:rsidRPr="00744A26">
        <w:rPr>
          <w:rFonts w:asciiTheme="majorHAnsi" w:hAnsiTheme="majorHAnsi" w:cstheme="majorHAnsi"/>
          <w:sz w:val="26"/>
          <w:szCs w:val="26"/>
        </w:rPr>
        <w:t>O</w:t>
      </w:r>
      <w:r w:rsidR="00B11732" w:rsidRPr="00744A26">
        <w:rPr>
          <w:rFonts w:asciiTheme="majorHAnsi" w:hAnsiTheme="majorHAnsi" w:cstheme="majorHAnsi"/>
          <w:sz w:val="26"/>
          <w:szCs w:val="26"/>
        </w:rPr>
        <w:t xml:space="preserve">bserved </w:t>
      </w:r>
      <w:r w:rsidR="006D5A5F" w:rsidRPr="00744A26">
        <w:rPr>
          <w:rFonts w:asciiTheme="majorHAnsi" w:hAnsiTheme="majorHAnsi" w:cstheme="majorHAnsi"/>
          <w:sz w:val="26"/>
          <w:szCs w:val="26"/>
        </w:rPr>
        <w:t>M</w:t>
      </w:r>
      <w:r w:rsidR="00B11732" w:rsidRPr="00744A26">
        <w:rPr>
          <w:rFonts w:asciiTheme="majorHAnsi" w:hAnsiTheme="majorHAnsi" w:cstheme="majorHAnsi"/>
          <w:sz w:val="26"/>
          <w:szCs w:val="26"/>
        </w:rPr>
        <w:t xml:space="preserve">entoring </w:t>
      </w:r>
      <w:r w:rsidR="006D5A5F" w:rsidRPr="00744A26">
        <w:rPr>
          <w:rFonts w:asciiTheme="majorHAnsi" w:hAnsiTheme="majorHAnsi" w:cstheme="majorHAnsi"/>
          <w:sz w:val="26"/>
          <w:szCs w:val="26"/>
        </w:rPr>
        <w:t>S</w:t>
      </w:r>
      <w:r w:rsidR="00B11732" w:rsidRPr="00744A26">
        <w:rPr>
          <w:rFonts w:asciiTheme="majorHAnsi" w:hAnsiTheme="majorHAnsi" w:cstheme="majorHAnsi"/>
          <w:sz w:val="26"/>
          <w:szCs w:val="26"/>
        </w:rPr>
        <w:t>ession</w:t>
      </w:r>
      <w:r w:rsidR="006D5A5F" w:rsidRPr="00744A26">
        <w:rPr>
          <w:rFonts w:asciiTheme="majorHAnsi" w:hAnsiTheme="majorHAnsi" w:cstheme="majorHAnsi"/>
          <w:sz w:val="26"/>
          <w:szCs w:val="26"/>
        </w:rPr>
        <w:t>.</w:t>
      </w:r>
    </w:p>
    <w:p w14:paraId="0C85B511" w14:textId="77777777" w:rsidR="00744A26" w:rsidRPr="00744A26" w:rsidRDefault="00744A26" w:rsidP="006D5A5F">
      <w:pPr>
        <w:jc w:val="center"/>
        <w:rPr>
          <w:rFonts w:asciiTheme="majorHAnsi" w:hAnsiTheme="majorHAnsi" w:cstheme="majorHAnsi"/>
          <w:sz w:val="26"/>
          <w:szCs w:val="26"/>
        </w:rPr>
      </w:pPr>
    </w:p>
    <w:p w14:paraId="475556B8" w14:textId="77777777" w:rsidR="00B07FD3" w:rsidRPr="00744A26" w:rsidRDefault="00B11732" w:rsidP="00B07FD3">
      <w:pPr>
        <w:spacing w:line="360" w:lineRule="auto"/>
        <w:rPr>
          <w:i/>
          <w:iCs/>
          <w:sz w:val="24"/>
          <w:szCs w:val="24"/>
        </w:rPr>
      </w:pPr>
      <w:r w:rsidRPr="00744A26">
        <w:rPr>
          <w:i/>
          <w:iCs/>
          <w:sz w:val="24"/>
          <w:szCs w:val="24"/>
        </w:rPr>
        <w:t>1 – In the video the meeting started in a very friendly and informal way, why do you think the mentor took this approach and why do you feel this is a good or bad way to start?</w:t>
      </w:r>
    </w:p>
    <w:p w14:paraId="6D863940" w14:textId="7DE2D183" w:rsidR="006D5A5F" w:rsidRPr="00744A26" w:rsidRDefault="006D5A5F" w:rsidP="00B07FD3">
      <w:pPr>
        <w:spacing w:line="360" w:lineRule="auto"/>
        <w:rPr>
          <w:sz w:val="24"/>
          <w:szCs w:val="24"/>
        </w:rPr>
      </w:pPr>
      <w:r w:rsidRPr="00744A26">
        <w:rPr>
          <w:sz w:val="24"/>
          <w:szCs w:val="24"/>
        </w:rPr>
        <w:t xml:space="preserve">Beginning the meeting in an informal and friendly manner puts both parties at ease and allows conversation to flow </w:t>
      </w:r>
      <w:r w:rsidR="00093A29" w:rsidRPr="00744A26">
        <w:rPr>
          <w:sz w:val="24"/>
          <w:szCs w:val="24"/>
        </w:rPr>
        <w:t xml:space="preserve">naturally. </w:t>
      </w:r>
      <w:r w:rsidR="008D66DA" w:rsidRPr="00744A26">
        <w:rPr>
          <w:sz w:val="24"/>
          <w:szCs w:val="24"/>
        </w:rPr>
        <w:t xml:space="preserve">The </w:t>
      </w:r>
      <w:r w:rsidR="008D66DA" w:rsidRPr="00744A26">
        <w:rPr>
          <w:sz w:val="24"/>
          <w:szCs w:val="24"/>
        </w:rPr>
        <w:t xml:space="preserve">National Center for Women </w:t>
      </w:r>
      <w:r w:rsidR="008D66DA" w:rsidRPr="00744A26">
        <w:rPr>
          <w:sz w:val="24"/>
          <w:szCs w:val="24"/>
        </w:rPr>
        <w:t>and</w:t>
      </w:r>
      <w:r w:rsidR="008D66DA" w:rsidRPr="00744A26">
        <w:rPr>
          <w:sz w:val="24"/>
          <w:szCs w:val="24"/>
        </w:rPr>
        <w:t xml:space="preserve"> Information Technology (2020)</w:t>
      </w:r>
      <w:r w:rsidR="00093A29" w:rsidRPr="00744A26">
        <w:rPr>
          <w:sz w:val="24"/>
          <w:szCs w:val="24"/>
        </w:rPr>
        <w:t xml:space="preserve"> suggests that informal mentor/mentee relationships create a trusting environment which allows for openness of communication allowing the mentee to feel safe to ask difficult questions. Additionally, there is research to suggest that informal mentoring sessions are more beneficial than formal sessions as it was found to create a </w:t>
      </w:r>
      <w:r w:rsidR="00FF3A9B" w:rsidRPr="00744A26">
        <w:rPr>
          <w:sz w:val="24"/>
          <w:szCs w:val="24"/>
        </w:rPr>
        <w:t>more satisfying and happier</w:t>
      </w:r>
      <w:r w:rsidR="00093A29" w:rsidRPr="00744A26">
        <w:rPr>
          <w:sz w:val="24"/>
          <w:szCs w:val="24"/>
        </w:rPr>
        <w:t xml:space="preserve"> environment (</w:t>
      </w:r>
      <w:r w:rsidR="008D66DA" w:rsidRPr="00744A26">
        <w:rPr>
          <w:sz w:val="24"/>
          <w:szCs w:val="24"/>
        </w:rPr>
        <w:t>Ragins, Cotton and Miller, 2017</w:t>
      </w:r>
      <w:r w:rsidR="00093A29" w:rsidRPr="00744A26">
        <w:rPr>
          <w:sz w:val="24"/>
          <w:szCs w:val="24"/>
        </w:rPr>
        <w:t>). This was a good way to start this meeting as</w:t>
      </w:r>
      <w:r w:rsidR="008D66DA" w:rsidRPr="00744A26">
        <w:rPr>
          <w:sz w:val="24"/>
          <w:szCs w:val="24"/>
        </w:rPr>
        <w:t xml:space="preserve"> </w:t>
      </w:r>
      <w:r w:rsidR="008133FA" w:rsidRPr="00744A26">
        <w:rPr>
          <w:sz w:val="24"/>
          <w:szCs w:val="24"/>
        </w:rPr>
        <w:t xml:space="preserve">it allowed the mentor to find out how the mentee had been since their last meeting while making them comfortable before beginning discussing the aims of the meeting. </w:t>
      </w:r>
    </w:p>
    <w:p w14:paraId="018C922B" w14:textId="77777777" w:rsidR="00B07FD3" w:rsidRPr="00744A26" w:rsidRDefault="00B07FD3" w:rsidP="00B07FD3">
      <w:pPr>
        <w:spacing w:line="360" w:lineRule="auto"/>
        <w:rPr>
          <w:i/>
          <w:iCs/>
          <w:sz w:val="24"/>
          <w:szCs w:val="24"/>
        </w:rPr>
      </w:pPr>
    </w:p>
    <w:p w14:paraId="160545A6" w14:textId="77777777" w:rsidR="00B07FD3" w:rsidRPr="00744A26" w:rsidRDefault="00B11732" w:rsidP="00B07FD3">
      <w:pPr>
        <w:spacing w:line="360" w:lineRule="auto"/>
        <w:rPr>
          <w:i/>
          <w:iCs/>
          <w:sz w:val="24"/>
          <w:szCs w:val="24"/>
        </w:rPr>
      </w:pPr>
      <w:r w:rsidRPr="00744A26">
        <w:rPr>
          <w:i/>
          <w:iCs/>
          <w:sz w:val="24"/>
          <w:szCs w:val="24"/>
        </w:rPr>
        <w:t>2 – A crucial skill of a mentor is the ability to engage in ‘active listening’.  Give a description of active listening (you will need to do your own research on this) and explain if you feel the mentor in the video was a good or bad ‘active listener’.  Give examples of what active listening techniques the mentor was or wasn’t using to support your answer.</w:t>
      </w:r>
    </w:p>
    <w:p w14:paraId="5BAD37B2" w14:textId="3656AD25" w:rsidR="006D5A5F" w:rsidRPr="00744A26" w:rsidRDefault="00B03360" w:rsidP="00B07FD3">
      <w:pPr>
        <w:spacing w:line="360" w:lineRule="auto"/>
        <w:rPr>
          <w:sz w:val="24"/>
          <w:szCs w:val="24"/>
        </w:rPr>
      </w:pPr>
      <w:r w:rsidRPr="00744A26">
        <w:rPr>
          <w:sz w:val="24"/>
          <w:szCs w:val="24"/>
        </w:rPr>
        <w:t>Indeed (20</w:t>
      </w:r>
      <w:r w:rsidR="00A517BE" w:rsidRPr="00744A26">
        <w:rPr>
          <w:sz w:val="24"/>
          <w:szCs w:val="24"/>
        </w:rPr>
        <w:t>18</w:t>
      </w:r>
      <w:r w:rsidRPr="00744A26">
        <w:rPr>
          <w:sz w:val="24"/>
          <w:szCs w:val="24"/>
        </w:rPr>
        <w:t>)</w:t>
      </w:r>
      <w:r w:rsidR="006D5A5F" w:rsidRPr="00744A26">
        <w:rPr>
          <w:sz w:val="24"/>
          <w:szCs w:val="24"/>
        </w:rPr>
        <w:t xml:space="preserve"> explains that active listening involves completely listening and replying to what is being said while understanding and retaining what you have been told. This skill is especially important to ensure that the person feels that their thoughts and opinions are valued. </w:t>
      </w:r>
      <w:r w:rsidR="006107A7" w:rsidRPr="00744A26">
        <w:rPr>
          <w:sz w:val="24"/>
          <w:szCs w:val="24"/>
        </w:rPr>
        <w:t>The mentor in the video displayed good active listening</w:t>
      </w:r>
      <w:r w:rsidR="00CE0134">
        <w:rPr>
          <w:sz w:val="24"/>
          <w:szCs w:val="24"/>
        </w:rPr>
        <w:t xml:space="preserve"> by using</w:t>
      </w:r>
      <w:r w:rsidR="006107A7" w:rsidRPr="00744A26">
        <w:rPr>
          <w:sz w:val="24"/>
          <w:szCs w:val="24"/>
        </w:rPr>
        <w:t xml:space="preserve"> many techniques </w:t>
      </w:r>
      <w:r w:rsidR="001A376B" w:rsidRPr="00744A26">
        <w:rPr>
          <w:sz w:val="24"/>
          <w:szCs w:val="24"/>
        </w:rPr>
        <w:t xml:space="preserve">such as </w:t>
      </w:r>
      <w:r w:rsidR="006107A7" w:rsidRPr="00744A26">
        <w:rPr>
          <w:sz w:val="24"/>
          <w:szCs w:val="24"/>
        </w:rPr>
        <w:t xml:space="preserve">smiling and nodding </w:t>
      </w:r>
      <w:r w:rsidR="001A376B" w:rsidRPr="00744A26">
        <w:rPr>
          <w:sz w:val="24"/>
          <w:szCs w:val="24"/>
        </w:rPr>
        <w:t xml:space="preserve">which </w:t>
      </w:r>
      <w:r w:rsidR="008D66DA" w:rsidRPr="00744A26">
        <w:rPr>
          <w:sz w:val="24"/>
          <w:szCs w:val="24"/>
        </w:rPr>
        <w:t>t</w:t>
      </w:r>
      <w:r w:rsidR="008D66DA" w:rsidRPr="00744A26">
        <w:rPr>
          <w:sz w:val="24"/>
          <w:szCs w:val="24"/>
        </w:rPr>
        <w:t xml:space="preserve">he Open University (2020a) </w:t>
      </w:r>
      <w:r w:rsidR="001A376B" w:rsidRPr="00744A26">
        <w:rPr>
          <w:sz w:val="24"/>
          <w:szCs w:val="24"/>
        </w:rPr>
        <w:t>suggests shows interest and offers encouragement through non-verbal feedback.</w:t>
      </w:r>
      <w:r w:rsidR="00563320" w:rsidRPr="00744A26">
        <w:rPr>
          <w:sz w:val="24"/>
          <w:szCs w:val="24"/>
        </w:rPr>
        <w:t xml:space="preserve"> </w:t>
      </w:r>
      <w:r w:rsidR="001A376B" w:rsidRPr="00744A26">
        <w:rPr>
          <w:sz w:val="24"/>
          <w:szCs w:val="24"/>
        </w:rPr>
        <w:t xml:space="preserve">Additionally </w:t>
      </w:r>
      <w:r w:rsidR="006107A7" w:rsidRPr="00744A26">
        <w:rPr>
          <w:sz w:val="24"/>
          <w:szCs w:val="24"/>
        </w:rPr>
        <w:t>paraphrasing</w:t>
      </w:r>
      <w:r w:rsidR="001A376B" w:rsidRPr="00744A26">
        <w:rPr>
          <w:sz w:val="24"/>
          <w:szCs w:val="24"/>
        </w:rPr>
        <w:t xml:space="preserve"> was used to </w:t>
      </w:r>
      <w:r w:rsidR="006107A7" w:rsidRPr="00744A26">
        <w:rPr>
          <w:sz w:val="24"/>
          <w:szCs w:val="24"/>
        </w:rPr>
        <w:t>reiterate what the mentee had said</w:t>
      </w:r>
      <w:r w:rsidR="001A376B" w:rsidRPr="00744A26">
        <w:rPr>
          <w:sz w:val="24"/>
          <w:szCs w:val="24"/>
        </w:rPr>
        <w:t xml:space="preserve">, and questions were asked, according to </w:t>
      </w:r>
      <w:r w:rsidR="008A54CB" w:rsidRPr="00744A26">
        <w:rPr>
          <w:sz w:val="24"/>
          <w:szCs w:val="24"/>
        </w:rPr>
        <w:t>ACT Academy (2018),</w:t>
      </w:r>
      <w:r w:rsidR="001A376B" w:rsidRPr="00744A26">
        <w:rPr>
          <w:sz w:val="24"/>
          <w:szCs w:val="24"/>
        </w:rPr>
        <w:t xml:space="preserve"> these methods ensure the mentor fully understands what has been said and encourages the mentee to develop their thoughts and ideas further. </w:t>
      </w:r>
      <w:r w:rsidR="00BE61B7" w:rsidRPr="00744A26">
        <w:rPr>
          <w:sz w:val="24"/>
          <w:szCs w:val="24"/>
        </w:rPr>
        <w:t xml:space="preserve">An example of this in the video was when the mentee explained how he had been attempting to learn about an </w:t>
      </w:r>
      <w:r w:rsidR="00BE61B7" w:rsidRPr="00744A26">
        <w:rPr>
          <w:sz w:val="24"/>
          <w:szCs w:val="24"/>
        </w:rPr>
        <w:lastRenderedPageBreak/>
        <w:t>objective and the mentor asked “So you were going through, tying to do it yourself and at some point you realised that you needed to get some help, how did you make that decision?”</w:t>
      </w:r>
      <w:r w:rsidR="00C351DB" w:rsidRPr="00744A26">
        <w:rPr>
          <w:sz w:val="24"/>
          <w:szCs w:val="24"/>
        </w:rPr>
        <w:t>.</w:t>
      </w:r>
      <w:r w:rsidR="002A047B" w:rsidRPr="00744A26">
        <w:rPr>
          <w:sz w:val="24"/>
          <w:szCs w:val="24"/>
        </w:rPr>
        <w:t xml:space="preserve"> </w:t>
      </w:r>
      <w:r w:rsidR="00BE61B7" w:rsidRPr="00744A26">
        <w:rPr>
          <w:sz w:val="24"/>
          <w:szCs w:val="24"/>
        </w:rPr>
        <w:t xml:space="preserve">According to </w:t>
      </w:r>
      <w:r w:rsidR="00B07FD3" w:rsidRPr="00744A26">
        <w:rPr>
          <w:sz w:val="24"/>
          <w:szCs w:val="24"/>
        </w:rPr>
        <w:t xml:space="preserve">the </w:t>
      </w:r>
      <w:r w:rsidR="00B07FD3" w:rsidRPr="00744A26">
        <w:rPr>
          <w:sz w:val="24"/>
          <w:szCs w:val="24"/>
        </w:rPr>
        <w:t>British Heart Foundation (2020)</w:t>
      </w:r>
      <w:r w:rsidR="00BE61B7" w:rsidRPr="00744A26">
        <w:rPr>
          <w:sz w:val="24"/>
          <w:szCs w:val="24"/>
        </w:rPr>
        <w:t xml:space="preserve">, the techniques that were used in this video </w:t>
      </w:r>
      <w:r w:rsidR="006107A7" w:rsidRPr="00744A26">
        <w:rPr>
          <w:sz w:val="24"/>
          <w:szCs w:val="24"/>
        </w:rPr>
        <w:t xml:space="preserve">aid in building connections, trust and ensure that information is not missed. </w:t>
      </w:r>
    </w:p>
    <w:p w14:paraId="3ADE5154" w14:textId="77777777" w:rsidR="00B07FD3" w:rsidRPr="00744A26" w:rsidRDefault="00B07FD3" w:rsidP="00B07FD3">
      <w:pPr>
        <w:spacing w:line="360" w:lineRule="auto"/>
        <w:rPr>
          <w:i/>
          <w:iCs/>
          <w:sz w:val="24"/>
          <w:szCs w:val="24"/>
        </w:rPr>
      </w:pPr>
    </w:p>
    <w:p w14:paraId="77A494BB" w14:textId="77777777" w:rsidR="00B07FD3" w:rsidRPr="00744A26" w:rsidRDefault="00B11732" w:rsidP="00B07FD3">
      <w:pPr>
        <w:spacing w:line="360" w:lineRule="auto"/>
        <w:rPr>
          <w:i/>
          <w:iCs/>
          <w:sz w:val="24"/>
          <w:szCs w:val="24"/>
        </w:rPr>
      </w:pPr>
      <w:r w:rsidRPr="00744A26">
        <w:rPr>
          <w:i/>
          <w:iCs/>
          <w:sz w:val="24"/>
          <w:szCs w:val="24"/>
        </w:rPr>
        <w:t>3 – A further crucial skill of a mentor is to help the mentee organise their own thoughts and develop a way forward themselves, give an example of when the mentor in the video did this?</w:t>
      </w:r>
    </w:p>
    <w:p w14:paraId="336B8EF1" w14:textId="5B8ED8A7" w:rsidR="009D21A5" w:rsidRPr="00744A26" w:rsidRDefault="00C351DB" w:rsidP="00B07FD3">
      <w:pPr>
        <w:spacing w:line="360" w:lineRule="auto"/>
        <w:rPr>
          <w:sz w:val="24"/>
          <w:szCs w:val="24"/>
        </w:rPr>
      </w:pPr>
      <w:r w:rsidRPr="00744A26">
        <w:rPr>
          <w:sz w:val="24"/>
          <w:szCs w:val="24"/>
        </w:rPr>
        <w:t xml:space="preserve">An example of this skill being used in the video </w:t>
      </w:r>
      <w:r w:rsidR="00C13B62" w:rsidRPr="00744A26">
        <w:rPr>
          <w:sz w:val="24"/>
          <w:szCs w:val="24"/>
        </w:rPr>
        <w:t>occurs after the</w:t>
      </w:r>
      <w:r w:rsidRPr="00744A26">
        <w:rPr>
          <w:sz w:val="24"/>
          <w:szCs w:val="24"/>
        </w:rPr>
        <w:t xml:space="preserve"> </w:t>
      </w:r>
      <w:r w:rsidR="00C13B62" w:rsidRPr="00744A26">
        <w:rPr>
          <w:sz w:val="24"/>
          <w:szCs w:val="24"/>
        </w:rPr>
        <w:t xml:space="preserve">mentee describes their studying technique </w:t>
      </w:r>
      <w:r w:rsidRPr="00744A26">
        <w:rPr>
          <w:sz w:val="24"/>
          <w:szCs w:val="24"/>
        </w:rPr>
        <w:t xml:space="preserve">when the mentor asks </w:t>
      </w:r>
      <w:r w:rsidR="006D5A5F" w:rsidRPr="00744A26">
        <w:rPr>
          <w:sz w:val="24"/>
          <w:szCs w:val="24"/>
        </w:rPr>
        <w:t>“</w:t>
      </w:r>
      <w:r w:rsidRPr="00744A26">
        <w:rPr>
          <w:sz w:val="24"/>
          <w:szCs w:val="24"/>
        </w:rPr>
        <w:t>T</w:t>
      </w:r>
      <w:r w:rsidR="006D5A5F" w:rsidRPr="00744A26">
        <w:rPr>
          <w:sz w:val="24"/>
          <w:szCs w:val="24"/>
        </w:rPr>
        <w:t>he next time you approach a math focus area, um, are you going t</w:t>
      </w:r>
      <w:r w:rsidRPr="00744A26">
        <w:rPr>
          <w:sz w:val="24"/>
          <w:szCs w:val="24"/>
        </w:rPr>
        <w:t>o</w:t>
      </w:r>
      <w:r w:rsidR="006D5A5F" w:rsidRPr="00744A26">
        <w:rPr>
          <w:sz w:val="24"/>
          <w:szCs w:val="24"/>
        </w:rPr>
        <w:t xml:space="preserve"> continue the strategies or do you think you</w:t>
      </w:r>
      <w:r w:rsidRPr="00744A26">
        <w:rPr>
          <w:sz w:val="24"/>
          <w:szCs w:val="24"/>
        </w:rPr>
        <w:t>’</w:t>
      </w:r>
      <w:r w:rsidR="006D5A5F" w:rsidRPr="00744A26">
        <w:rPr>
          <w:sz w:val="24"/>
          <w:szCs w:val="24"/>
        </w:rPr>
        <w:t>ll try one and t</w:t>
      </w:r>
      <w:r w:rsidRPr="00744A26">
        <w:rPr>
          <w:sz w:val="24"/>
          <w:szCs w:val="24"/>
        </w:rPr>
        <w:t>h</w:t>
      </w:r>
      <w:r w:rsidR="006D5A5F" w:rsidRPr="00744A26">
        <w:rPr>
          <w:sz w:val="24"/>
          <w:szCs w:val="24"/>
        </w:rPr>
        <w:t>en the other</w:t>
      </w:r>
      <w:r w:rsidRPr="00744A26">
        <w:rPr>
          <w:sz w:val="24"/>
          <w:szCs w:val="24"/>
        </w:rPr>
        <w:t>?</w:t>
      </w:r>
      <w:r w:rsidR="006D5A5F" w:rsidRPr="00744A26">
        <w:rPr>
          <w:sz w:val="24"/>
          <w:szCs w:val="24"/>
        </w:rPr>
        <w:t xml:space="preserve"> </w:t>
      </w:r>
      <w:r w:rsidRPr="00744A26">
        <w:rPr>
          <w:sz w:val="24"/>
          <w:szCs w:val="24"/>
        </w:rPr>
        <w:t>W</w:t>
      </w:r>
      <w:r w:rsidR="006D5A5F" w:rsidRPr="00744A26">
        <w:rPr>
          <w:sz w:val="24"/>
          <w:szCs w:val="24"/>
        </w:rPr>
        <w:t>hat are you thinking?”</w:t>
      </w:r>
      <w:r w:rsidRPr="00744A26">
        <w:rPr>
          <w:sz w:val="24"/>
          <w:szCs w:val="24"/>
        </w:rPr>
        <w:t xml:space="preserve">. The mentee then lays out his plans for how to approach this issue in the future by using self-reflection. </w:t>
      </w:r>
      <w:r w:rsidR="00B07FD3" w:rsidRPr="00744A26">
        <w:rPr>
          <w:sz w:val="24"/>
          <w:szCs w:val="24"/>
        </w:rPr>
        <w:t>Porter (2017)</w:t>
      </w:r>
      <w:r w:rsidRPr="00744A26">
        <w:rPr>
          <w:sz w:val="24"/>
          <w:szCs w:val="24"/>
        </w:rPr>
        <w:t xml:space="preserve"> explains that self-reflection is when you assess yourself or a </w:t>
      </w:r>
      <w:r w:rsidR="00C13B62" w:rsidRPr="00744A26">
        <w:rPr>
          <w:sz w:val="24"/>
          <w:szCs w:val="24"/>
        </w:rPr>
        <w:t>task</w:t>
      </w:r>
      <w:r w:rsidRPr="00744A26">
        <w:rPr>
          <w:sz w:val="24"/>
          <w:szCs w:val="24"/>
        </w:rPr>
        <w:t xml:space="preserve"> that you have carried </w:t>
      </w:r>
      <w:r w:rsidR="00C13B62" w:rsidRPr="00744A26">
        <w:rPr>
          <w:sz w:val="24"/>
          <w:szCs w:val="24"/>
        </w:rPr>
        <w:t xml:space="preserve">out. </w:t>
      </w:r>
      <w:r w:rsidR="00490F5F" w:rsidRPr="00744A26">
        <w:rPr>
          <w:sz w:val="24"/>
          <w:szCs w:val="24"/>
        </w:rPr>
        <w:t xml:space="preserve">The mentor then guides the mentee through a self-reflection model such as </w:t>
      </w:r>
      <w:r w:rsidR="00DD3CCF" w:rsidRPr="00744A26">
        <w:rPr>
          <w:sz w:val="24"/>
          <w:szCs w:val="24"/>
        </w:rPr>
        <w:t xml:space="preserve">Boud, Keogh and Walker’s (1985) </w:t>
      </w:r>
      <w:r w:rsidR="00490F5F" w:rsidRPr="00744A26">
        <w:rPr>
          <w:sz w:val="24"/>
          <w:szCs w:val="24"/>
        </w:rPr>
        <w:t>Reflective Practice model that has three areas. the first area, experience looked at what had happened</w:t>
      </w:r>
      <w:r w:rsidR="00DD3CCF" w:rsidRPr="00744A26">
        <w:rPr>
          <w:sz w:val="24"/>
          <w:szCs w:val="24"/>
        </w:rPr>
        <w:t xml:space="preserve">, in the video the mentee had studied alone with resources but did not pass. The second area, reflection examined the negative and positive points of the experience which included messy notes, not understanding the resources, increasing practice problems, use of a whiteboard and asking a friend for help. This reflection then led to the third section, learning, in which a discussion about what helped and what should be done in the future occurred and noted that in the future performing more practice problems and asking for help would be the best course of action. </w:t>
      </w:r>
    </w:p>
    <w:p w14:paraId="19562272" w14:textId="77777777" w:rsidR="00B07FD3" w:rsidRPr="00744A26" w:rsidRDefault="00B07FD3" w:rsidP="00B07FD3">
      <w:pPr>
        <w:spacing w:line="360" w:lineRule="auto"/>
        <w:rPr>
          <w:i/>
          <w:iCs/>
          <w:sz w:val="24"/>
          <w:szCs w:val="24"/>
        </w:rPr>
      </w:pPr>
    </w:p>
    <w:p w14:paraId="0554457D" w14:textId="4E2E4107" w:rsidR="00B11732" w:rsidRPr="00744A26" w:rsidRDefault="00B11732" w:rsidP="00B07FD3">
      <w:pPr>
        <w:spacing w:line="360" w:lineRule="auto"/>
        <w:rPr>
          <w:i/>
          <w:iCs/>
          <w:sz w:val="24"/>
          <w:szCs w:val="24"/>
        </w:rPr>
      </w:pPr>
      <w:r w:rsidRPr="00744A26">
        <w:rPr>
          <w:i/>
          <w:iCs/>
          <w:sz w:val="24"/>
          <w:szCs w:val="24"/>
        </w:rPr>
        <w:t>4 – The meeting ended with the mentor and mentee considering their goals moving forward, why is this an important part of the process, use quotes to support your argument.</w:t>
      </w:r>
    </w:p>
    <w:p w14:paraId="53849A8C" w14:textId="77777777" w:rsidR="00B07FD3" w:rsidRPr="00744A26" w:rsidRDefault="00B03360" w:rsidP="00B07FD3">
      <w:pPr>
        <w:spacing w:line="360" w:lineRule="auto"/>
        <w:rPr>
          <w:sz w:val="24"/>
          <w:szCs w:val="24"/>
        </w:rPr>
      </w:pPr>
      <w:r w:rsidRPr="00744A26">
        <w:rPr>
          <w:sz w:val="24"/>
          <w:szCs w:val="24"/>
        </w:rPr>
        <w:t>Cheavens et al. (2019)</w:t>
      </w:r>
      <w:r w:rsidR="00353D22" w:rsidRPr="00744A26">
        <w:rPr>
          <w:sz w:val="24"/>
          <w:szCs w:val="24"/>
        </w:rPr>
        <w:t xml:space="preserve"> propose that creating goals is important as it helps to produce a plan of action and maintain focused attention and once completed provides a sense of achievement. In order to gain the best result from a goal it is recommended to make them </w:t>
      </w:r>
      <w:r w:rsidR="00353D22" w:rsidRPr="00744A26">
        <w:rPr>
          <w:sz w:val="24"/>
          <w:szCs w:val="24"/>
        </w:rPr>
        <w:lastRenderedPageBreak/>
        <w:t xml:space="preserve">SMART. </w:t>
      </w:r>
      <w:r w:rsidRPr="00744A26">
        <w:rPr>
          <w:sz w:val="24"/>
          <w:szCs w:val="24"/>
        </w:rPr>
        <w:t xml:space="preserve">The </w:t>
      </w:r>
      <w:r w:rsidRPr="00744A26">
        <w:rPr>
          <w:sz w:val="24"/>
          <w:szCs w:val="24"/>
        </w:rPr>
        <w:t>University of California (2016)</w:t>
      </w:r>
      <w:r w:rsidR="00353D22" w:rsidRPr="00744A26">
        <w:rPr>
          <w:sz w:val="24"/>
          <w:szCs w:val="24"/>
        </w:rPr>
        <w:t xml:space="preserve"> explains that a SMART goal is one that is specific, measurable, achievable, realistic and </w:t>
      </w:r>
      <w:r w:rsidR="00D726E0" w:rsidRPr="00744A26">
        <w:rPr>
          <w:sz w:val="24"/>
          <w:szCs w:val="24"/>
        </w:rPr>
        <w:t>time framed</w:t>
      </w:r>
      <w:r w:rsidR="00654A54" w:rsidRPr="00744A26">
        <w:rPr>
          <w:sz w:val="24"/>
          <w:szCs w:val="24"/>
        </w:rPr>
        <w:t xml:space="preserve"> and are more likely to achieve your goal when using this method. </w:t>
      </w:r>
      <w:r w:rsidR="00353D22" w:rsidRPr="00744A26">
        <w:rPr>
          <w:sz w:val="24"/>
          <w:szCs w:val="24"/>
        </w:rPr>
        <w:t xml:space="preserve">The video </w:t>
      </w:r>
      <w:r w:rsidR="00D726E0" w:rsidRPr="00744A26">
        <w:rPr>
          <w:sz w:val="24"/>
          <w:szCs w:val="24"/>
        </w:rPr>
        <w:t xml:space="preserve">showed the mentee recognising that passing their history assessment was their priority and then setting out a SMART goal of how to achieve this. This was evidenced with them saying in the video “I will take notes on the French Revolution and build a Quizlet and I will put the date as Wednesday” and “If I do that by Wednesday then I can take the assessment on Thursday”. This goal is specific in what the tasks are and how they will be accomplished, easy to identify when completed, achievable in the time frame, helps them towards their study goals and sets out a date to work towards. </w:t>
      </w:r>
    </w:p>
    <w:p w14:paraId="59B01E99" w14:textId="77777777" w:rsidR="00B07FD3" w:rsidRPr="00744A26" w:rsidRDefault="00B07FD3" w:rsidP="00B07FD3">
      <w:pPr>
        <w:spacing w:line="360" w:lineRule="auto"/>
        <w:rPr>
          <w:sz w:val="24"/>
          <w:szCs w:val="24"/>
        </w:rPr>
      </w:pPr>
    </w:p>
    <w:p w14:paraId="2533E5DF" w14:textId="2129BFCF" w:rsidR="006D5A5F" w:rsidRPr="00744A26" w:rsidRDefault="00B11732" w:rsidP="00B07FD3">
      <w:pPr>
        <w:spacing w:line="360" w:lineRule="auto"/>
        <w:rPr>
          <w:i/>
          <w:iCs/>
          <w:sz w:val="24"/>
          <w:szCs w:val="24"/>
        </w:rPr>
      </w:pPr>
      <w:r w:rsidRPr="00744A26">
        <w:rPr>
          <w:i/>
          <w:iCs/>
          <w:sz w:val="24"/>
          <w:szCs w:val="24"/>
        </w:rPr>
        <w:t>5 – Having watched an example of a mentoring session give 3 strengths and 3 weaknesses that you feel you have as a mentor.</w:t>
      </w:r>
    </w:p>
    <w:p w14:paraId="360F413D" w14:textId="6467A738" w:rsidR="007F0485" w:rsidRPr="00744A26" w:rsidRDefault="00573602" w:rsidP="00B07FD3">
      <w:pPr>
        <w:spacing w:line="360" w:lineRule="auto"/>
        <w:rPr>
          <w:sz w:val="24"/>
          <w:szCs w:val="24"/>
        </w:rPr>
      </w:pPr>
      <w:r w:rsidRPr="00744A26">
        <w:rPr>
          <w:sz w:val="24"/>
          <w:szCs w:val="24"/>
        </w:rPr>
        <w:t xml:space="preserve">According to </w:t>
      </w:r>
      <w:r w:rsidR="00DE410A" w:rsidRPr="00744A26">
        <w:rPr>
          <w:sz w:val="24"/>
          <w:szCs w:val="24"/>
        </w:rPr>
        <w:t>Lewis (2020),</w:t>
      </w:r>
      <w:r w:rsidRPr="00744A26">
        <w:rPr>
          <w:sz w:val="24"/>
          <w:szCs w:val="24"/>
        </w:rPr>
        <w:t xml:space="preserve"> mentoring styles differ between people, each with their own strengths and weaknesses and that temperament is an important factor in a </w:t>
      </w:r>
      <w:r w:rsidR="008D66DA" w:rsidRPr="00744A26">
        <w:rPr>
          <w:sz w:val="24"/>
          <w:szCs w:val="24"/>
        </w:rPr>
        <w:t>mentor’s</w:t>
      </w:r>
      <w:r w:rsidRPr="00744A26">
        <w:rPr>
          <w:sz w:val="24"/>
          <w:szCs w:val="24"/>
        </w:rPr>
        <w:t xml:space="preserve"> performance. A tool to measure temperament is DiSC by </w:t>
      </w:r>
      <w:r w:rsidR="002A047B" w:rsidRPr="00744A26">
        <w:rPr>
          <w:sz w:val="24"/>
          <w:szCs w:val="24"/>
        </w:rPr>
        <w:t>John Wiley and Sons (2020)</w:t>
      </w:r>
      <w:r w:rsidRPr="00744A26">
        <w:rPr>
          <w:sz w:val="24"/>
          <w:szCs w:val="24"/>
        </w:rPr>
        <w:t xml:space="preserve"> which suggests that a person will fall into one of four </w:t>
      </w:r>
      <w:r w:rsidR="008D66DA" w:rsidRPr="00744A26">
        <w:rPr>
          <w:sz w:val="24"/>
          <w:szCs w:val="24"/>
        </w:rPr>
        <w:t>categories:</w:t>
      </w:r>
      <w:r w:rsidRPr="00744A26">
        <w:rPr>
          <w:sz w:val="24"/>
          <w:szCs w:val="24"/>
        </w:rPr>
        <w:t xml:space="preserve"> dominance, influence, steadiness and conscientious. Out of the four categories I identify mostly with steadiness which </w:t>
      </w:r>
      <w:r w:rsidR="007F0485" w:rsidRPr="00744A26">
        <w:rPr>
          <w:sz w:val="24"/>
          <w:szCs w:val="24"/>
        </w:rPr>
        <w:t>displays</w:t>
      </w:r>
      <w:r w:rsidRPr="00744A26">
        <w:rPr>
          <w:sz w:val="24"/>
          <w:szCs w:val="24"/>
        </w:rPr>
        <w:t xml:space="preserve"> characteristics such as</w:t>
      </w:r>
      <w:r w:rsidR="007F0485" w:rsidRPr="00744A26">
        <w:rPr>
          <w:sz w:val="24"/>
          <w:szCs w:val="24"/>
        </w:rPr>
        <w:t xml:space="preserve"> being constant,</w:t>
      </w:r>
      <w:r w:rsidRPr="00744A26">
        <w:rPr>
          <w:sz w:val="24"/>
          <w:szCs w:val="24"/>
        </w:rPr>
        <w:t xml:space="preserve"> </w:t>
      </w:r>
      <w:r w:rsidRPr="00744A26">
        <w:rPr>
          <w:sz w:val="24"/>
          <w:szCs w:val="24"/>
        </w:rPr>
        <w:t xml:space="preserve">supportive, </w:t>
      </w:r>
      <w:r w:rsidR="007F0485" w:rsidRPr="00744A26">
        <w:rPr>
          <w:sz w:val="24"/>
          <w:szCs w:val="24"/>
        </w:rPr>
        <w:t xml:space="preserve">occasionally shy and places emphasis on keeping the status-quo. The strengths linked with steadiness that I associate most with myself are keeping commitments, being a good listener and caring for others, these traits </w:t>
      </w:r>
      <w:r w:rsidR="00A77077" w:rsidRPr="00744A26">
        <w:rPr>
          <w:sz w:val="24"/>
          <w:szCs w:val="24"/>
        </w:rPr>
        <w:t xml:space="preserve">will </w:t>
      </w:r>
      <w:r w:rsidR="007F0485" w:rsidRPr="00744A26">
        <w:rPr>
          <w:sz w:val="24"/>
          <w:szCs w:val="24"/>
        </w:rPr>
        <w:t>allow me to become a mentor that can be relied upon</w:t>
      </w:r>
      <w:r w:rsidR="00A77077" w:rsidRPr="00744A26">
        <w:rPr>
          <w:sz w:val="24"/>
          <w:szCs w:val="24"/>
        </w:rPr>
        <w:t xml:space="preserve">. Caring and listening well will aid in the development of the relationship and hopefully allow for open communication. </w:t>
      </w:r>
      <w:r w:rsidR="00D94D7F" w:rsidRPr="00744A26">
        <w:rPr>
          <w:sz w:val="24"/>
          <w:szCs w:val="24"/>
        </w:rPr>
        <w:t xml:space="preserve">Additionally, good listening will allow me to gain an improved understanding of the mentee to be able to help them. </w:t>
      </w:r>
      <w:r w:rsidR="007F0485" w:rsidRPr="00744A26">
        <w:rPr>
          <w:sz w:val="24"/>
          <w:szCs w:val="24"/>
        </w:rPr>
        <w:t xml:space="preserve">However, the weaknesses I identify with are being too cautious, withholding honesty to keep the peace and difficulty </w:t>
      </w:r>
      <w:r w:rsidR="00D94D7F" w:rsidRPr="00744A26">
        <w:rPr>
          <w:sz w:val="24"/>
          <w:szCs w:val="24"/>
        </w:rPr>
        <w:t>challenging people</w:t>
      </w:r>
      <w:r w:rsidR="00A77077" w:rsidRPr="00744A26">
        <w:rPr>
          <w:sz w:val="24"/>
          <w:szCs w:val="24"/>
        </w:rPr>
        <w:t xml:space="preserve">, these attributes could risk the development of the mentee. Although I always endeavour to be truthful, I find it difficult dealing with conflict or </w:t>
      </w:r>
      <w:r w:rsidR="00D94D7F" w:rsidRPr="00744A26">
        <w:rPr>
          <w:sz w:val="24"/>
          <w:szCs w:val="24"/>
        </w:rPr>
        <w:t xml:space="preserve">challenging something when I feel that it is wrong. If an issue requires action I tend to broach the subject in a friendly and sugar-coated manner which can often lead to the point being missed </w:t>
      </w:r>
      <w:r w:rsidR="00A77077" w:rsidRPr="00744A26">
        <w:rPr>
          <w:sz w:val="24"/>
          <w:szCs w:val="24"/>
        </w:rPr>
        <w:t xml:space="preserve">and without this honesty the mentee may not gain the information they need to </w:t>
      </w:r>
      <w:r w:rsidR="00D94D7F" w:rsidRPr="00744A26">
        <w:rPr>
          <w:sz w:val="24"/>
          <w:szCs w:val="24"/>
        </w:rPr>
        <w:lastRenderedPageBreak/>
        <w:t>progress</w:t>
      </w:r>
      <w:r w:rsidR="00A77077" w:rsidRPr="00744A26">
        <w:rPr>
          <w:sz w:val="24"/>
          <w:szCs w:val="24"/>
        </w:rPr>
        <w:t xml:space="preserve">. My cautiousness may negatively impact the mentees ability to take risks which is problematic as taking risks is essential to growth. </w:t>
      </w:r>
    </w:p>
    <w:p w14:paraId="29AEC1B6" w14:textId="02C51B5F" w:rsidR="00A517BE" w:rsidRDefault="00A517BE">
      <w:r>
        <w:br w:type="page"/>
      </w:r>
    </w:p>
    <w:p w14:paraId="3B97E304" w14:textId="0640E606" w:rsidR="00B07FD3" w:rsidRPr="00A517BE" w:rsidRDefault="008D66DA" w:rsidP="00A517BE">
      <w:pPr>
        <w:rPr>
          <w:rFonts w:asciiTheme="majorHAnsi" w:hAnsiTheme="majorHAnsi" w:cstheme="majorHAnsi"/>
          <w:sz w:val="26"/>
          <w:szCs w:val="26"/>
          <w:u w:val="single"/>
        </w:rPr>
      </w:pPr>
      <w:r w:rsidRPr="008D66DA">
        <w:rPr>
          <w:rFonts w:asciiTheme="majorHAnsi" w:hAnsiTheme="majorHAnsi" w:cstheme="majorHAnsi"/>
          <w:sz w:val="26"/>
          <w:szCs w:val="26"/>
          <w:u w:val="single"/>
        </w:rPr>
        <w:lastRenderedPageBreak/>
        <w:t>Reference List</w:t>
      </w:r>
    </w:p>
    <w:p w14:paraId="4CECF48F" w14:textId="71B70288" w:rsidR="00B07FD3" w:rsidRDefault="00B07FD3" w:rsidP="00A517BE">
      <w:pPr>
        <w:spacing w:line="276" w:lineRule="auto"/>
      </w:pPr>
      <w:r>
        <w:rPr>
          <w:sz w:val="24"/>
          <w:szCs w:val="24"/>
        </w:rPr>
        <w:t xml:space="preserve">Act Academy (2018) </w:t>
      </w:r>
      <w:r w:rsidRPr="008A54CB">
        <w:rPr>
          <w:i/>
          <w:iCs/>
          <w:sz w:val="24"/>
          <w:szCs w:val="24"/>
        </w:rPr>
        <w:t>Active Listening</w:t>
      </w:r>
      <w:r>
        <w:rPr>
          <w:sz w:val="24"/>
          <w:szCs w:val="24"/>
        </w:rPr>
        <w:t xml:space="preserve">. Available at: </w:t>
      </w:r>
      <w:r w:rsidRPr="00A517BE">
        <w:rPr>
          <w:sz w:val="24"/>
          <w:szCs w:val="24"/>
        </w:rPr>
        <w:t>https://improvement.nhs.uk/resources/active-listening/</w:t>
      </w:r>
      <w:r w:rsidRPr="008A54CB">
        <w:rPr>
          <w:sz w:val="24"/>
          <w:szCs w:val="24"/>
        </w:rPr>
        <w:t xml:space="preserve"> (Accessed: 15 May 2020).</w:t>
      </w:r>
      <w:r>
        <w:t xml:space="preserve"> </w:t>
      </w:r>
    </w:p>
    <w:p w14:paraId="396EDF33" w14:textId="77777777" w:rsidR="00B07FD3" w:rsidRDefault="00B07FD3" w:rsidP="00A517BE">
      <w:pPr>
        <w:spacing w:line="276" w:lineRule="auto"/>
        <w:rPr>
          <w:sz w:val="24"/>
          <w:szCs w:val="24"/>
        </w:rPr>
      </w:pPr>
      <w:r>
        <w:rPr>
          <w:sz w:val="24"/>
          <w:szCs w:val="24"/>
        </w:rPr>
        <w:t xml:space="preserve">Boud, D., Keogh, R. and Walker, D. (1985) ‘What is Reflection in Learning?’ in Boud, D., Keogh, R. and Walker, D. (ed). </w:t>
      </w:r>
      <w:r w:rsidRPr="009D21A5">
        <w:rPr>
          <w:i/>
          <w:iCs/>
          <w:sz w:val="24"/>
          <w:szCs w:val="24"/>
        </w:rPr>
        <w:t>Reflection: Turning Experience into Learning</w:t>
      </w:r>
      <w:r>
        <w:rPr>
          <w:sz w:val="24"/>
          <w:szCs w:val="24"/>
        </w:rPr>
        <w:t>. Abingdon: R</w:t>
      </w:r>
      <w:r w:rsidRPr="009D21A5">
        <w:rPr>
          <w:sz w:val="24"/>
          <w:szCs w:val="24"/>
        </w:rPr>
        <w:t xml:space="preserve">outledge </w:t>
      </w:r>
      <w:r>
        <w:rPr>
          <w:sz w:val="24"/>
          <w:szCs w:val="24"/>
        </w:rPr>
        <w:t>F</w:t>
      </w:r>
      <w:r w:rsidRPr="009D21A5">
        <w:rPr>
          <w:sz w:val="24"/>
          <w:szCs w:val="24"/>
        </w:rPr>
        <w:t>almer</w:t>
      </w:r>
      <w:r>
        <w:rPr>
          <w:sz w:val="24"/>
          <w:szCs w:val="24"/>
        </w:rPr>
        <w:t>.</w:t>
      </w:r>
    </w:p>
    <w:p w14:paraId="6D758BC7" w14:textId="16FC4B0C" w:rsidR="00B07FD3" w:rsidRPr="00B07FD3" w:rsidRDefault="00B07FD3" w:rsidP="00A517BE">
      <w:pPr>
        <w:spacing w:line="276" w:lineRule="auto"/>
        <w:rPr>
          <w:sz w:val="24"/>
          <w:szCs w:val="24"/>
        </w:rPr>
      </w:pPr>
      <w:r w:rsidRPr="00B07FD3">
        <w:rPr>
          <w:sz w:val="24"/>
          <w:szCs w:val="24"/>
        </w:rPr>
        <w:t xml:space="preserve">British Heart Foundation (2020) </w:t>
      </w:r>
      <w:r w:rsidRPr="00A517BE">
        <w:rPr>
          <w:i/>
          <w:iCs/>
          <w:sz w:val="24"/>
          <w:szCs w:val="24"/>
        </w:rPr>
        <w:t xml:space="preserve">10 </w:t>
      </w:r>
      <w:r w:rsidR="00A517BE" w:rsidRPr="00A517BE">
        <w:rPr>
          <w:i/>
          <w:iCs/>
          <w:sz w:val="24"/>
          <w:szCs w:val="24"/>
        </w:rPr>
        <w:t>T</w:t>
      </w:r>
      <w:r w:rsidRPr="00A517BE">
        <w:rPr>
          <w:i/>
          <w:iCs/>
          <w:sz w:val="24"/>
          <w:szCs w:val="24"/>
        </w:rPr>
        <w:t xml:space="preserve">ips for </w:t>
      </w:r>
      <w:r w:rsidR="00A517BE" w:rsidRPr="00A517BE">
        <w:rPr>
          <w:i/>
          <w:iCs/>
          <w:sz w:val="24"/>
          <w:szCs w:val="24"/>
        </w:rPr>
        <w:t>A</w:t>
      </w:r>
      <w:r w:rsidRPr="00A517BE">
        <w:rPr>
          <w:i/>
          <w:iCs/>
          <w:sz w:val="24"/>
          <w:szCs w:val="24"/>
        </w:rPr>
        <w:t xml:space="preserve">ctive </w:t>
      </w:r>
      <w:r w:rsidR="00A517BE" w:rsidRPr="00A517BE">
        <w:rPr>
          <w:i/>
          <w:iCs/>
          <w:sz w:val="24"/>
          <w:szCs w:val="24"/>
        </w:rPr>
        <w:t>L</w:t>
      </w:r>
      <w:r w:rsidRPr="00A517BE">
        <w:rPr>
          <w:i/>
          <w:iCs/>
          <w:sz w:val="24"/>
          <w:szCs w:val="24"/>
        </w:rPr>
        <w:t>istening</w:t>
      </w:r>
      <w:r w:rsidRPr="00B07FD3">
        <w:rPr>
          <w:sz w:val="24"/>
          <w:szCs w:val="24"/>
        </w:rPr>
        <w:t xml:space="preserve">. Available at: </w:t>
      </w:r>
      <w:r w:rsidRPr="00A517BE">
        <w:rPr>
          <w:sz w:val="24"/>
          <w:szCs w:val="24"/>
        </w:rPr>
        <w:t>https://www.bhf.org.uk/informationsupport/heart-matters-magazine/wellbeing/how-to-talk-about-health-problems/active-listening</w:t>
      </w:r>
      <w:r w:rsidRPr="00B07FD3">
        <w:rPr>
          <w:sz w:val="24"/>
          <w:szCs w:val="24"/>
        </w:rPr>
        <w:t xml:space="preserve"> (Accessed: 14 May 2020). </w:t>
      </w:r>
    </w:p>
    <w:p w14:paraId="518052D8" w14:textId="77777777" w:rsidR="00B07FD3" w:rsidRDefault="00B07FD3" w:rsidP="00A517BE">
      <w:pPr>
        <w:spacing w:line="276" w:lineRule="auto"/>
        <w:rPr>
          <w:sz w:val="24"/>
          <w:szCs w:val="24"/>
        </w:rPr>
      </w:pPr>
      <w:r w:rsidRPr="002B6DB2">
        <w:rPr>
          <w:sz w:val="24"/>
          <w:szCs w:val="24"/>
        </w:rPr>
        <w:t>Cheavens,</w:t>
      </w:r>
      <w:r>
        <w:rPr>
          <w:sz w:val="24"/>
          <w:szCs w:val="24"/>
        </w:rPr>
        <w:t xml:space="preserve"> J. et al. </w:t>
      </w:r>
      <w:r w:rsidRPr="002B6DB2">
        <w:rPr>
          <w:sz w:val="24"/>
          <w:szCs w:val="24"/>
        </w:rPr>
        <w:t xml:space="preserve">(2019) </w:t>
      </w:r>
      <w:r>
        <w:rPr>
          <w:sz w:val="24"/>
          <w:szCs w:val="24"/>
        </w:rPr>
        <w:t>‘</w:t>
      </w:r>
      <w:r w:rsidRPr="002B6DB2">
        <w:rPr>
          <w:sz w:val="24"/>
          <w:szCs w:val="24"/>
        </w:rPr>
        <w:t xml:space="preserve">Hope, </w:t>
      </w:r>
      <w:r>
        <w:rPr>
          <w:sz w:val="24"/>
          <w:szCs w:val="24"/>
        </w:rPr>
        <w:t>G</w:t>
      </w:r>
      <w:r w:rsidRPr="002B6DB2">
        <w:rPr>
          <w:sz w:val="24"/>
          <w:szCs w:val="24"/>
        </w:rPr>
        <w:t xml:space="preserve">oals, and </w:t>
      </w:r>
      <w:r>
        <w:rPr>
          <w:sz w:val="24"/>
          <w:szCs w:val="24"/>
        </w:rPr>
        <w:t>P</w:t>
      </w:r>
      <w:r w:rsidRPr="002B6DB2">
        <w:rPr>
          <w:sz w:val="24"/>
          <w:szCs w:val="24"/>
        </w:rPr>
        <w:t xml:space="preserve">athways: Further </w:t>
      </w:r>
      <w:r>
        <w:rPr>
          <w:sz w:val="24"/>
          <w:szCs w:val="24"/>
        </w:rPr>
        <w:t>V</w:t>
      </w:r>
      <w:r w:rsidRPr="002B6DB2">
        <w:rPr>
          <w:sz w:val="24"/>
          <w:szCs w:val="24"/>
        </w:rPr>
        <w:t xml:space="preserve">alidating the </w:t>
      </w:r>
      <w:r>
        <w:rPr>
          <w:sz w:val="24"/>
          <w:szCs w:val="24"/>
        </w:rPr>
        <w:t>H</w:t>
      </w:r>
      <w:r w:rsidRPr="002B6DB2">
        <w:rPr>
          <w:sz w:val="24"/>
          <w:szCs w:val="24"/>
        </w:rPr>
        <w:t xml:space="preserve">ope </w:t>
      </w:r>
      <w:r>
        <w:rPr>
          <w:sz w:val="24"/>
          <w:szCs w:val="24"/>
        </w:rPr>
        <w:t>S</w:t>
      </w:r>
      <w:r w:rsidRPr="002B6DB2">
        <w:rPr>
          <w:sz w:val="24"/>
          <w:szCs w:val="24"/>
        </w:rPr>
        <w:t xml:space="preserve">cale with </w:t>
      </w:r>
      <w:r>
        <w:rPr>
          <w:sz w:val="24"/>
          <w:szCs w:val="24"/>
        </w:rPr>
        <w:t>O</w:t>
      </w:r>
      <w:r w:rsidRPr="002B6DB2">
        <w:rPr>
          <w:sz w:val="24"/>
          <w:szCs w:val="24"/>
        </w:rPr>
        <w:t xml:space="preserve">bserver </w:t>
      </w:r>
      <w:r>
        <w:rPr>
          <w:sz w:val="24"/>
          <w:szCs w:val="24"/>
        </w:rPr>
        <w:t>R</w:t>
      </w:r>
      <w:r w:rsidRPr="002B6DB2">
        <w:rPr>
          <w:sz w:val="24"/>
          <w:szCs w:val="24"/>
        </w:rPr>
        <w:t>atings</w:t>
      </w:r>
      <w:r>
        <w:rPr>
          <w:sz w:val="24"/>
          <w:szCs w:val="24"/>
        </w:rPr>
        <w:t>’</w:t>
      </w:r>
      <w:r w:rsidRPr="002B6DB2">
        <w:rPr>
          <w:sz w:val="24"/>
          <w:szCs w:val="24"/>
        </w:rPr>
        <w:t xml:space="preserve">, </w:t>
      </w:r>
      <w:r w:rsidRPr="00B03360">
        <w:rPr>
          <w:i/>
          <w:iCs/>
          <w:sz w:val="24"/>
          <w:szCs w:val="24"/>
        </w:rPr>
        <w:t>The Journal of Positive Psychology</w:t>
      </w:r>
      <w:r w:rsidRPr="002B6DB2">
        <w:rPr>
          <w:sz w:val="24"/>
          <w:szCs w:val="24"/>
        </w:rPr>
        <w:t>, 14</w:t>
      </w:r>
      <w:r>
        <w:rPr>
          <w:sz w:val="24"/>
          <w:szCs w:val="24"/>
        </w:rPr>
        <w:t>(4)</w:t>
      </w:r>
      <w:r w:rsidRPr="002B6DB2">
        <w:rPr>
          <w:sz w:val="24"/>
          <w:szCs w:val="24"/>
        </w:rPr>
        <w:t>,</w:t>
      </w:r>
      <w:r>
        <w:rPr>
          <w:sz w:val="24"/>
          <w:szCs w:val="24"/>
        </w:rPr>
        <w:t xml:space="preserve"> pp.</w:t>
      </w:r>
      <w:r w:rsidRPr="002B6DB2">
        <w:rPr>
          <w:sz w:val="24"/>
          <w:szCs w:val="24"/>
        </w:rPr>
        <w:t xml:space="preserve"> 452-462</w:t>
      </w:r>
      <w:r>
        <w:rPr>
          <w:sz w:val="24"/>
          <w:szCs w:val="24"/>
        </w:rPr>
        <w:t>.</w:t>
      </w:r>
      <w:r w:rsidRPr="002B6DB2">
        <w:rPr>
          <w:sz w:val="24"/>
          <w:szCs w:val="24"/>
        </w:rPr>
        <w:t xml:space="preserve"> DOI: 10.1080/17439760.2018.1484937</w:t>
      </w:r>
    </w:p>
    <w:p w14:paraId="42F7048E" w14:textId="2839A8FA" w:rsidR="00B07FD3" w:rsidRDefault="00B07FD3" w:rsidP="00A517BE">
      <w:pPr>
        <w:spacing w:line="276" w:lineRule="auto"/>
        <w:rPr>
          <w:sz w:val="24"/>
          <w:szCs w:val="24"/>
        </w:rPr>
      </w:pPr>
      <w:r>
        <w:rPr>
          <w:sz w:val="24"/>
          <w:szCs w:val="24"/>
        </w:rPr>
        <w:t xml:space="preserve">Indeed (2018) </w:t>
      </w:r>
      <w:r w:rsidRPr="00A517BE">
        <w:rPr>
          <w:i/>
          <w:iCs/>
          <w:sz w:val="24"/>
          <w:szCs w:val="24"/>
        </w:rPr>
        <w:t>Active Listening Skills: Definition and Examples</w:t>
      </w:r>
      <w:r>
        <w:rPr>
          <w:sz w:val="24"/>
          <w:szCs w:val="24"/>
        </w:rPr>
        <w:t xml:space="preserve">. Available at: </w:t>
      </w:r>
      <w:r w:rsidRPr="00A517BE">
        <w:rPr>
          <w:sz w:val="24"/>
          <w:szCs w:val="24"/>
        </w:rPr>
        <w:t>https://www.indeed.com/career-advice/career-development/active-listening-skills</w:t>
      </w:r>
      <w:r>
        <w:rPr>
          <w:sz w:val="24"/>
          <w:szCs w:val="24"/>
        </w:rPr>
        <w:t xml:space="preserve"> (Accessed 14 May 2020). </w:t>
      </w:r>
    </w:p>
    <w:p w14:paraId="19769E7E" w14:textId="70FC2FB0" w:rsidR="00B07FD3" w:rsidRPr="00A517BE" w:rsidRDefault="00B07FD3" w:rsidP="00A517BE">
      <w:pPr>
        <w:spacing w:line="276" w:lineRule="auto"/>
        <w:rPr>
          <w:sz w:val="24"/>
          <w:szCs w:val="24"/>
        </w:rPr>
      </w:pPr>
      <w:r w:rsidRPr="00A517BE">
        <w:rPr>
          <w:sz w:val="24"/>
          <w:szCs w:val="24"/>
        </w:rPr>
        <w:t xml:space="preserve">John Wiley and Sons (2020) </w:t>
      </w:r>
      <w:r w:rsidRPr="00A517BE">
        <w:rPr>
          <w:i/>
          <w:iCs/>
          <w:sz w:val="24"/>
          <w:szCs w:val="24"/>
        </w:rPr>
        <w:t>About Everything DiSC: Theory and Research.</w:t>
      </w:r>
      <w:r w:rsidRPr="00A517BE">
        <w:rPr>
          <w:sz w:val="24"/>
          <w:szCs w:val="24"/>
        </w:rPr>
        <w:t xml:space="preserve"> Available at: https://www.everythingdisc.co.uk/EverythingDiSC/media/SiteFiles/Assets/History/ED-UK-web-resources-aboutdisc.pdf (Accessed: 15 May 2020).</w:t>
      </w:r>
    </w:p>
    <w:p w14:paraId="76AB189E" w14:textId="4334E1C7" w:rsidR="00B07FD3" w:rsidRPr="00A517BE" w:rsidRDefault="00B07FD3" w:rsidP="00A517BE">
      <w:pPr>
        <w:spacing w:line="276" w:lineRule="auto"/>
        <w:rPr>
          <w:sz w:val="24"/>
          <w:szCs w:val="24"/>
        </w:rPr>
      </w:pPr>
      <w:r w:rsidRPr="00A517BE">
        <w:rPr>
          <w:sz w:val="24"/>
          <w:szCs w:val="24"/>
        </w:rPr>
        <w:t xml:space="preserve">Lewis, R. (2020) </w:t>
      </w:r>
      <w:r w:rsidRPr="00A517BE">
        <w:rPr>
          <w:i/>
          <w:iCs/>
          <w:sz w:val="24"/>
          <w:szCs w:val="24"/>
        </w:rPr>
        <w:t>Strengths and Weaknesses of your Mentoring Style</w:t>
      </w:r>
      <w:r w:rsidRPr="00A517BE">
        <w:rPr>
          <w:sz w:val="24"/>
          <w:szCs w:val="24"/>
        </w:rPr>
        <w:t xml:space="preserve">. Available at: http://www.mentoringnetwork.org.au/resources/strengths-and-weaknesses-of-your-mentoring-style/ (Accessed 15 May 2020). </w:t>
      </w:r>
    </w:p>
    <w:p w14:paraId="1CDC653B" w14:textId="7CECECD2" w:rsidR="00B07FD3" w:rsidRPr="00A517BE" w:rsidRDefault="00B07FD3" w:rsidP="00A517BE">
      <w:pPr>
        <w:spacing w:line="276" w:lineRule="auto"/>
        <w:rPr>
          <w:sz w:val="24"/>
          <w:szCs w:val="24"/>
        </w:rPr>
      </w:pPr>
      <w:r w:rsidRPr="00A517BE">
        <w:rPr>
          <w:sz w:val="24"/>
          <w:szCs w:val="24"/>
        </w:rPr>
        <w:t xml:space="preserve">National Center for Women and Information Technology (2020) </w:t>
      </w:r>
      <w:r w:rsidRPr="00A517BE">
        <w:rPr>
          <w:i/>
          <w:iCs/>
          <w:sz w:val="24"/>
          <w:szCs w:val="24"/>
        </w:rPr>
        <w:t>Mentoring Basics - A Mentor’s Guide to Success</w:t>
      </w:r>
      <w:r w:rsidRPr="00A517BE">
        <w:rPr>
          <w:sz w:val="24"/>
          <w:szCs w:val="24"/>
        </w:rPr>
        <w:t xml:space="preserve">. Available at: https://www.bc.edu/content/dam/files/centers/cwf/individuals/pdf/MentorGuide.pdf (Accessed: 14 May 2020). </w:t>
      </w:r>
    </w:p>
    <w:p w14:paraId="4E24376A" w14:textId="29472CDD" w:rsidR="00B07FD3" w:rsidRPr="00A517BE" w:rsidRDefault="00B07FD3" w:rsidP="00A517BE">
      <w:pPr>
        <w:spacing w:line="276" w:lineRule="auto"/>
        <w:rPr>
          <w:sz w:val="24"/>
          <w:szCs w:val="24"/>
        </w:rPr>
      </w:pPr>
      <w:r w:rsidRPr="00A517BE">
        <w:rPr>
          <w:sz w:val="24"/>
          <w:szCs w:val="24"/>
        </w:rPr>
        <w:t xml:space="preserve">Open University (2020a) </w:t>
      </w:r>
      <w:r w:rsidRPr="00A517BE">
        <w:rPr>
          <w:i/>
          <w:iCs/>
          <w:sz w:val="24"/>
          <w:szCs w:val="24"/>
        </w:rPr>
        <w:t>Effective communication in the Workplace</w:t>
      </w:r>
      <w:r w:rsidRPr="00A517BE">
        <w:rPr>
          <w:sz w:val="24"/>
          <w:szCs w:val="24"/>
        </w:rPr>
        <w:t xml:space="preserve">. Available at: https://www.open.edu/openlearn/ocw/mod/oucontent/view.php?id=87005&amp;section=2.3# (Accessed 14 May 2020). </w:t>
      </w:r>
    </w:p>
    <w:p w14:paraId="57D8CA60" w14:textId="66F475A0" w:rsidR="00B07FD3" w:rsidRPr="00A517BE" w:rsidRDefault="00B07FD3" w:rsidP="00A517BE">
      <w:pPr>
        <w:spacing w:line="276" w:lineRule="auto"/>
        <w:rPr>
          <w:sz w:val="24"/>
          <w:szCs w:val="24"/>
        </w:rPr>
      </w:pPr>
      <w:r w:rsidRPr="00A517BE">
        <w:rPr>
          <w:sz w:val="24"/>
          <w:szCs w:val="24"/>
        </w:rPr>
        <w:t xml:space="preserve">Porter, J. (2017) ‘Why You Should Make Time for Self-Reflection (Even If You Hate Doing It)’, </w:t>
      </w:r>
      <w:r w:rsidRPr="00A517BE">
        <w:rPr>
          <w:i/>
          <w:iCs/>
          <w:sz w:val="24"/>
          <w:szCs w:val="24"/>
        </w:rPr>
        <w:t>Harvard Business Review</w:t>
      </w:r>
      <w:r w:rsidRPr="00A517BE">
        <w:rPr>
          <w:sz w:val="24"/>
          <w:szCs w:val="24"/>
        </w:rPr>
        <w:t xml:space="preserve">, 21 March. Available at: https://hbr.org/2017/03/why-you-should-make-time-for-self-reflection-even-if-you-hate-doing-it (Accessed: 14 May 2020).  </w:t>
      </w:r>
    </w:p>
    <w:p w14:paraId="32D8A2FC" w14:textId="77777777" w:rsidR="00B07FD3" w:rsidRPr="00A517BE" w:rsidRDefault="00B07FD3" w:rsidP="00A517BE">
      <w:pPr>
        <w:spacing w:line="276" w:lineRule="auto"/>
        <w:rPr>
          <w:sz w:val="24"/>
          <w:szCs w:val="24"/>
        </w:rPr>
      </w:pPr>
      <w:r w:rsidRPr="00A517BE">
        <w:rPr>
          <w:sz w:val="24"/>
          <w:szCs w:val="24"/>
        </w:rPr>
        <w:t xml:space="preserve">Ragins, B. R., Cotton, J. L. and Miller, J. S. (2017) ‘Marginal Mentoring: The Effects Of Type Of Mentor, Quality Of Relationship, And Program Design On Work And Career Attitudes’, </w:t>
      </w:r>
      <w:r w:rsidRPr="00A517BE">
        <w:rPr>
          <w:i/>
          <w:iCs/>
          <w:sz w:val="24"/>
          <w:szCs w:val="24"/>
        </w:rPr>
        <w:t>Academy of Management Journal</w:t>
      </w:r>
      <w:r w:rsidRPr="00A517BE">
        <w:rPr>
          <w:sz w:val="24"/>
          <w:szCs w:val="24"/>
        </w:rPr>
        <w:t>, 43 (6) DOI: 10.5465/1556344</w:t>
      </w:r>
    </w:p>
    <w:p w14:paraId="3BF17CC8" w14:textId="0B23EEAC" w:rsidR="00B07FD3" w:rsidRDefault="00B07FD3" w:rsidP="00A517BE">
      <w:pPr>
        <w:spacing w:line="276" w:lineRule="auto"/>
        <w:rPr>
          <w:sz w:val="24"/>
          <w:szCs w:val="24"/>
        </w:rPr>
      </w:pPr>
      <w:r w:rsidRPr="00A517BE">
        <w:rPr>
          <w:sz w:val="24"/>
          <w:szCs w:val="24"/>
        </w:rPr>
        <w:lastRenderedPageBreak/>
        <w:t xml:space="preserve">University of California (2016) </w:t>
      </w:r>
      <w:r w:rsidRPr="00A517BE">
        <w:rPr>
          <w:i/>
          <w:iCs/>
          <w:sz w:val="24"/>
          <w:szCs w:val="24"/>
        </w:rPr>
        <w:t>SMART Goals: A How to Guide</w:t>
      </w:r>
      <w:r w:rsidRPr="00A517BE">
        <w:rPr>
          <w:sz w:val="24"/>
          <w:szCs w:val="24"/>
        </w:rPr>
        <w:t>. Available at: https://www.ucop.edu/local-human-resources/_files/performance-appraisal/How%20to%20write%20SMART%20Goals%20v2.pdf (Accessed: 1</w:t>
      </w:r>
      <w:r>
        <w:rPr>
          <w:sz w:val="24"/>
          <w:szCs w:val="24"/>
        </w:rPr>
        <w:t xml:space="preserve">4 May 2020). </w:t>
      </w:r>
    </w:p>
    <w:sectPr w:rsidR="00B07FD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A34A39" w14:textId="77777777" w:rsidR="001F6564" w:rsidRDefault="001F6564" w:rsidP="006D5A5F">
      <w:pPr>
        <w:spacing w:after="0" w:line="240" w:lineRule="auto"/>
      </w:pPr>
      <w:r>
        <w:separator/>
      </w:r>
    </w:p>
  </w:endnote>
  <w:endnote w:type="continuationSeparator" w:id="0">
    <w:p w14:paraId="25635669" w14:textId="77777777" w:rsidR="001F6564" w:rsidRDefault="001F6564" w:rsidP="006D5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3BBC9" w14:textId="5665A004" w:rsidR="006D5A5F" w:rsidRDefault="006D5A5F">
    <w:pPr>
      <w:pStyle w:val="Footer"/>
    </w:pPr>
    <w:r w:rsidRPr="006D5A5F">
      <w:t>BMHP6012</w:t>
    </w:r>
    <w:r>
      <w:t xml:space="preserve">: </w:t>
    </w:r>
    <w:r w:rsidRPr="006D5A5F">
      <w:t>Continued Professional Development</w:t>
    </w:r>
    <w:r>
      <w:tab/>
    </w:r>
    <w:r>
      <w:tab/>
      <w:t>Assignment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8ECCA0" w14:textId="77777777" w:rsidR="001F6564" w:rsidRDefault="001F6564" w:rsidP="006D5A5F">
      <w:pPr>
        <w:spacing w:after="0" w:line="240" w:lineRule="auto"/>
      </w:pPr>
      <w:r>
        <w:separator/>
      </w:r>
    </w:p>
  </w:footnote>
  <w:footnote w:type="continuationSeparator" w:id="0">
    <w:p w14:paraId="2C8958D0" w14:textId="77777777" w:rsidR="001F6564" w:rsidRDefault="001F6564" w:rsidP="006D5A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FCC125" w14:textId="7AC2997E" w:rsidR="006D5A5F" w:rsidRDefault="006D5A5F">
    <w:pPr>
      <w:pStyle w:val="Header"/>
    </w:pPr>
    <w:r>
      <w:t>Astra Kesans-Parkin</w:t>
    </w:r>
    <w:r>
      <w:tab/>
    </w:r>
    <w:r>
      <w:tab/>
      <w:t>1704225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357"/>
    <w:rsid w:val="00093A29"/>
    <w:rsid w:val="001A376B"/>
    <w:rsid w:val="001B3357"/>
    <w:rsid w:val="001D71D7"/>
    <w:rsid w:val="001F6564"/>
    <w:rsid w:val="002A047B"/>
    <w:rsid w:val="002B6DB2"/>
    <w:rsid w:val="00353D22"/>
    <w:rsid w:val="00393343"/>
    <w:rsid w:val="003F7040"/>
    <w:rsid w:val="00431AEE"/>
    <w:rsid w:val="00490F5F"/>
    <w:rsid w:val="00563320"/>
    <w:rsid w:val="00573602"/>
    <w:rsid w:val="006107A7"/>
    <w:rsid w:val="00654A54"/>
    <w:rsid w:val="006D5A5F"/>
    <w:rsid w:val="00744A26"/>
    <w:rsid w:val="007F0485"/>
    <w:rsid w:val="008133FA"/>
    <w:rsid w:val="008A54CB"/>
    <w:rsid w:val="008D66DA"/>
    <w:rsid w:val="008E754F"/>
    <w:rsid w:val="009D21A5"/>
    <w:rsid w:val="00A517BE"/>
    <w:rsid w:val="00A77077"/>
    <w:rsid w:val="00B03360"/>
    <w:rsid w:val="00B07FD3"/>
    <w:rsid w:val="00B11732"/>
    <w:rsid w:val="00BE61B7"/>
    <w:rsid w:val="00C13B62"/>
    <w:rsid w:val="00C351DB"/>
    <w:rsid w:val="00CE0134"/>
    <w:rsid w:val="00D726E0"/>
    <w:rsid w:val="00D772FC"/>
    <w:rsid w:val="00D94D7F"/>
    <w:rsid w:val="00DD3CCF"/>
    <w:rsid w:val="00DE410A"/>
    <w:rsid w:val="00F220DB"/>
    <w:rsid w:val="00FF3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33E28"/>
  <w15:chartTrackingRefBased/>
  <w15:docId w15:val="{C179CD25-9B22-471E-89F3-03942F430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71D7"/>
    <w:rPr>
      <w:color w:val="0000FF"/>
      <w:u w:val="single"/>
    </w:rPr>
  </w:style>
  <w:style w:type="character" w:styleId="CommentReference">
    <w:name w:val="annotation reference"/>
    <w:basedOn w:val="DefaultParagraphFont"/>
    <w:uiPriority w:val="99"/>
    <w:semiHidden/>
    <w:unhideWhenUsed/>
    <w:rsid w:val="001D71D7"/>
    <w:rPr>
      <w:sz w:val="16"/>
      <w:szCs w:val="16"/>
    </w:rPr>
  </w:style>
  <w:style w:type="paragraph" w:styleId="CommentText">
    <w:name w:val="annotation text"/>
    <w:basedOn w:val="Normal"/>
    <w:link w:val="CommentTextChar"/>
    <w:uiPriority w:val="99"/>
    <w:semiHidden/>
    <w:unhideWhenUsed/>
    <w:rsid w:val="001D71D7"/>
    <w:pPr>
      <w:spacing w:line="240" w:lineRule="auto"/>
    </w:pPr>
    <w:rPr>
      <w:sz w:val="20"/>
      <w:szCs w:val="20"/>
    </w:rPr>
  </w:style>
  <w:style w:type="character" w:customStyle="1" w:styleId="CommentTextChar">
    <w:name w:val="Comment Text Char"/>
    <w:basedOn w:val="DefaultParagraphFont"/>
    <w:link w:val="CommentText"/>
    <w:uiPriority w:val="99"/>
    <w:semiHidden/>
    <w:rsid w:val="001D71D7"/>
    <w:rPr>
      <w:sz w:val="20"/>
      <w:szCs w:val="20"/>
    </w:rPr>
  </w:style>
  <w:style w:type="paragraph" w:styleId="CommentSubject">
    <w:name w:val="annotation subject"/>
    <w:basedOn w:val="CommentText"/>
    <w:next w:val="CommentText"/>
    <w:link w:val="CommentSubjectChar"/>
    <w:uiPriority w:val="99"/>
    <w:semiHidden/>
    <w:unhideWhenUsed/>
    <w:rsid w:val="001D71D7"/>
    <w:rPr>
      <w:b/>
      <w:bCs/>
    </w:rPr>
  </w:style>
  <w:style w:type="character" w:customStyle="1" w:styleId="CommentSubjectChar">
    <w:name w:val="Comment Subject Char"/>
    <w:basedOn w:val="CommentTextChar"/>
    <w:link w:val="CommentSubject"/>
    <w:uiPriority w:val="99"/>
    <w:semiHidden/>
    <w:rsid w:val="001D71D7"/>
    <w:rPr>
      <w:b/>
      <w:bCs/>
      <w:sz w:val="20"/>
      <w:szCs w:val="20"/>
    </w:rPr>
  </w:style>
  <w:style w:type="paragraph" w:styleId="BalloonText">
    <w:name w:val="Balloon Text"/>
    <w:basedOn w:val="Normal"/>
    <w:link w:val="BalloonTextChar"/>
    <w:uiPriority w:val="99"/>
    <w:semiHidden/>
    <w:unhideWhenUsed/>
    <w:rsid w:val="001D71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71D7"/>
    <w:rPr>
      <w:rFonts w:ascii="Segoe UI" w:hAnsi="Segoe UI" w:cs="Segoe UI"/>
      <w:sz w:val="18"/>
      <w:szCs w:val="18"/>
    </w:rPr>
  </w:style>
  <w:style w:type="paragraph" w:styleId="Header">
    <w:name w:val="header"/>
    <w:basedOn w:val="Normal"/>
    <w:link w:val="HeaderChar"/>
    <w:uiPriority w:val="99"/>
    <w:unhideWhenUsed/>
    <w:rsid w:val="006D5A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A5F"/>
  </w:style>
  <w:style w:type="paragraph" w:styleId="Footer">
    <w:name w:val="footer"/>
    <w:basedOn w:val="Normal"/>
    <w:link w:val="FooterChar"/>
    <w:uiPriority w:val="99"/>
    <w:unhideWhenUsed/>
    <w:rsid w:val="006D5A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A5F"/>
  </w:style>
  <w:style w:type="character" w:styleId="FollowedHyperlink">
    <w:name w:val="FollowedHyperlink"/>
    <w:basedOn w:val="DefaultParagraphFont"/>
    <w:uiPriority w:val="99"/>
    <w:semiHidden/>
    <w:unhideWhenUsed/>
    <w:rsid w:val="00C351DB"/>
    <w:rPr>
      <w:color w:val="954F72" w:themeColor="followedHyperlink"/>
      <w:u w:val="single"/>
    </w:rPr>
  </w:style>
  <w:style w:type="character" w:styleId="UnresolvedMention">
    <w:name w:val="Unresolved Mention"/>
    <w:basedOn w:val="DefaultParagraphFont"/>
    <w:uiPriority w:val="99"/>
    <w:semiHidden/>
    <w:unhideWhenUsed/>
    <w:rsid w:val="00654A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812550">
      <w:bodyDiv w:val="1"/>
      <w:marLeft w:val="0"/>
      <w:marRight w:val="0"/>
      <w:marTop w:val="0"/>
      <w:marBottom w:val="0"/>
      <w:divBdr>
        <w:top w:val="none" w:sz="0" w:space="0" w:color="auto"/>
        <w:left w:val="none" w:sz="0" w:space="0" w:color="auto"/>
        <w:bottom w:val="none" w:sz="0" w:space="0" w:color="auto"/>
        <w:right w:val="none" w:sz="0" w:space="0" w:color="auto"/>
      </w:divBdr>
      <w:divsChild>
        <w:div w:id="1949312603">
          <w:marLeft w:val="0"/>
          <w:marRight w:val="0"/>
          <w:marTop w:val="225"/>
          <w:marBottom w:val="0"/>
          <w:divBdr>
            <w:top w:val="none" w:sz="0" w:space="0" w:color="auto"/>
            <w:left w:val="none" w:sz="0" w:space="0" w:color="auto"/>
            <w:bottom w:val="none" w:sz="0" w:space="0" w:color="auto"/>
            <w:right w:val="none" w:sz="0" w:space="0" w:color="auto"/>
          </w:divBdr>
        </w:div>
        <w:div w:id="1455445983">
          <w:marLeft w:val="0"/>
          <w:marRight w:val="0"/>
          <w:marTop w:val="0"/>
          <w:marBottom w:val="120"/>
          <w:divBdr>
            <w:top w:val="none" w:sz="0" w:space="0" w:color="auto"/>
            <w:left w:val="none" w:sz="0" w:space="0" w:color="auto"/>
            <w:bottom w:val="none" w:sz="0" w:space="0" w:color="auto"/>
            <w:right w:val="none" w:sz="0" w:space="0" w:color="auto"/>
          </w:divBdr>
          <w:divsChild>
            <w:div w:id="1404599737">
              <w:marLeft w:val="0"/>
              <w:marRight w:val="0"/>
              <w:marTop w:val="0"/>
              <w:marBottom w:val="0"/>
              <w:divBdr>
                <w:top w:val="none" w:sz="0" w:space="0" w:color="auto"/>
                <w:left w:val="none" w:sz="0" w:space="0" w:color="auto"/>
                <w:bottom w:val="none" w:sz="0" w:space="0" w:color="auto"/>
                <w:right w:val="none" w:sz="0" w:space="0" w:color="auto"/>
              </w:divBdr>
              <w:divsChild>
                <w:div w:id="1955020456">
                  <w:marLeft w:val="0"/>
                  <w:marRight w:val="0"/>
                  <w:marTop w:val="0"/>
                  <w:marBottom w:val="0"/>
                  <w:divBdr>
                    <w:top w:val="none" w:sz="0" w:space="0" w:color="auto"/>
                    <w:left w:val="none" w:sz="0" w:space="0" w:color="auto"/>
                    <w:bottom w:val="none" w:sz="0" w:space="0" w:color="auto"/>
                    <w:right w:val="none" w:sz="0" w:space="0" w:color="auto"/>
                  </w:divBdr>
                  <w:divsChild>
                    <w:div w:id="1013534104">
                      <w:marLeft w:val="0"/>
                      <w:marRight w:val="0"/>
                      <w:marTop w:val="0"/>
                      <w:marBottom w:val="0"/>
                      <w:divBdr>
                        <w:top w:val="none" w:sz="0" w:space="0" w:color="auto"/>
                        <w:left w:val="none" w:sz="0" w:space="0" w:color="auto"/>
                        <w:bottom w:val="none" w:sz="0" w:space="0" w:color="auto"/>
                        <w:right w:val="none" w:sz="0" w:space="0" w:color="auto"/>
                      </w:divBdr>
                    </w:div>
                    <w:div w:id="1896895249">
                      <w:marLeft w:val="0"/>
                      <w:marRight w:val="0"/>
                      <w:marTop w:val="0"/>
                      <w:marBottom w:val="0"/>
                      <w:divBdr>
                        <w:top w:val="none" w:sz="0" w:space="0" w:color="auto"/>
                        <w:left w:val="none" w:sz="0" w:space="0" w:color="auto"/>
                        <w:bottom w:val="none" w:sz="0" w:space="0" w:color="auto"/>
                        <w:right w:val="none" w:sz="0" w:space="0" w:color="auto"/>
                      </w:divBdr>
                    </w:div>
                    <w:div w:id="158363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321711">
          <w:marLeft w:val="0"/>
          <w:marRight w:val="0"/>
          <w:marTop w:val="225"/>
          <w:marBottom w:val="600"/>
          <w:divBdr>
            <w:top w:val="none" w:sz="0" w:space="0" w:color="auto"/>
            <w:left w:val="none" w:sz="0" w:space="0" w:color="auto"/>
            <w:bottom w:val="none" w:sz="0" w:space="0" w:color="auto"/>
            <w:right w:val="none" w:sz="0" w:space="0" w:color="auto"/>
          </w:divBdr>
        </w:div>
      </w:divsChild>
    </w:div>
    <w:div w:id="588464322">
      <w:bodyDiv w:val="1"/>
      <w:marLeft w:val="0"/>
      <w:marRight w:val="0"/>
      <w:marTop w:val="0"/>
      <w:marBottom w:val="0"/>
      <w:divBdr>
        <w:top w:val="none" w:sz="0" w:space="0" w:color="auto"/>
        <w:left w:val="none" w:sz="0" w:space="0" w:color="auto"/>
        <w:bottom w:val="none" w:sz="0" w:space="0" w:color="auto"/>
        <w:right w:val="none" w:sz="0" w:space="0" w:color="auto"/>
      </w:divBdr>
    </w:div>
    <w:div w:id="686521853">
      <w:bodyDiv w:val="1"/>
      <w:marLeft w:val="0"/>
      <w:marRight w:val="0"/>
      <w:marTop w:val="0"/>
      <w:marBottom w:val="0"/>
      <w:divBdr>
        <w:top w:val="none" w:sz="0" w:space="0" w:color="auto"/>
        <w:left w:val="none" w:sz="0" w:space="0" w:color="auto"/>
        <w:bottom w:val="none" w:sz="0" w:space="0" w:color="auto"/>
        <w:right w:val="none" w:sz="0" w:space="0" w:color="auto"/>
      </w:divBdr>
    </w:div>
    <w:div w:id="837843196">
      <w:bodyDiv w:val="1"/>
      <w:marLeft w:val="0"/>
      <w:marRight w:val="0"/>
      <w:marTop w:val="0"/>
      <w:marBottom w:val="0"/>
      <w:divBdr>
        <w:top w:val="none" w:sz="0" w:space="0" w:color="auto"/>
        <w:left w:val="none" w:sz="0" w:space="0" w:color="auto"/>
        <w:bottom w:val="none" w:sz="0" w:space="0" w:color="auto"/>
        <w:right w:val="none" w:sz="0" w:space="0" w:color="auto"/>
      </w:divBdr>
    </w:div>
    <w:div w:id="1297100775">
      <w:bodyDiv w:val="1"/>
      <w:marLeft w:val="0"/>
      <w:marRight w:val="0"/>
      <w:marTop w:val="0"/>
      <w:marBottom w:val="0"/>
      <w:divBdr>
        <w:top w:val="none" w:sz="0" w:space="0" w:color="auto"/>
        <w:left w:val="none" w:sz="0" w:space="0" w:color="auto"/>
        <w:bottom w:val="none" w:sz="0" w:space="0" w:color="auto"/>
        <w:right w:val="none" w:sz="0" w:space="0" w:color="auto"/>
      </w:divBdr>
    </w:div>
    <w:div w:id="1941329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5569</TotalTime>
  <Pages>6</Pages>
  <Words>1454</Words>
  <Characters>8289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Astra Kesans-parkin (1704225)</dc:creator>
  <cp:keywords/>
  <dc:description/>
  <cp:lastModifiedBy>Astra Kesans-parkin (1704225)</cp:lastModifiedBy>
  <cp:revision>14</cp:revision>
  <dcterms:created xsi:type="dcterms:W3CDTF">2020-05-12T14:19:00Z</dcterms:created>
  <dcterms:modified xsi:type="dcterms:W3CDTF">2020-05-16T15:47:00Z</dcterms:modified>
</cp:coreProperties>
</file>