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3442DA" w14:textId="77777777" w:rsidR="003D5115" w:rsidRPr="005D730A" w:rsidRDefault="003D5115" w:rsidP="005779DE">
      <w:pPr>
        <w:spacing w:line="360" w:lineRule="auto"/>
        <w:rPr>
          <w:b/>
          <w:bCs/>
        </w:rPr>
      </w:pPr>
      <w:r w:rsidRPr="005D730A">
        <w:rPr>
          <w:b/>
          <w:bCs/>
        </w:rPr>
        <w:t>Artificial</w:t>
      </w:r>
      <w:r w:rsidR="00396266" w:rsidRPr="005D730A">
        <w:rPr>
          <w:b/>
          <w:bCs/>
        </w:rPr>
        <w:t xml:space="preserve"> Intelligence declaration</w:t>
      </w:r>
      <w:r w:rsidRPr="005D730A">
        <w:rPr>
          <w:b/>
          <w:bCs/>
        </w:rPr>
        <w:t>.</w:t>
      </w:r>
    </w:p>
    <w:p w14:paraId="412270FA" w14:textId="1D512A60" w:rsidR="00F55EBD" w:rsidRDefault="005D730A" w:rsidP="005779DE">
      <w:pPr>
        <w:spacing w:line="360" w:lineRule="auto"/>
        <w:rPr>
          <w:b/>
          <w:bCs/>
        </w:rPr>
      </w:pPr>
      <w:r w:rsidRPr="005D730A">
        <w:rPr>
          <w:b/>
          <w:bCs/>
        </w:rPr>
        <w:t xml:space="preserve">I can confirm that this academic work </w:t>
      </w:r>
      <w:r w:rsidR="00905BC5">
        <w:rPr>
          <w:b/>
          <w:bCs/>
        </w:rPr>
        <w:t>utilised</w:t>
      </w:r>
      <w:r w:rsidRPr="005D730A">
        <w:rPr>
          <w:b/>
          <w:bCs/>
        </w:rPr>
        <w:t xml:space="preserve"> AI tools such as Grammarly</w:t>
      </w:r>
      <w:r w:rsidR="00102CDC">
        <w:rPr>
          <w:b/>
          <w:bCs/>
        </w:rPr>
        <w:t xml:space="preserve"> Pro</w:t>
      </w:r>
      <w:r w:rsidRPr="005D730A">
        <w:rPr>
          <w:b/>
          <w:bCs/>
        </w:rPr>
        <w:t xml:space="preserve"> and Microsoft Co-Pilot. These applications assisted with </w:t>
      </w:r>
      <w:r w:rsidR="007755F6">
        <w:rPr>
          <w:b/>
          <w:bCs/>
        </w:rPr>
        <w:t>gr</w:t>
      </w:r>
      <w:r w:rsidR="00C66F5E">
        <w:rPr>
          <w:b/>
          <w:bCs/>
        </w:rPr>
        <w:t>ammar</w:t>
      </w:r>
      <w:r w:rsidRPr="005D730A">
        <w:rPr>
          <w:b/>
          <w:bCs/>
        </w:rPr>
        <w:t xml:space="preserve">, paragraph </w:t>
      </w:r>
      <w:r w:rsidR="00905BC5">
        <w:rPr>
          <w:b/>
          <w:bCs/>
        </w:rPr>
        <w:t>organisation</w:t>
      </w:r>
      <w:r w:rsidRPr="005D730A">
        <w:rPr>
          <w:b/>
          <w:bCs/>
        </w:rPr>
        <w:t xml:space="preserve">, and overall </w:t>
      </w:r>
      <w:r w:rsidR="00C66F5E">
        <w:rPr>
          <w:b/>
          <w:bCs/>
        </w:rPr>
        <w:t xml:space="preserve">structure, in line </w:t>
      </w:r>
      <w:r w:rsidR="0043406C">
        <w:rPr>
          <w:b/>
          <w:bCs/>
        </w:rPr>
        <w:t>with my compensatory measures.</w:t>
      </w:r>
    </w:p>
    <w:p w14:paraId="7CECB434" w14:textId="02942F31" w:rsidR="000F17B0" w:rsidRPr="000F17B0" w:rsidRDefault="000F17B0" w:rsidP="000F17B0">
      <w:pPr>
        <w:tabs>
          <w:tab w:val="left" w:pos="4253"/>
        </w:tabs>
        <w:spacing w:line="360" w:lineRule="auto"/>
        <w:rPr>
          <w:b/>
          <w:bCs/>
        </w:rPr>
      </w:pPr>
      <w:r w:rsidRPr="000F17B0">
        <w:rPr>
          <w:b/>
          <w:bCs/>
        </w:rPr>
        <w:t xml:space="preserve">I acknowledge the use of </w:t>
      </w:r>
      <w:r w:rsidR="00C817E1">
        <w:rPr>
          <w:b/>
          <w:bCs/>
        </w:rPr>
        <w:t>Grammarly</w:t>
      </w:r>
      <w:r w:rsidR="00A47BC9">
        <w:rPr>
          <w:b/>
          <w:bCs/>
        </w:rPr>
        <w:t xml:space="preserve"> </w:t>
      </w:r>
      <w:r w:rsidR="00E831F1">
        <w:rPr>
          <w:b/>
          <w:bCs/>
        </w:rPr>
        <w:t>Pro</w:t>
      </w:r>
      <w:r w:rsidR="00E831F1" w:rsidRPr="000F17B0">
        <w:rPr>
          <w:b/>
          <w:bCs/>
        </w:rPr>
        <w:t xml:space="preserve"> </w:t>
      </w:r>
      <w:r w:rsidR="004A448A">
        <w:rPr>
          <w:b/>
          <w:bCs/>
        </w:rPr>
        <w:t xml:space="preserve">from </w:t>
      </w:r>
      <w:r w:rsidR="00E67A29">
        <w:rPr>
          <w:b/>
          <w:bCs/>
        </w:rPr>
        <w:t xml:space="preserve">between the dates of </w:t>
      </w:r>
      <w:r w:rsidR="00DE75AD">
        <w:rPr>
          <w:b/>
          <w:bCs/>
        </w:rPr>
        <w:t>22/07/2025</w:t>
      </w:r>
      <w:r w:rsidR="00AF30F9">
        <w:rPr>
          <w:b/>
          <w:bCs/>
        </w:rPr>
        <w:t xml:space="preserve"> to </w:t>
      </w:r>
      <w:r w:rsidR="008763DC">
        <w:rPr>
          <w:b/>
          <w:bCs/>
        </w:rPr>
        <w:t>….</w:t>
      </w:r>
      <w:r w:rsidR="004A448A">
        <w:rPr>
          <w:b/>
          <w:bCs/>
        </w:rPr>
        <w:t xml:space="preserve"> </w:t>
      </w:r>
      <w:r w:rsidRPr="000F17B0">
        <w:rPr>
          <w:b/>
          <w:bCs/>
        </w:rPr>
        <w:t xml:space="preserve"> to </w:t>
      </w:r>
      <w:r w:rsidR="00AF30F9">
        <w:rPr>
          <w:b/>
          <w:bCs/>
        </w:rPr>
        <w:t>proofread my work</w:t>
      </w:r>
      <w:r w:rsidR="000B6164">
        <w:rPr>
          <w:b/>
          <w:bCs/>
        </w:rPr>
        <w:t>.</w:t>
      </w:r>
      <w:r w:rsidRPr="000F17B0">
        <w:rPr>
          <w:b/>
          <w:bCs/>
        </w:rPr>
        <w:t xml:space="preserve"> I used the prompt(s): </w:t>
      </w:r>
    </w:p>
    <w:p w14:paraId="11C86993" w14:textId="51E4B2AD" w:rsidR="000F17B0" w:rsidRPr="000F17B0" w:rsidRDefault="000F17B0" w:rsidP="000F17B0">
      <w:pPr>
        <w:tabs>
          <w:tab w:val="left" w:pos="4253"/>
        </w:tabs>
        <w:spacing w:line="360" w:lineRule="auto"/>
        <w:rPr>
          <w:b/>
          <w:bCs/>
        </w:rPr>
      </w:pPr>
      <w:r w:rsidRPr="000F17B0">
        <w:rPr>
          <w:b/>
          <w:bCs/>
        </w:rPr>
        <w:t>1. (https://www.grammarly.com/) on 10 February 202</w:t>
      </w:r>
      <w:r w:rsidR="00680992">
        <w:rPr>
          <w:b/>
          <w:bCs/>
        </w:rPr>
        <w:t>6</w:t>
      </w:r>
      <w:r w:rsidRPr="000F17B0">
        <w:rPr>
          <w:b/>
          <w:bCs/>
        </w:rPr>
        <w:t xml:space="preserve"> to check my work using the prompt(s): </w:t>
      </w:r>
    </w:p>
    <w:p w14:paraId="1FCA364A" w14:textId="64ED88A8" w:rsidR="000F17B0" w:rsidRPr="000F17B0" w:rsidRDefault="000F17B0" w:rsidP="000F17B0">
      <w:pPr>
        <w:tabs>
          <w:tab w:val="left" w:pos="4253"/>
        </w:tabs>
        <w:spacing w:line="360" w:lineRule="auto"/>
        <w:rPr>
          <w:b/>
          <w:bCs/>
        </w:rPr>
      </w:pPr>
      <w:r w:rsidRPr="000F17B0">
        <w:t xml:space="preserve">1. Please </w:t>
      </w:r>
      <w:r w:rsidRPr="000F17B0">
        <w:rPr>
          <w:b/>
          <w:bCs/>
        </w:rPr>
        <w:t>check</w:t>
      </w:r>
      <w:r w:rsidRPr="000F17B0">
        <w:t xml:space="preserve"> the following text for </w:t>
      </w:r>
      <w:r w:rsidRPr="000F17B0">
        <w:rPr>
          <w:b/>
          <w:bCs/>
        </w:rPr>
        <w:t xml:space="preserve">readability, </w:t>
      </w:r>
      <w:r w:rsidR="00942A9B" w:rsidRPr="000F17B0">
        <w:rPr>
          <w:b/>
          <w:bCs/>
        </w:rPr>
        <w:t>grammar,</w:t>
      </w:r>
      <w:r w:rsidRPr="000F17B0">
        <w:rPr>
          <w:b/>
          <w:bCs/>
        </w:rPr>
        <w:t xml:space="preserve"> and syntax</w:t>
      </w:r>
      <w:r w:rsidR="007509E5" w:rsidRPr="008763DC">
        <w:rPr>
          <w:b/>
          <w:bCs/>
        </w:rPr>
        <w:t xml:space="preserve"> without changing the content.</w:t>
      </w:r>
    </w:p>
    <w:p w14:paraId="2B91710D" w14:textId="2904648A" w:rsidR="000F17B0" w:rsidRPr="008763DC" w:rsidRDefault="000F17B0" w:rsidP="000F17B0">
      <w:pPr>
        <w:tabs>
          <w:tab w:val="left" w:pos="4253"/>
        </w:tabs>
        <w:spacing w:line="360" w:lineRule="auto"/>
        <w:rPr>
          <w:b/>
          <w:bCs/>
        </w:rPr>
      </w:pPr>
      <w:r w:rsidRPr="000F17B0">
        <w:t xml:space="preserve">2. </w:t>
      </w:r>
      <w:r w:rsidR="0068795E" w:rsidRPr="008763DC">
        <w:t xml:space="preserve">Please </w:t>
      </w:r>
      <w:r w:rsidR="00B66B02" w:rsidRPr="008763DC">
        <w:rPr>
          <w:b/>
          <w:bCs/>
        </w:rPr>
        <w:t>proofread</w:t>
      </w:r>
      <w:r w:rsidR="004439ED" w:rsidRPr="008763DC">
        <w:t xml:space="preserve"> the text for spelling, </w:t>
      </w:r>
      <w:r w:rsidR="00942A9B" w:rsidRPr="008763DC">
        <w:t>grammar,</w:t>
      </w:r>
      <w:r w:rsidR="00B66B02" w:rsidRPr="008763DC">
        <w:t xml:space="preserve"> and readability</w:t>
      </w:r>
      <w:r w:rsidR="007509E5" w:rsidRPr="008763DC">
        <w:t xml:space="preserve"> </w:t>
      </w:r>
      <w:r w:rsidR="007509E5" w:rsidRPr="008763DC">
        <w:rPr>
          <w:b/>
          <w:bCs/>
        </w:rPr>
        <w:t>without changing the content.</w:t>
      </w:r>
    </w:p>
    <w:p w14:paraId="4847A91B" w14:textId="3D04F4E4" w:rsidR="003E5857" w:rsidRDefault="00ED42FA" w:rsidP="000F17B0">
      <w:pPr>
        <w:tabs>
          <w:tab w:val="left" w:pos="4253"/>
        </w:tabs>
        <w:spacing w:line="360" w:lineRule="auto"/>
        <w:rPr>
          <w:b/>
          <w:bCs/>
        </w:rPr>
      </w:pPr>
      <w:r w:rsidRPr="008763DC">
        <w:t xml:space="preserve">3. </w:t>
      </w:r>
      <w:r w:rsidR="00B66B02" w:rsidRPr="008763DC">
        <w:t xml:space="preserve">Please </w:t>
      </w:r>
      <w:r w:rsidR="00B66B02" w:rsidRPr="008763DC">
        <w:rPr>
          <w:b/>
          <w:bCs/>
        </w:rPr>
        <w:t>summarize</w:t>
      </w:r>
      <w:r w:rsidR="00B66B02" w:rsidRPr="008763DC">
        <w:t xml:space="preserve"> </w:t>
      </w:r>
      <w:r w:rsidR="003E5857" w:rsidRPr="008763DC">
        <w:t xml:space="preserve">the text </w:t>
      </w:r>
      <w:r w:rsidR="00A007B5" w:rsidRPr="008763DC">
        <w:t>(intro</w:t>
      </w:r>
      <w:r w:rsidR="007509E5" w:rsidRPr="008763DC">
        <w:t xml:space="preserve">/ conclusion/ paragraph) </w:t>
      </w:r>
      <w:r w:rsidR="003E5857" w:rsidRPr="008763DC">
        <w:t xml:space="preserve">to below … </w:t>
      </w:r>
      <w:r w:rsidR="003E5857" w:rsidRPr="008763DC">
        <w:rPr>
          <w:b/>
          <w:bCs/>
        </w:rPr>
        <w:t>words</w:t>
      </w:r>
      <w:r w:rsidR="007509E5" w:rsidRPr="008763DC">
        <w:rPr>
          <w:b/>
          <w:bCs/>
        </w:rPr>
        <w:t xml:space="preserve"> </w:t>
      </w:r>
      <w:r w:rsidR="00A47BC9" w:rsidRPr="008763DC">
        <w:rPr>
          <w:b/>
          <w:bCs/>
        </w:rPr>
        <w:t>without changing the content.</w:t>
      </w:r>
    </w:p>
    <w:p w14:paraId="721373C5" w14:textId="1E35C4C5" w:rsidR="00275DC7" w:rsidRPr="008763DC" w:rsidRDefault="00275DC7" w:rsidP="000F17B0">
      <w:pPr>
        <w:tabs>
          <w:tab w:val="left" w:pos="4253"/>
        </w:tabs>
        <w:spacing w:line="360" w:lineRule="auto"/>
        <w:rPr>
          <w:b/>
          <w:bCs/>
        </w:rPr>
      </w:pPr>
      <w:r>
        <w:rPr>
          <w:b/>
          <w:bCs/>
        </w:rPr>
        <w:t xml:space="preserve">4. </w:t>
      </w:r>
      <w:r w:rsidR="000F35C2" w:rsidRPr="000F35C2">
        <w:rPr>
          <w:b/>
          <w:bCs/>
        </w:rPr>
        <w:t xml:space="preserve">Reduce </w:t>
      </w:r>
      <w:r w:rsidR="000F35C2" w:rsidRPr="00D52501">
        <w:t>the word count of this work, produced by me</w:t>
      </w:r>
      <w:r w:rsidR="000F35C2" w:rsidRPr="000F35C2">
        <w:rPr>
          <w:b/>
          <w:bCs/>
        </w:rPr>
        <w:t xml:space="preserve">, to </w:t>
      </w:r>
      <w:r w:rsidR="00D52501">
        <w:rPr>
          <w:b/>
          <w:bCs/>
        </w:rPr>
        <w:t>35</w:t>
      </w:r>
      <w:r w:rsidR="000F35C2" w:rsidRPr="000F35C2">
        <w:rPr>
          <w:b/>
          <w:bCs/>
        </w:rPr>
        <w:t>0 words without adding or removing any key concepts or significantly changing the style or standard of vocabulary.</w:t>
      </w:r>
    </w:p>
    <w:p w14:paraId="392C7C09" w14:textId="070B2731" w:rsidR="000F17B0" w:rsidRPr="000F17B0" w:rsidRDefault="000F17B0" w:rsidP="000F17B0">
      <w:pPr>
        <w:tabs>
          <w:tab w:val="left" w:pos="4253"/>
        </w:tabs>
        <w:spacing w:line="360" w:lineRule="auto"/>
        <w:rPr>
          <w:b/>
          <w:bCs/>
        </w:rPr>
      </w:pPr>
      <w:r w:rsidRPr="000F17B0">
        <w:rPr>
          <w:b/>
          <w:bCs/>
        </w:rPr>
        <w:t xml:space="preserve">I confirm that I have not presented any AI generated text as my own work. I confirm I have copies of my drafts, notes, and other resources I used before, and after the use of AI tools which I may be asked to provide in evidence. </w:t>
      </w:r>
    </w:p>
    <w:p w14:paraId="7A9F26D4" w14:textId="77777777" w:rsidR="000F17B0" w:rsidRPr="000F17B0" w:rsidRDefault="000F17B0" w:rsidP="000F17B0">
      <w:pPr>
        <w:tabs>
          <w:tab w:val="left" w:pos="4253"/>
        </w:tabs>
        <w:spacing w:line="360" w:lineRule="auto"/>
        <w:rPr>
          <w:b/>
          <w:bCs/>
        </w:rPr>
      </w:pPr>
      <w:r w:rsidRPr="000F17B0">
        <w:rPr>
          <w:b/>
          <w:bCs/>
        </w:rPr>
        <w:t xml:space="preserve">I confirm that I have not presented any AI generated text as my own work. I confirm I have copies of my drafts, notes, and other resources I used before, and after the use of AI tools which I may be asked to provide in evidence. </w:t>
      </w:r>
    </w:p>
    <w:p w14:paraId="25D95FD6" w14:textId="77777777" w:rsidR="00102CDC" w:rsidRDefault="00102CDC" w:rsidP="00C96D82">
      <w:pPr>
        <w:tabs>
          <w:tab w:val="left" w:pos="4253"/>
        </w:tabs>
        <w:spacing w:line="360" w:lineRule="auto"/>
        <w:rPr>
          <w:b/>
          <w:bCs/>
        </w:rPr>
      </w:pPr>
    </w:p>
    <w:p w14:paraId="46186447" w14:textId="77777777" w:rsidR="00B71419" w:rsidRDefault="00B71419" w:rsidP="00C96D82">
      <w:pPr>
        <w:tabs>
          <w:tab w:val="left" w:pos="4253"/>
        </w:tabs>
        <w:spacing w:line="360" w:lineRule="auto"/>
        <w:rPr>
          <w:b/>
          <w:bCs/>
        </w:rPr>
      </w:pPr>
    </w:p>
    <w:p w14:paraId="15F108A1" w14:textId="77777777" w:rsidR="00B71419" w:rsidRDefault="00B71419" w:rsidP="00C96D82">
      <w:pPr>
        <w:tabs>
          <w:tab w:val="left" w:pos="4253"/>
        </w:tabs>
        <w:spacing w:line="360" w:lineRule="auto"/>
        <w:rPr>
          <w:b/>
          <w:bCs/>
        </w:rPr>
      </w:pPr>
    </w:p>
    <w:p w14:paraId="76F6C0FA" w14:textId="77777777" w:rsidR="00B71419" w:rsidRDefault="00B71419" w:rsidP="00C96D82">
      <w:pPr>
        <w:tabs>
          <w:tab w:val="left" w:pos="4253"/>
        </w:tabs>
        <w:spacing w:line="360" w:lineRule="auto"/>
        <w:rPr>
          <w:b/>
          <w:bCs/>
        </w:rPr>
      </w:pPr>
    </w:p>
    <w:p w14:paraId="607FAFA1" w14:textId="77777777" w:rsidR="009B2B0D" w:rsidRDefault="009B2B0D" w:rsidP="005779DE">
      <w:pPr>
        <w:spacing w:line="360" w:lineRule="auto"/>
        <w:rPr>
          <w:rFonts w:asciiTheme="majorHAnsi" w:hAnsiTheme="majorHAnsi"/>
          <w:sz w:val="32"/>
          <w:szCs w:val="32"/>
        </w:rPr>
      </w:pPr>
    </w:p>
    <w:p w14:paraId="75AE5D11" w14:textId="5A49E915" w:rsidR="003665D8" w:rsidRDefault="006239B7" w:rsidP="005779DE">
      <w:pPr>
        <w:spacing w:line="360" w:lineRule="auto"/>
        <w:rPr>
          <w:rFonts w:asciiTheme="majorHAnsi" w:hAnsiTheme="majorHAnsi"/>
          <w:sz w:val="32"/>
          <w:szCs w:val="32"/>
        </w:rPr>
      </w:pPr>
      <w:r w:rsidRPr="00DF324A">
        <w:rPr>
          <w:rFonts w:asciiTheme="majorHAnsi" w:hAnsiTheme="majorHAnsi"/>
          <w:sz w:val="32"/>
          <w:szCs w:val="32"/>
        </w:rPr>
        <w:t>Title</w:t>
      </w:r>
      <w:r w:rsidR="0073572E" w:rsidRPr="00DF324A">
        <w:rPr>
          <w:rFonts w:asciiTheme="majorHAnsi" w:hAnsiTheme="majorHAnsi"/>
          <w:sz w:val="32"/>
          <w:szCs w:val="32"/>
        </w:rPr>
        <w:t xml:space="preserve">: </w:t>
      </w:r>
      <w:r w:rsidR="00FB3321" w:rsidRPr="00DF324A">
        <w:rPr>
          <w:rFonts w:asciiTheme="majorHAnsi" w:hAnsiTheme="majorHAnsi"/>
          <w:sz w:val="32"/>
          <w:szCs w:val="32"/>
        </w:rPr>
        <w:t>T</w:t>
      </w:r>
      <w:r w:rsidR="00EC430B" w:rsidRPr="00DF324A">
        <w:rPr>
          <w:rFonts w:asciiTheme="majorHAnsi" w:hAnsiTheme="majorHAnsi"/>
          <w:sz w:val="32"/>
          <w:szCs w:val="32"/>
        </w:rPr>
        <w:t>he critical</w:t>
      </w:r>
      <w:r w:rsidR="00784CF7" w:rsidRPr="00DF324A">
        <w:rPr>
          <w:rFonts w:asciiTheme="majorHAnsi" w:hAnsiTheme="majorHAnsi"/>
          <w:sz w:val="32"/>
          <w:szCs w:val="32"/>
        </w:rPr>
        <w:t xml:space="preserve"> reflection upon the ideological influences on the social policy of </w:t>
      </w:r>
      <w:r w:rsidR="002D3521" w:rsidRPr="00DF324A">
        <w:rPr>
          <w:rFonts w:asciiTheme="majorHAnsi" w:hAnsiTheme="majorHAnsi"/>
          <w:sz w:val="32"/>
          <w:szCs w:val="32"/>
        </w:rPr>
        <w:t>P</w:t>
      </w:r>
      <w:r w:rsidR="00784CF7" w:rsidRPr="00DF324A">
        <w:rPr>
          <w:rFonts w:asciiTheme="majorHAnsi" w:hAnsiTheme="majorHAnsi"/>
          <w:sz w:val="32"/>
          <w:szCs w:val="32"/>
        </w:rPr>
        <w:t xml:space="preserve">ersonal </w:t>
      </w:r>
      <w:r w:rsidR="002D3521" w:rsidRPr="00DF324A">
        <w:rPr>
          <w:rFonts w:asciiTheme="majorHAnsi" w:hAnsiTheme="majorHAnsi"/>
          <w:sz w:val="32"/>
          <w:szCs w:val="32"/>
        </w:rPr>
        <w:t>I</w:t>
      </w:r>
      <w:r w:rsidR="00784CF7" w:rsidRPr="00DF324A">
        <w:rPr>
          <w:rFonts w:asciiTheme="majorHAnsi" w:hAnsiTheme="majorHAnsi"/>
          <w:sz w:val="32"/>
          <w:szCs w:val="32"/>
        </w:rPr>
        <w:t xml:space="preserve">ndependence </w:t>
      </w:r>
      <w:r w:rsidR="002D3521" w:rsidRPr="00DF324A">
        <w:rPr>
          <w:rFonts w:asciiTheme="majorHAnsi" w:hAnsiTheme="majorHAnsi"/>
          <w:sz w:val="32"/>
          <w:szCs w:val="32"/>
        </w:rPr>
        <w:t>P</w:t>
      </w:r>
      <w:r w:rsidR="00784CF7" w:rsidRPr="00DF324A">
        <w:rPr>
          <w:rFonts w:asciiTheme="majorHAnsi" w:hAnsiTheme="majorHAnsi"/>
          <w:sz w:val="32"/>
          <w:szCs w:val="32"/>
        </w:rPr>
        <w:t>ayment</w:t>
      </w:r>
      <w:r w:rsidR="008A6C84" w:rsidRPr="00DF324A">
        <w:rPr>
          <w:rFonts w:asciiTheme="majorHAnsi" w:hAnsiTheme="majorHAnsi"/>
          <w:sz w:val="32"/>
          <w:szCs w:val="32"/>
        </w:rPr>
        <w:t xml:space="preserve"> </w:t>
      </w:r>
      <w:r w:rsidR="00554095" w:rsidRPr="00DF324A">
        <w:rPr>
          <w:rFonts w:asciiTheme="majorHAnsi" w:hAnsiTheme="majorHAnsi"/>
          <w:sz w:val="32"/>
          <w:szCs w:val="32"/>
        </w:rPr>
        <w:t xml:space="preserve">(PIP) </w:t>
      </w:r>
      <w:r w:rsidR="0011138C" w:rsidRPr="00DF324A">
        <w:rPr>
          <w:rFonts w:asciiTheme="majorHAnsi" w:hAnsiTheme="majorHAnsi"/>
          <w:sz w:val="32"/>
          <w:szCs w:val="32"/>
        </w:rPr>
        <w:t xml:space="preserve">within </w:t>
      </w:r>
      <w:r w:rsidR="009F174B" w:rsidRPr="00DF324A">
        <w:rPr>
          <w:rFonts w:asciiTheme="majorHAnsi" w:hAnsiTheme="majorHAnsi"/>
          <w:sz w:val="32"/>
          <w:szCs w:val="32"/>
        </w:rPr>
        <w:t>England</w:t>
      </w:r>
      <w:r w:rsidR="0019524D" w:rsidRPr="00DF324A">
        <w:rPr>
          <w:rFonts w:asciiTheme="majorHAnsi" w:hAnsiTheme="majorHAnsi"/>
          <w:sz w:val="32"/>
          <w:szCs w:val="32"/>
        </w:rPr>
        <w:t xml:space="preserve"> and Wales</w:t>
      </w:r>
    </w:p>
    <w:p w14:paraId="619DC614" w14:textId="77777777" w:rsidR="00721B3D" w:rsidRDefault="00721B3D" w:rsidP="00590717">
      <w:pPr>
        <w:pStyle w:val="Heading2"/>
        <w:rPr>
          <w:sz w:val="28"/>
          <w:szCs w:val="28"/>
        </w:rPr>
      </w:pPr>
    </w:p>
    <w:p w14:paraId="371DD40A" w14:textId="1806582A" w:rsidR="00455967" w:rsidRPr="009B2B0D" w:rsidRDefault="00D52501" w:rsidP="009B2B0D">
      <w:pPr>
        <w:pStyle w:val="Heading2"/>
        <w:rPr>
          <w:sz w:val="28"/>
          <w:szCs w:val="28"/>
        </w:rPr>
      </w:pPr>
      <w:r>
        <w:rPr>
          <w:sz w:val="28"/>
          <w:szCs w:val="28"/>
        </w:rPr>
        <w:t>I</w:t>
      </w:r>
      <w:r w:rsidR="00ED6AC6" w:rsidRPr="00DF324A">
        <w:rPr>
          <w:sz w:val="28"/>
          <w:szCs w:val="28"/>
        </w:rPr>
        <w:t>ntroduction</w:t>
      </w:r>
    </w:p>
    <w:p w14:paraId="393474C4" w14:textId="6BFA4E75" w:rsidR="00590717" w:rsidRDefault="00F55A64" w:rsidP="005779DE">
      <w:pPr>
        <w:spacing w:line="360" w:lineRule="auto"/>
      </w:pPr>
      <w:r>
        <w:t xml:space="preserve">This </w:t>
      </w:r>
      <w:r w:rsidR="00EE563E">
        <w:t xml:space="preserve">work </w:t>
      </w:r>
      <w:r w:rsidR="00BC549C">
        <w:t>critically reflects</w:t>
      </w:r>
      <w:r w:rsidR="00EF6EC5">
        <w:t xml:space="preserve"> on the ideological drivers </w:t>
      </w:r>
      <w:r w:rsidR="00AB7F1A">
        <w:t xml:space="preserve">and ethical considerations </w:t>
      </w:r>
      <w:r w:rsidR="00EF6EC5">
        <w:t xml:space="preserve">of </w:t>
      </w:r>
      <w:r w:rsidR="00002D0F">
        <w:t xml:space="preserve">the </w:t>
      </w:r>
      <w:r w:rsidR="0060381D">
        <w:t>Personal Independence Payment (PIP) social policy</w:t>
      </w:r>
      <w:r>
        <w:t xml:space="preserve">. </w:t>
      </w:r>
      <w:r w:rsidR="00FE1981">
        <w:t xml:space="preserve">Over the decades, there have been ongoing investigations </w:t>
      </w:r>
      <w:r w:rsidR="00D00A03">
        <w:t xml:space="preserve">into the effectiveness of the </w:t>
      </w:r>
      <w:r w:rsidR="004D3D94">
        <w:t>w</w:t>
      </w:r>
      <w:r w:rsidR="00D00A03">
        <w:t xml:space="preserve">elfare </w:t>
      </w:r>
      <w:r w:rsidR="004D3D94">
        <w:t>s</w:t>
      </w:r>
      <w:r w:rsidR="00D00A03">
        <w:t xml:space="preserve">tate </w:t>
      </w:r>
      <w:r w:rsidR="00A04426">
        <w:t xml:space="preserve">and </w:t>
      </w:r>
      <w:r w:rsidR="006A511B">
        <w:t xml:space="preserve">how successive governments have </w:t>
      </w:r>
      <w:r w:rsidR="00150FD6">
        <w:t xml:space="preserve">viewed </w:t>
      </w:r>
      <w:r w:rsidR="006A511B">
        <w:t>welfare reform</w:t>
      </w:r>
      <w:r w:rsidR="00DA220A">
        <w:t xml:space="preserve"> (</w:t>
      </w:r>
      <w:r w:rsidR="002D3F23">
        <w:t>Fraser, 202</w:t>
      </w:r>
      <w:r w:rsidR="007B3D04">
        <w:t>3</w:t>
      </w:r>
      <w:r w:rsidR="002D3F23">
        <w:t>).</w:t>
      </w:r>
      <w:r w:rsidR="00BE74E7">
        <w:t xml:space="preserve"> According to </w:t>
      </w:r>
      <w:r w:rsidR="003C2098">
        <w:t>Alcock</w:t>
      </w:r>
      <w:r w:rsidR="00707144">
        <w:t xml:space="preserve"> (2016)</w:t>
      </w:r>
      <w:r w:rsidR="006F0455">
        <w:t>,</w:t>
      </w:r>
      <w:r w:rsidR="003C2098">
        <w:t xml:space="preserve"> social</w:t>
      </w:r>
      <w:r w:rsidR="00EA22DA">
        <w:t xml:space="preserve"> </w:t>
      </w:r>
      <w:r w:rsidR="00FE1981">
        <w:t>policymakers evaluate and analyse evidence in many ways, drawing</w:t>
      </w:r>
      <w:r w:rsidR="009F00B7">
        <w:t xml:space="preserve"> on </w:t>
      </w:r>
      <w:r w:rsidR="00B540B5">
        <w:t xml:space="preserve">knowledge </w:t>
      </w:r>
      <w:r w:rsidR="00115EE3">
        <w:t>to</w:t>
      </w:r>
      <w:r w:rsidR="00B540B5">
        <w:t xml:space="preserve"> </w:t>
      </w:r>
      <w:r w:rsidR="001E2B56">
        <w:t>understand</w:t>
      </w:r>
      <w:r w:rsidR="007753BB">
        <w:t xml:space="preserve"> </w:t>
      </w:r>
      <w:r w:rsidR="00CE0C81">
        <w:t>the</w:t>
      </w:r>
      <w:r w:rsidR="0045118C">
        <w:t xml:space="preserve"> advantages and disadvantages</w:t>
      </w:r>
      <w:r w:rsidR="0086745C">
        <w:t xml:space="preserve"> of</w:t>
      </w:r>
      <w:r w:rsidR="00332B1A">
        <w:t xml:space="preserve"> contemporary</w:t>
      </w:r>
      <w:r w:rsidR="0086745C">
        <w:t xml:space="preserve"> </w:t>
      </w:r>
      <w:r w:rsidR="00CE0C81">
        <w:t xml:space="preserve">social </w:t>
      </w:r>
      <w:r w:rsidR="00133976">
        <w:t>dilemma</w:t>
      </w:r>
      <w:r w:rsidR="00D97132">
        <w:t>s</w:t>
      </w:r>
      <w:r w:rsidR="0086745C">
        <w:t>.</w:t>
      </w:r>
      <w:r w:rsidR="00C22457">
        <w:t xml:space="preserve"> </w:t>
      </w:r>
      <w:r w:rsidR="00C22457" w:rsidRPr="00BA6133">
        <w:t>According to academic literature</w:t>
      </w:r>
      <w:r w:rsidR="00C22457">
        <w:t>,</w:t>
      </w:r>
      <w:r w:rsidR="00C22457" w:rsidRPr="00BA6133">
        <w:t xml:space="preserve"> policy should be based on ex</w:t>
      </w:r>
      <w:r w:rsidR="00C22457">
        <w:t>tensive</w:t>
      </w:r>
      <w:r w:rsidR="00C22457" w:rsidRPr="00BA6133">
        <w:t xml:space="preserve"> research and </w:t>
      </w:r>
      <w:r w:rsidR="00C22457">
        <w:t>comprehensive</w:t>
      </w:r>
      <w:r w:rsidR="00C22457" w:rsidRPr="00BA6133">
        <w:t xml:space="preserve"> analysis (Timmins, 201</w:t>
      </w:r>
      <w:r w:rsidR="00EA229C">
        <w:t>7</w:t>
      </w:r>
      <w:r w:rsidR="00AC48F9" w:rsidRPr="00BA6133">
        <w:t>)</w:t>
      </w:r>
      <w:r w:rsidR="00AC48F9">
        <w:t>. Ideologies</w:t>
      </w:r>
      <w:r w:rsidR="00FD28B8">
        <w:t xml:space="preserve"> </w:t>
      </w:r>
      <w:r w:rsidR="007969C5">
        <w:t xml:space="preserve">are developed </w:t>
      </w:r>
      <w:r w:rsidR="00024815">
        <w:t xml:space="preserve">through </w:t>
      </w:r>
      <w:r w:rsidR="00EF6EC5">
        <w:t>ideas, thoughts</w:t>
      </w:r>
      <w:r w:rsidR="002D3F23">
        <w:t>, and philosophies at multiple level</w:t>
      </w:r>
      <w:r w:rsidR="002D3F23" w:rsidRPr="00E5536F">
        <w:t>s</w:t>
      </w:r>
      <w:r w:rsidR="00E71D72" w:rsidRPr="00E5536F">
        <w:t>,</w:t>
      </w:r>
      <w:r w:rsidR="00E71D72">
        <w:t xml:space="preserve"> including </w:t>
      </w:r>
      <w:r w:rsidR="00CC2CAF">
        <w:t xml:space="preserve">the </w:t>
      </w:r>
      <w:r w:rsidR="00E71D72">
        <w:t>societal, community</w:t>
      </w:r>
      <w:r w:rsidR="00CC2CAF">
        <w:t>, and individual</w:t>
      </w:r>
      <w:r w:rsidR="00511F34">
        <w:t>.</w:t>
      </w:r>
      <w:r w:rsidR="002D3F23">
        <w:t xml:space="preserve"> </w:t>
      </w:r>
      <w:r w:rsidR="0066502F">
        <w:t>They are s</w:t>
      </w:r>
      <w:r w:rsidR="00CC2CAF">
        <w:t>haped</w:t>
      </w:r>
      <w:r w:rsidR="002D3F23">
        <w:t xml:space="preserve"> by experiences, health, environment, relationships, and </w:t>
      </w:r>
      <w:r w:rsidR="00EF6EC5">
        <w:t>basic wants and needs</w:t>
      </w:r>
      <w:r w:rsidR="00D331DC">
        <w:t xml:space="preserve"> (Taylor, </w:t>
      </w:r>
      <w:r w:rsidR="00202AC5">
        <w:t>2007).</w:t>
      </w:r>
      <w:r w:rsidR="00DF324A">
        <w:t xml:space="preserve"> </w:t>
      </w:r>
    </w:p>
    <w:p w14:paraId="66F94BCF" w14:textId="77777777" w:rsidR="00D52501" w:rsidRDefault="00D52501" w:rsidP="005779DE">
      <w:pPr>
        <w:spacing w:line="360" w:lineRule="auto"/>
      </w:pPr>
    </w:p>
    <w:p w14:paraId="2869D6B1" w14:textId="189CC704" w:rsidR="00721B3D" w:rsidRDefault="006153EA" w:rsidP="005779DE">
      <w:pPr>
        <w:spacing w:line="360" w:lineRule="auto"/>
      </w:pPr>
      <w:r>
        <w:t>Social policy links daily interactions to relationships among government agencies and policies in areas such as economics, welfare, justice, and health (Lister, 2010). Social theories ask how, why, and what,</w:t>
      </w:r>
      <w:r w:rsidR="00C72B1E">
        <w:t xml:space="preserve"> </w:t>
      </w:r>
      <w:r w:rsidR="003A5405">
        <w:t>with the</w:t>
      </w:r>
      <w:r>
        <w:t xml:space="preserve"> aim</w:t>
      </w:r>
      <w:r w:rsidR="00C72B1E">
        <w:t xml:space="preserve"> to</w:t>
      </w:r>
      <w:r>
        <w:t xml:space="preserve"> explore, understand, and connect </w:t>
      </w:r>
      <w:r w:rsidR="007F196F">
        <w:rPr>
          <w:rStyle w:val="CommentReference"/>
          <w:sz w:val="24"/>
          <w:szCs w:val="24"/>
        </w:rPr>
        <w:t xml:space="preserve">the social </w:t>
      </w:r>
      <w:r>
        <w:t>change</w:t>
      </w:r>
      <w:r w:rsidR="007F196F">
        <w:t>s</w:t>
      </w:r>
      <w:r>
        <w:t>, especially in the labour market. Lister (2010) explained that there are two types of welfare theory, social and normative, as categorised by O’Brien and Penna</w:t>
      </w:r>
      <w:r w:rsidR="007F196F">
        <w:t xml:space="preserve"> in 1998</w:t>
      </w:r>
      <w:r>
        <w:t>.</w:t>
      </w:r>
    </w:p>
    <w:p w14:paraId="6C834E1E" w14:textId="7CC4E3F3" w:rsidR="00590717" w:rsidRDefault="006153EA" w:rsidP="005779DE">
      <w:pPr>
        <w:spacing w:line="360" w:lineRule="auto"/>
      </w:pPr>
      <w:r>
        <w:t xml:space="preserve"> </w:t>
      </w:r>
    </w:p>
    <w:p w14:paraId="77D00F4B" w14:textId="77777777" w:rsidR="009B2B0D" w:rsidRDefault="009B2B0D" w:rsidP="005779DE">
      <w:pPr>
        <w:spacing w:line="360" w:lineRule="auto"/>
      </w:pPr>
    </w:p>
    <w:p w14:paraId="674FA137" w14:textId="77777777" w:rsidR="009B2B0D" w:rsidRDefault="009B2B0D" w:rsidP="005779DE">
      <w:pPr>
        <w:spacing w:line="360" w:lineRule="auto"/>
      </w:pPr>
    </w:p>
    <w:p w14:paraId="1E5677C7" w14:textId="77777777" w:rsidR="009B2B0D" w:rsidRDefault="009B2B0D" w:rsidP="005779DE">
      <w:pPr>
        <w:spacing w:line="360" w:lineRule="auto"/>
      </w:pPr>
    </w:p>
    <w:p w14:paraId="147F457B" w14:textId="71786459" w:rsidR="009B2B0D" w:rsidRDefault="006153EA" w:rsidP="003A66F4">
      <w:pPr>
        <w:spacing w:line="360" w:lineRule="auto"/>
      </w:pPr>
      <w:r>
        <w:t>The welfare state is a political system that protects and advances the economic well-being of its citizens, in which the government plays a significant role.</w:t>
      </w:r>
      <w:r w:rsidR="00590717">
        <w:t xml:space="preserve"> </w:t>
      </w:r>
      <w:r>
        <w:t xml:space="preserve">One of the greatest challenges of the welfare state is the multiple conceptualisations </w:t>
      </w:r>
      <w:r w:rsidR="00E15B4D">
        <w:t>it has undergone</w:t>
      </w:r>
      <w:r>
        <w:t>. For example, Beveridge (1942) debated fighting poverty, Briggs (1961) examined state intervention, Castel (1995</w:t>
      </w:r>
      <w:r w:rsidR="003515AC">
        <w:t xml:space="preserve">, </w:t>
      </w:r>
      <w:r>
        <w:t>cited by Van Der Linden, 2016) examined social security and understanding, and Lindbeck (2006) referred to the actual historical and social policy problems that need to be addressed (Guler, 2020)</w:t>
      </w:r>
      <w:r w:rsidR="003213AD">
        <w:t>. Briggs (1961) reported that the origins of the welfare state were first described in</w:t>
      </w:r>
      <w:r w:rsidR="003213AD" w:rsidRPr="00643769">
        <w:t xml:space="preserve"> </w:t>
      </w:r>
      <w:r w:rsidR="003213AD">
        <w:t>Britain by the Labour Party after 1945.</w:t>
      </w:r>
    </w:p>
    <w:p w14:paraId="1E57D18B" w14:textId="77777777" w:rsidR="009B2B0D" w:rsidRDefault="009B2B0D" w:rsidP="003A66F4">
      <w:pPr>
        <w:spacing w:line="360" w:lineRule="auto"/>
      </w:pPr>
    </w:p>
    <w:p w14:paraId="29F2D421" w14:textId="5FA068B9" w:rsidR="00590717" w:rsidRDefault="006153EA" w:rsidP="003A66F4">
      <w:pPr>
        <w:spacing w:line="360" w:lineRule="auto"/>
      </w:pPr>
      <w:r>
        <w:t>The term ‘Welfare State’ was coined to denote significant social and economic transformations. During the nineteenth and twentieth centuries, scholars sought to reinterpret the origins and development of the welfare state (Fraser, 202</w:t>
      </w:r>
      <w:r w:rsidR="00112A34">
        <w:t>3</w:t>
      </w:r>
      <w:r>
        <w:t>). The meaning of the welfare state depends on the context, behaviour, and perspectives of the individual citizen (Fraser, 202</w:t>
      </w:r>
      <w:r w:rsidR="00112A34">
        <w:t>3</w:t>
      </w:r>
      <w:r>
        <w:t xml:space="preserve">). </w:t>
      </w:r>
      <w:r w:rsidR="00C76E3B">
        <w:t xml:space="preserve">However, research on the attitudinal discourse surrounding welfare and the welfare state from citizens can be </w:t>
      </w:r>
      <w:r w:rsidR="00514DC8">
        <w:t>pre</w:t>
      </w:r>
      <w:r w:rsidR="00C76E3B">
        <w:t xml:space="preserve">occupied with inequality and based on specified policies or ideas of equity, </w:t>
      </w:r>
      <w:r w:rsidR="00D815D7">
        <w:t xml:space="preserve">and </w:t>
      </w:r>
      <w:r w:rsidR="00C76E3B">
        <w:t>redistribution (</w:t>
      </w:r>
      <w:proofErr w:type="spellStart"/>
      <w:r w:rsidR="00C76E3B">
        <w:t>Kikuzawa</w:t>
      </w:r>
      <w:proofErr w:type="spellEnd"/>
      <w:r w:rsidR="00C76E3B">
        <w:t>, Olafsdottir and Pescosolido, 2008</w:t>
      </w:r>
      <w:r w:rsidR="00335632">
        <w:t xml:space="preserve">, </w:t>
      </w:r>
      <w:r w:rsidR="00C76E3B">
        <w:t xml:space="preserve">cited by </w:t>
      </w:r>
      <w:proofErr w:type="spellStart"/>
      <w:r w:rsidR="00C76E3B">
        <w:t>Sachweh</w:t>
      </w:r>
      <w:proofErr w:type="spellEnd"/>
      <w:r w:rsidR="00C76E3B">
        <w:t xml:space="preserve"> and Olafsdottir, 2012</w:t>
      </w:r>
    </w:p>
    <w:p w14:paraId="2C8F2643" w14:textId="7AFD7705" w:rsidR="003A66F4" w:rsidRDefault="00B87007" w:rsidP="003A66F4">
      <w:pPr>
        <w:spacing w:line="360" w:lineRule="auto"/>
      </w:pPr>
      <w:r>
        <w:t xml:space="preserve"> </w:t>
      </w:r>
      <w:r w:rsidR="002A3D57">
        <w:t>This</w:t>
      </w:r>
      <w:r w:rsidR="00DD3033">
        <w:t xml:space="preserve"> </w:t>
      </w:r>
      <w:r w:rsidR="00C33407">
        <w:t xml:space="preserve">assignment </w:t>
      </w:r>
      <w:r w:rsidR="00C04170">
        <w:t xml:space="preserve">examines </w:t>
      </w:r>
      <w:r w:rsidR="001707F8">
        <w:t xml:space="preserve">the ideological </w:t>
      </w:r>
      <w:r w:rsidR="00C04170">
        <w:t>drivers behind PIP policy</w:t>
      </w:r>
      <w:r w:rsidR="003A66F4">
        <w:t xml:space="preserve">, </w:t>
      </w:r>
      <w:r w:rsidR="00C33407">
        <w:t>using a disability approach,</w:t>
      </w:r>
      <w:r w:rsidR="003019E6">
        <w:t xml:space="preserve"> </w:t>
      </w:r>
      <w:r w:rsidR="00C33407">
        <w:t>discussing welfare reform</w:t>
      </w:r>
      <w:r w:rsidR="00304703">
        <w:t xml:space="preserve"> as it relates to</w:t>
      </w:r>
      <w:r w:rsidR="00C33407">
        <w:t xml:space="preserve"> PIP,</w:t>
      </w:r>
      <w:r w:rsidR="00B17C37">
        <w:t xml:space="preserve"> a </w:t>
      </w:r>
      <w:r w:rsidR="00A82B3C">
        <w:t>non-means-tested</w:t>
      </w:r>
      <w:r w:rsidR="00B17C37">
        <w:t xml:space="preserve"> benefit</w:t>
      </w:r>
      <w:r w:rsidR="00116886">
        <w:t>.</w:t>
      </w:r>
      <w:r w:rsidR="00741C70">
        <w:t xml:space="preserve"> </w:t>
      </w:r>
      <w:r w:rsidR="002D5264">
        <w:t>It reviews</w:t>
      </w:r>
      <w:r w:rsidR="003C0CE9">
        <w:t xml:space="preserve"> </w:t>
      </w:r>
      <w:r w:rsidR="006B58F2">
        <w:t xml:space="preserve">the </w:t>
      </w:r>
      <w:r w:rsidR="00EB25A8">
        <w:t>government's</w:t>
      </w:r>
      <w:r w:rsidR="006B58F2">
        <w:t xml:space="preserve"> criteria </w:t>
      </w:r>
      <w:r w:rsidR="002D5264">
        <w:t xml:space="preserve">for </w:t>
      </w:r>
      <w:r w:rsidR="00425578">
        <w:t>PIP qualification for the individual, which have evolved due to societal and political reforms</w:t>
      </w:r>
      <w:r w:rsidR="00EB25A8">
        <w:t xml:space="preserve"> </w:t>
      </w:r>
      <w:r w:rsidR="00453BF7">
        <w:fldChar w:fldCharType="begin"/>
      </w:r>
      <w:r w:rsidR="00453BF7">
        <w:instrText xml:space="preserve"> ADDIN ZOTERO_ITEM CSL_CITATION {"citationID":"cwAvLtVw","properties":{"formattedCitation":"(Fraser, 2022)","plainCitation":"(Fraser, 2022)","noteIndex":0},"citationItems":[{"id":401,"uris":["http://zotero.org/users/local/aqoAGYE8/items/929BXY3P"],"itemData":{"id":401,"type":"book","abstract":"This book provides the definitive account of the making of the 1942 Beveridge Report and its influence on wartime and post-war social policy. The Beveridge Report: Blueprint for the Welfare State aims to offer a definitive analysis of the famous document, so influential in the founding of the Welfare State and the National Health Service, which still resonates in current debates about ‘getting back to Beveridge’ and a ‘Beveridge for the 21st Century’. It is based on extensive research into the papers of the Beveridge Committee, official Government archives and the papers of contemporary politicians and groups. Published to coincide with the Report’s 80th anniversary, the book is treated as a case study in policy formulation during the 1940s. \nKey features of the book include\n\nThe first systematic review and assessment of the work of the Beveridge Committee and the evidence submitted to it\nDetailed analysis of the enthusiastic reception of the Report and the government’s lukewarm attitude \nA full survey of the detailed planning for welfare reform and Beveridge’s role when excluded from it\nAn assessment of the influence of Beveridge upon the creation of the Welfare State by Attlee’s Labour Government \nThis important book will be of interest to scholars of twentieth-century British, social history, political history and contemporary politics and comparative health and education systems. \nDerek Fraser is Emeritus Professor at the University of Teesside, where he served as Vice-Chancellor for 11 years.","event-place":"London","ISBN":"978-1-003-16740-2","note":"DOI: 10.4324/9781003167402","number-of-pages":"240","publisher":"Routledge","publisher-place":"London","title":"The Beveridge Report: Blueprint for the Welfare State","title-short":"The Beveridge Report","author":[{"family":"Fraser","given":"Derek"}],"issued":{"date-parts":[["2022",11,11]]}}}],"schema":"https://github.com/citation-style-language/schema/raw/master/csl-citation.json"} </w:instrText>
      </w:r>
      <w:r w:rsidR="00453BF7">
        <w:fldChar w:fldCharType="separate"/>
      </w:r>
      <w:r w:rsidR="00453BF7" w:rsidRPr="00773D96">
        <w:rPr>
          <w:rFonts w:ascii="Aptos" w:hAnsi="Aptos"/>
        </w:rPr>
        <w:t>(Fraser, 2</w:t>
      </w:r>
      <w:r w:rsidR="00F602B6">
        <w:rPr>
          <w:rFonts w:ascii="Aptos" w:hAnsi="Aptos"/>
        </w:rPr>
        <w:t>023</w:t>
      </w:r>
      <w:r w:rsidR="00453BF7" w:rsidRPr="00773D96">
        <w:rPr>
          <w:rFonts w:ascii="Aptos" w:hAnsi="Aptos"/>
        </w:rPr>
        <w:t>)</w:t>
      </w:r>
      <w:r w:rsidR="00453BF7">
        <w:fldChar w:fldCharType="end"/>
      </w:r>
      <w:r w:rsidR="00453BF7">
        <w:t xml:space="preserve">. </w:t>
      </w:r>
      <w:r w:rsidR="003A66F4">
        <w:t xml:space="preserve">It critically explores the drivers of the chosen social policy, PIP, and how successive governments have refined and developed it in response to fiscal, social, and ideological pressures. </w:t>
      </w:r>
      <w:r w:rsidR="0099087A">
        <w:t>It would also discuss ethical considerations and future sustainability o</w:t>
      </w:r>
      <w:r w:rsidR="00317928">
        <w:t>f the policy into the future,</w:t>
      </w:r>
    </w:p>
    <w:p w14:paraId="326B1D60" w14:textId="0ABB909D" w:rsidR="00EB6890" w:rsidRDefault="00EB6890" w:rsidP="005779DE">
      <w:pPr>
        <w:spacing w:line="360" w:lineRule="auto"/>
      </w:pPr>
    </w:p>
    <w:p w14:paraId="761193C6" w14:textId="77777777" w:rsidR="00590717" w:rsidRDefault="00590717" w:rsidP="00DF324A">
      <w:pPr>
        <w:pStyle w:val="Heading2"/>
        <w:rPr>
          <w:rStyle w:val="IntenseEmphasis"/>
          <w:i w:val="0"/>
          <w:iCs w:val="0"/>
          <w:sz w:val="28"/>
          <w:szCs w:val="28"/>
        </w:rPr>
      </w:pPr>
    </w:p>
    <w:p w14:paraId="755ECD86" w14:textId="77777777" w:rsidR="000F35C2" w:rsidRPr="00791122" w:rsidRDefault="000F35C2" w:rsidP="00791122"/>
    <w:p w14:paraId="3BFF572E" w14:textId="54FCD69D" w:rsidR="000F35C2" w:rsidRPr="00D363F4" w:rsidRDefault="003019E6" w:rsidP="00D363F4">
      <w:pPr>
        <w:pStyle w:val="Heading2"/>
        <w:rPr>
          <w:sz w:val="28"/>
          <w:szCs w:val="28"/>
        </w:rPr>
      </w:pPr>
      <w:r w:rsidRPr="00DF324A">
        <w:rPr>
          <w:rStyle w:val="IntenseEmphasis"/>
          <w:i w:val="0"/>
          <w:iCs w:val="0"/>
          <w:sz w:val="28"/>
          <w:szCs w:val="28"/>
        </w:rPr>
        <w:lastRenderedPageBreak/>
        <w:t xml:space="preserve">PIP Policy and </w:t>
      </w:r>
      <w:r w:rsidR="003A66F4" w:rsidRPr="00DF324A">
        <w:rPr>
          <w:rStyle w:val="IntenseEmphasis"/>
          <w:i w:val="0"/>
          <w:iCs w:val="0"/>
          <w:sz w:val="28"/>
          <w:szCs w:val="28"/>
        </w:rPr>
        <w:t>Ideologies</w:t>
      </w:r>
      <w:r w:rsidRPr="00DF324A">
        <w:rPr>
          <w:rStyle w:val="IntenseEmphasis"/>
          <w:i w:val="0"/>
          <w:iCs w:val="0"/>
          <w:sz w:val="28"/>
          <w:szCs w:val="28"/>
        </w:rPr>
        <w:t xml:space="preserve"> of the Welfare State</w:t>
      </w:r>
    </w:p>
    <w:p w14:paraId="01689942" w14:textId="510C7BCB" w:rsidR="003A66F4" w:rsidRDefault="00000785" w:rsidP="00F058A9">
      <w:pPr>
        <w:spacing w:line="360" w:lineRule="auto"/>
      </w:pPr>
      <w:r>
        <w:t xml:space="preserve"> </w:t>
      </w:r>
      <w:r w:rsidR="00CF0B63">
        <w:t>The PIP policy, as it currently stands, has evolved over many years of social and political change that have shaped approaches to and responses to disability in Britain (Murray, 2022). PIP is designed to assist individuals with disabilities in their daily activities</w:t>
      </w:r>
      <w:r w:rsidR="00FE1981">
        <w:t xml:space="preserve"> by providing additional financial support to help them gain independence in</w:t>
      </w:r>
      <w:r w:rsidR="00CF0B63">
        <w:t xml:space="preserve"> society. Recognising how social policy affects disabled individuals can foster empathy and a sense of social responsibility</w:t>
      </w:r>
      <w:r w:rsidR="00DD523B">
        <w:t xml:space="preserve"> </w:t>
      </w:r>
      <w:r w:rsidR="003F75CC">
        <w:t>(</w:t>
      </w:r>
      <w:proofErr w:type="spellStart"/>
      <w:r w:rsidR="00AF3A50">
        <w:t>Soldatic</w:t>
      </w:r>
      <w:proofErr w:type="spellEnd"/>
      <w:r w:rsidR="00AF3A50">
        <w:t>,</w:t>
      </w:r>
      <w:r w:rsidR="003F75CC">
        <w:t xml:space="preserve"> 2018)</w:t>
      </w:r>
      <w:r w:rsidR="003C53D4">
        <w:t xml:space="preserve">. </w:t>
      </w:r>
      <w:r w:rsidR="00874D62">
        <w:t>Th</w:t>
      </w:r>
      <w:r w:rsidR="00D57063">
        <w:t xml:space="preserve">e examination of </w:t>
      </w:r>
      <w:r w:rsidR="00C7425D">
        <w:t xml:space="preserve">the </w:t>
      </w:r>
      <w:r w:rsidR="00E14422">
        <w:t xml:space="preserve">development and </w:t>
      </w:r>
      <w:r w:rsidR="006E009B">
        <w:t xml:space="preserve">implementation of </w:t>
      </w:r>
      <w:r w:rsidR="00336D2E">
        <w:t xml:space="preserve">the </w:t>
      </w:r>
      <w:r w:rsidR="00C66569">
        <w:t xml:space="preserve">PIP social policy, with </w:t>
      </w:r>
      <w:r w:rsidR="004A7EF4">
        <w:t xml:space="preserve">consideration </w:t>
      </w:r>
      <w:r w:rsidR="00C66569">
        <w:t xml:space="preserve">of the concepts of </w:t>
      </w:r>
      <w:r w:rsidR="00696371">
        <w:t>social justice, equity, equality, diversity</w:t>
      </w:r>
      <w:r w:rsidR="006E009B">
        <w:t xml:space="preserve">, and inclusion. </w:t>
      </w:r>
    </w:p>
    <w:p w14:paraId="6DE50222" w14:textId="77777777" w:rsidR="00590717" w:rsidRDefault="00590717" w:rsidP="005779DE">
      <w:pPr>
        <w:spacing w:line="360" w:lineRule="auto"/>
      </w:pPr>
    </w:p>
    <w:p w14:paraId="36A7053C" w14:textId="22749781" w:rsidR="00A2612C" w:rsidRDefault="00F058A9" w:rsidP="005779DE">
      <w:pPr>
        <w:spacing w:line="360" w:lineRule="auto"/>
      </w:pPr>
      <w:r>
        <w:t>PIP is a non-means-tested, non-taxable, and non-contributory benefit, meaning entitlement is not based on financial status or national insurance contributions. PIP can be received regardless of employment status. It is for people with long-term health conditions or impairments, physical, sensory, mental, or cognitive, to help cover extra costs so disabled individuals can lead independent lives. (Department for Work and Pensions, 2025;</w:t>
      </w:r>
      <w:r>
        <w:rPr>
          <w:i/>
          <w:iCs/>
        </w:rPr>
        <w:t xml:space="preserve"> </w:t>
      </w:r>
      <w:r w:rsidRPr="0098684E">
        <w:rPr>
          <w:i/>
          <w:iCs/>
        </w:rPr>
        <w:t>UNCRPD, 2006: article 1, purpose).</w:t>
      </w:r>
      <w:r>
        <w:t xml:space="preserve"> </w:t>
      </w:r>
    </w:p>
    <w:p w14:paraId="76574851" w14:textId="77777777" w:rsidR="00590717" w:rsidRDefault="00590717" w:rsidP="005779DE">
      <w:pPr>
        <w:spacing w:line="360" w:lineRule="auto"/>
      </w:pPr>
    </w:p>
    <w:p w14:paraId="6747BE59" w14:textId="058FBD21" w:rsidR="00453BF7" w:rsidRDefault="006239B7" w:rsidP="005779DE">
      <w:pPr>
        <w:spacing w:line="360" w:lineRule="auto"/>
      </w:pPr>
      <w:r>
        <w:t>Successive governments after 1948 have contributed to many iterations of one of the central pillars</w:t>
      </w:r>
      <w:r w:rsidR="00720578">
        <w:t xml:space="preserve">, social security, </w:t>
      </w:r>
      <w:r w:rsidR="00205CDA">
        <w:t>under</w:t>
      </w:r>
      <w:r w:rsidR="00720578">
        <w:t xml:space="preserve"> which </w:t>
      </w:r>
      <w:r w:rsidR="008277BB">
        <w:t>the PIP</w:t>
      </w:r>
      <w:r w:rsidR="00720578">
        <w:t xml:space="preserve"> </w:t>
      </w:r>
      <w:r w:rsidR="008277BB">
        <w:t>falls</w:t>
      </w:r>
      <w:r w:rsidR="008503E3">
        <w:t xml:space="preserve">. </w:t>
      </w:r>
      <w:r w:rsidR="00695946">
        <w:t xml:space="preserve">The moral obligations, differing ideological </w:t>
      </w:r>
      <w:r w:rsidR="00CA1F8E">
        <w:t>perspectives, and styles of thinking have given rise to debates over</w:t>
      </w:r>
      <w:r w:rsidR="00695946">
        <w:t xml:space="preserve"> how to support individuals in need within the welfare state</w:t>
      </w:r>
      <w:r w:rsidR="008943A4">
        <w:t>.</w:t>
      </w:r>
      <w:r w:rsidR="00695946">
        <w:t xml:space="preserve"> </w:t>
      </w:r>
      <w:r w:rsidR="00D62AD5">
        <w:t>The</w:t>
      </w:r>
      <w:r w:rsidR="002861CF">
        <w:t>re are</w:t>
      </w:r>
      <w:r w:rsidR="00D62AD5">
        <w:t xml:space="preserve"> issues and </w:t>
      </w:r>
      <w:r w:rsidR="00006C3C">
        <w:t xml:space="preserve">disputes surrounding best practices, the </w:t>
      </w:r>
      <w:r w:rsidR="0079302B">
        <w:t>application of criteria</w:t>
      </w:r>
      <w:r w:rsidR="00366D13">
        <w:t xml:space="preserve">, </w:t>
      </w:r>
      <w:r w:rsidR="002F578D">
        <w:t xml:space="preserve">and </w:t>
      </w:r>
      <w:r w:rsidR="00366D13">
        <w:t>the introduction</w:t>
      </w:r>
      <w:r w:rsidR="00E30BAB">
        <w:t xml:space="preserve"> of the welfare state</w:t>
      </w:r>
      <w:r w:rsidR="00D23072">
        <w:t xml:space="preserve"> </w:t>
      </w:r>
      <w:r w:rsidR="00773D96">
        <w:fldChar w:fldCharType="begin"/>
      </w:r>
      <w:r w:rsidR="00BD3BC1">
        <w:instrText xml:space="preserve"> ADDIN ZOTERO_ITEM CSL_CITATION {"citationID":"0OykjmyO","properties":{"formattedCitation":"(Sainsbury, 2014)","plainCitation":"(Sainsbury, 2014)","noteIndex":0},"citationItems":[{"id":342,"uris":["http://zotero.org/users/local/aqoAGYE8/items/WZ3A76F5"],"itemData":{"id":342,"type":"article-journal","abstract":"This article draws on an interview with Lord Freud, the Minister of State for Welfare Reform since May 2010, and explores the origins of Universal Credit and how it was turned over the course of five years or so from an aspirational idea into a detailed blueprint for change and finally into legislation in the form of the Welfare Reform Act 2012. What emerges is an intriguing case study in British policy making. At the time of the interview in July 2013 the implementation of Universal Credit had just begun in a small number of pilot areas. Lord Freud also discusses the objectives of Universal Credit and when and how we will know whether these are being met.","container-title":"Journal of Poverty and Social Justice","DOI":"10.1332/175982714X13875308002243","ISSN":"1759-8273, 1759-8281","issue":"1","language":"en","page":"37-44","source":"DOI.org (Crossref)","title":"Talking Universal Credit: in conversation with Lord Freud, Minister for Welfare Reform","title-short":"Talking Universal Credit","URL":"https://bristoluniversitypressdigital.com/view/journals/jpsj/22/1/article-p37.xml","volume":"22","author":[{"family":"Sainsbury","given":"Roy"}],"accessed":{"date-parts":[["2025",10,5]]},"issued":{"date-parts":[["2014",2]]}}}],"schema":"https://github.com/citation-style-language/schema/raw/master/csl-citation.json"} </w:instrText>
      </w:r>
      <w:r w:rsidR="00773D96">
        <w:fldChar w:fldCharType="separate"/>
      </w:r>
      <w:r w:rsidR="00773D96" w:rsidRPr="00773D96">
        <w:rPr>
          <w:rFonts w:ascii="Aptos" w:hAnsi="Aptos"/>
        </w:rPr>
        <w:t>(Sainsbury, 2014)</w:t>
      </w:r>
      <w:r w:rsidR="00773D96">
        <w:fldChar w:fldCharType="end"/>
      </w:r>
      <w:r w:rsidR="003A66F4">
        <w:t>.</w:t>
      </w:r>
    </w:p>
    <w:p w14:paraId="408A1846" w14:textId="77777777" w:rsidR="00590717" w:rsidRDefault="00590717" w:rsidP="005779DE">
      <w:pPr>
        <w:spacing w:line="360" w:lineRule="auto"/>
      </w:pPr>
    </w:p>
    <w:p w14:paraId="71084297" w14:textId="77777777" w:rsidR="00590717" w:rsidRDefault="00590717" w:rsidP="005779DE">
      <w:pPr>
        <w:spacing w:line="360" w:lineRule="auto"/>
      </w:pPr>
    </w:p>
    <w:p w14:paraId="5547D533" w14:textId="77777777" w:rsidR="00590717" w:rsidRDefault="00590717" w:rsidP="005779DE">
      <w:pPr>
        <w:spacing w:line="360" w:lineRule="auto"/>
      </w:pPr>
    </w:p>
    <w:p w14:paraId="115CE2BA" w14:textId="77777777" w:rsidR="00D363F4" w:rsidRDefault="00D363F4" w:rsidP="005779DE">
      <w:pPr>
        <w:spacing w:line="360" w:lineRule="auto"/>
      </w:pPr>
    </w:p>
    <w:p w14:paraId="0BDF5FBE" w14:textId="6AD11C1B" w:rsidR="00566997" w:rsidRDefault="00126C01" w:rsidP="005779DE">
      <w:pPr>
        <w:spacing w:line="360" w:lineRule="auto"/>
      </w:pPr>
      <w:r w:rsidRPr="00C879DA">
        <w:lastRenderedPageBreak/>
        <w:t xml:space="preserve">PIP is the latest </w:t>
      </w:r>
      <w:r w:rsidR="007C48E8" w:rsidRPr="00C879DA">
        <w:t>policy</w:t>
      </w:r>
      <w:r w:rsidRPr="00C879DA">
        <w:t xml:space="preserve"> of support for disabled </w:t>
      </w:r>
      <w:r w:rsidR="007C48E8" w:rsidRPr="00C879DA">
        <w:t>individuals</w:t>
      </w:r>
      <w:r w:rsidRPr="00C879DA">
        <w:t xml:space="preserve">, which began with the establishment of the welfare state following </w:t>
      </w:r>
      <w:r w:rsidR="007D796D">
        <w:t>the Second World War</w:t>
      </w:r>
      <w:r w:rsidR="003B69AE">
        <w:t xml:space="preserve"> (WWII)</w:t>
      </w:r>
      <w:r w:rsidRPr="00C879DA">
        <w:t xml:space="preserve"> under the Labour Party government of the time in 1948 (Fraser, 202</w:t>
      </w:r>
      <w:r w:rsidR="00BB785F">
        <w:t>3)</w:t>
      </w:r>
      <w:r w:rsidRPr="00C879DA">
        <w:t>.</w:t>
      </w:r>
      <w:r>
        <w:rPr>
          <w:b/>
          <w:bCs/>
        </w:rPr>
        <w:t xml:space="preserve"> </w:t>
      </w:r>
      <w:r>
        <w:t>Due to the war, resources were scarce, and food was rationed</w:t>
      </w:r>
      <w:r w:rsidR="00E957E7">
        <w:t>,</w:t>
      </w:r>
      <w:r>
        <w:t xml:space="preserve"> therefore, a comprehensive and structured approach was necessary (</w:t>
      </w:r>
      <w:proofErr w:type="spellStart"/>
      <w:r>
        <w:t>Dryzek</w:t>
      </w:r>
      <w:proofErr w:type="spellEnd"/>
      <w:r>
        <w:t xml:space="preserve"> </w:t>
      </w:r>
      <w:r w:rsidR="00377B1F">
        <w:t>&amp;</w:t>
      </w:r>
      <w:r>
        <w:t xml:space="preserve"> Goodin, 1986).</w:t>
      </w:r>
      <w:r>
        <w:rPr>
          <w:b/>
          <w:bCs/>
        </w:rPr>
        <w:t xml:space="preserve"> </w:t>
      </w:r>
      <w:r>
        <w:t xml:space="preserve">This was supported by both major parties, for which Sir William Beveridge of the Labour Party was </w:t>
      </w:r>
      <w:r w:rsidR="00FC5946">
        <w:t>entrusted</w:t>
      </w:r>
      <w:r>
        <w:t xml:space="preserve"> with making recommendations to achieve economic stability. This produced ‘</w:t>
      </w:r>
      <w:r w:rsidR="00CF660B">
        <w:t>T</w:t>
      </w:r>
      <w:r>
        <w:t xml:space="preserve">he Beveridge </w:t>
      </w:r>
      <w:r w:rsidR="00CF660B">
        <w:t>R</w:t>
      </w:r>
      <w:r>
        <w:t>eport’ (Fraser, 2024).</w:t>
      </w:r>
      <w:r>
        <w:rPr>
          <w:b/>
          <w:bCs/>
        </w:rPr>
        <w:t xml:space="preserve"> </w:t>
      </w:r>
      <w:r>
        <w:t xml:space="preserve">The report is founded on two central pillars of the British welfare state: the social security system and the National Health Service </w:t>
      </w:r>
      <w:r>
        <w:fldChar w:fldCharType="begin"/>
      </w:r>
      <w:r>
        <w:instrText xml:space="preserve"> ADDIN ZOTERO_ITEM CSL_CITATION {"citationID":"TKuLGzt6","properties":{"formattedCitation":"(Fraser, 2022)","plainCitation":"(Fraser, 2022)","noteIndex":0},"citationItems":[{"id":401,"uris":["http://zotero.org/users/local/aqoAGYE8/items/929BXY3P"],"itemData":{"id":401,"type":"book","abstract":"This book provides the definitive account of the making of the 1942 Beveridge Report and its influence on wartime and post-war social policy. The Beveridge Report: Blueprint for the Welfare State aims to offer a definitive analysis of the famous document, so influential in the founding of the Welfare State and the National Health Service, which still resonates in current debates about ‘getting back to Beveridge’ and a ‘Beveridge for the 21st Century’. It is based on extensive research into the papers of the Beveridge Committee, official Government archives and the papers of contemporary politicians and groups. Published to coincide with the Report’s 80th anniversary, the book is treated as a case study in policy formulation during the 1940s. \nKey features of the book include\n\nThe first systematic review and assessment of the work of the Beveridge Committee and the evidence submitted to it\nDetailed analysis of the enthusiastic reception of the Report and the government’s lukewarm attitude \nA full survey of the detailed planning for welfare reform and Beveridge’s role when excluded from it\nAn assessment of the influence of Beveridge upon the creation of the Welfare State by Attlee’s Labour Government \nThis important book will be of interest to scholars of twentieth-century British, social history, political history and contemporary politics and comparative health and education systems. \nDerek Fraser is Emeritus Professor at the University of Teesside, where he served as Vice-Chancellor for 11 years.","event-place":"London","ISBN":"978-1-003-16740-2","note":"DOI: 10.4324/9781003167402","number-of-pages":"240","publisher":"Routledge","publisher-place":"London","title":"The Beveridge Report: Blueprint for the Welfare State","title-short":"The Beveridge Report","author":[{"family":"Fraser","given":"Derek"}],"issued":{"date-parts":[["2022",11,11]]}}}],"schema":"https://github.com/citation-style-language/schema/raw/master/csl-citation.json"} </w:instrText>
      </w:r>
      <w:r>
        <w:fldChar w:fldCharType="separate"/>
      </w:r>
      <w:r w:rsidRPr="00773D96">
        <w:rPr>
          <w:rFonts w:ascii="Aptos" w:hAnsi="Aptos"/>
        </w:rPr>
        <w:t>(Fraser, 202</w:t>
      </w:r>
      <w:r w:rsidR="00113DFB">
        <w:rPr>
          <w:rFonts w:ascii="Aptos" w:hAnsi="Aptos"/>
        </w:rPr>
        <w:t>3</w:t>
      </w:r>
      <w:r w:rsidRPr="00773D96">
        <w:rPr>
          <w:rFonts w:ascii="Aptos" w:hAnsi="Aptos"/>
        </w:rPr>
        <w:t>)</w:t>
      </w:r>
      <w:r>
        <w:fldChar w:fldCharType="end"/>
      </w:r>
      <w:r>
        <w:t>.</w:t>
      </w:r>
      <w:r w:rsidR="004A368A">
        <w:t xml:space="preserve"> </w:t>
      </w:r>
    </w:p>
    <w:p w14:paraId="67C4E9D7" w14:textId="77777777" w:rsidR="00590717" w:rsidRDefault="00590717" w:rsidP="005779DE">
      <w:pPr>
        <w:spacing w:line="360" w:lineRule="auto"/>
      </w:pPr>
    </w:p>
    <w:p w14:paraId="5A419BB6" w14:textId="3FCAF279" w:rsidR="00136EBB" w:rsidRDefault="00136EBB" w:rsidP="005779DE">
      <w:pPr>
        <w:spacing w:line="360" w:lineRule="auto"/>
      </w:pPr>
      <w:r w:rsidRPr="00BA211F">
        <w:t xml:space="preserve">The ideological influences of the PIP policy in the UK are complex and layered, encouraging critical public engagement. </w:t>
      </w:r>
      <w:r>
        <w:t xml:space="preserve">Theorists see public participation as both a cause and a solution to aligning policy with political wishes. Citizen involvement may increase opposition, delay negotiations, and risk failure; moderate participation can destabilise government (Crain &amp; Rosenthal, 1967). </w:t>
      </w:r>
      <w:r w:rsidRPr="00BA211F">
        <w:t>Governments have repeatedly reframed welfare policy, from Labour's disability-positive stance to the Conservatives' neoliberal view, emphasising individual responsibility for economic independence and their own political beliefs and ideologies regarding fiscal value to taxpayers</w:t>
      </w:r>
      <w:r>
        <w:t xml:space="preserve"> (Taylor, 2007). Key determinants individuals consider include personal values, political ideology, and cultural factors (Alarcon-Garcia </w:t>
      </w:r>
      <w:r w:rsidR="003A66F4">
        <w:t>and</w:t>
      </w:r>
      <w:r>
        <w:t xml:space="preserve"> Martinez-Serrano, 2025).</w:t>
      </w:r>
    </w:p>
    <w:p w14:paraId="5F22EC24" w14:textId="77777777" w:rsidR="00590717" w:rsidRDefault="00590717" w:rsidP="009E06DF">
      <w:pPr>
        <w:spacing w:line="360" w:lineRule="auto"/>
      </w:pPr>
    </w:p>
    <w:p w14:paraId="3AE93EAF" w14:textId="77777777" w:rsidR="00590717" w:rsidRDefault="001767F1" w:rsidP="00590717">
      <w:pPr>
        <w:spacing w:line="360" w:lineRule="auto"/>
        <w:rPr>
          <w:b/>
          <w:bCs/>
        </w:rPr>
      </w:pPr>
      <w:r w:rsidRPr="00491A8E">
        <w:t xml:space="preserve">PIP has emerged in its present form </w:t>
      </w:r>
      <w:r w:rsidR="00D42BAE">
        <w:t>through various pieces of legislation that have incorporated</w:t>
      </w:r>
      <w:r w:rsidR="00964A98" w:rsidRPr="00491A8E">
        <w:t xml:space="preserve"> </w:t>
      </w:r>
      <w:r w:rsidR="003C53D4" w:rsidRPr="00491A8E">
        <w:t>latest support</w:t>
      </w:r>
      <w:r w:rsidR="00964A98" w:rsidRPr="00491A8E">
        <w:t xml:space="preserve"> for </w:t>
      </w:r>
      <w:r w:rsidR="00D42BAE">
        <w:t>individuals who are disabled</w:t>
      </w:r>
      <w:r w:rsidR="00964A98" w:rsidRPr="00491A8E">
        <w:t>.</w:t>
      </w:r>
      <w:r w:rsidR="00964A98">
        <w:rPr>
          <w:b/>
          <w:bCs/>
        </w:rPr>
        <w:t xml:space="preserve"> </w:t>
      </w:r>
      <w:r w:rsidR="000F4C46">
        <w:t xml:space="preserve">There have been several </w:t>
      </w:r>
      <w:r w:rsidR="00CA1F8E">
        <w:t>changes to</w:t>
      </w:r>
      <w:r w:rsidR="00817B17">
        <w:t xml:space="preserve"> the</w:t>
      </w:r>
      <w:r w:rsidR="00CA1F8E">
        <w:t xml:space="preserve"> </w:t>
      </w:r>
      <w:r w:rsidR="00BC218D">
        <w:t>benefits</w:t>
      </w:r>
      <w:r w:rsidR="00CA1F8E">
        <w:t xml:space="preserve"> for disabled individuals, </w:t>
      </w:r>
      <w:r w:rsidR="008D66FB">
        <w:t>traceable</w:t>
      </w:r>
      <w:r w:rsidR="00CA1F8E">
        <w:t xml:space="preserve"> to the National Insurance Act </w:t>
      </w:r>
      <w:r w:rsidR="0012224D">
        <w:t>(</w:t>
      </w:r>
      <w:r w:rsidR="00CA1F8E">
        <w:t>1970</w:t>
      </w:r>
      <w:r w:rsidR="0012224D">
        <w:t>)</w:t>
      </w:r>
      <w:r w:rsidR="00CA1F8E">
        <w:t xml:space="preserve"> and the mobility provisions </w:t>
      </w:r>
      <w:r w:rsidR="006442CB">
        <w:t xml:space="preserve">of the </w:t>
      </w:r>
      <w:r w:rsidR="00F00F90">
        <w:t>Social Security</w:t>
      </w:r>
      <w:r w:rsidR="006442CB">
        <w:t xml:space="preserve"> and </w:t>
      </w:r>
      <w:r w:rsidR="00F00F90">
        <w:t>Pensions Act</w:t>
      </w:r>
      <w:r w:rsidR="006442CB">
        <w:t xml:space="preserve"> </w:t>
      </w:r>
      <w:r w:rsidR="0012224D">
        <w:t>(</w:t>
      </w:r>
      <w:r w:rsidR="006442CB">
        <w:t>1975</w:t>
      </w:r>
      <w:r w:rsidR="0012224D">
        <w:t>)</w:t>
      </w:r>
      <w:r w:rsidR="00FE7123">
        <w:t xml:space="preserve">. </w:t>
      </w:r>
      <w:r w:rsidR="008524B1">
        <w:t xml:space="preserve">The combination of the Mobility Allowance and Attendance Allowance for working-age individuals (16 and older), which was merged into the Disability Living Allowance (DLA) in 1992 and later incorporated into the Welfare Reform Act </w:t>
      </w:r>
      <w:r w:rsidR="00120763">
        <w:t xml:space="preserve">(WRA) in </w:t>
      </w:r>
      <w:r w:rsidR="008524B1">
        <w:t>2012, was first introduced in the final version of the PIP in 2013 (Sainsbury and Millar</w:t>
      </w:r>
      <w:r w:rsidR="003A66F4">
        <w:t>,</w:t>
      </w:r>
      <w:r w:rsidR="008524B1">
        <w:t xml:space="preserve"> 2018)</w:t>
      </w:r>
      <w:r w:rsidR="00964A98">
        <w:rPr>
          <w:b/>
          <w:bCs/>
        </w:rPr>
        <w:t>.</w:t>
      </w:r>
      <w:r w:rsidR="005872AB">
        <w:rPr>
          <w:b/>
          <w:bCs/>
        </w:rPr>
        <w:t xml:space="preserve"> </w:t>
      </w:r>
    </w:p>
    <w:p w14:paraId="7AA68D93" w14:textId="77777777" w:rsidR="00590717" w:rsidRDefault="00590717" w:rsidP="00590717">
      <w:pPr>
        <w:spacing w:line="360" w:lineRule="auto"/>
        <w:rPr>
          <w:b/>
          <w:bCs/>
        </w:rPr>
      </w:pPr>
    </w:p>
    <w:p w14:paraId="23E4E2BA" w14:textId="77777777" w:rsidR="002714CE" w:rsidRDefault="00354559" w:rsidP="005779DE">
      <w:pPr>
        <w:spacing w:line="360" w:lineRule="auto"/>
        <w:rPr>
          <w:rFonts w:ascii="Aptos" w:hAnsi="Aptos"/>
          <w:bCs/>
          <w:color w:val="000000"/>
        </w:rPr>
      </w:pPr>
      <w:r>
        <w:t xml:space="preserve">These changes introduced the same </w:t>
      </w:r>
      <w:r w:rsidR="00AA649C">
        <w:t>eligibility criteria for PIP</w:t>
      </w:r>
      <w:r>
        <w:t xml:space="preserve">; however, they could render some health conditions ineligible, thereby increasing poverty, inequality, and hardship. </w:t>
      </w:r>
      <w:r w:rsidR="002A5BDF">
        <w:t xml:space="preserve">(Machin, 2017). </w:t>
      </w:r>
      <w:r w:rsidR="00590717" w:rsidRPr="00590717">
        <w:t>Machin observed that similar goals drove the 1992 Conservative government's DLA introduction and the 2012 coalition government's welfare reform through the Welfare Reform Act (WRA) 2012.</w:t>
      </w:r>
      <w:r w:rsidR="00590717">
        <w:t xml:space="preserve"> </w:t>
      </w:r>
      <w:r w:rsidR="00484571" w:rsidRPr="00484571">
        <w:rPr>
          <w:rFonts w:ascii="Aptos" w:hAnsi="Aptos"/>
          <w:bCs/>
          <w:color w:val="000000"/>
        </w:rPr>
        <w:t xml:space="preserve">The </w:t>
      </w:r>
      <w:r w:rsidR="0011297A">
        <w:rPr>
          <w:rFonts w:ascii="Aptos" w:hAnsi="Aptos"/>
          <w:bCs/>
          <w:color w:val="000000"/>
        </w:rPr>
        <w:t>WRA</w:t>
      </w:r>
      <w:r w:rsidR="00484571" w:rsidRPr="00484571">
        <w:rPr>
          <w:rFonts w:ascii="Aptos" w:hAnsi="Aptos"/>
          <w:bCs/>
          <w:color w:val="000000"/>
        </w:rPr>
        <w:t xml:space="preserve"> was justified by appeals to independence and fairness, but these arguments were often accompanied by scepticism about individuals and concerns over fraud. </w:t>
      </w:r>
    </w:p>
    <w:p w14:paraId="483E5F3C" w14:textId="77777777" w:rsidR="002714CE" w:rsidRDefault="002714CE" w:rsidP="005779DE">
      <w:pPr>
        <w:spacing w:line="360" w:lineRule="auto"/>
        <w:rPr>
          <w:rFonts w:ascii="Aptos" w:hAnsi="Aptos"/>
          <w:bCs/>
          <w:color w:val="000000"/>
        </w:rPr>
      </w:pPr>
    </w:p>
    <w:p w14:paraId="31E535E4" w14:textId="1EDABAD6" w:rsidR="00566997" w:rsidRPr="00590717" w:rsidRDefault="00484571" w:rsidP="005779DE">
      <w:pPr>
        <w:spacing w:line="360" w:lineRule="auto"/>
        <w:rPr>
          <w:rFonts w:ascii="Aptos" w:hAnsi="Aptos"/>
          <w:color w:val="000000"/>
        </w:rPr>
      </w:pPr>
      <w:r w:rsidRPr="00484571">
        <w:rPr>
          <w:rFonts w:ascii="Aptos" w:hAnsi="Aptos"/>
          <w:bCs/>
          <w:color w:val="000000"/>
        </w:rPr>
        <w:t>As a result, ‘welfare conditionality’ cannot be considered separately from the wider policy context, which has had a major impact on disabled people’s lives</w:t>
      </w:r>
      <w:r w:rsidR="00566997">
        <w:rPr>
          <w:rFonts w:ascii="Aptos" w:hAnsi="Aptos"/>
          <w:bCs/>
          <w:color w:val="000000"/>
        </w:rPr>
        <w:t xml:space="preserve"> (Brown, 2020).</w:t>
      </w:r>
      <w:r>
        <w:rPr>
          <w:rFonts w:ascii="Aptos" w:hAnsi="Aptos"/>
          <w:bCs/>
          <w:color w:val="000000"/>
        </w:rPr>
        <w:t xml:space="preserve"> </w:t>
      </w:r>
      <w:r w:rsidR="00566997" w:rsidRPr="00566997">
        <w:rPr>
          <w:rFonts w:ascii="Aptos" w:hAnsi="Aptos"/>
          <w:color w:val="000000"/>
        </w:rPr>
        <w:t xml:space="preserve">Welfare conditionality links eligibility for services and benefits to compliance with specified responsibilities and behaviours. Although not restricted to Employment Support Allowance (ESA), this approach may </w:t>
      </w:r>
      <w:r w:rsidR="00566997" w:rsidRPr="00566997">
        <w:rPr>
          <w:rFonts w:ascii="Aptos" w:hAnsi="Aptos"/>
          <w:i/>
          <w:color w:val="000000"/>
        </w:rPr>
        <w:t>also e</w:t>
      </w:r>
      <w:r w:rsidR="00566997" w:rsidRPr="00566997">
        <w:rPr>
          <w:rFonts w:ascii="Aptos" w:hAnsi="Aptos"/>
          <w:color w:val="000000"/>
        </w:rPr>
        <w:t xml:space="preserve">ncompass other benefits such as PIP. The rationale for conditionality can extend to broader policy frameworks as well (Lindsay and Houston, 2011; Dwyer </w:t>
      </w:r>
      <w:r w:rsidR="00566997" w:rsidRPr="006F559C">
        <w:rPr>
          <w:rFonts w:ascii="Aptos" w:hAnsi="Aptos"/>
          <w:i/>
          <w:iCs/>
          <w:color w:val="000000"/>
        </w:rPr>
        <w:t>et al.,</w:t>
      </w:r>
      <w:r w:rsidR="00566997" w:rsidRPr="00566997">
        <w:rPr>
          <w:rFonts w:ascii="Aptos" w:hAnsi="Aptos"/>
          <w:color w:val="000000"/>
        </w:rPr>
        <w:t xml:space="preserve"> 2018; Brown, 2020).</w:t>
      </w:r>
      <w:r w:rsidR="00566997">
        <w:rPr>
          <w:rFonts w:ascii="Aptos" w:hAnsi="Aptos"/>
          <w:color w:val="000000"/>
        </w:rPr>
        <w:t xml:space="preserve"> </w:t>
      </w:r>
    </w:p>
    <w:p w14:paraId="55B5B007" w14:textId="77777777" w:rsidR="00590717" w:rsidRDefault="00590717" w:rsidP="005779DE">
      <w:pPr>
        <w:spacing w:line="360" w:lineRule="auto"/>
      </w:pPr>
    </w:p>
    <w:p w14:paraId="6FC4DF18" w14:textId="77777777" w:rsidR="00A17E64" w:rsidRDefault="006239B7" w:rsidP="005779DE">
      <w:pPr>
        <w:spacing w:line="360" w:lineRule="auto"/>
      </w:pPr>
      <w:r>
        <w:t xml:space="preserve">The </w:t>
      </w:r>
      <w:r w:rsidR="00164F0D">
        <w:t xml:space="preserve">positionality </w:t>
      </w:r>
      <w:r w:rsidR="00FD5ADD">
        <w:t>o</w:t>
      </w:r>
      <w:r w:rsidR="00164F0D">
        <w:t xml:space="preserve">f the PIP policy would have been that the current government is turning towards a more </w:t>
      </w:r>
      <w:r w:rsidR="00A72A22">
        <w:t>neoliberal agenda</w:t>
      </w:r>
      <w:r w:rsidR="00676E3D">
        <w:t xml:space="preserve">, </w:t>
      </w:r>
      <w:r w:rsidR="00FD5ADD">
        <w:t>rather</w:t>
      </w:r>
      <w:r w:rsidR="00A72A22">
        <w:t xml:space="preserve"> than a disability</w:t>
      </w:r>
      <w:r w:rsidR="00FD5ADD">
        <w:t>-led</w:t>
      </w:r>
      <w:r w:rsidR="0016089E">
        <w:t xml:space="preserve"> approach</w:t>
      </w:r>
      <w:r w:rsidR="00465F2D">
        <w:t xml:space="preserve"> </w:t>
      </w:r>
      <w:r w:rsidR="00D16C19">
        <w:t>(</w:t>
      </w:r>
      <w:proofErr w:type="spellStart"/>
      <w:r w:rsidR="00281734">
        <w:t>Soldatic</w:t>
      </w:r>
      <w:proofErr w:type="spellEnd"/>
      <w:r w:rsidR="00281734">
        <w:t>, 2018</w:t>
      </w:r>
      <w:r w:rsidR="00D16C19">
        <w:t>)</w:t>
      </w:r>
      <w:r w:rsidR="00EF04F0">
        <w:t>.</w:t>
      </w:r>
      <w:r w:rsidR="00905516">
        <w:t xml:space="preserve"> </w:t>
      </w:r>
      <w:r w:rsidR="00B002AA">
        <w:t>Neoliberals view</w:t>
      </w:r>
      <w:r w:rsidR="00676E3D">
        <w:t xml:space="preserve"> maintaining inequalities positively, arguing </w:t>
      </w:r>
      <w:r w:rsidR="00695D79">
        <w:t xml:space="preserve">that </w:t>
      </w:r>
      <w:r w:rsidR="00676E3D">
        <w:t xml:space="preserve">equality is unrealistic and unlikely to succeed. A disability-led approach would raise awareness of potentially harmful policies, </w:t>
      </w:r>
      <w:r w:rsidR="00695D79">
        <w:t xml:space="preserve">propose alternatives, and be guided by a disability-led parliamentary group in critically evaluating policies before they become </w:t>
      </w:r>
      <w:r w:rsidR="00676E3D">
        <w:t>law</w:t>
      </w:r>
      <w:r w:rsidR="00695D79">
        <w:t xml:space="preserve"> (Frawley, 2008).</w:t>
      </w:r>
      <w:r w:rsidR="00BB35B7">
        <w:t xml:space="preserve"> </w:t>
      </w:r>
    </w:p>
    <w:p w14:paraId="61D8203C" w14:textId="77777777" w:rsidR="00A17E64" w:rsidRDefault="00A17E64" w:rsidP="005779DE">
      <w:pPr>
        <w:spacing w:line="360" w:lineRule="auto"/>
      </w:pPr>
    </w:p>
    <w:p w14:paraId="512BF99E" w14:textId="77777777" w:rsidR="00D363F4" w:rsidRDefault="00D363F4" w:rsidP="005779DE">
      <w:pPr>
        <w:spacing w:line="360" w:lineRule="auto"/>
      </w:pPr>
    </w:p>
    <w:p w14:paraId="5D89B8C7" w14:textId="77777777" w:rsidR="00D363F4" w:rsidRDefault="00D363F4" w:rsidP="005779DE">
      <w:pPr>
        <w:spacing w:line="360" w:lineRule="auto"/>
      </w:pPr>
    </w:p>
    <w:p w14:paraId="649C0A2D" w14:textId="6EAF9AF2" w:rsidR="002260DC" w:rsidRDefault="00326113" w:rsidP="005779DE">
      <w:pPr>
        <w:spacing w:line="360" w:lineRule="auto"/>
      </w:pPr>
      <w:r>
        <w:lastRenderedPageBreak/>
        <w:t xml:space="preserve">Critics of </w:t>
      </w:r>
      <w:r w:rsidR="004D4C1A">
        <w:t xml:space="preserve">the DLA and potentially PIP could argue that </w:t>
      </w:r>
      <w:r w:rsidR="00BC3C34">
        <w:t xml:space="preserve">out-of-work benefits should be based upon </w:t>
      </w:r>
      <w:r w:rsidR="00B61F90">
        <w:t xml:space="preserve">a </w:t>
      </w:r>
      <w:r w:rsidR="00C5632B">
        <w:t>‘real-world</w:t>
      </w:r>
      <w:r w:rsidR="00BC3C34">
        <w:t xml:space="preserve"> </w:t>
      </w:r>
      <w:r w:rsidR="00C5632B">
        <w:t>assessment’ of individuals</w:t>
      </w:r>
      <w:r w:rsidR="0077234B">
        <w:t xml:space="preserve">, citing the </w:t>
      </w:r>
      <w:r w:rsidR="0056422F">
        <w:t>Netherlands</w:t>
      </w:r>
      <w:r w:rsidR="0077234B">
        <w:t xml:space="preserve"> and </w:t>
      </w:r>
      <w:r w:rsidR="0056422F">
        <w:t xml:space="preserve">the </w:t>
      </w:r>
      <w:r w:rsidR="00973051">
        <w:t>USA</w:t>
      </w:r>
      <w:r w:rsidR="0056422F">
        <w:t>,</w:t>
      </w:r>
      <w:r w:rsidR="00973051">
        <w:t xml:space="preserve"> which </w:t>
      </w:r>
      <w:r w:rsidR="0056422F">
        <w:t>have</w:t>
      </w:r>
      <w:r w:rsidR="00973051">
        <w:t xml:space="preserve"> databases of functional impai</w:t>
      </w:r>
      <w:r w:rsidR="00C64BDB">
        <w:t>rments to determine benefits given (</w:t>
      </w:r>
      <w:proofErr w:type="spellStart"/>
      <w:r w:rsidR="00C64BDB">
        <w:t>Baumberg</w:t>
      </w:r>
      <w:proofErr w:type="spellEnd"/>
      <w:r w:rsidR="00C64BDB">
        <w:t>,</w:t>
      </w:r>
      <w:r w:rsidR="009F3097">
        <w:t xml:space="preserve"> </w:t>
      </w:r>
      <w:r w:rsidR="00C64BDB">
        <w:t>Warren</w:t>
      </w:r>
      <w:r w:rsidR="009F3097">
        <w:t xml:space="preserve">, </w:t>
      </w:r>
      <w:r w:rsidR="0056422F">
        <w:t>Garthwaite</w:t>
      </w:r>
      <w:r w:rsidR="009F3097">
        <w:t>, &amp; Bambra, 2015)</w:t>
      </w:r>
      <w:r w:rsidR="008D498C">
        <w:t>.</w:t>
      </w:r>
      <w:r w:rsidR="00A4484E">
        <w:t xml:space="preserve"> </w:t>
      </w:r>
      <w:r w:rsidR="00B10542">
        <w:t>Harris (201</w:t>
      </w:r>
      <w:r w:rsidR="00B274BF">
        <w:t>4</w:t>
      </w:r>
      <w:r w:rsidR="00B10542">
        <w:t xml:space="preserve">) identified that the complexities of the social security system allow for </w:t>
      </w:r>
      <w:r w:rsidR="00377B1F">
        <w:t>both differentiation and consistency within the system</w:t>
      </w:r>
      <w:r w:rsidR="00B10542">
        <w:t>.</w:t>
      </w:r>
    </w:p>
    <w:p w14:paraId="548B3C53" w14:textId="77777777" w:rsidR="00590717" w:rsidRDefault="00590717" w:rsidP="00595516">
      <w:pPr>
        <w:spacing w:line="360" w:lineRule="auto"/>
      </w:pPr>
    </w:p>
    <w:p w14:paraId="6971F8F0" w14:textId="0B18E163" w:rsidR="00595516" w:rsidRDefault="00E85E4C" w:rsidP="00595516">
      <w:pPr>
        <w:spacing w:line="360" w:lineRule="auto"/>
      </w:pPr>
      <w:r>
        <w:t xml:space="preserve">The current welfare allocation for PIP was recently under review. Following a major </w:t>
      </w:r>
      <w:r w:rsidR="00377B1F">
        <w:t xml:space="preserve">government rebellion </w:t>
      </w:r>
      <w:r>
        <w:t xml:space="preserve">in June 2025, the criteria were significantly changed, and new criteria may be published in the 'Timms Review' in October 2026. Therefore, the new position is that the government, in consultation with relevant disability groups and individuals, could make this a means-tested benefit to support disabled individuals, </w:t>
      </w:r>
      <w:r w:rsidR="008D498C">
        <w:t>based on the new PIP's criteria</w:t>
      </w:r>
      <w:r>
        <w:t>. Means testing would naturally lower taxpayers' costs. This aligns with a conservative neoliberal agenda aimed at decreasing the number of individuals receiving any benefit (Young, 2025).</w:t>
      </w:r>
    </w:p>
    <w:p w14:paraId="05E0C07D" w14:textId="77777777" w:rsidR="00DF324A" w:rsidRDefault="00DF324A" w:rsidP="00595516">
      <w:pPr>
        <w:spacing w:line="360" w:lineRule="auto"/>
      </w:pPr>
    </w:p>
    <w:p w14:paraId="163537B9" w14:textId="77777777" w:rsidR="00A17E64" w:rsidRDefault="00A17E64" w:rsidP="00595516">
      <w:pPr>
        <w:spacing w:line="360" w:lineRule="auto"/>
      </w:pPr>
    </w:p>
    <w:p w14:paraId="3E8030DF" w14:textId="77777777" w:rsidR="00A17E64" w:rsidRDefault="00A17E64" w:rsidP="00595516">
      <w:pPr>
        <w:spacing w:line="360" w:lineRule="auto"/>
      </w:pPr>
    </w:p>
    <w:p w14:paraId="5ED6849E" w14:textId="77777777" w:rsidR="00A17E64" w:rsidRDefault="00A17E64" w:rsidP="00595516">
      <w:pPr>
        <w:spacing w:line="360" w:lineRule="auto"/>
      </w:pPr>
    </w:p>
    <w:p w14:paraId="35DEFDFB" w14:textId="77777777" w:rsidR="00A17E64" w:rsidRDefault="00A17E64" w:rsidP="00595516">
      <w:pPr>
        <w:spacing w:line="360" w:lineRule="auto"/>
      </w:pPr>
    </w:p>
    <w:p w14:paraId="25DCE68A" w14:textId="77777777" w:rsidR="00A17E64" w:rsidRDefault="00A17E64" w:rsidP="00595516">
      <w:pPr>
        <w:spacing w:line="360" w:lineRule="auto"/>
      </w:pPr>
    </w:p>
    <w:p w14:paraId="5952B284" w14:textId="77777777" w:rsidR="00A17E64" w:rsidRDefault="00A17E64" w:rsidP="00595516">
      <w:pPr>
        <w:spacing w:line="360" w:lineRule="auto"/>
      </w:pPr>
    </w:p>
    <w:p w14:paraId="4FB2E955" w14:textId="77777777" w:rsidR="00A17E64" w:rsidRDefault="00A17E64" w:rsidP="00595516">
      <w:pPr>
        <w:spacing w:line="360" w:lineRule="auto"/>
      </w:pPr>
    </w:p>
    <w:p w14:paraId="43690EA8" w14:textId="77777777" w:rsidR="00A17E64" w:rsidRDefault="00A17E64" w:rsidP="00595516">
      <w:pPr>
        <w:spacing w:line="360" w:lineRule="auto"/>
      </w:pPr>
    </w:p>
    <w:p w14:paraId="0DD96FFC" w14:textId="77777777" w:rsidR="00A17E64" w:rsidRDefault="00A17E64" w:rsidP="00595516">
      <w:pPr>
        <w:spacing w:line="360" w:lineRule="auto"/>
      </w:pPr>
    </w:p>
    <w:p w14:paraId="60A7082E" w14:textId="77777777" w:rsidR="00A17E64" w:rsidRDefault="00A17E64" w:rsidP="00595516">
      <w:pPr>
        <w:spacing w:line="360" w:lineRule="auto"/>
      </w:pPr>
    </w:p>
    <w:p w14:paraId="173323D9" w14:textId="0782961E" w:rsidR="00A17E64" w:rsidRPr="00D363F4" w:rsidRDefault="00AC4FF4" w:rsidP="00D363F4">
      <w:pPr>
        <w:pStyle w:val="Heading2"/>
        <w:rPr>
          <w:sz w:val="28"/>
          <w:szCs w:val="28"/>
        </w:rPr>
      </w:pPr>
      <w:r w:rsidRPr="00D82941">
        <w:rPr>
          <w:rStyle w:val="IntenseEmphasis"/>
          <w:i w:val="0"/>
          <w:iCs w:val="0"/>
          <w:sz w:val="28"/>
          <w:szCs w:val="28"/>
        </w:rPr>
        <w:lastRenderedPageBreak/>
        <w:t>The reformation of the Disability Rights Movem</w:t>
      </w:r>
      <w:r w:rsidR="00D94393" w:rsidRPr="00D82941">
        <w:rPr>
          <w:rStyle w:val="IntenseEmphasis"/>
          <w:i w:val="0"/>
          <w:iCs w:val="0"/>
          <w:sz w:val="28"/>
          <w:szCs w:val="28"/>
        </w:rPr>
        <w:t>ent</w:t>
      </w:r>
    </w:p>
    <w:p w14:paraId="6A980AD6" w14:textId="37C5BEFC" w:rsidR="00DE7143" w:rsidRDefault="00BE3E06" w:rsidP="005779DE">
      <w:pPr>
        <w:spacing w:line="360" w:lineRule="auto"/>
      </w:pPr>
      <w:r w:rsidRPr="009C08F4">
        <w:t xml:space="preserve">Disability is a social construct, </w:t>
      </w:r>
      <w:r w:rsidR="00B002AA">
        <w:t xml:space="preserve">shaped by the political and social context of a given </w:t>
      </w:r>
      <w:r w:rsidRPr="009C08F4">
        <w:t>time</w:t>
      </w:r>
      <w:r w:rsidR="00B162A6" w:rsidRPr="009C08F4">
        <w:t xml:space="preserve"> (Oli</w:t>
      </w:r>
      <w:r w:rsidR="00952C0C" w:rsidRPr="009C08F4">
        <w:t>v</w:t>
      </w:r>
      <w:r w:rsidR="00B162A6" w:rsidRPr="009C08F4">
        <w:t>er, 1990</w:t>
      </w:r>
      <w:r w:rsidR="00441567" w:rsidRPr="009C08F4">
        <w:t>; Siebers</w:t>
      </w:r>
      <w:r w:rsidR="00373E3F" w:rsidRPr="009C08F4">
        <w:t>, 2001)</w:t>
      </w:r>
      <w:r w:rsidR="0008565E">
        <w:t>.</w:t>
      </w:r>
      <w:r w:rsidR="009C08F4" w:rsidRPr="009C08F4">
        <w:t xml:space="preserve"> </w:t>
      </w:r>
      <w:r w:rsidR="00807D65" w:rsidRPr="00807D65">
        <w:t>As such</w:t>
      </w:r>
      <w:r w:rsidR="003E1405">
        <w:t>, it is ever-changing</w:t>
      </w:r>
      <w:r w:rsidR="00807D65" w:rsidRPr="00807D65">
        <w:t xml:space="preserve"> and has a dynamic meaning</w:t>
      </w:r>
      <w:r w:rsidR="003E1405">
        <w:t xml:space="preserve">. </w:t>
      </w:r>
      <w:r w:rsidRPr="009C08F4">
        <w:t xml:space="preserve">The </w:t>
      </w:r>
      <w:r w:rsidR="00377B1F">
        <w:t>Disability Rights Movement (DRM) has</w:t>
      </w:r>
      <w:r w:rsidR="00E04D26">
        <w:t xml:space="preserve"> </w:t>
      </w:r>
      <w:r w:rsidRPr="009C08F4">
        <w:t xml:space="preserve">been </w:t>
      </w:r>
      <w:r w:rsidR="00C149A4" w:rsidRPr="009C08F4">
        <w:t xml:space="preserve">instrumental in </w:t>
      </w:r>
      <w:r w:rsidR="003168AD" w:rsidRPr="009C08F4">
        <w:t xml:space="preserve">shaping the narrative </w:t>
      </w:r>
      <w:r w:rsidR="0086620F">
        <w:t>and definition of disability</w:t>
      </w:r>
      <w:r w:rsidR="003168AD" w:rsidRPr="009C08F4">
        <w:t xml:space="preserve"> in the UK. </w:t>
      </w:r>
      <w:r w:rsidR="00143CEA">
        <w:t xml:space="preserve">Disability </w:t>
      </w:r>
      <w:r w:rsidR="008623EF">
        <w:t>was</w:t>
      </w:r>
      <w:r w:rsidR="002E21E8">
        <w:t xml:space="preserve"> </w:t>
      </w:r>
      <w:r w:rsidR="008623EF">
        <w:t>first</w:t>
      </w:r>
      <w:r w:rsidR="002E21E8">
        <w:t xml:space="preserve"> identified as a particular form of </w:t>
      </w:r>
      <w:r w:rsidR="008623EF">
        <w:t xml:space="preserve">discrimination at </w:t>
      </w:r>
      <w:r w:rsidR="002E21E8">
        <w:t xml:space="preserve">the end of the </w:t>
      </w:r>
      <w:r w:rsidR="008623EF">
        <w:t>19</w:t>
      </w:r>
      <w:r w:rsidR="008623EF" w:rsidRPr="008623EF">
        <w:rPr>
          <w:vertAlign w:val="superscript"/>
        </w:rPr>
        <w:t>t</w:t>
      </w:r>
      <w:r w:rsidR="008813B3">
        <w:rPr>
          <w:vertAlign w:val="superscript"/>
        </w:rPr>
        <w:t xml:space="preserve">h </w:t>
      </w:r>
      <w:r w:rsidR="008623EF">
        <w:t>century</w:t>
      </w:r>
      <w:r w:rsidR="00C206C6">
        <w:t xml:space="preserve"> (</w:t>
      </w:r>
      <w:proofErr w:type="spellStart"/>
      <w:r w:rsidR="00145397">
        <w:t>Dineshan</w:t>
      </w:r>
      <w:proofErr w:type="spellEnd"/>
      <w:r w:rsidR="00C206C6">
        <w:t xml:space="preserve"> &amp; Geetha, 202</w:t>
      </w:r>
      <w:r w:rsidR="001703E3">
        <w:t>3</w:t>
      </w:r>
      <w:r w:rsidR="00C206C6">
        <w:t>)</w:t>
      </w:r>
      <w:r w:rsidR="00053655">
        <w:t xml:space="preserve">. </w:t>
      </w:r>
      <w:r w:rsidR="00DE7143" w:rsidRPr="0024304A">
        <w:t xml:space="preserve">The meaning of disability has evolved since </w:t>
      </w:r>
      <w:r w:rsidR="00B002AA">
        <w:t>WWII and is linked to much earlier</w:t>
      </w:r>
      <w:r w:rsidR="00575170">
        <w:t xml:space="preserve"> civilisations, cultures, beliefs, views, attitudes,</w:t>
      </w:r>
      <w:r w:rsidR="00DE7143" w:rsidRPr="0024304A">
        <w:t xml:space="preserve"> and societal norms (</w:t>
      </w:r>
      <w:proofErr w:type="spellStart"/>
      <w:r w:rsidR="00DE7143" w:rsidRPr="0024304A">
        <w:t>Dineshan</w:t>
      </w:r>
      <w:proofErr w:type="spellEnd"/>
      <w:r w:rsidR="00DE7143" w:rsidRPr="0024304A">
        <w:t xml:space="preserve"> </w:t>
      </w:r>
      <w:r w:rsidR="00575170">
        <w:t>&amp;</w:t>
      </w:r>
      <w:r w:rsidR="00DE7143" w:rsidRPr="0024304A">
        <w:t xml:space="preserve"> Geetha, 2023).</w:t>
      </w:r>
      <w:r w:rsidR="00BE551A">
        <w:t xml:space="preserve"> </w:t>
      </w:r>
      <w:proofErr w:type="spellStart"/>
      <w:r w:rsidR="00DE7143" w:rsidRPr="00E005FB">
        <w:t>Dineshan</w:t>
      </w:r>
      <w:proofErr w:type="spellEnd"/>
      <w:r w:rsidR="00DE7143" w:rsidRPr="00E005FB">
        <w:t xml:space="preserve"> and Geetha (2023</w:t>
      </w:r>
      <w:r w:rsidR="00DE7143">
        <w:t>) examined the links and concepts of disability from a historical perspective. I</w:t>
      </w:r>
      <w:r w:rsidR="00DE7143" w:rsidRPr="004834F2">
        <w:t xml:space="preserve">ndividuals with disabilities have existed in every society throughout history. Their experiences have varied across eras and cultures, influenced by changing attitudes, norms, and human rights from ancient civilisations to </w:t>
      </w:r>
      <w:r w:rsidR="00DE7143">
        <w:t>the present day</w:t>
      </w:r>
      <w:r w:rsidR="00DE7143" w:rsidRPr="004834F2">
        <w:t xml:space="preserve">. </w:t>
      </w:r>
    </w:p>
    <w:p w14:paraId="2A74B308" w14:textId="77777777" w:rsidR="00590717" w:rsidRDefault="00590717" w:rsidP="00E40A05">
      <w:pPr>
        <w:spacing w:line="360" w:lineRule="auto"/>
      </w:pPr>
    </w:p>
    <w:p w14:paraId="0D9751CC" w14:textId="77777777" w:rsidR="00590717" w:rsidRDefault="00AA5F17" w:rsidP="00E40A05">
      <w:pPr>
        <w:spacing w:line="360" w:lineRule="auto"/>
      </w:pPr>
      <w:r>
        <w:t xml:space="preserve">Taylor (2007) noted that when examining ideology, we focus on comprehensive systems of thought that represent entire philosophies of life, rather than simply party programmes. It is important to recognise that value can be found in most ideologies. By combining and refining ideas drawn from a variety of sources, we can enrich our understanding. Without exposure to a diverse range of ideological debates, our thinking can become limited. </w:t>
      </w:r>
    </w:p>
    <w:p w14:paraId="6C0C25C9" w14:textId="77777777" w:rsidR="00590717" w:rsidRDefault="00590717" w:rsidP="00E40A05">
      <w:pPr>
        <w:spacing w:line="360" w:lineRule="auto"/>
      </w:pPr>
    </w:p>
    <w:p w14:paraId="6F51D14F" w14:textId="7CCAB8AE" w:rsidR="00B17A3E" w:rsidRDefault="002043A2" w:rsidP="00E40A05">
      <w:pPr>
        <w:spacing w:line="360" w:lineRule="auto"/>
      </w:pPr>
      <w:proofErr w:type="spellStart"/>
      <w:r>
        <w:t>Zmigrod</w:t>
      </w:r>
      <w:proofErr w:type="spellEnd"/>
      <w:r>
        <w:t xml:space="preserve"> (2022) stated that ‘exposure to and participation in collective ideologies is therefore remarkably prevalent and consequential to people’s daily </w:t>
      </w:r>
      <w:r w:rsidR="00E72A3F">
        <w:t>lives</w:t>
      </w:r>
      <w:r>
        <w:t xml:space="preserve">. </w:t>
      </w:r>
      <w:r w:rsidR="00AA5F17">
        <w:t>Barnes (2007) examined disability, policy, and politics in the UK, highlighting the challenges disabled individuals face and their efforts for change. Since the mid-1960s, the UK’s active disabled people’s movement has shaped government policies in the sector.</w:t>
      </w:r>
      <w:r w:rsidR="003F0F8C">
        <w:t xml:space="preserve"> </w:t>
      </w:r>
      <w:r w:rsidR="00C54DC9">
        <w:t xml:space="preserve">The impact has </w:t>
      </w:r>
      <w:r w:rsidR="00DF324A">
        <w:t xml:space="preserve">mainly been to assist in changing policy through activism, protests by disabled groups, and, eventually, consultations and lobbying of </w:t>
      </w:r>
      <w:r w:rsidR="00C54DC9">
        <w:t>the government (Kitchin &amp; Wilton, 2003).</w:t>
      </w:r>
    </w:p>
    <w:p w14:paraId="4D86EB81" w14:textId="77777777" w:rsidR="006C5839" w:rsidRDefault="006C5839" w:rsidP="00E40A05">
      <w:pPr>
        <w:spacing w:line="360" w:lineRule="auto"/>
      </w:pPr>
    </w:p>
    <w:p w14:paraId="336363BD" w14:textId="77777777" w:rsidR="006C5839" w:rsidRDefault="006C5839" w:rsidP="00D82941">
      <w:pPr>
        <w:pStyle w:val="Heading3"/>
        <w:rPr>
          <w:rStyle w:val="IntenseEmphasis"/>
          <w:rFonts w:asciiTheme="majorHAnsi" w:hAnsiTheme="majorHAnsi"/>
          <w:i w:val="0"/>
          <w:iCs w:val="0"/>
        </w:rPr>
      </w:pPr>
    </w:p>
    <w:p w14:paraId="78EEF1E7" w14:textId="4115C504" w:rsidR="006C5839" w:rsidRPr="00D363F4" w:rsidRDefault="00F77E98" w:rsidP="00D363F4">
      <w:pPr>
        <w:pStyle w:val="Heading3"/>
        <w:rPr>
          <w:rFonts w:asciiTheme="majorHAnsi" w:hAnsiTheme="majorHAnsi"/>
        </w:rPr>
      </w:pPr>
      <w:r w:rsidRPr="00D82941">
        <w:rPr>
          <w:rStyle w:val="IntenseEmphasis"/>
          <w:rFonts w:asciiTheme="majorHAnsi" w:hAnsiTheme="majorHAnsi"/>
          <w:i w:val="0"/>
          <w:iCs w:val="0"/>
        </w:rPr>
        <w:t>Differentiate among model</w:t>
      </w:r>
      <w:r w:rsidR="00DF2837" w:rsidRPr="00D82941">
        <w:rPr>
          <w:rStyle w:val="IntenseEmphasis"/>
          <w:rFonts w:asciiTheme="majorHAnsi" w:hAnsiTheme="majorHAnsi"/>
          <w:i w:val="0"/>
          <w:iCs w:val="0"/>
        </w:rPr>
        <w:t xml:space="preserve">s via theorists and </w:t>
      </w:r>
      <w:r w:rsidR="00E72A3F" w:rsidRPr="00D82941">
        <w:rPr>
          <w:rStyle w:val="IntenseEmphasis"/>
          <w:rFonts w:asciiTheme="majorHAnsi" w:hAnsiTheme="majorHAnsi"/>
          <w:i w:val="0"/>
          <w:iCs w:val="0"/>
        </w:rPr>
        <w:t>practitioners</w:t>
      </w:r>
    </w:p>
    <w:p w14:paraId="2D35299E" w14:textId="77777777" w:rsidR="00590717" w:rsidRDefault="00D92D3B" w:rsidP="00590717">
      <w:pPr>
        <w:spacing w:line="360" w:lineRule="auto"/>
      </w:pPr>
      <w:r>
        <w:t xml:space="preserve">The PIP policy aligns with the principles of the Bio-Psycho-Social Model from the International Classification of Functioning, Disability and Health (ICF) of the World Health Organisation (WHO). </w:t>
      </w:r>
      <w:r w:rsidR="00E22E22">
        <w:t>The ICF (WHO, 2001) is a widely adopted model that defines disability and offers a standard language and framework for assessing health and disability. It differentiates between impairments in body function and structure, activity and capacity limitations, and participation restrictions</w:t>
      </w:r>
      <w:r w:rsidR="003567D3">
        <w:t xml:space="preserve"> (</w:t>
      </w:r>
      <w:r w:rsidR="003567D3" w:rsidRPr="000247F0">
        <w:rPr>
          <w:b/>
          <w:bCs/>
        </w:rPr>
        <w:t>Fig</w:t>
      </w:r>
      <w:r w:rsidR="000247F0" w:rsidRPr="000247F0">
        <w:rPr>
          <w:b/>
          <w:bCs/>
        </w:rPr>
        <w:t>ure</w:t>
      </w:r>
      <w:r w:rsidR="003567D3" w:rsidRPr="000247F0">
        <w:rPr>
          <w:b/>
          <w:bCs/>
        </w:rPr>
        <w:t xml:space="preserve"> 1</w:t>
      </w:r>
      <w:r w:rsidR="003567D3">
        <w:t>)</w:t>
      </w:r>
      <w:r w:rsidR="00E22E22">
        <w:t>. These relate to deviations from typical behaviour or functioning; for example, someone might be unable to perform certain work activities while others can.</w:t>
      </w:r>
      <w:r w:rsidR="005F7B64">
        <w:t xml:space="preserve"> </w:t>
      </w:r>
      <w:r w:rsidR="00E22E22">
        <w:t>The considerable advances in scientific research on disability have informed social discourse and influenced social policy.</w:t>
      </w:r>
    </w:p>
    <w:p w14:paraId="140BB4A3" w14:textId="77777777" w:rsidR="00D363F4" w:rsidRDefault="00D363F4" w:rsidP="00590717">
      <w:pPr>
        <w:spacing w:line="360" w:lineRule="auto"/>
      </w:pPr>
    </w:p>
    <w:p w14:paraId="7BD923B5" w14:textId="456ACC87" w:rsidR="002E4BFA" w:rsidRPr="00590717" w:rsidRDefault="002E4BFA" w:rsidP="00590717">
      <w:pPr>
        <w:spacing w:line="360" w:lineRule="auto"/>
      </w:pPr>
      <w:r w:rsidRPr="000247F0">
        <w:rPr>
          <w:rFonts w:cs="AdvOTc20ddc96"/>
          <w:b/>
          <w:bCs/>
          <w:color w:val="000000" w:themeColor="text1"/>
          <w:kern w:val="0"/>
        </w:rPr>
        <w:t>Figure 1</w:t>
      </w:r>
      <w:r w:rsidR="000247F0">
        <w:rPr>
          <w:rFonts w:cs="AdvOTc20ddc96"/>
          <w:color w:val="000000" w:themeColor="text1"/>
          <w:kern w:val="0"/>
        </w:rPr>
        <w:t>:</w:t>
      </w:r>
      <w:r w:rsidRPr="00B52D19">
        <w:rPr>
          <w:rFonts w:cs="AdvOTc20ddc96"/>
          <w:color w:val="000000" w:themeColor="text1"/>
          <w:kern w:val="0"/>
        </w:rPr>
        <w:t xml:space="preserve"> The </w:t>
      </w:r>
      <w:r w:rsidR="000247F0">
        <w:rPr>
          <w:rFonts w:cs="AdvOTc20ddc96"/>
          <w:color w:val="000000" w:themeColor="text1"/>
          <w:kern w:val="0"/>
        </w:rPr>
        <w:t>C</w:t>
      </w:r>
      <w:r w:rsidRPr="00B52D19">
        <w:rPr>
          <w:rFonts w:cs="AdvOTc20ddc96"/>
          <w:color w:val="000000" w:themeColor="text1"/>
          <w:kern w:val="0"/>
        </w:rPr>
        <w:t xml:space="preserve">urrent ICF </w:t>
      </w:r>
      <w:r w:rsidR="000247F0">
        <w:rPr>
          <w:rFonts w:cs="AdvOTc20ddc96"/>
          <w:color w:val="000000" w:themeColor="text1"/>
          <w:kern w:val="0"/>
        </w:rPr>
        <w:t>M</w:t>
      </w:r>
      <w:r w:rsidRPr="00B52D19">
        <w:rPr>
          <w:rFonts w:cs="AdvOTc20ddc96"/>
          <w:color w:val="000000" w:themeColor="text1"/>
          <w:kern w:val="0"/>
        </w:rPr>
        <w:t>odel (WHO, 2001)</w:t>
      </w:r>
    </w:p>
    <w:p w14:paraId="07AAB78B" w14:textId="08AFD199" w:rsidR="00C436B5" w:rsidRDefault="00FE2E57" w:rsidP="00590717">
      <w:pPr>
        <w:spacing w:line="360" w:lineRule="auto"/>
        <w:jc w:val="center"/>
      </w:pPr>
      <w:r>
        <w:rPr>
          <w:noProof/>
        </w:rPr>
        <w:drawing>
          <wp:inline distT="0" distB="0" distL="0" distR="0" wp14:anchorId="4CA29BA0" wp14:editId="71BFDCB2">
            <wp:extent cx="4316136" cy="1791297"/>
            <wp:effectExtent l="0" t="0" r="0" b="0"/>
            <wp:docPr id="1249497265" name="Picture 3" descr="A diagram of a health probl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497265" name="Picture 3" descr="A diagram of a health problem&#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69086" cy="1813272"/>
                    </a:xfrm>
                    <a:prstGeom prst="rect">
                      <a:avLst/>
                    </a:prstGeom>
                  </pic:spPr>
                </pic:pic>
              </a:graphicData>
            </a:graphic>
          </wp:inline>
        </w:drawing>
      </w:r>
    </w:p>
    <w:p w14:paraId="2B88DD29" w14:textId="77777777" w:rsidR="00D363F4" w:rsidRDefault="00D363F4" w:rsidP="00590717">
      <w:pPr>
        <w:spacing w:line="360" w:lineRule="auto"/>
        <w:jc w:val="center"/>
      </w:pPr>
    </w:p>
    <w:p w14:paraId="227CF826" w14:textId="77777777" w:rsidR="00FE2E57" w:rsidRDefault="00FE2E57" w:rsidP="00FE2E57">
      <w:pPr>
        <w:spacing w:line="360" w:lineRule="auto"/>
      </w:pPr>
      <w:r>
        <w:t xml:space="preserve">The medical model of disability is not without its critics; parliamentary committees have raised questions about whether the social model causes harm. </w:t>
      </w:r>
    </w:p>
    <w:p w14:paraId="2F488719" w14:textId="77777777" w:rsidR="00FE2E57" w:rsidRPr="00793F65" w:rsidRDefault="00FE2E57" w:rsidP="00FE2E57">
      <w:pPr>
        <w:spacing w:line="360" w:lineRule="auto"/>
        <w:ind w:left="720"/>
        <w:rPr>
          <w:i/>
          <w:iCs/>
        </w:rPr>
      </w:pPr>
      <w:r w:rsidRPr="000C31E5">
        <w:rPr>
          <w:i/>
          <w:iCs/>
        </w:rPr>
        <w:t>‘</w:t>
      </w:r>
      <w:r w:rsidRPr="00793F65">
        <w:rPr>
          <w:i/>
          <w:iCs/>
        </w:rPr>
        <w:t xml:space="preserve">Prominent critics have included disability scholars and self-advocates, who attacked the so-called </w:t>
      </w:r>
      <w:r>
        <w:rPr>
          <w:i/>
          <w:iCs/>
        </w:rPr>
        <w:t>‘</w:t>
      </w:r>
      <w:r w:rsidRPr="00793F65">
        <w:rPr>
          <w:i/>
          <w:iCs/>
        </w:rPr>
        <w:t>medical model</w:t>
      </w:r>
      <w:r>
        <w:rPr>
          <w:i/>
          <w:iCs/>
        </w:rPr>
        <w:t>’</w:t>
      </w:r>
      <w:r w:rsidRPr="00793F65">
        <w:rPr>
          <w:i/>
          <w:iCs/>
        </w:rPr>
        <w:t xml:space="preserve"> and espoused an alternative </w:t>
      </w:r>
      <w:r>
        <w:rPr>
          <w:i/>
          <w:iCs/>
        </w:rPr>
        <w:t>‘</w:t>
      </w:r>
      <w:r w:rsidRPr="00793F65">
        <w:rPr>
          <w:i/>
          <w:iCs/>
        </w:rPr>
        <w:t>social model,</w:t>
      </w:r>
      <w:r>
        <w:rPr>
          <w:i/>
          <w:iCs/>
        </w:rPr>
        <w:t>’</w:t>
      </w:r>
      <w:r w:rsidRPr="00793F65">
        <w:rPr>
          <w:i/>
          <w:iCs/>
        </w:rPr>
        <w:t xml:space="preserve"> which </w:t>
      </w:r>
      <w:r w:rsidRPr="000C31E5">
        <w:rPr>
          <w:i/>
          <w:iCs/>
        </w:rPr>
        <w:t>characterises</w:t>
      </w:r>
      <w:r w:rsidRPr="00793F65">
        <w:rPr>
          <w:i/>
          <w:iCs/>
        </w:rPr>
        <w:t xml:space="preserve"> disability as the product of an unaccommodating and oppressive society, rather than an individual and medical problem</w:t>
      </w:r>
      <w:r w:rsidRPr="000C31E5">
        <w:rPr>
          <w:i/>
          <w:iCs/>
        </w:rPr>
        <w:t>’ (Hogan, 2019, p. E17)</w:t>
      </w:r>
      <w:r w:rsidRPr="00793F65">
        <w:rPr>
          <w:i/>
          <w:iCs/>
        </w:rPr>
        <w:t>.</w:t>
      </w:r>
    </w:p>
    <w:p w14:paraId="2AEE678B" w14:textId="02F7E79B" w:rsidR="00857C59" w:rsidRDefault="00FE2E57" w:rsidP="005779DE">
      <w:pPr>
        <w:spacing w:line="360" w:lineRule="auto"/>
      </w:pPr>
      <w:r>
        <w:lastRenderedPageBreak/>
        <w:t>The terms ‘social model’ and ‘medical model’ are often used to contrast different perspectives on disability. However, there has been limited historical analysis of their origins and of how their meanings have changed over time. Stewart (2017), the disability campaigner and scholar, presented to the United Kingdom (UK) Parliament that the British Psychological Society (BPS) model of assessment disregards diagnosis, prognosis, and the claimant’s past medical history, and was always destined to cause significant,</w:t>
      </w:r>
      <w:r w:rsidRPr="002C2A2C">
        <w:t xml:space="preserve"> preventable harm. Between January 2011 and February 2014</w:t>
      </w:r>
      <w:r>
        <w:t>, over 91,000 deaths were</w:t>
      </w:r>
      <w:r w:rsidRPr="002C2A2C">
        <w:t xml:space="preserve"> linked to the ESA functional assessment, known as the Work Capability Assessment (WCA)</w:t>
      </w:r>
      <w:r>
        <w:t xml:space="preserve"> (Stewart, 2017). </w:t>
      </w:r>
    </w:p>
    <w:p w14:paraId="7AFAA1AA" w14:textId="77777777" w:rsidR="002142A9" w:rsidRDefault="002142A9" w:rsidP="005779DE">
      <w:pPr>
        <w:spacing w:line="360" w:lineRule="auto"/>
      </w:pPr>
    </w:p>
    <w:p w14:paraId="4BAFBAC4" w14:textId="197D5711" w:rsidR="00E22E22" w:rsidRPr="006C1EA5" w:rsidRDefault="00E22E22" w:rsidP="005779DE">
      <w:pPr>
        <w:spacing w:line="360" w:lineRule="auto"/>
      </w:pPr>
      <w:r w:rsidRPr="00062ACC">
        <w:t xml:space="preserve">PIP </w:t>
      </w:r>
      <w:r>
        <w:t>p</w:t>
      </w:r>
      <w:r w:rsidRPr="00062ACC">
        <w:t>olicy recognises that individuals’ status as disabled may change over time (Murray, 2022).</w:t>
      </w:r>
      <w:r w:rsidR="00CF0F59">
        <w:t xml:space="preserve"> </w:t>
      </w:r>
      <w:proofErr w:type="spellStart"/>
      <w:r w:rsidRPr="00253E58">
        <w:t>Slorach</w:t>
      </w:r>
      <w:proofErr w:type="spellEnd"/>
      <w:r>
        <w:t xml:space="preserve"> (20</w:t>
      </w:r>
      <w:r w:rsidR="00631352">
        <w:t>24</w:t>
      </w:r>
      <w:r>
        <w:t>)</w:t>
      </w:r>
      <w:r w:rsidRPr="00253E58">
        <w:t xml:space="preserve"> states that some impairments can fluctuate over time or become progressively incapacitating, whilst others are constant in their </w:t>
      </w:r>
      <w:r>
        <w:t>effects and level of severity or</w:t>
      </w:r>
      <w:r w:rsidRPr="00253E58">
        <w:t xml:space="preserve"> can become remissive. </w:t>
      </w:r>
      <w:r>
        <w:t xml:space="preserve">The PIP review process, so feared by </w:t>
      </w:r>
      <w:r w:rsidR="00CF0F59">
        <w:t>disabled individuals</w:t>
      </w:r>
      <w:r>
        <w:t xml:space="preserve">, aims to consider fluctuations in disability levels; however, it could </w:t>
      </w:r>
      <w:r w:rsidR="006365E6">
        <w:t>require this to</w:t>
      </w:r>
      <w:r>
        <w:t xml:space="preserve"> be over a </w:t>
      </w:r>
      <w:r w:rsidR="003C53D4">
        <w:t>considerable number</w:t>
      </w:r>
      <w:r>
        <w:t xml:space="preserve"> of </w:t>
      </w:r>
      <w:proofErr w:type="gramStart"/>
      <w:r>
        <w:t>days</w:t>
      </w:r>
      <w:r w:rsidR="0037506E">
        <w:t>;</w:t>
      </w:r>
      <w:proofErr w:type="gramEnd"/>
      <w:r>
        <w:t xml:space="preserve"> e.g. 5 days out of 7 (</w:t>
      </w:r>
      <w:r w:rsidRPr="008B57FF">
        <w:rPr>
          <w:color w:val="000000" w:themeColor="text1"/>
        </w:rPr>
        <w:t>Harris, 2014)</w:t>
      </w:r>
      <w:r>
        <w:rPr>
          <w:color w:val="000000" w:themeColor="text1"/>
        </w:rPr>
        <w:t>.</w:t>
      </w:r>
      <w:r>
        <w:t xml:space="preserve"> The dominance of a particular ideology can shift the goalposts to broaden or narrow definitions of disability, which affects who gets PIP.</w:t>
      </w:r>
      <w:r w:rsidR="002A53AC">
        <w:t xml:space="preserve"> </w:t>
      </w:r>
      <w:r>
        <w:t>Important</w:t>
      </w:r>
      <w:r w:rsidRPr="00695D79">
        <w:t xml:space="preserve"> ethical considerations have been</w:t>
      </w:r>
      <w:r>
        <w:t xml:space="preserve"> primarily driven by the ideology of the disability rights movement, whose influence has grown and become part of mainstream liberal thinking (Smith, 2013).</w:t>
      </w:r>
    </w:p>
    <w:p w14:paraId="640F1564" w14:textId="77777777" w:rsidR="002142A9" w:rsidRDefault="002142A9" w:rsidP="005779DE">
      <w:pPr>
        <w:spacing w:line="360" w:lineRule="auto"/>
      </w:pPr>
    </w:p>
    <w:p w14:paraId="5765AC61" w14:textId="77777777" w:rsidR="002142A9" w:rsidRDefault="00CA1F8E" w:rsidP="005779DE">
      <w:pPr>
        <w:spacing w:line="360" w:lineRule="auto"/>
        <w:rPr>
          <w:rFonts w:ascii="Arial" w:hAnsi="Arial" w:cs="Arial"/>
        </w:rPr>
      </w:pPr>
      <w:r w:rsidRPr="00986C2D">
        <w:t>The Labour Party has promoted an ideology of social responsibility for the vulnerable</w:t>
      </w:r>
      <w:r w:rsidR="002F268C" w:rsidRPr="00986C2D">
        <w:t xml:space="preserve"> within societ</w:t>
      </w:r>
      <w:r w:rsidR="00414410" w:rsidRPr="00986C2D">
        <w:t xml:space="preserve">y, </w:t>
      </w:r>
      <w:r w:rsidR="009506DF" w:rsidRPr="00986C2D">
        <w:t>leading</w:t>
      </w:r>
      <w:r w:rsidR="00414410" w:rsidRPr="00986C2D">
        <w:t xml:space="preserve"> </w:t>
      </w:r>
      <w:r w:rsidR="007D7739" w:rsidRPr="00986C2D">
        <w:t>to</w:t>
      </w:r>
      <w:r w:rsidR="00414410" w:rsidRPr="00986C2D">
        <w:t xml:space="preserve"> a collective </w:t>
      </w:r>
      <w:r w:rsidR="00352178" w:rsidRPr="00986C2D">
        <w:t xml:space="preserve">responsibility for this demographic </w:t>
      </w:r>
      <w:r w:rsidR="004223A0" w:rsidRPr="00986C2D">
        <w:t>(</w:t>
      </w:r>
      <w:r w:rsidR="008265C2" w:rsidRPr="00986C2D">
        <w:rPr>
          <w:rFonts w:cs="Arial"/>
        </w:rPr>
        <w:t xml:space="preserve">Panitch,1971). </w:t>
      </w:r>
      <w:r w:rsidR="00947B48" w:rsidRPr="00D2737F">
        <w:rPr>
          <w:rFonts w:cs="Open Sans"/>
          <w:color w:val="000000"/>
          <w:spacing w:val="5"/>
          <w:shd w:val="clear" w:color="auto" w:fill="FFFFFF"/>
        </w:rPr>
        <w:t xml:space="preserve">Labour’s </w:t>
      </w:r>
      <w:r w:rsidR="007E24B2">
        <w:rPr>
          <w:rFonts w:cs="Open Sans"/>
          <w:color w:val="000000"/>
          <w:spacing w:val="5"/>
          <w:shd w:val="clear" w:color="auto" w:fill="FFFFFF"/>
        </w:rPr>
        <w:t xml:space="preserve">welfare policy throughout the three decades following the war was largely contained within the ‘Butskellism’ consensus on the role and </w:t>
      </w:r>
      <w:r w:rsidR="00947B48" w:rsidRPr="00D2737F">
        <w:rPr>
          <w:rFonts w:cs="Open Sans"/>
          <w:color w:val="000000"/>
          <w:spacing w:val="5"/>
          <w:shd w:val="clear" w:color="auto" w:fill="FFFFFF"/>
        </w:rPr>
        <w:t>scope of what has</w:t>
      </w:r>
      <w:r w:rsidR="00E768B6">
        <w:rPr>
          <w:rFonts w:cs="Open Sans"/>
          <w:color w:val="000000"/>
          <w:spacing w:val="5"/>
          <w:shd w:val="clear" w:color="auto" w:fill="FFFFFF"/>
        </w:rPr>
        <w:t xml:space="preserve"> been</w:t>
      </w:r>
      <w:r w:rsidR="00947B48" w:rsidRPr="00D2737F">
        <w:rPr>
          <w:rFonts w:cs="Open Sans"/>
          <w:color w:val="000000"/>
          <w:spacing w:val="5"/>
          <w:shd w:val="clear" w:color="auto" w:fill="FFFFFF"/>
        </w:rPr>
        <w:t xml:space="preserve"> called ‘welfare state capitalism</w:t>
      </w:r>
      <w:r w:rsidR="008C0D05" w:rsidRPr="00D2737F">
        <w:rPr>
          <w:rFonts w:cs="Open Sans"/>
          <w:color w:val="000000"/>
          <w:spacing w:val="5"/>
          <w:shd w:val="clear" w:color="auto" w:fill="FFFFFF"/>
        </w:rPr>
        <w:t>’</w:t>
      </w:r>
      <w:r w:rsidR="008C0D05">
        <w:rPr>
          <w:rFonts w:cs="Open Sans"/>
          <w:color w:val="000000"/>
          <w:spacing w:val="5"/>
          <w:shd w:val="clear" w:color="auto" w:fill="FFFFFF"/>
        </w:rPr>
        <w:t xml:space="preserve"> (</w:t>
      </w:r>
      <w:r w:rsidR="002526E7">
        <w:rPr>
          <w:rFonts w:cs="Open Sans"/>
          <w:color w:val="000000"/>
          <w:spacing w:val="5"/>
          <w:shd w:val="clear" w:color="auto" w:fill="FFFFFF"/>
        </w:rPr>
        <w:t>Robertso</w:t>
      </w:r>
      <w:r w:rsidR="00A036A7">
        <w:rPr>
          <w:rFonts w:cs="Open Sans"/>
          <w:color w:val="000000"/>
          <w:spacing w:val="5"/>
          <w:shd w:val="clear" w:color="auto" w:fill="FFFFFF"/>
        </w:rPr>
        <w:t>n, Holland &amp; Silverman, 1980)</w:t>
      </w:r>
      <w:r w:rsidR="00347CB3">
        <w:rPr>
          <w:rFonts w:cs="Open Sans"/>
          <w:color w:val="000000"/>
          <w:spacing w:val="5"/>
          <w:shd w:val="clear" w:color="auto" w:fill="FFFFFF"/>
        </w:rPr>
        <w:t>.</w:t>
      </w:r>
      <w:r w:rsidR="00E24CAE">
        <w:rPr>
          <w:rFonts w:cs="Open Sans"/>
          <w:color w:val="000000"/>
          <w:spacing w:val="5"/>
          <w:shd w:val="clear" w:color="auto" w:fill="FFFFFF"/>
        </w:rPr>
        <w:t xml:space="preserve"> </w:t>
      </w:r>
      <w:r w:rsidR="00E332A1">
        <w:rPr>
          <w:rFonts w:cs="Open Sans"/>
          <w:color w:val="000000"/>
          <w:spacing w:val="5"/>
          <w:shd w:val="clear" w:color="auto" w:fill="FFFFFF"/>
        </w:rPr>
        <w:t>Butskellism refers to two major politicians, Rab Butler (Conservative) and Hugh Gaitskell (Labour). The consensus recognised the power of trade unions and aimed to address the needs of the working class while promoting collaboration between social classes (Ackers &amp; Payne 1998)</w:t>
      </w:r>
      <w:r w:rsidR="009F480C">
        <w:rPr>
          <w:rFonts w:ascii="Arial" w:hAnsi="Arial" w:cs="Arial"/>
        </w:rPr>
        <w:t>.</w:t>
      </w:r>
      <w:r w:rsidR="00FF640F">
        <w:rPr>
          <w:rFonts w:ascii="Arial" w:hAnsi="Arial" w:cs="Arial"/>
        </w:rPr>
        <w:t xml:space="preserve"> </w:t>
      </w:r>
    </w:p>
    <w:p w14:paraId="64960A9D" w14:textId="7292F687" w:rsidR="00656F9C" w:rsidRPr="004E6F49" w:rsidRDefault="005D1561" w:rsidP="005779DE">
      <w:pPr>
        <w:spacing w:line="360" w:lineRule="auto"/>
      </w:pPr>
      <w:r w:rsidRPr="004E6F49">
        <w:rPr>
          <w:rFonts w:cs="Arial"/>
        </w:rPr>
        <w:lastRenderedPageBreak/>
        <w:t xml:space="preserve">This aligns with the PIP policy and social partnership between trade unions, supporting disability-led approaches. In 2025, Liz Kendall announced proposed welfare reforms </w:t>
      </w:r>
      <w:r w:rsidR="007E24B2">
        <w:rPr>
          <w:rFonts w:cs="Arial"/>
        </w:rPr>
        <w:t>aimed at saving</w:t>
      </w:r>
      <w:r w:rsidRPr="004E6F49">
        <w:rPr>
          <w:rFonts w:cs="Arial"/>
        </w:rPr>
        <w:t xml:space="preserve"> £5 billion by 2030, partly by restricting </w:t>
      </w:r>
      <w:r w:rsidR="00854326" w:rsidRPr="004E6F49">
        <w:rPr>
          <w:rFonts w:cs="Arial"/>
        </w:rPr>
        <w:t>eligibility for PIP</w:t>
      </w:r>
      <w:r w:rsidRPr="004E6F49">
        <w:rPr>
          <w:rFonts w:cs="Arial"/>
        </w:rPr>
        <w:t>. The T</w:t>
      </w:r>
      <w:r w:rsidR="00854326" w:rsidRPr="004E6F49">
        <w:rPr>
          <w:rFonts w:cs="Arial"/>
        </w:rPr>
        <w:t xml:space="preserve">rade </w:t>
      </w:r>
      <w:r w:rsidRPr="004E6F49">
        <w:rPr>
          <w:rFonts w:cs="Arial"/>
        </w:rPr>
        <w:t>U</w:t>
      </w:r>
      <w:r w:rsidR="00854326" w:rsidRPr="004E6F49">
        <w:rPr>
          <w:rFonts w:cs="Arial"/>
        </w:rPr>
        <w:t>nion</w:t>
      </w:r>
      <w:r w:rsidRPr="004E6F49">
        <w:rPr>
          <w:rFonts w:cs="Arial"/>
        </w:rPr>
        <w:t xml:space="preserve"> </w:t>
      </w:r>
      <w:r w:rsidR="0023516B" w:rsidRPr="004E6F49">
        <w:rPr>
          <w:rFonts w:cs="Arial"/>
        </w:rPr>
        <w:t xml:space="preserve">Congress </w:t>
      </w:r>
      <w:r w:rsidRPr="004E6F49">
        <w:rPr>
          <w:rFonts w:cs="Arial"/>
        </w:rPr>
        <w:t xml:space="preserve">stated </w:t>
      </w:r>
      <w:r w:rsidR="003168B5">
        <w:rPr>
          <w:rFonts w:cs="Arial"/>
        </w:rPr>
        <w:t xml:space="preserve">that </w:t>
      </w:r>
      <w:r w:rsidRPr="004E6F49">
        <w:rPr>
          <w:rFonts w:cs="Arial"/>
        </w:rPr>
        <w:t xml:space="preserve">disabled people </w:t>
      </w:r>
      <w:r w:rsidR="003168B5">
        <w:rPr>
          <w:rFonts w:cs="Arial"/>
        </w:rPr>
        <w:t xml:space="preserve">who are unable to work must not face greater hardship, and Unison condemned the targeting of vulnerable families, emphasising that </w:t>
      </w:r>
      <w:r w:rsidRPr="004E6F49">
        <w:rPr>
          <w:rFonts w:cs="Arial"/>
        </w:rPr>
        <w:t>these measures are not the way to boost the UK economy or employment</w:t>
      </w:r>
      <w:r w:rsidR="00CD5778" w:rsidRPr="004E6F49">
        <w:rPr>
          <w:rFonts w:cs="Arial"/>
        </w:rPr>
        <w:t xml:space="preserve"> (Labour Research Department, 2025). </w:t>
      </w:r>
    </w:p>
    <w:p w14:paraId="73917B30" w14:textId="77777777" w:rsidR="002142A9" w:rsidRDefault="002142A9" w:rsidP="005779DE">
      <w:pPr>
        <w:spacing w:line="360" w:lineRule="auto"/>
      </w:pPr>
    </w:p>
    <w:p w14:paraId="67094FF2" w14:textId="176B366A" w:rsidR="002526E7" w:rsidRPr="006C1EA5" w:rsidRDefault="000D54AB" w:rsidP="005779DE">
      <w:pPr>
        <w:spacing w:line="360" w:lineRule="auto"/>
      </w:pPr>
      <w:r w:rsidRPr="003F4241">
        <w:t>Liberals support capitalism because they see it as serving the public good. Unlike feudal systems with fixed classes that restrict mobility, liberals view capitalism as an open system in which individuals from diverse backgrounds seek success and pursue their personal interests</w:t>
      </w:r>
      <w:r w:rsidR="00E729AE">
        <w:t xml:space="preserve"> </w:t>
      </w:r>
      <w:r w:rsidRPr="003F4241">
        <w:t xml:space="preserve">(Taylor, 2007). Liberals support laissez-faire, opposing state interference and insisting </w:t>
      </w:r>
      <w:r>
        <w:t xml:space="preserve">that </w:t>
      </w:r>
      <w:r w:rsidRPr="003F4241">
        <w:t>the state let things take their own course.</w:t>
      </w:r>
      <w:r>
        <w:t xml:space="preserve"> </w:t>
      </w:r>
      <w:r w:rsidRPr="003F4241">
        <w:t>Taylor (2007) s</w:t>
      </w:r>
      <w:r>
        <w:t>t</w:t>
      </w:r>
      <w:r w:rsidRPr="003F4241">
        <w:t xml:space="preserve">ated </w:t>
      </w:r>
      <w:r>
        <w:t xml:space="preserve">that liberals see benefits as necessary to help those in need but believe that the public and private sectors can explore alternatives to reduce reliance on benefits, ensuring that </w:t>
      </w:r>
      <w:r w:rsidRPr="003F4241">
        <w:t xml:space="preserve">capitalism functions efficiently. </w:t>
      </w:r>
      <w:r>
        <w:t xml:space="preserve">Liberal theorists have long argued that the state should take on some responsibility for safeguarding and promoting the economic and social security of its citizens </w:t>
      </w:r>
      <w:r>
        <w:fldChar w:fldCharType="begin"/>
      </w:r>
      <w:r>
        <w:instrText xml:space="preserve"> ADDIN ZOTERO_ITEM CSL_CITATION {"citationID":"ZQH14dxb","properties":{"formattedCitation":"(Lister, 2001)","plainCitation":"(Lister, 2001)","noteIndex":0},"citationItems":[{"id":377,"uris":["http://zotero.org/users/local/aqoAGYE8/items/6XNQ5TXN"],"itemData":{"id":377,"type":"article-journal","container-title":"Theory, Culture &amp; Society Volume 18, Issue 2-3","issue":"2-3","language":"en","note":"DOI: 10.1177/02632760122051805","page":"1-30","title":"Towards a Citizens’ Welfare State","URL":"https://journals.sagepub.com/doi/epdf/10.1177/02632760122051805","volume":"18","author":[{"family":"Lister","given":"Ruth"}],"accessed":{"date-parts":[["2025",12,4]]},"issued":{"date-parts":[["2001"]]}}}],"schema":"https://github.com/citation-style-language/schema/raw/master/csl-citation.json"} </w:instrText>
      </w:r>
      <w:r>
        <w:fldChar w:fldCharType="separate"/>
      </w:r>
      <w:r w:rsidRPr="00014491">
        <w:rPr>
          <w:rFonts w:ascii="Aptos" w:hAnsi="Aptos"/>
        </w:rPr>
        <w:t>(Lister, 2001)</w:t>
      </w:r>
      <w:r>
        <w:fldChar w:fldCharType="end"/>
      </w:r>
      <w:r>
        <w:t xml:space="preserve">.  </w:t>
      </w:r>
      <w:r w:rsidRPr="0092596A">
        <w:t>PIP policy is promoted as a support for the independence of disabled people to pursue their own economic autonomy.</w:t>
      </w:r>
    </w:p>
    <w:p w14:paraId="1CA19BB3" w14:textId="77777777" w:rsidR="00BE553D" w:rsidRDefault="00BE553D" w:rsidP="00FE2E57">
      <w:pPr>
        <w:spacing w:line="360" w:lineRule="auto"/>
      </w:pPr>
    </w:p>
    <w:p w14:paraId="1535005F" w14:textId="7881D734" w:rsidR="00B162F5" w:rsidRDefault="0092596A" w:rsidP="005779DE">
      <w:pPr>
        <w:spacing w:line="360" w:lineRule="auto"/>
      </w:pPr>
      <w:r w:rsidRPr="003F6D9F">
        <w:t xml:space="preserve">The conservative ideology of Neo-Liberalism (classic liberalism) promotes personal responsibility. This idea shapes how PIP is presented to the British taxpayer and justified. </w:t>
      </w:r>
      <w:r w:rsidRPr="0092596A">
        <w:t xml:space="preserve">Piven (2015, cited by Taylor-Gooby and </w:t>
      </w:r>
      <w:proofErr w:type="spellStart"/>
      <w:r w:rsidRPr="0092596A">
        <w:t>Leruth</w:t>
      </w:r>
      <w:proofErr w:type="spellEnd"/>
      <w:r w:rsidRPr="0092596A">
        <w:t xml:space="preserve">, 2018) stated that neoliberalism centres on individual independence, emphasising choice and </w:t>
      </w:r>
      <w:r w:rsidR="007E24B2">
        <w:t>personal responsibility</w:t>
      </w:r>
      <w:r w:rsidRPr="0092596A">
        <w:t xml:space="preserve"> for outcomes, while tolerating greater inequality.</w:t>
      </w:r>
      <w:r w:rsidR="006C5CA6">
        <w:t xml:space="preserve"> </w:t>
      </w:r>
      <w:r w:rsidR="00FE2E57">
        <w:t xml:space="preserve">Grover (2016) observed that recent benefit modifications for the disabled are a problematic compromise. Duncan Smith's cuts to PIP faced objections framed as </w:t>
      </w:r>
      <w:r w:rsidR="002142A9">
        <w:t xml:space="preserve">a matter of </w:t>
      </w:r>
      <w:r w:rsidR="00FE2E57">
        <w:t>fiscal responsibility. These policy shifts disproportionately impact vulnerable groups, raising social justice concerns. PIP budgets compete with other popular policies.</w:t>
      </w:r>
      <w:r w:rsidR="002142A9">
        <w:t xml:space="preserve"> </w:t>
      </w:r>
    </w:p>
    <w:p w14:paraId="3C226C99" w14:textId="43D3D29C" w:rsidR="002142A9" w:rsidRDefault="007B4746" w:rsidP="005779DE">
      <w:pPr>
        <w:spacing w:line="360" w:lineRule="auto"/>
      </w:pPr>
      <w:r>
        <w:lastRenderedPageBreak/>
        <w:t xml:space="preserve">PIP as a solution to the problem of disabled individuals being unable to join in and simply needing a helping hand to enter the economy as autonomous individuals may be simplistic. </w:t>
      </w:r>
      <w:r w:rsidR="000B00D4" w:rsidRPr="000B00D4">
        <w:rPr>
          <w:rFonts w:ascii="Aptos" w:hAnsi="Aptos"/>
          <w:color w:val="000000"/>
        </w:rPr>
        <w:t xml:space="preserve">Roberts </w:t>
      </w:r>
      <w:r w:rsidR="000B00D4" w:rsidRPr="00E95AF6">
        <w:rPr>
          <w:rFonts w:ascii="Aptos" w:hAnsi="Aptos"/>
          <w:i/>
          <w:iCs/>
          <w:color w:val="000000"/>
        </w:rPr>
        <w:t>et al</w:t>
      </w:r>
      <w:r w:rsidR="000B00D4" w:rsidRPr="000B00D4">
        <w:rPr>
          <w:rFonts w:ascii="Aptos" w:hAnsi="Aptos"/>
          <w:color w:val="000000"/>
        </w:rPr>
        <w:t>. (2024) found that PIP assessments can cause psychological, physical, and financial distress for claimants. The study shows that system changes may lead to greater discrimination, humiliation, shame, and social isolation.</w:t>
      </w:r>
      <w:r w:rsidR="000B00D4">
        <w:rPr>
          <w:rFonts w:ascii="Aptos" w:hAnsi="Aptos"/>
          <w:color w:val="000000"/>
        </w:rPr>
        <w:t xml:space="preserve"> </w:t>
      </w:r>
      <w:r>
        <w:t xml:space="preserve">The government's framing of the policy ignores much of the complexity of the disabled experience and fails to consider the vast diversity of this group, some of whom may never easily integrate into normative workplace settings. </w:t>
      </w:r>
    </w:p>
    <w:p w14:paraId="2A591A97" w14:textId="77777777" w:rsidR="00B162F5" w:rsidRPr="00B162F5" w:rsidRDefault="00B162F5" w:rsidP="005779DE">
      <w:pPr>
        <w:spacing w:line="360" w:lineRule="auto"/>
      </w:pPr>
    </w:p>
    <w:p w14:paraId="1222FE43" w14:textId="64BF93A4" w:rsidR="006C5C7D" w:rsidRDefault="00F226DF" w:rsidP="005779DE">
      <w:pPr>
        <w:spacing w:line="360" w:lineRule="auto"/>
        <w:rPr>
          <w:rFonts w:ascii="Aptos" w:hAnsi="Aptos"/>
          <w:color w:val="000000"/>
        </w:rPr>
      </w:pPr>
      <w:r>
        <w:rPr>
          <w:rFonts w:ascii="Aptos" w:hAnsi="Aptos"/>
          <w:color w:val="000000"/>
        </w:rPr>
        <w:t xml:space="preserve">Within </w:t>
      </w:r>
      <w:r w:rsidR="004C0E58">
        <w:rPr>
          <w:rFonts w:ascii="Aptos" w:hAnsi="Aptos"/>
          <w:color w:val="000000"/>
        </w:rPr>
        <w:t xml:space="preserve">many </w:t>
      </w:r>
      <w:r w:rsidR="00207F6C">
        <w:rPr>
          <w:rFonts w:ascii="Aptos" w:hAnsi="Aptos"/>
          <w:color w:val="000000"/>
        </w:rPr>
        <w:t xml:space="preserve">social </w:t>
      </w:r>
      <w:r w:rsidR="004C0E58">
        <w:rPr>
          <w:rFonts w:ascii="Aptos" w:hAnsi="Aptos"/>
          <w:color w:val="000000"/>
        </w:rPr>
        <w:t>policies,</w:t>
      </w:r>
      <w:r w:rsidR="001B4B35">
        <w:rPr>
          <w:rFonts w:ascii="Aptos" w:hAnsi="Aptos"/>
          <w:color w:val="000000"/>
        </w:rPr>
        <w:t xml:space="preserve"> there</w:t>
      </w:r>
      <w:r w:rsidR="004C0E58">
        <w:rPr>
          <w:rFonts w:ascii="Aptos" w:hAnsi="Aptos"/>
          <w:color w:val="000000"/>
        </w:rPr>
        <w:t xml:space="preserve"> are complexity</w:t>
      </w:r>
      <w:r w:rsidR="001B4B35">
        <w:rPr>
          <w:rFonts w:ascii="Aptos" w:hAnsi="Aptos"/>
          <w:color w:val="000000"/>
        </w:rPr>
        <w:t xml:space="preserve"> to </w:t>
      </w:r>
      <w:r w:rsidR="00903A56">
        <w:rPr>
          <w:rFonts w:ascii="Aptos" w:hAnsi="Aptos"/>
          <w:color w:val="000000"/>
        </w:rPr>
        <w:t xml:space="preserve">the production, </w:t>
      </w:r>
      <w:r w:rsidR="00A81D3B">
        <w:rPr>
          <w:rFonts w:ascii="Aptos" w:hAnsi="Aptos"/>
          <w:color w:val="000000"/>
        </w:rPr>
        <w:t>investigation,</w:t>
      </w:r>
      <w:r w:rsidR="00932A3E">
        <w:rPr>
          <w:rFonts w:ascii="Aptos" w:hAnsi="Aptos"/>
          <w:color w:val="000000"/>
        </w:rPr>
        <w:t xml:space="preserve"> refinement, </w:t>
      </w:r>
      <w:r w:rsidR="00207F6C">
        <w:rPr>
          <w:rFonts w:ascii="Aptos" w:hAnsi="Aptos"/>
          <w:color w:val="000000"/>
        </w:rPr>
        <w:t xml:space="preserve">amendments and changes of documents, </w:t>
      </w:r>
      <w:r w:rsidR="00C54EFB">
        <w:rPr>
          <w:rFonts w:ascii="Aptos" w:hAnsi="Aptos"/>
          <w:color w:val="000000"/>
        </w:rPr>
        <w:t>discussions and discourse</w:t>
      </w:r>
      <w:r w:rsidR="00A81D3B">
        <w:rPr>
          <w:rFonts w:ascii="Aptos" w:hAnsi="Aptos"/>
          <w:color w:val="000000"/>
        </w:rPr>
        <w:t>, by government officials</w:t>
      </w:r>
      <w:r w:rsidR="000454F8">
        <w:rPr>
          <w:rFonts w:ascii="Aptos" w:hAnsi="Aptos"/>
          <w:color w:val="000000"/>
        </w:rPr>
        <w:t xml:space="preserve"> (Fairclough</w:t>
      </w:r>
      <w:r w:rsidR="009728A6">
        <w:rPr>
          <w:rFonts w:ascii="Aptos" w:hAnsi="Aptos"/>
          <w:color w:val="000000"/>
        </w:rPr>
        <w:t>, 2000</w:t>
      </w:r>
      <w:r w:rsidR="002F7A9A">
        <w:rPr>
          <w:rFonts w:ascii="Aptos" w:hAnsi="Aptos"/>
          <w:color w:val="000000"/>
        </w:rPr>
        <w:t>).</w:t>
      </w:r>
      <w:r w:rsidR="009265B3">
        <w:rPr>
          <w:rFonts w:ascii="Aptos" w:hAnsi="Aptos"/>
          <w:color w:val="000000"/>
        </w:rPr>
        <w:t xml:space="preserve"> This discourse requires strenuous debate, thought</w:t>
      </w:r>
      <w:r w:rsidR="00A06C7D">
        <w:rPr>
          <w:rFonts w:ascii="Aptos" w:hAnsi="Aptos"/>
          <w:color w:val="000000"/>
        </w:rPr>
        <w:t xml:space="preserve"> and reflection, covering not just social policy</w:t>
      </w:r>
      <w:r w:rsidR="001431B4">
        <w:rPr>
          <w:rFonts w:ascii="Aptos" w:hAnsi="Aptos"/>
          <w:color w:val="000000"/>
        </w:rPr>
        <w:t xml:space="preserve">, with many other </w:t>
      </w:r>
      <w:r w:rsidR="0012209A">
        <w:rPr>
          <w:rFonts w:ascii="Aptos" w:hAnsi="Aptos"/>
          <w:color w:val="000000"/>
        </w:rPr>
        <w:t xml:space="preserve">departments, like legal, health, </w:t>
      </w:r>
      <w:r w:rsidR="00FE4F4A">
        <w:rPr>
          <w:rFonts w:ascii="Aptos" w:hAnsi="Aptos"/>
          <w:color w:val="000000"/>
        </w:rPr>
        <w:t xml:space="preserve">and </w:t>
      </w:r>
      <w:r w:rsidR="0012209A">
        <w:rPr>
          <w:rFonts w:ascii="Aptos" w:hAnsi="Aptos"/>
          <w:color w:val="000000"/>
        </w:rPr>
        <w:t>economic</w:t>
      </w:r>
      <w:r w:rsidR="00FE4F4A">
        <w:rPr>
          <w:rFonts w:ascii="Aptos" w:hAnsi="Aptos"/>
          <w:color w:val="000000"/>
        </w:rPr>
        <w:t xml:space="preserve"> strategies</w:t>
      </w:r>
      <w:r w:rsidR="002B5EE7">
        <w:rPr>
          <w:rFonts w:ascii="Aptos" w:hAnsi="Aptos"/>
          <w:color w:val="000000"/>
        </w:rPr>
        <w:t xml:space="preserve"> (Fairclough, 2000)</w:t>
      </w:r>
      <w:r w:rsidR="00FE4F4A">
        <w:rPr>
          <w:rFonts w:ascii="Aptos" w:hAnsi="Aptos"/>
          <w:color w:val="000000"/>
        </w:rPr>
        <w:t xml:space="preserve">. </w:t>
      </w:r>
      <w:r w:rsidR="0012209A">
        <w:rPr>
          <w:rFonts w:ascii="Aptos" w:hAnsi="Aptos"/>
          <w:color w:val="000000"/>
        </w:rPr>
        <w:t xml:space="preserve"> </w:t>
      </w:r>
      <w:r w:rsidR="006C5C7D">
        <w:rPr>
          <w:rFonts w:ascii="Aptos" w:hAnsi="Aptos"/>
          <w:color w:val="000000"/>
        </w:rPr>
        <w:t xml:space="preserve">Whilst looking at </w:t>
      </w:r>
      <w:r w:rsidR="00A661D0">
        <w:rPr>
          <w:rFonts w:ascii="Aptos" w:hAnsi="Aptos"/>
          <w:color w:val="000000"/>
        </w:rPr>
        <w:t>differing m</w:t>
      </w:r>
      <w:r w:rsidR="002A4C04">
        <w:rPr>
          <w:rFonts w:ascii="Aptos" w:hAnsi="Aptos"/>
          <w:color w:val="000000"/>
        </w:rPr>
        <w:t>o</w:t>
      </w:r>
      <w:r w:rsidR="00A661D0">
        <w:rPr>
          <w:rFonts w:ascii="Aptos" w:hAnsi="Aptos"/>
          <w:color w:val="000000"/>
        </w:rPr>
        <w:t>dels of systems and subsystem</w:t>
      </w:r>
      <w:r w:rsidR="002A4C04">
        <w:rPr>
          <w:rFonts w:ascii="Aptos" w:hAnsi="Aptos"/>
          <w:color w:val="000000"/>
        </w:rPr>
        <w:t>s</w:t>
      </w:r>
      <w:r w:rsidR="009B6FBA">
        <w:rPr>
          <w:rFonts w:ascii="Aptos" w:hAnsi="Aptos"/>
          <w:color w:val="000000"/>
        </w:rPr>
        <w:t>, trying to explain</w:t>
      </w:r>
      <w:r w:rsidR="00D457F8">
        <w:rPr>
          <w:rFonts w:ascii="Aptos" w:hAnsi="Aptos"/>
          <w:color w:val="000000"/>
        </w:rPr>
        <w:t xml:space="preserve"> soci</w:t>
      </w:r>
      <w:r w:rsidR="009212E6">
        <w:rPr>
          <w:rFonts w:ascii="Aptos" w:hAnsi="Aptos"/>
          <w:color w:val="000000"/>
        </w:rPr>
        <w:t xml:space="preserve">etal changes and the importance </w:t>
      </w:r>
      <w:r w:rsidR="00F639B5">
        <w:rPr>
          <w:rFonts w:ascii="Aptos" w:hAnsi="Aptos"/>
          <w:color w:val="000000"/>
        </w:rPr>
        <w:t xml:space="preserve">of </w:t>
      </w:r>
      <w:r w:rsidR="00B74B99">
        <w:rPr>
          <w:rFonts w:ascii="Aptos" w:hAnsi="Aptos"/>
          <w:color w:val="000000"/>
        </w:rPr>
        <w:t>policies and a</w:t>
      </w:r>
      <w:r w:rsidR="00C462CE">
        <w:rPr>
          <w:rFonts w:ascii="Aptos" w:hAnsi="Aptos"/>
          <w:color w:val="000000"/>
        </w:rPr>
        <w:t xml:space="preserve">n </w:t>
      </w:r>
      <w:r w:rsidR="004C30D6">
        <w:rPr>
          <w:rFonts w:ascii="Aptos" w:hAnsi="Aptos"/>
          <w:color w:val="000000"/>
        </w:rPr>
        <w:t>application</w:t>
      </w:r>
      <w:r w:rsidR="00B74B99">
        <w:rPr>
          <w:rFonts w:ascii="Aptos" w:hAnsi="Aptos"/>
          <w:color w:val="000000"/>
        </w:rPr>
        <w:t xml:space="preserve"> of communications system</w:t>
      </w:r>
      <w:r w:rsidR="004C30D6">
        <w:rPr>
          <w:rFonts w:ascii="Aptos" w:hAnsi="Aptos"/>
          <w:color w:val="000000"/>
        </w:rPr>
        <w:t>s</w:t>
      </w:r>
      <w:r w:rsidR="00F72110">
        <w:rPr>
          <w:rFonts w:ascii="Aptos" w:hAnsi="Aptos"/>
          <w:color w:val="000000"/>
        </w:rPr>
        <w:t xml:space="preserve"> </w:t>
      </w:r>
      <w:r w:rsidR="00265DC3">
        <w:rPr>
          <w:rFonts w:ascii="Aptos" w:hAnsi="Aptos"/>
          <w:color w:val="000000"/>
        </w:rPr>
        <w:t>(</w:t>
      </w:r>
      <w:proofErr w:type="spellStart"/>
      <w:r w:rsidR="000A1EBE" w:rsidRPr="000A1EBE">
        <w:rPr>
          <w:rFonts w:ascii="Aptos" w:hAnsi="Aptos"/>
          <w:color w:val="000000"/>
        </w:rPr>
        <w:t>Newig</w:t>
      </w:r>
      <w:proofErr w:type="spellEnd"/>
      <w:r w:rsidR="000A1EBE" w:rsidRPr="000A1EBE">
        <w:rPr>
          <w:rFonts w:ascii="Aptos" w:hAnsi="Aptos"/>
          <w:color w:val="000000"/>
        </w:rPr>
        <w:t xml:space="preserve"> </w:t>
      </w:r>
      <w:r w:rsidR="00DD2692" w:rsidRPr="0037506E">
        <w:rPr>
          <w:rFonts w:ascii="Aptos" w:hAnsi="Aptos"/>
          <w:i/>
          <w:iCs/>
          <w:color w:val="000000"/>
        </w:rPr>
        <w:t>et al</w:t>
      </w:r>
      <w:r w:rsidR="0037506E">
        <w:rPr>
          <w:rFonts w:ascii="Aptos" w:hAnsi="Aptos"/>
          <w:i/>
          <w:iCs/>
          <w:color w:val="000000"/>
        </w:rPr>
        <w:t>.,</w:t>
      </w:r>
      <w:r w:rsidR="00DD2692">
        <w:rPr>
          <w:rFonts w:ascii="Aptos" w:hAnsi="Aptos"/>
          <w:color w:val="000000"/>
        </w:rPr>
        <w:t xml:space="preserve"> </w:t>
      </w:r>
      <w:r w:rsidR="000A1EBE" w:rsidRPr="000A1EBE">
        <w:rPr>
          <w:rFonts w:ascii="Aptos" w:hAnsi="Aptos"/>
          <w:color w:val="000000"/>
        </w:rPr>
        <w:t>2013</w:t>
      </w:r>
      <w:r w:rsidR="00265DC3">
        <w:rPr>
          <w:rFonts w:ascii="Aptos" w:hAnsi="Aptos"/>
          <w:color w:val="000000"/>
        </w:rPr>
        <w:t>)</w:t>
      </w:r>
      <w:r w:rsidR="000A1EBE" w:rsidRPr="000A1EBE">
        <w:rPr>
          <w:rFonts w:ascii="Aptos" w:hAnsi="Aptos"/>
          <w:color w:val="000000"/>
        </w:rPr>
        <w:t>.</w:t>
      </w:r>
      <w:r w:rsidR="00F72110">
        <w:rPr>
          <w:rFonts w:ascii="Aptos" w:hAnsi="Aptos"/>
          <w:color w:val="000000"/>
        </w:rPr>
        <w:t xml:space="preserve"> </w:t>
      </w:r>
      <w:r w:rsidR="004C30D6">
        <w:rPr>
          <w:rFonts w:ascii="Aptos" w:hAnsi="Aptos"/>
          <w:color w:val="000000"/>
        </w:rPr>
        <w:t xml:space="preserve">Within </w:t>
      </w:r>
      <w:r w:rsidR="00D25FB2">
        <w:rPr>
          <w:rFonts w:ascii="Aptos" w:hAnsi="Aptos"/>
          <w:color w:val="000000"/>
        </w:rPr>
        <w:t>the complexity theory</w:t>
      </w:r>
      <w:r w:rsidR="00C462CE">
        <w:rPr>
          <w:rFonts w:ascii="Aptos" w:hAnsi="Aptos"/>
          <w:color w:val="000000"/>
        </w:rPr>
        <w:t>, Hills</w:t>
      </w:r>
      <w:r w:rsidR="004241CD">
        <w:rPr>
          <w:rFonts w:ascii="Aptos" w:hAnsi="Aptos"/>
          <w:color w:val="000000"/>
        </w:rPr>
        <w:t xml:space="preserve"> (1998</w:t>
      </w:r>
      <w:r w:rsidR="00755F23">
        <w:rPr>
          <w:rFonts w:ascii="Aptos" w:hAnsi="Aptos"/>
          <w:color w:val="000000"/>
        </w:rPr>
        <w:t>, cited by Blackman, 2000</w:t>
      </w:r>
      <w:r w:rsidR="004241CD">
        <w:rPr>
          <w:rFonts w:ascii="Aptos" w:hAnsi="Aptos"/>
          <w:color w:val="000000"/>
        </w:rPr>
        <w:t xml:space="preserve">) </w:t>
      </w:r>
      <w:r w:rsidR="0057530E">
        <w:rPr>
          <w:rFonts w:ascii="Aptos" w:hAnsi="Aptos"/>
          <w:color w:val="000000"/>
        </w:rPr>
        <w:t>e</w:t>
      </w:r>
      <w:r w:rsidR="004241CD">
        <w:rPr>
          <w:rFonts w:ascii="Aptos" w:hAnsi="Aptos"/>
          <w:color w:val="000000"/>
        </w:rPr>
        <w:t>xplain</w:t>
      </w:r>
      <w:r w:rsidR="0057530E">
        <w:rPr>
          <w:rFonts w:ascii="Aptos" w:hAnsi="Aptos"/>
          <w:color w:val="000000"/>
        </w:rPr>
        <w:t>s</w:t>
      </w:r>
      <w:r w:rsidR="004241CD">
        <w:rPr>
          <w:rFonts w:ascii="Aptos" w:hAnsi="Aptos"/>
          <w:color w:val="000000"/>
        </w:rPr>
        <w:t xml:space="preserve"> that </w:t>
      </w:r>
      <w:r w:rsidR="0066614B">
        <w:rPr>
          <w:rFonts w:ascii="Aptos" w:hAnsi="Aptos"/>
          <w:color w:val="000000"/>
        </w:rPr>
        <w:t>around</w:t>
      </w:r>
      <w:r w:rsidR="00284707">
        <w:rPr>
          <w:rFonts w:ascii="Aptos" w:hAnsi="Aptos"/>
          <w:color w:val="000000"/>
        </w:rPr>
        <w:t xml:space="preserve"> </w:t>
      </w:r>
      <w:r w:rsidR="008D15E5">
        <w:rPr>
          <w:rFonts w:ascii="Aptos" w:hAnsi="Aptos"/>
          <w:color w:val="000000"/>
        </w:rPr>
        <w:t xml:space="preserve">social exclusion that </w:t>
      </w:r>
      <w:r w:rsidR="00BE1D0D">
        <w:rPr>
          <w:rFonts w:ascii="Aptos" w:hAnsi="Aptos"/>
          <w:color w:val="000000"/>
        </w:rPr>
        <w:t xml:space="preserve">it would be a process </w:t>
      </w:r>
      <w:r w:rsidR="0066614B">
        <w:rPr>
          <w:rFonts w:ascii="Aptos" w:hAnsi="Aptos"/>
          <w:color w:val="000000"/>
        </w:rPr>
        <w:t>that is</w:t>
      </w:r>
      <w:r w:rsidR="00BE1D0D">
        <w:rPr>
          <w:rFonts w:ascii="Aptos" w:hAnsi="Aptos"/>
          <w:color w:val="000000"/>
        </w:rPr>
        <w:t xml:space="preserve"> dy</w:t>
      </w:r>
      <w:r w:rsidR="002A27AC">
        <w:rPr>
          <w:rFonts w:ascii="Aptos" w:hAnsi="Aptos"/>
          <w:color w:val="000000"/>
        </w:rPr>
        <w:t>namic and not static</w:t>
      </w:r>
      <w:r w:rsidR="00E27963">
        <w:rPr>
          <w:rFonts w:ascii="Aptos" w:hAnsi="Aptos"/>
          <w:color w:val="000000"/>
        </w:rPr>
        <w:t xml:space="preserve">. </w:t>
      </w:r>
      <w:r w:rsidR="0009040A">
        <w:rPr>
          <w:rFonts w:ascii="Aptos" w:hAnsi="Aptos"/>
          <w:color w:val="000000"/>
        </w:rPr>
        <w:t xml:space="preserve">Complexity Theory as an approach investigates </w:t>
      </w:r>
      <w:r w:rsidR="00D14F30">
        <w:rPr>
          <w:rFonts w:ascii="Aptos" w:hAnsi="Aptos"/>
          <w:color w:val="000000"/>
        </w:rPr>
        <w:t xml:space="preserve">points of change, as change occurs </w:t>
      </w:r>
      <w:r w:rsidR="006601DA">
        <w:rPr>
          <w:rFonts w:ascii="Aptos" w:hAnsi="Aptos"/>
          <w:color w:val="000000"/>
        </w:rPr>
        <w:t xml:space="preserve">in differing levels within society which are interlinked </w:t>
      </w:r>
      <w:r w:rsidR="004B4E94">
        <w:rPr>
          <w:rFonts w:ascii="Aptos" w:hAnsi="Aptos"/>
          <w:color w:val="000000"/>
        </w:rPr>
        <w:t xml:space="preserve">with other </w:t>
      </w:r>
      <w:r w:rsidR="00B162F5">
        <w:rPr>
          <w:rFonts w:ascii="Aptos" w:hAnsi="Aptos"/>
          <w:color w:val="000000"/>
        </w:rPr>
        <w:t>policies (</w:t>
      </w:r>
      <w:r w:rsidR="004B4E94">
        <w:rPr>
          <w:rFonts w:ascii="Aptos" w:hAnsi="Aptos"/>
          <w:color w:val="000000"/>
        </w:rPr>
        <w:t>Byrne,</w:t>
      </w:r>
      <w:r w:rsidR="005B061A">
        <w:rPr>
          <w:rFonts w:ascii="Aptos" w:hAnsi="Aptos"/>
          <w:color w:val="000000"/>
        </w:rPr>
        <w:t xml:space="preserve"> 1998).</w:t>
      </w:r>
    </w:p>
    <w:p w14:paraId="49A8DFCA" w14:textId="77777777" w:rsidR="00C53528" w:rsidRDefault="00C53528" w:rsidP="005779DE">
      <w:pPr>
        <w:spacing w:line="360" w:lineRule="auto"/>
        <w:rPr>
          <w:rFonts w:ascii="Aptos" w:hAnsi="Aptos"/>
          <w:color w:val="000000"/>
        </w:rPr>
      </w:pPr>
    </w:p>
    <w:p w14:paraId="20D997B6" w14:textId="77777777" w:rsidR="00876C71" w:rsidRDefault="00876C71" w:rsidP="00DF324A">
      <w:pPr>
        <w:pStyle w:val="Heading2"/>
        <w:rPr>
          <w:sz w:val="28"/>
          <w:szCs w:val="28"/>
        </w:rPr>
      </w:pPr>
    </w:p>
    <w:p w14:paraId="3B86826D" w14:textId="248FE4C1" w:rsidR="002142A9" w:rsidRPr="0037506E" w:rsidRDefault="008F302E" w:rsidP="0037506E">
      <w:pPr>
        <w:pStyle w:val="Heading2"/>
        <w:rPr>
          <w:sz w:val="28"/>
          <w:szCs w:val="28"/>
        </w:rPr>
      </w:pPr>
      <w:r w:rsidRPr="00DF324A">
        <w:rPr>
          <w:sz w:val="28"/>
          <w:szCs w:val="28"/>
        </w:rPr>
        <w:t>Defining Disability: Complexity and Controversy</w:t>
      </w:r>
    </w:p>
    <w:p w14:paraId="7E59B9F8" w14:textId="7EAFA590" w:rsidR="008F302E" w:rsidRDefault="008F302E" w:rsidP="005779DE">
      <w:pPr>
        <w:spacing w:line="360" w:lineRule="auto"/>
      </w:pPr>
      <w:r w:rsidRPr="008F302E">
        <w:t xml:space="preserve">Defining disability is </w:t>
      </w:r>
      <w:r w:rsidR="007E24B2">
        <w:t>inherently complex, as there are multiple definitions, each with</w:t>
      </w:r>
      <w:r w:rsidRPr="008F302E">
        <w:t xml:space="preserve"> its own nuances and, at times, contradictory interpretations (</w:t>
      </w:r>
      <w:proofErr w:type="spellStart"/>
      <w:r w:rsidRPr="008F302E">
        <w:t>Gronvik</w:t>
      </w:r>
      <w:proofErr w:type="spellEnd"/>
      <w:r w:rsidRPr="008F302E">
        <w:t>, 200</w:t>
      </w:r>
      <w:r w:rsidR="00343E20">
        <w:t>9</w:t>
      </w:r>
      <w:r w:rsidRPr="008F302E">
        <w:t>). The lack of a singular, universally accepted definition reflects the varied perspectives present within academic, social, and policy contexts. This ambiguity complicates not only general understanding but also the development and implementation of effective disability policy.</w:t>
      </w:r>
    </w:p>
    <w:p w14:paraId="38967CC6" w14:textId="37184C44" w:rsidR="008F302E" w:rsidRPr="008F302E" w:rsidRDefault="008F302E" w:rsidP="005779DE">
      <w:pPr>
        <w:spacing w:line="360" w:lineRule="auto"/>
      </w:pPr>
      <w:r w:rsidRPr="008F302E">
        <w:lastRenderedPageBreak/>
        <w:t xml:space="preserve">As Barnes (2002) notes, the concept of disability is continually evolving alongside changing societal attitudes and legal frameworks. Disabled individuals and their organisations actively </w:t>
      </w:r>
      <w:r w:rsidR="007E24B2">
        <w:t>shape</w:t>
      </w:r>
      <w:r w:rsidRPr="008F302E">
        <w:t xml:space="preserve"> these definitions, often politicising information to advance their interests. This process underscores the dynamic relationship between those directly affected by disability and the broader policy environment in which decisions are made.</w:t>
      </w:r>
      <w:r w:rsidR="0037506E">
        <w:t xml:space="preserve"> </w:t>
      </w:r>
      <w:r w:rsidRPr="008F302E">
        <w:t>The ongoing debates and contestations surrounding the definition of disability are symptomatic of a growing global interest in disability studies. These challenges present important questions for policymakers, who must navigate a landscape marked by competing views and shifting priorities. The politicisation of disability information by various stakeholders further complicates this environment, highlighting the need for careful consideration and inclusive dialogue in policy formation.</w:t>
      </w:r>
    </w:p>
    <w:p w14:paraId="70E391A2" w14:textId="77777777" w:rsidR="002142A9" w:rsidRDefault="002142A9" w:rsidP="005779DE">
      <w:pPr>
        <w:spacing w:line="360" w:lineRule="auto"/>
      </w:pPr>
    </w:p>
    <w:p w14:paraId="102769B3" w14:textId="780EF540" w:rsidR="00863AC7" w:rsidRDefault="00B32D38" w:rsidP="005779DE">
      <w:pPr>
        <w:spacing w:line="360" w:lineRule="auto"/>
      </w:pPr>
      <w:r>
        <w:t xml:space="preserve">The </w:t>
      </w:r>
      <w:r w:rsidR="005F0374">
        <w:t>WHO</w:t>
      </w:r>
      <w:r w:rsidR="0063541A">
        <w:t xml:space="preserve"> (201</w:t>
      </w:r>
      <w:r>
        <w:t xml:space="preserve">1) reports that approximately 15% of the global population has a disability. Some argue </w:t>
      </w:r>
      <w:r w:rsidR="00575170">
        <w:t xml:space="preserve">that this figure is a conservative estimate, given the diverse definitions of disability across </w:t>
      </w:r>
      <w:r>
        <w:t>countries</w:t>
      </w:r>
      <w:r w:rsidR="00B038D0">
        <w:t xml:space="preserve"> </w:t>
      </w:r>
      <w:r w:rsidR="00B227C6">
        <w:t>(</w:t>
      </w:r>
      <w:r w:rsidR="00B038D0">
        <w:t xml:space="preserve">Chan </w:t>
      </w:r>
      <w:r w:rsidR="00F87028">
        <w:t>&amp;</w:t>
      </w:r>
      <w:r w:rsidR="00B038D0">
        <w:t xml:space="preserve"> Zoellick, 2011).</w:t>
      </w:r>
      <w:r w:rsidR="0088475A">
        <w:t xml:space="preserve"> </w:t>
      </w:r>
      <w:r w:rsidR="00863AC7">
        <w:t xml:space="preserve">The </w:t>
      </w:r>
      <w:r w:rsidR="000B5E37">
        <w:t xml:space="preserve">WHO defined disability as </w:t>
      </w:r>
      <w:r w:rsidR="006D7B77">
        <w:t>follows.</w:t>
      </w:r>
    </w:p>
    <w:p w14:paraId="42F9376B" w14:textId="3A5A22A1" w:rsidR="00524A47" w:rsidRPr="00C700AA" w:rsidRDefault="00C700AA" w:rsidP="005779DE">
      <w:pPr>
        <w:spacing w:line="360" w:lineRule="auto"/>
        <w:ind w:left="720"/>
        <w:rPr>
          <w:i/>
          <w:iCs/>
        </w:rPr>
      </w:pPr>
      <w:r w:rsidRPr="00C700AA">
        <w:rPr>
          <w:i/>
          <w:iCs/>
        </w:rPr>
        <w:t xml:space="preserve">‘Disability </w:t>
      </w:r>
      <w:r w:rsidR="008F3348">
        <w:rPr>
          <w:i/>
          <w:iCs/>
        </w:rPr>
        <w:t>is</w:t>
      </w:r>
      <w:r w:rsidRPr="00C700AA">
        <w:rPr>
          <w:i/>
          <w:iCs/>
        </w:rPr>
        <w:t xml:space="preserve"> a complex concept with multiple dimensions. It is the umbrella term for impairments, activity </w:t>
      </w:r>
      <w:r w:rsidR="003C53D4" w:rsidRPr="00C700AA">
        <w:rPr>
          <w:i/>
          <w:iCs/>
        </w:rPr>
        <w:t>limitations,</w:t>
      </w:r>
      <w:r w:rsidRPr="00C700AA">
        <w:rPr>
          <w:i/>
          <w:iCs/>
        </w:rPr>
        <w:t xml:space="preserve"> and participation restrictions, referring to the negative aspects of the interaction between an individual (with a health condition) and that individual’s contextual factors (environmental and personal factors)’ (WHO, 2011, p.4).</w:t>
      </w:r>
    </w:p>
    <w:p w14:paraId="4F993FFA" w14:textId="77777777" w:rsidR="002142A9" w:rsidRPr="0037506E" w:rsidRDefault="002142A9" w:rsidP="005779DE">
      <w:pPr>
        <w:spacing w:line="360" w:lineRule="auto"/>
        <w:rPr>
          <w:sz w:val="20"/>
          <w:szCs w:val="20"/>
        </w:rPr>
      </w:pPr>
    </w:p>
    <w:p w14:paraId="18144CB7" w14:textId="77777777" w:rsidR="002142A9" w:rsidRDefault="00A95DDA" w:rsidP="005779DE">
      <w:pPr>
        <w:spacing w:line="360" w:lineRule="auto"/>
      </w:pPr>
      <w:proofErr w:type="spellStart"/>
      <w:r>
        <w:t>Slorach</w:t>
      </w:r>
      <w:proofErr w:type="spellEnd"/>
      <w:r>
        <w:t xml:space="preserve"> (20</w:t>
      </w:r>
      <w:r w:rsidR="009D4CF8">
        <w:t>24</w:t>
      </w:r>
      <w:r>
        <w:t xml:space="preserve">) states that the most familiar disability term in Western narratives suggests limitations in mental and physical aspects. It is challenging to categorise impairment and disability together, as most impairments are invisible </w:t>
      </w:r>
      <w:r w:rsidR="00397604">
        <w:t xml:space="preserve">to </w:t>
      </w:r>
      <w:r>
        <w:t>others</w:t>
      </w:r>
      <w:r w:rsidR="00A1226E">
        <w:t>.</w:t>
      </w:r>
      <w:r w:rsidR="00C076D5">
        <w:t xml:space="preserve"> </w:t>
      </w:r>
      <w:r w:rsidR="00F77FC6">
        <w:t xml:space="preserve">Disability is the </w:t>
      </w:r>
      <w:r w:rsidR="0022748A">
        <w:t>impact</w:t>
      </w:r>
      <w:r w:rsidR="00057014">
        <w:t xml:space="preserve"> of the</w:t>
      </w:r>
      <w:r w:rsidR="0088680A">
        <w:t xml:space="preserve"> impairment</w:t>
      </w:r>
      <w:r w:rsidR="00057014">
        <w:t xml:space="preserve">. </w:t>
      </w:r>
      <w:r w:rsidR="009506DF">
        <w:t>Impairment is a condition that limits</w:t>
      </w:r>
      <w:r w:rsidR="00E33BC8">
        <w:t xml:space="preserve"> what you can do and could do</w:t>
      </w:r>
      <w:r w:rsidR="00586B37">
        <w:t xml:space="preserve"> </w:t>
      </w:r>
      <w:r w:rsidR="00247819">
        <w:t>(</w:t>
      </w:r>
      <w:r w:rsidR="004B77DC">
        <w:t xml:space="preserve">Swain </w:t>
      </w:r>
      <w:r w:rsidR="004B77DC">
        <w:rPr>
          <w:i/>
          <w:iCs/>
        </w:rPr>
        <w:t>et al</w:t>
      </w:r>
      <w:r w:rsidR="00586B37">
        <w:rPr>
          <w:i/>
          <w:iCs/>
        </w:rPr>
        <w:t>.,</w:t>
      </w:r>
      <w:r w:rsidR="00F67FD9">
        <w:rPr>
          <w:i/>
          <w:iCs/>
        </w:rPr>
        <w:t xml:space="preserve"> </w:t>
      </w:r>
      <w:r w:rsidR="00F67FD9" w:rsidRPr="00F67FD9">
        <w:t>2013</w:t>
      </w:r>
      <w:r w:rsidR="00F67FD9">
        <w:rPr>
          <w:i/>
          <w:iCs/>
        </w:rPr>
        <w:t>)</w:t>
      </w:r>
      <w:r w:rsidR="00586B37">
        <w:rPr>
          <w:i/>
          <w:iCs/>
        </w:rPr>
        <w:t>.</w:t>
      </w:r>
      <w:r w:rsidR="002E4BFA">
        <w:rPr>
          <w:i/>
          <w:iCs/>
        </w:rPr>
        <w:t xml:space="preserve"> </w:t>
      </w:r>
      <w:r w:rsidR="00604EF3" w:rsidRPr="003E62D5">
        <w:t xml:space="preserve">Modern society constantly </w:t>
      </w:r>
      <w:r w:rsidR="00B1167D" w:rsidRPr="003E62D5">
        <w:t xml:space="preserve">confuses or conflates the distinct </w:t>
      </w:r>
      <w:r w:rsidR="0009138A" w:rsidRPr="003E62D5">
        <w:t>concepts</w:t>
      </w:r>
      <w:r w:rsidR="006625F0" w:rsidRPr="003E62D5">
        <w:t xml:space="preserve"> </w:t>
      </w:r>
      <w:r w:rsidR="00700E5D" w:rsidRPr="003E62D5">
        <w:t xml:space="preserve">of </w:t>
      </w:r>
      <w:r w:rsidR="00F64F15" w:rsidRPr="003E62D5">
        <w:t>impairment</w:t>
      </w:r>
      <w:r w:rsidR="00700E5D" w:rsidRPr="003E62D5">
        <w:t xml:space="preserve"> and disability, often treating </w:t>
      </w:r>
      <w:r w:rsidR="009506DF" w:rsidRPr="003E62D5">
        <w:t>them as interchangeable terms, which</w:t>
      </w:r>
      <w:r w:rsidR="004D1713" w:rsidRPr="003E62D5">
        <w:t xml:space="preserve"> </w:t>
      </w:r>
      <w:r w:rsidR="001438F9" w:rsidRPr="003E62D5">
        <w:t xml:space="preserve">could give </w:t>
      </w:r>
      <w:r w:rsidR="0009138A" w:rsidRPr="003E62D5">
        <w:t>the individual and PIP decision makers a false narrativ</w:t>
      </w:r>
      <w:r w:rsidR="00BE4B2C" w:rsidRPr="003E62D5">
        <w:t>e</w:t>
      </w:r>
      <w:r w:rsidR="000A52CE" w:rsidRPr="003E62D5">
        <w:t xml:space="preserve"> (Murray, 2022)</w:t>
      </w:r>
      <w:r w:rsidR="00BE4B2C" w:rsidRPr="003E62D5">
        <w:t>.</w:t>
      </w:r>
      <w:r w:rsidR="00346A3C">
        <w:t xml:space="preserve"> </w:t>
      </w:r>
    </w:p>
    <w:p w14:paraId="4DAF30A7" w14:textId="1A636F31" w:rsidR="002142A9" w:rsidRDefault="00AA58F6" w:rsidP="005779DE">
      <w:pPr>
        <w:spacing w:line="360" w:lineRule="auto"/>
      </w:pPr>
      <w:r w:rsidRPr="00AA165C">
        <w:lastRenderedPageBreak/>
        <w:t>The Disability People’s Movement (DPM) has expressed caution regarding impairment, claiming it is usually unrelated to disability.</w:t>
      </w:r>
      <w:r w:rsidRPr="00AA165C">
        <w:rPr>
          <w:b/>
          <w:bCs/>
        </w:rPr>
        <w:t xml:space="preserve"> </w:t>
      </w:r>
      <w:r>
        <w:t>They emphasise the importance of distinguishing impairment from disability to understand disability as a foundation for identity politics (Hughes, 2009).</w:t>
      </w:r>
      <w:r w:rsidR="002142A9">
        <w:rPr>
          <w:i/>
          <w:iCs/>
        </w:rPr>
        <w:t xml:space="preserve"> </w:t>
      </w:r>
      <w:r w:rsidR="00A236E8" w:rsidRPr="00517FF4">
        <w:t xml:space="preserve">The </w:t>
      </w:r>
      <w:r w:rsidR="00CB38E7">
        <w:t>Disability Rights Movement (</w:t>
      </w:r>
      <w:r w:rsidR="00A236E8">
        <w:t>DRM</w:t>
      </w:r>
      <w:r w:rsidR="00CB38E7">
        <w:t>)</w:t>
      </w:r>
      <w:r w:rsidR="00A84605">
        <w:t xml:space="preserve"> </w:t>
      </w:r>
      <w:r w:rsidR="00A236E8" w:rsidRPr="00517FF4">
        <w:t xml:space="preserve">has been instrumental in changing attitudes towards disabled people </w:t>
      </w:r>
      <w:r w:rsidR="00A236E8">
        <w:t>worldwide</w:t>
      </w:r>
      <w:r w:rsidR="00A236E8" w:rsidRPr="00517FF4">
        <w:t>.</w:t>
      </w:r>
      <w:r w:rsidR="00A236E8">
        <w:t xml:space="preserve"> </w:t>
      </w:r>
      <w:r w:rsidR="00D82941">
        <w:t xml:space="preserve">Barnes (2007) connected disability activism to the broader fight for change, especially in UK government policy, noting progress but </w:t>
      </w:r>
      <w:r w:rsidR="002142A9">
        <w:t>emphasising</w:t>
      </w:r>
      <w:r w:rsidR="00D82941">
        <w:t xml:space="preserve"> more work needed for true inclusion. </w:t>
      </w:r>
    </w:p>
    <w:p w14:paraId="7FD1B57F" w14:textId="77777777" w:rsidR="00F32E9B" w:rsidRDefault="00F32E9B" w:rsidP="005779DE">
      <w:pPr>
        <w:spacing w:line="360" w:lineRule="auto"/>
      </w:pPr>
    </w:p>
    <w:p w14:paraId="4B83362C" w14:textId="4887EB27" w:rsidR="00A236E8" w:rsidRPr="00733900" w:rsidRDefault="00D82941" w:rsidP="005779DE">
      <w:pPr>
        <w:spacing w:line="360" w:lineRule="auto"/>
      </w:pPr>
      <w:r>
        <w:t xml:space="preserve">While activism has shaped policy, success may threaten its future. </w:t>
      </w:r>
      <w:r w:rsidR="00A236E8" w:rsidRPr="00BA211F">
        <w:t xml:space="preserve">This discussion is part of the liberal ideology emerging from the </w:t>
      </w:r>
      <w:r w:rsidR="000A0449" w:rsidRPr="00BA211F">
        <w:t>DRM</w:t>
      </w:r>
      <w:r w:rsidR="000A0449">
        <w:t xml:space="preserve">, </w:t>
      </w:r>
      <w:r w:rsidR="000A0449" w:rsidRPr="00BA211F">
        <w:t>which</w:t>
      </w:r>
      <w:r w:rsidR="00A236E8" w:rsidRPr="00BA211F">
        <w:t xml:space="preserve"> has shaped </w:t>
      </w:r>
      <w:r w:rsidR="000701F0">
        <w:t>the movement's influence on</w:t>
      </w:r>
      <w:r w:rsidR="00A236E8" w:rsidRPr="00BA211F">
        <w:t xml:space="preserve"> PIP policy and its verbosity. </w:t>
      </w:r>
      <w:r w:rsidR="00A236E8" w:rsidRPr="0085570B">
        <w:t xml:space="preserve">The </w:t>
      </w:r>
      <w:r w:rsidR="006C721C">
        <w:t xml:space="preserve">DRM </w:t>
      </w:r>
      <w:r w:rsidR="00A236E8" w:rsidRPr="0085570B">
        <w:t>explores the ethics of agency and their influence on disability policies</w:t>
      </w:r>
      <w:r w:rsidR="007E24B2">
        <w:t>, such as</w:t>
      </w:r>
      <w:r w:rsidR="00A236E8" w:rsidRPr="0085570B">
        <w:t xml:space="preserve"> PIP, highlighting shifts toward more liberal perspectives. Smith (2013) emphasises that liberalism, in its different forms, has explicitly promoted the ethics of agency</w:t>
      </w:r>
      <w:r w:rsidR="00F53FB7">
        <w:t xml:space="preserve">, </w:t>
      </w:r>
      <w:r w:rsidR="00A236E8" w:rsidRPr="0085570B">
        <w:t xml:space="preserve">that is, valuing individual choice, the capacity </w:t>
      </w:r>
      <w:r w:rsidR="00833EEF">
        <w:t>to formulate self-determined life plans</w:t>
      </w:r>
      <w:r w:rsidR="00A236E8" w:rsidRPr="0085570B">
        <w:t>, and the successful pursuit of valued objectives associated with these plans, as a basis for increasing well-being</w:t>
      </w:r>
      <w:r w:rsidR="00BE551A">
        <w:t>.</w:t>
      </w:r>
    </w:p>
    <w:p w14:paraId="5788AAC0" w14:textId="77777777" w:rsidR="00733900" w:rsidRDefault="00733900" w:rsidP="005779DE">
      <w:pPr>
        <w:spacing w:line="360" w:lineRule="auto"/>
      </w:pPr>
    </w:p>
    <w:p w14:paraId="1233761A" w14:textId="0CCBEA70" w:rsidR="00A236E8" w:rsidRPr="0037506E" w:rsidRDefault="00A236E8" w:rsidP="005A5594">
      <w:pPr>
        <w:spacing w:line="360" w:lineRule="auto"/>
      </w:pPr>
      <w:r w:rsidRPr="0085570B">
        <w:t>According to Morris (2006), fiscal support that enables independence in employment, health, and mobility is vital to the disability movement's goals of autonomy and social inclusion</w:t>
      </w:r>
      <w:r w:rsidR="00942A9B" w:rsidRPr="0085570B">
        <w:t>.</w:t>
      </w:r>
      <w:r w:rsidR="00942A9B">
        <w:t xml:space="preserve"> </w:t>
      </w:r>
      <w:r w:rsidR="005A5594">
        <w:t>The</w:t>
      </w:r>
      <w:r w:rsidRPr="0085570B">
        <w:t xml:space="preserve"> Ethics of Agency</w:t>
      </w:r>
      <w:r w:rsidR="005A5594">
        <w:t xml:space="preserve"> is a critical area: ‘self-acceptance,’ which, in this instance, means accepting human conditions, including </w:t>
      </w:r>
      <w:r w:rsidRPr="0085570B">
        <w:t xml:space="preserve">their impairments and limitations. </w:t>
      </w:r>
      <w:r w:rsidR="000247F0">
        <w:t xml:space="preserve">Connecting self-acceptance with disability is key to shaping wellbeing for individuals facing mobility limitations and impairments, linking </w:t>
      </w:r>
      <w:r w:rsidR="002142A9">
        <w:t xml:space="preserve">the </w:t>
      </w:r>
      <w:r w:rsidR="000247F0">
        <w:t>ethics of agency.</w:t>
      </w:r>
      <w:r w:rsidR="0037506E">
        <w:t xml:space="preserve"> </w:t>
      </w:r>
      <w:r w:rsidR="005A5594">
        <w:t>Smith (2013) notes that applying well-being accounts to disability shows these ideas are central in liberal philosophy and influence the DRM, shaping policies and welfare. The DRM advocates for the social model, which reflects these ethical agencies</w:t>
      </w:r>
      <w:r w:rsidR="005A5594">
        <w:rPr>
          <w:i/>
          <w:iCs/>
        </w:rPr>
        <w:t>.</w:t>
      </w:r>
    </w:p>
    <w:p w14:paraId="0660BCA7" w14:textId="77777777" w:rsidR="0037506E" w:rsidRDefault="0037506E" w:rsidP="005779DE">
      <w:pPr>
        <w:spacing w:line="360" w:lineRule="auto"/>
      </w:pPr>
    </w:p>
    <w:p w14:paraId="3C18CD34" w14:textId="05ED9459" w:rsidR="00A236E8" w:rsidRDefault="00A236E8" w:rsidP="005779DE">
      <w:pPr>
        <w:spacing w:line="360" w:lineRule="auto"/>
      </w:pPr>
      <w:r>
        <w:lastRenderedPageBreak/>
        <w:t xml:space="preserve">DRM has supported welfare reform by promoting the social model of disability over the medical model (Hughes, 2009). Mainstream policy now aims to provide equal access to resources, </w:t>
      </w:r>
      <w:r w:rsidR="00266EC9">
        <w:t xml:space="preserve">enabling individuals to pursue meaningful life plans and enjoy freedoms, independence, and personal achievement on par with those of </w:t>
      </w:r>
      <w:r>
        <w:t>non-disabled individuals, thereby boosting their well-being (Smith, 2013).</w:t>
      </w:r>
      <w:r w:rsidR="007950B7">
        <w:t xml:space="preserve"> </w:t>
      </w:r>
      <w:r>
        <w:t xml:space="preserve">The disability movement was revived after an absence of almost 20 years in response to government cuts to disability-related benefits and services </w:t>
      </w:r>
      <w:r>
        <w:fldChar w:fldCharType="begin"/>
      </w:r>
      <w:r>
        <w:instrText xml:space="preserve"> ADDIN ZOTERO_ITEM CSL_CITATION {"citationID":"jyHGYWzF","properties":{"formattedCitation":"(Slorach, 2024)","plainCitation":"(Slorach, 2024)","noteIndex":0},"citationItems":[{"id":436,"uris":["http://zotero.org/users/local/aqoAGYE8/items/IDYHHFVQ"],"itemData":{"id":436,"type":"book","abstract":"Slorach shows how capitalism created disability by turning our minds and bodies into commodities to be priced and traded. Those who don't fit are excluded and i","edition":"2024","event-place":"London, United Kingdom","ISBN":"978-1-914143-98-4","language":"en","note":"ISBN: 9781914143984","number-of-pages":"343","publisher":"Bookmarks Publications","publisher-place":"London, United Kingdom","title":"A Very Capitalist Condition","URL":"https://blackwells.co.uk/bookshop/product/A-Very-Capitalist-Condition-by-Roddy-Slorach/9781914143984","author":[{"family":"Slorach","given":"Roddy"}],"accessed":{"date-parts":[["2025",12,5]]},"issued":{"date-parts":[["2024"]]}}}],"schema":"https://github.com/citation-style-language/schema/raw/master/csl-citation.json"} </w:instrText>
      </w:r>
      <w:r>
        <w:fldChar w:fldCharType="separate"/>
      </w:r>
      <w:r w:rsidRPr="00A53738">
        <w:rPr>
          <w:rFonts w:ascii="Aptos" w:hAnsi="Aptos"/>
        </w:rPr>
        <w:t>(Slorach, 2024)</w:t>
      </w:r>
      <w:r>
        <w:fldChar w:fldCharType="end"/>
      </w:r>
      <w:r>
        <w:t>. Ideas about disability have been central to the development of social policies to support people with disabilities</w:t>
      </w:r>
      <w:r w:rsidRPr="00FF640F">
        <w:t xml:space="preserve"> in Britain.</w:t>
      </w:r>
    </w:p>
    <w:p w14:paraId="1F43B1A8" w14:textId="77777777" w:rsidR="00733900" w:rsidRPr="00FF640F" w:rsidRDefault="00733900" w:rsidP="005779DE">
      <w:pPr>
        <w:spacing w:line="360" w:lineRule="auto"/>
      </w:pPr>
    </w:p>
    <w:p w14:paraId="5C9BD717" w14:textId="77777777" w:rsidR="00CB43CE" w:rsidRDefault="00145E64" w:rsidP="005779DE">
      <w:pPr>
        <w:spacing w:line="360" w:lineRule="auto"/>
      </w:pPr>
      <w:r>
        <w:t>Yee</w:t>
      </w:r>
      <w:r w:rsidR="00743753">
        <w:t xml:space="preserve"> (2021) stated that </w:t>
      </w:r>
      <w:r w:rsidR="00A666BF">
        <w:t>PIP policy has evolved</w:t>
      </w:r>
      <w:r w:rsidR="00743753">
        <w:t>,</w:t>
      </w:r>
      <w:r w:rsidR="00A666BF">
        <w:t xml:space="preserve"> </w:t>
      </w:r>
      <w:r w:rsidR="00743753">
        <w:t xml:space="preserve">with the advantages </w:t>
      </w:r>
      <w:r w:rsidR="004139BA">
        <w:t>helping a more diverse population</w:t>
      </w:r>
      <w:r w:rsidR="00AE2707">
        <w:t xml:space="preserve"> </w:t>
      </w:r>
      <w:r w:rsidR="002E03AB">
        <w:t>to</w:t>
      </w:r>
      <w:r w:rsidR="004139BA">
        <w:t xml:space="preserve"> understand</w:t>
      </w:r>
      <w:r w:rsidR="00743753">
        <w:t xml:space="preserve"> disabilities and the social, economic, and health-related issues they face, thereby giving</w:t>
      </w:r>
      <w:r w:rsidR="005C61EF">
        <w:t xml:space="preserve"> this cohort of individuals equity and equality </w:t>
      </w:r>
      <w:r w:rsidR="00F01AB2">
        <w:t>under</w:t>
      </w:r>
      <w:r w:rsidR="005C61EF">
        <w:t xml:space="preserve"> the law.</w:t>
      </w:r>
      <w:r w:rsidR="00CF0980">
        <w:t xml:space="preserve"> </w:t>
      </w:r>
      <w:r w:rsidR="007D0E77" w:rsidRPr="0024304A">
        <w:t>Equity</w:t>
      </w:r>
      <w:r w:rsidR="00D208AE" w:rsidRPr="0024304A">
        <w:t xml:space="preserve"> comes at a physical cost to the taxpayer</w:t>
      </w:r>
      <w:r w:rsidR="00F203D9" w:rsidRPr="0024304A">
        <w:t>. The</w:t>
      </w:r>
      <w:r w:rsidR="00D208AE" w:rsidRPr="0024304A">
        <w:t xml:space="preserve"> more</w:t>
      </w:r>
      <w:r w:rsidR="007074C9" w:rsidRPr="0024304A">
        <w:t xml:space="preserve"> diverse and equitable </w:t>
      </w:r>
      <w:r w:rsidR="00F203D9" w:rsidRPr="0024304A">
        <w:t xml:space="preserve">a society becomes, the more widely the </w:t>
      </w:r>
      <w:r w:rsidR="004154DB" w:rsidRPr="0024304A">
        <w:t>costs fall</w:t>
      </w:r>
      <w:r w:rsidR="00B764D5" w:rsidRPr="0024304A">
        <w:t xml:space="preserve"> (St</w:t>
      </w:r>
      <w:r w:rsidR="00F01AB2" w:rsidRPr="0024304A">
        <w:t>iglitz, 2014).</w:t>
      </w:r>
      <w:r w:rsidR="00F203D9" w:rsidRPr="00AB5885">
        <w:rPr>
          <w:b/>
          <w:bCs/>
        </w:rPr>
        <w:t xml:space="preserve"> </w:t>
      </w:r>
      <w:r w:rsidR="00F203D9" w:rsidRPr="00155D35">
        <w:t>For example</w:t>
      </w:r>
      <w:r w:rsidR="00EF56D7" w:rsidRPr="00155D35">
        <w:t>,</w:t>
      </w:r>
      <w:r w:rsidR="00F203D9" w:rsidRPr="00155D35">
        <w:t xml:space="preserve"> Autism was not recognised as a disability within the </w:t>
      </w:r>
      <w:r w:rsidR="0061141A" w:rsidRPr="00155D35">
        <w:t>population</w:t>
      </w:r>
      <w:r w:rsidR="00EF56D7" w:rsidRPr="00155D35">
        <w:t xml:space="preserve"> as a known disability</w:t>
      </w:r>
      <w:r w:rsidR="00E404BA" w:rsidRPr="00155D35">
        <w:t xml:space="preserve"> until the Equality Act of 2010.</w:t>
      </w:r>
    </w:p>
    <w:p w14:paraId="2CF57A64" w14:textId="77777777" w:rsidR="00733900" w:rsidRDefault="00733900" w:rsidP="005779DE">
      <w:pPr>
        <w:spacing w:line="360" w:lineRule="auto"/>
        <w:rPr>
          <w:rFonts w:ascii="Aptos" w:hAnsi="Aptos"/>
          <w:color w:val="000000"/>
        </w:rPr>
      </w:pPr>
    </w:p>
    <w:p w14:paraId="63A9F631" w14:textId="77777777" w:rsidR="0037506E" w:rsidRDefault="0061637D" w:rsidP="005779DE">
      <w:pPr>
        <w:spacing w:line="360" w:lineRule="auto"/>
        <w:rPr>
          <w:i/>
          <w:iCs/>
        </w:rPr>
      </w:pPr>
      <w:r w:rsidRPr="0061637D">
        <w:rPr>
          <w:rFonts w:ascii="Aptos" w:hAnsi="Aptos"/>
          <w:color w:val="000000"/>
        </w:rPr>
        <w:t xml:space="preserve">The welfare state, established in 1948, has taken decades for its effects to be fully recognised. The PIP policy is unlikely to remain unchanged as expanding criteria and increased diagnoses are placing growing financial pressures on the system (Rummery, 2016). The capability approach </w:t>
      </w:r>
      <w:r w:rsidR="009C2ED8">
        <w:rPr>
          <w:rFonts w:ascii="Aptos" w:hAnsi="Aptos"/>
          <w:color w:val="000000"/>
        </w:rPr>
        <w:t>in moral philosophy, advanced by Sen, highlights individuals' freedom to achieve well-being and distinguishes</w:t>
      </w:r>
      <w:r w:rsidRPr="0061637D">
        <w:rPr>
          <w:rFonts w:ascii="Aptos" w:hAnsi="Aptos"/>
          <w:color w:val="000000"/>
        </w:rPr>
        <w:t xml:space="preserve"> between impairment and disability based on factors that limit capability (Blustein, 2012). PIP integrates this perspective by allowing recipients autonomy over their financial choices.</w:t>
      </w:r>
      <w:r w:rsidR="0037506E">
        <w:rPr>
          <w:i/>
          <w:iCs/>
        </w:rPr>
        <w:t xml:space="preserve"> </w:t>
      </w:r>
    </w:p>
    <w:p w14:paraId="39802DD5" w14:textId="77777777" w:rsidR="0037506E" w:rsidRDefault="0037506E" w:rsidP="005779DE">
      <w:pPr>
        <w:spacing w:line="360" w:lineRule="auto"/>
        <w:rPr>
          <w:i/>
          <w:iCs/>
        </w:rPr>
      </w:pPr>
    </w:p>
    <w:p w14:paraId="7808EC4F" w14:textId="77777777" w:rsidR="0037506E" w:rsidRDefault="0037506E" w:rsidP="005779DE">
      <w:pPr>
        <w:spacing w:line="360" w:lineRule="auto"/>
        <w:rPr>
          <w:i/>
          <w:iCs/>
        </w:rPr>
      </w:pPr>
    </w:p>
    <w:p w14:paraId="09791939" w14:textId="77777777" w:rsidR="0037506E" w:rsidRDefault="0037506E" w:rsidP="005779DE">
      <w:pPr>
        <w:spacing w:line="360" w:lineRule="auto"/>
        <w:rPr>
          <w:i/>
          <w:iCs/>
        </w:rPr>
      </w:pPr>
    </w:p>
    <w:p w14:paraId="2EC34B14" w14:textId="095E809F" w:rsidR="00BA211F" w:rsidRPr="0037506E" w:rsidRDefault="00AF1BD7" w:rsidP="005779DE">
      <w:pPr>
        <w:spacing w:line="360" w:lineRule="auto"/>
        <w:rPr>
          <w:i/>
          <w:iCs/>
        </w:rPr>
      </w:pPr>
      <w:r>
        <w:rPr>
          <w:rFonts w:ascii="Aptos" w:hAnsi="Aptos"/>
          <w:color w:val="000000"/>
        </w:rPr>
        <w:lastRenderedPageBreak/>
        <w:t xml:space="preserve">The PIP policy highlights the medical model of disability by </w:t>
      </w:r>
      <w:r w:rsidR="002E4BFA">
        <w:rPr>
          <w:rFonts w:ascii="Aptos" w:hAnsi="Aptos"/>
          <w:color w:val="000000"/>
        </w:rPr>
        <w:t>prioritising</w:t>
      </w:r>
      <w:r>
        <w:rPr>
          <w:rFonts w:ascii="Aptos" w:hAnsi="Aptos"/>
          <w:color w:val="000000"/>
        </w:rPr>
        <w:t xml:space="preserve"> medical evidence over social factors. Blustein (2012) explains that decision-makers empower individuals to determine how to </w:t>
      </w:r>
      <w:r w:rsidR="002E4BFA">
        <w:rPr>
          <w:rFonts w:ascii="Aptos" w:hAnsi="Aptos"/>
          <w:color w:val="000000"/>
        </w:rPr>
        <w:t>utilise</w:t>
      </w:r>
      <w:r>
        <w:rPr>
          <w:rFonts w:ascii="Aptos" w:hAnsi="Aptos"/>
          <w:color w:val="000000"/>
        </w:rPr>
        <w:t xml:space="preserve"> their resources. Capability theorists argue that the choice between changing individuals or their environment depends on </w:t>
      </w:r>
      <w:r w:rsidR="002E4BFA">
        <w:rPr>
          <w:rFonts w:ascii="Aptos" w:hAnsi="Aptos"/>
          <w:color w:val="000000"/>
        </w:rPr>
        <w:t xml:space="preserve">the situation and on all the </w:t>
      </w:r>
      <w:r>
        <w:rPr>
          <w:rFonts w:ascii="Aptos" w:hAnsi="Aptos"/>
          <w:color w:val="000000"/>
        </w:rPr>
        <w:t>interests involved. PIP thus enables individuals to decide how to allocate available resources for their own benefit and for their environment.</w:t>
      </w:r>
    </w:p>
    <w:p w14:paraId="5712CD76" w14:textId="77777777" w:rsidR="00733900" w:rsidRDefault="00733900" w:rsidP="005779DE">
      <w:pPr>
        <w:spacing w:line="360" w:lineRule="auto"/>
        <w:rPr>
          <w:rFonts w:ascii="Aptos" w:hAnsi="Aptos"/>
          <w:color w:val="000000"/>
        </w:rPr>
      </w:pPr>
    </w:p>
    <w:p w14:paraId="06A01088" w14:textId="05C961CC" w:rsidR="002E4BFA" w:rsidRDefault="0061637D" w:rsidP="005779DE">
      <w:pPr>
        <w:spacing w:line="360" w:lineRule="auto"/>
      </w:pPr>
      <w:r w:rsidRPr="0061637D">
        <w:rPr>
          <w:rFonts w:ascii="Aptos" w:hAnsi="Aptos"/>
          <w:color w:val="000000"/>
        </w:rPr>
        <w:t xml:space="preserve">PIP has supporters and detractors. </w:t>
      </w:r>
      <w:proofErr w:type="spellStart"/>
      <w:r w:rsidRPr="0061637D">
        <w:rPr>
          <w:rFonts w:ascii="Aptos" w:hAnsi="Aptos"/>
          <w:color w:val="000000"/>
        </w:rPr>
        <w:t>Roulstone</w:t>
      </w:r>
      <w:proofErr w:type="spellEnd"/>
      <w:r w:rsidRPr="0061637D">
        <w:rPr>
          <w:rFonts w:ascii="Aptos" w:hAnsi="Aptos"/>
          <w:color w:val="000000"/>
        </w:rPr>
        <w:t xml:space="preserve"> (2015) argues that replacing </w:t>
      </w:r>
      <w:r>
        <w:rPr>
          <w:rFonts w:ascii="Aptos" w:hAnsi="Aptos"/>
          <w:color w:val="000000"/>
        </w:rPr>
        <w:t>Disability Living Allowance (</w:t>
      </w:r>
      <w:r w:rsidRPr="0061637D">
        <w:rPr>
          <w:rFonts w:ascii="Aptos" w:hAnsi="Aptos"/>
          <w:color w:val="000000"/>
        </w:rPr>
        <w:t>DLA</w:t>
      </w:r>
      <w:r>
        <w:rPr>
          <w:rFonts w:ascii="Aptos" w:hAnsi="Aptos"/>
          <w:color w:val="000000"/>
        </w:rPr>
        <w:t>)</w:t>
      </w:r>
      <w:r w:rsidRPr="0061637D">
        <w:rPr>
          <w:rFonts w:ascii="Aptos" w:hAnsi="Aptos"/>
          <w:color w:val="000000"/>
        </w:rPr>
        <w:t xml:space="preserve"> with PIP demonstrates how disability is used administratively to limit social welfare, aiming to exclude 500,000 people and raising questions about the policy's intent.</w:t>
      </w:r>
      <w:r>
        <w:rPr>
          <w:rFonts w:ascii="Aptos" w:hAnsi="Aptos"/>
          <w:color w:val="000000"/>
        </w:rPr>
        <w:t xml:space="preserve"> </w:t>
      </w:r>
      <w:r w:rsidR="00BA7470">
        <w:t>Alldridge (2019) noted that</w:t>
      </w:r>
      <w:r w:rsidR="00591D00">
        <w:t>, after the 2010 election, coalition members aimed to 'reform' DLA due to concerns that impairments were not adequately assessed</w:t>
      </w:r>
      <w:r w:rsidR="0070720C">
        <w:t xml:space="preserve">, </w:t>
      </w:r>
      <w:r w:rsidR="00BA7470">
        <w:t>fear</w:t>
      </w:r>
      <w:r w:rsidR="0070720C">
        <w:t>ing</w:t>
      </w:r>
      <w:r w:rsidR="00BA7470">
        <w:t xml:space="preserve"> some recipients might recover and lose eligibility</w:t>
      </w:r>
      <w:r w:rsidR="008E19AA" w:rsidRPr="008E19AA">
        <w:t xml:space="preserve">. </w:t>
      </w:r>
      <w:r w:rsidRPr="0061637D">
        <w:rPr>
          <w:rFonts w:ascii="Aptos" w:hAnsi="Aptos"/>
          <w:color w:val="000000"/>
        </w:rPr>
        <w:t xml:space="preserve">By June 2015, Margaret Hodge, Chair of the Public Accounts Committee, criticised the PIP scheme for its rushed rollout, poor assessments, delays, and no pilot testing. The committee noted increased stress for </w:t>
      </w:r>
      <w:r>
        <w:rPr>
          <w:rFonts w:ascii="Aptos" w:hAnsi="Aptos"/>
          <w:color w:val="000000"/>
        </w:rPr>
        <w:t>individuals</w:t>
      </w:r>
      <w:r w:rsidR="00524571">
        <w:rPr>
          <w:rFonts w:ascii="Aptos" w:hAnsi="Aptos"/>
          <w:color w:val="000000"/>
        </w:rPr>
        <w:t>,</w:t>
      </w:r>
      <w:r w:rsidRPr="0061637D">
        <w:rPr>
          <w:rFonts w:ascii="Aptos" w:hAnsi="Aptos"/>
          <w:color w:val="000000"/>
        </w:rPr>
        <w:t xml:space="preserve"> with some losing DLA before PIP started. PIP assesses disability strictly on functional limitations, excluding medical and environmental factors.</w:t>
      </w:r>
      <w:r>
        <w:rPr>
          <w:rFonts w:ascii="Aptos" w:hAnsi="Aptos"/>
          <w:color w:val="000000"/>
        </w:rPr>
        <w:t xml:space="preserve"> </w:t>
      </w:r>
      <w:r w:rsidR="00D0157F">
        <w:t>Vornholt</w:t>
      </w:r>
      <w:r w:rsidR="001E5FEF">
        <w:t xml:space="preserve"> </w:t>
      </w:r>
      <w:r w:rsidR="001E5FEF" w:rsidRPr="005A6FF5">
        <w:rPr>
          <w:i/>
          <w:iCs/>
        </w:rPr>
        <w:t>et al.</w:t>
      </w:r>
      <w:r w:rsidR="001E5FEF">
        <w:t xml:space="preserve"> (201</w:t>
      </w:r>
      <w:r w:rsidR="00795BCE">
        <w:t>8</w:t>
      </w:r>
      <w:r w:rsidR="001E5FEF">
        <w:t xml:space="preserve">) stated that the notion of disability as an administrative category </w:t>
      </w:r>
      <w:r w:rsidR="00274296">
        <w:t xml:space="preserve">is </w:t>
      </w:r>
      <w:r w:rsidR="001E5FEF">
        <w:t>used by the state primarily to</w:t>
      </w:r>
      <w:r w:rsidR="00FF1854" w:rsidRPr="00FF1854">
        <w:t xml:space="preserve"> preclude people from accessing social welfare resources. </w:t>
      </w:r>
    </w:p>
    <w:p w14:paraId="231342E2" w14:textId="77777777" w:rsidR="00733900" w:rsidRDefault="00733900" w:rsidP="005779DE">
      <w:pPr>
        <w:spacing w:line="360" w:lineRule="auto"/>
      </w:pPr>
    </w:p>
    <w:p w14:paraId="62CEE985" w14:textId="48150262" w:rsidR="00FF35E2" w:rsidRDefault="00AC7D64" w:rsidP="005779DE">
      <w:pPr>
        <w:spacing w:line="360" w:lineRule="auto"/>
      </w:pPr>
      <w:r>
        <w:t>Grover (2016) discusse</w:t>
      </w:r>
      <w:r w:rsidR="00695D79">
        <w:t xml:space="preserve">s </w:t>
      </w:r>
      <w:r>
        <w:t xml:space="preserve">a critique of DLA that led to its replacement by PIP, highlighting that DLA can </w:t>
      </w:r>
      <w:r w:rsidR="00436140">
        <w:t>function as</w:t>
      </w:r>
      <w:r>
        <w:t xml:space="preserve"> a barrier to work</w:t>
      </w:r>
      <w:r w:rsidR="005F5F0C">
        <w:t xml:space="preserve">. </w:t>
      </w:r>
      <w:r>
        <w:t xml:space="preserve">Contemporary conservatism views any social security benefit that does not promote </w:t>
      </w:r>
      <w:r w:rsidR="006D2C32">
        <w:t>‘</w:t>
      </w:r>
      <w:r>
        <w:t>independence</w:t>
      </w:r>
      <w:r w:rsidR="006D2C32">
        <w:t xml:space="preserve">’ </w:t>
      </w:r>
      <w:r>
        <w:t>through employment as problematic, and PIP is no exception</w:t>
      </w:r>
      <w:r w:rsidR="00CF6BF8">
        <w:t xml:space="preserve"> (Lister, 2010)</w:t>
      </w:r>
      <w:r w:rsidR="0038288B">
        <w:t>.</w:t>
      </w:r>
      <w:r w:rsidR="00F161AE">
        <w:t xml:space="preserve"> </w:t>
      </w:r>
      <w:r w:rsidR="002123AD">
        <w:t xml:space="preserve">The </w:t>
      </w:r>
      <w:r w:rsidR="005852D4">
        <w:t>Committee</w:t>
      </w:r>
      <w:r w:rsidR="002123AD">
        <w:t xml:space="preserve"> on the </w:t>
      </w:r>
      <w:r w:rsidR="005852D4">
        <w:t>R</w:t>
      </w:r>
      <w:r w:rsidR="002123AD">
        <w:t xml:space="preserve">ights of </w:t>
      </w:r>
      <w:r w:rsidR="005F20C7">
        <w:t xml:space="preserve">Persons considered information </w:t>
      </w:r>
      <w:r w:rsidR="00C23E23">
        <w:t>received in 2012 alleging</w:t>
      </w:r>
      <w:r w:rsidR="005F20C7">
        <w:t xml:space="preserve"> that the UK government’s social security policy adversely affected disabled individuals</w:t>
      </w:r>
      <w:r w:rsidR="00A44487">
        <w:t>'</w:t>
      </w:r>
      <w:r w:rsidR="00275188">
        <w:t xml:space="preserve"> quality of life (QoL)</w:t>
      </w:r>
      <w:r w:rsidR="004F2605">
        <w:t xml:space="preserve"> </w:t>
      </w:r>
      <w:r w:rsidR="002E4BFA">
        <w:t>under</w:t>
      </w:r>
      <w:r w:rsidR="00A13C61">
        <w:t xml:space="preserve"> three articles of</w:t>
      </w:r>
      <w:r w:rsidR="00B06093">
        <w:t xml:space="preserve"> the convention</w:t>
      </w:r>
      <w:r w:rsidR="002C5190">
        <w:t xml:space="preserve"> (UN, 2016)</w:t>
      </w:r>
      <w:r w:rsidR="00A13C61">
        <w:t>.</w:t>
      </w:r>
      <w:r w:rsidR="007B1AC5">
        <w:t xml:space="preserve"> </w:t>
      </w:r>
      <w:r w:rsidR="005362E1">
        <w:t>The</w:t>
      </w:r>
      <w:r w:rsidR="006A0B66">
        <w:t xml:space="preserve"> investigation concluded that </w:t>
      </w:r>
      <w:r w:rsidR="00A44487">
        <w:t>there were ‘grave and systemic violations</w:t>
      </w:r>
      <w:r w:rsidR="005B6DC8">
        <w:t xml:space="preserve"> under the convention’ (UN, 2016). However, the </w:t>
      </w:r>
      <w:r w:rsidR="00A44487">
        <w:t>g</w:t>
      </w:r>
      <w:r w:rsidR="005B6DC8">
        <w:t>overnmen</w:t>
      </w:r>
      <w:r w:rsidR="00FF35E2">
        <w:t>t</w:t>
      </w:r>
      <w:r w:rsidR="00A44487">
        <w:t xml:space="preserve"> is not obliged to act</w:t>
      </w:r>
      <w:r w:rsidR="002F7A9A">
        <w:t>,</w:t>
      </w:r>
      <w:r w:rsidR="00A44487">
        <w:t xml:space="preserve"> the UK was the first country to be investigated regarding disability benefits</w:t>
      </w:r>
      <w:r w:rsidR="00DF324A">
        <w:t xml:space="preserve">, </w:t>
      </w:r>
      <w:r w:rsidR="00A44487">
        <w:t>including PIP (Machin, 2017)</w:t>
      </w:r>
      <w:r w:rsidR="00B817F6">
        <w:t>.</w:t>
      </w:r>
      <w:r w:rsidR="005B6DC8">
        <w:t xml:space="preserve"> </w:t>
      </w:r>
    </w:p>
    <w:p w14:paraId="22EDB68F" w14:textId="19B98A88" w:rsidR="00181EB4" w:rsidRDefault="00CE51EA" w:rsidP="005779DE">
      <w:pPr>
        <w:spacing w:line="360" w:lineRule="auto"/>
      </w:pPr>
      <w:r>
        <w:rPr>
          <w:rFonts w:ascii="Aptos" w:hAnsi="Aptos"/>
          <w:color w:val="000000"/>
        </w:rPr>
        <w:lastRenderedPageBreak/>
        <w:t>Concerns about PIP criteria prompted parliamentary debates on the Universal Credit and Personal Independence Payment Bill in 2025. The House of Commons agreed that the Timms Review would examine PIP criteria and consult relevant groups, including disability charities and carers. The debate highlighted varied views on reforming PIP to improve effectiveness and sustainability, while also raising ethical concerns about the potential loss of resources for affected individuals (H.M. Government, 2025; Kendall, 2025a; Kendall, 2025b; Timms, 2025a; Timms, 2025b; Timms, 2025c).</w:t>
      </w:r>
    </w:p>
    <w:p w14:paraId="2B5D59FD" w14:textId="77777777" w:rsidR="007B1AC5" w:rsidRDefault="007B1AC5" w:rsidP="007B1AC5"/>
    <w:p w14:paraId="00E58FF5" w14:textId="77777777" w:rsidR="001818A6" w:rsidRPr="007B1AC5" w:rsidRDefault="001818A6" w:rsidP="007B1AC5"/>
    <w:p w14:paraId="2FDE9D88" w14:textId="7E043874" w:rsidR="001818A6" w:rsidRPr="0037506E" w:rsidRDefault="003A062B" w:rsidP="0037506E">
      <w:pPr>
        <w:pStyle w:val="Heading2"/>
        <w:rPr>
          <w:sz w:val="28"/>
          <w:szCs w:val="28"/>
        </w:rPr>
      </w:pPr>
      <w:r w:rsidRPr="00DF324A">
        <w:rPr>
          <w:sz w:val="28"/>
          <w:szCs w:val="28"/>
        </w:rPr>
        <w:t xml:space="preserve">Ethical considerations </w:t>
      </w:r>
    </w:p>
    <w:p w14:paraId="61221075" w14:textId="4C0D2E19" w:rsidR="005A5594" w:rsidRPr="0037506E" w:rsidRDefault="0061637D" w:rsidP="0037506E">
      <w:pPr>
        <w:spacing w:line="360" w:lineRule="auto"/>
        <w:rPr>
          <w:rFonts w:ascii="Aptos" w:hAnsi="Aptos"/>
          <w:color w:val="000000"/>
        </w:rPr>
      </w:pPr>
      <w:r w:rsidRPr="0061637D">
        <w:rPr>
          <w:rFonts w:ascii="Aptos" w:hAnsi="Aptos"/>
          <w:color w:val="000000"/>
        </w:rPr>
        <w:t xml:space="preserve">Although progress has been made in evaluating PIP policy reform, concerns about the high number of claimants remain (Varshini, 2016). There is </w:t>
      </w:r>
      <w:r w:rsidR="009C2ED8">
        <w:rPr>
          <w:rFonts w:ascii="Aptos" w:hAnsi="Aptos"/>
          <w:color w:val="000000"/>
        </w:rPr>
        <w:t>an ongoing debate about whether PIP should prioritise</w:t>
      </w:r>
      <w:r w:rsidRPr="0061637D">
        <w:rPr>
          <w:rFonts w:ascii="Aptos" w:hAnsi="Aptos"/>
          <w:color w:val="000000"/>
        </w:rPr>
        <w:t xml:space="preserve"> fiscal management or disability support (Murray, 2022). Means-testing may lower government expenses but risks increasing inequality and fairness issues (Behrendt, 2000), potentially worsening poverty among disabled people and carers (WHO, 2022). Involving disabled individuals and their </w:t>
      </w:r>
      <w:r w:rsidR="009C2ED8">
        <w:rPr>
          <w:rFonts w:ascii="Aptos" w:hAnsi="Aptos"/>
          <w:color w:val="000000"/>
        </w:rPr>
        <w:t>organisations</w:t>
      </w:r>
      <w:r w:rsidRPr="0061637D">
        <w:rPr>
          <w:rFonts w:ascii="Aptos" w:hAnsi="Aptos"/>
          <w:color w:val="000000"/>
        </w:rPr>
        <w:t xml:space="preserve"> in the reform process is crucial to ensuring policies reflect lived experience (Wright, 2016).</w:t>
      </w:r>
      <w:r w:rsidR="0037506E">
        <w:rPr>
          <w:rFonts w:ascii="Aptos" w:hAnsi="Aptos"/>
          <w:color w:val="000000"/>
        </w:rPr>
        <w:t xml:space="preserve"> </w:t>
      </w:r>
      <w:r w:rsidRPr="0061637D">
        <w:rPr>
          <w:rFonts w:ascii="Aptos" w:hAnsi="Aptos"/>
          <w:color w:val="000000"/>
        </w:rPr>
        <w:t xml:space="preserve">A lack of impact assessments and legislative transparency undermines public trust (McGee </w:t>
      </w:r>
      <w:r w:rsidR="00034A8C">
        <w:rPr>
          <w:rFonts w:ascii="Aptos" w:hAnsi="Aptos"/>
          <w:color w:val="000000"/>
        </w:rPr>
        <w:t>&amp;</w:t>
      </w:r>
      <w:r w:rsidRPr="0061637D">
        <w:rPr>
          <w:rFonts w:ascii="Aptos" w:hAnsi="Aptos"/>
          <w:color w:val="000000"/>
        </w:rPr>
        <w:t xml:space="preserve"> </w:t>
      </w:r>
      <w:proofErr w:type="spellStart"/>
      <w:r w:rsidRPr="0061637D">
        <w:rPr>
          <w:rFonts w:ascii="Aptos" w:hAnsi="Aptos"/>
          <w:color w:val="000000"/>
        </w:rPr>
        <w:t>Gaventa</w:t>
      </w:r>
      <w:proofErr w:type="spellEnd"/>
      <w:r w:rsidRPr="0061637D">
        <w:rPr>
          <w:rFonts w:ascii="Aptos" w:hAnsi="Aptos"/>
          <w:color w:val="000000"/>
        </w:rPr>
        <w:t>, 2011).</w:t>
      </w:r>
      <w:r w:rsidR="0022621E" w:rsidRPr="0022621E">
        <w:rPr>
          <w:rFonts w:cs="MinionPro-Regular"/>
          <w:color w:val="000000"/>
          <w:kern w:val="0"/>
        </w:rPr>
        <w:t xml:space="preserve"> </w:t>
      </w:r>
    </w:p>
    <w:p w14:paraId="0168757C" w14:textId="77777777" w:rsidR="00D82941" w:rsidRDefault="00D82941" w:rsidP="0022621E">
      <w:pPr>
        <w:autoSpaceDE w:val="0"/>
        <w:autoSpaceDN w:val="0"/>
        <w:adjustRightInd w:val="0"/>
        <w:spacing w:after="0" w:line="360" w:lineRule="auto"/>
        <w:rPr>
          <w:rFonts w:cs="MinionPro-Regular"/>
          <w:i/>
          <w:iCs/>
          <w:color w:val="000000"/>
          <w:kern w:val="0"/>
        </w:rPr>
      </w:pPr>
    </w:p>
    <w:p w14:paraId="4D8E2AA7" w14:textId="105E0167" w:rsidR="0061637D" w:rsidRDefault="0061637D" w:rsidP="0022621E">
      <w:pPr>
        <w:autoSpaceDE w:val="0"/>
        <w:autoSpaceDN w:val="0"/>
        <w:adjustRightInd w:val="0"/>
        <w:spacing w:after="0" w:line="360" w:lineRule="auto"/>
        <w:rPr>
          <w:rFonts w:ascii="Aptos" w:hAnsi="Aptos"/>
          <w:color w:val="000000"/>
        </w:rPr>
      </w:pPr>
      <w:r w:rsidRPr="0061637D">
        <w:rPr>
          <w:rFonts w:ascii="Aptos" w:hAnsi="Aptos"/>
          <w:color w:val="000000"/>
        </w:rPr>
        <w:t>Effective welfare policies must challenge systemic ableism while balancing fiscal concerns and the needs of disabled people (Brown, 2020). Ethical questions regarding consultation, impact, and equity remain central to future reforms. Definitions of independence within policy are subjective and require careful consideration (</w:t>
      </w:r>
      <w:proofErr w:type="spellStart"/>
      <w:r w:rsidRPr="0061637D">
        <w:rPr>
          <w:rFonts w:ascii="Aptos" w:hAnsi="Aptos"/>
          <w:color w:val="000000"/>
        </w:rPr>
        <w:t>Tsoukas</w:t>
      </w:r>
      <w:proofErr w:type="spellEnd"/>
      <w:r w:rsidRPr="0061637D">
        <w:rPr>
          <w:rFonts w:ascii="Aptos" w:hAnsi="Aptos"/>
          <w:color w:val="000000"/>
        </w:rPr>
        <w:t xml:space="preserve"> and Papoulias, 1996). Ensuring that policies are equitable and accessible demands attention to distribution methods, including the implications of universal means-testing (Van Oorschot, 2002).</w:t>
      </w:r>
    </w:p>
    <w:p w14:paraId="50C77CD5" w14:textId="77777777" w:rsidR="0006646B" w:rsidRDefault="0006646B" w:rsidP="0022621E">
      <w:pPr>
        <w:autoSpaceDE w:val="0"/>
        <w:autoSpaceDN w:val="0"/>
        <w:adjustRightInd w:val="0"/>
        <w:spacing w:after="0" w:line="360" w:lineRule="auto"/>
        <w:rPr>
          <w:rFonts w:asciiTheme="majorHAnsi" w:hAnsiTheme="majorHAnsi" w:cs="MinionPro-Regular"/>
          <w:color w:val="000000"/>
          <w:kern w:val="0"/>
        </w:rPr>
      </w:pPr>
    </w:p>
    <w:p w14:paraId="2A9236DA" w14:textId="77777777" w:rsidR="0037506E" w:rsidRPr="00841F01" w:rsidRDefault="0037506E" w:rsidP="0022621E">
      <w:pPr>
        <w:autoSpaceDE w:val="0"/>
        <w:autoSpaceDN w:val="0"/>
        <w:adjustRightInd w:val="0"/>
        <w:spacing w:after="0" w:line="360" w:lineRule="auto"/>
        <w:rPr>
          <w:rFonts w:asciiTheme="majorHAnsi" w:hAnsiTheme="majorHAnsi" w:cs="MinionPro-Regular"/>
          <w:color w:val="000000"/>
          <w:kern w:val="0"/>
        </w:rPr>
      </w:pPr>
    </w:p>
    <w:p w14:paraId="17E29D10" w14:textId="7B4BEAEC" w:rsidR="007B1AC5" w:rsidRDefault="0061637D" w:rsidP="005779DE">
      <w:pPr>
        <w:spacing w:line="360" w:lineRule="auto"/>
        <w:rPr>
          <w:rFonts w:ascii="Aptos" w:hAnsi="Aptos"/>
          <w:color w:val="000000"/>
        </w:rPr>
      </w:pPr>
      <w:r w:rsidRPr="0061637D">
        <w:rPr>
          <w:rFonts w:ascii="Aptos" w:hAnsi="Aptos"/>
          <w:color w:val="000000"/>
        </w:rPr>
        <w:lastRenderedPageBreak/>
        <w:t>Overall, PIP reform should weigh impairment alongside environmental, social, and fiscal factors, as well as accessibility, to ensure fairness for all self-identified disabled individuals (Brown, 2020; Murray, 2022).</w:t>
      </w:r>
      <w:r w:rsidR="00D82941">
        <w:rPr>
          <w:rFonts w:ascii="Aptos" w:hAnsi="Aptos"/>
          <w:color w:val="000000"/>
        </w:rPr>
        <w:t xml:space="preserve"> </w:t>
      </w:r>
      <w:r w:rsidR="00D82941" w:rsidRPr="00D82941">
        <w:t xml:space="preserve">Empirical data </w:t>
      </w:r>
      <w:r w:rsidR="00D82941">
        <w:t>show that welfare conditionality is ineffective and harms disabled people’s citizenship, identities, and well-being</w:t>
      </w:r>
      <w:r w:rsidR="00D82941" w:rsidRPr="00D82941">
        <w:t xml:space="preserve"> (Brown, 2020). </w:t>
      </w:r>
      <w:r w:rsidR="005872AB" w:rsidRPr="005872AB">
        <w:rPr>
          <w:rFonts w:ascii="Aptos" w:hAnsi="Aptos"/>
          <w:color w:val="000000"/>
        </w:rPr>
        <w:t>This change influenced how disabled individuals accessed welfare assistance and demonstrated an evolution in public and political perceptions of ‘deservingness’</w:t>
      </w:r>
      <w:r w:rsidR="005872AB">
        <w:rPr>
          <w:rFonts w:ascii="Aptos" w:hAnsi="Aptos"/>
          <w:color w:val="000000"/>
        </w:rPr>
        <w:t xml:space="preserve"> (Brown. 2020)</w:t>
      </w:r>
      <w:r w:rsidR="005872AB" w:rsidRPr="005872AB">
        <w:rPr>
          <w:rFonts w:ascii="Aptos" w:hAnsi="Aptos"/>
          <w:color w:val="000000"/>
        </w:rPr>
        <w:t>.</w:t>
      </w:r>
    </w:p>
    <w:p w14:paraId="182160A1" w14:textId="77777777" w:rsidR="0006646B" w:rsidRDefault="0006646B" w:rsidP="005779DE">
      <w:pPr>
        <w:spacing w:line="360" w:lineRule="auto"/>
        <w:rPr>
          <w:rFonts w:ascii="Aptos" w:hAnsi="Aptos"/>
          <w:color w:val="000000"/>
        </w:rPr>
      </w:pPr>
    </w:p>
    <w:p w14:paraId="07F2C7F1" w14:textId="77777777" w:rsidR="009132D3" w:rsidRDefault="009132D3" w:rsidP="005779DE">
      <w:pPr>
        <w:pStyle w:val="Heading2"/>
        <w:spacing w:line="360" w:lineRule="auto"/>
        <w:rPr>
          <w:sz w:val="28"/>
          <w:szCs w:val="28"/>
        </w:rPr>
      </w:pPr>
    </w:p>
    <w:p w14:paraId="3AC13A46" w14:textId="464F01C4" w:rsidR="00733900" w:rsidRPr="0037506E" w:rsidRDefault="00F30D95" w:rsidP="0037506E">
      <w:pPr>
        <w:pStyle w:val="Heading2"/>
        <w:spacing w:line="360" w:lineRule="auto"/>
        <w:rPr>
          <w:sz w:val="28"/>
          <w:szCs w:val="28"/>
        </w:rPr>
      </w:pPr>
      <w:r w:rsidRPr="00733900">
        <w:rPr>
          <w:sz w:val="28"/>
          <w:szCs w:val="28"/>
        </w:rPr>
        <w:t xml:space="preserve">Inclusivity and Sustainability </w:t>
      </w:r>
    </w:p>
    <w:p w14:paraId="7363D761" w14:textId="192EFD89" w:rsidR="00F30D95" w:rsidRDefault="00F30D95" w:rsidP="005779DE">
      <w:pPr>
        <w:spacing w:line="360" w:lineRule="auto"/>
      </w:pPr>
      <w:r w:rsidRPr="00F30D95">
        <w:t xml:space="preserve">When considering the inclusivity and sustainability of the Personal Independence Payment (PIP) policy, it is important to recognise that the social indicators </w:t>
      </w:r>
      <w:r w:rsidR="009C2ED8">
        <w:t xml:space="preserve">used in sustainable development are not derived solely </w:t>
      </w:r>
      <w:r w:rsidRPr="00F30D95">
        <w:t>from scientific analysis. Instead, as Murphy (2012) contends, these indicators are heavily influenced by prevailing sociocultural and political priorities. The definition and pursuit of social objectives will, therefore, vary significantly depending on the dominant ideological stance, such as neoliberalism or the European social model.</w:t>
      </w:r>
      <w:r w:rsidR="00C402BF">
        <w:t xml:space="preserve"> </w:t>
      </w:r>
      <w:r w:rsidR="00C402BF" w:rsidRPr="00C402BF">
        <w:t xml:space="preserve">Inclusion is not a technical fix; it requires shifting societal values toward equity, </w:t>
      </w:r>
      <w:r w:rsidR="003C53D4" w:rsidRPr="00C402BF">
        <w:t>interdependence,</w:t>
      </w:r>
      <w:r w:rsidR="00C402BF" w:rsidRPr="00C402BF">
        <w:t xml:space="preserve"> and social justice</w:t>
      </w:r>
      <w:r w:rsidR="00C402BF">
        <w:t xml:space="preserve"> (Ballard, 2013)</w:t>
      </w:r>
      <w:r w:rsidR="00C402BF" w:rsidRPr="00C402BF">
        <w:t>.</w:t>
      </w:r>
    </w:p>
    <w:p w14:paraId="087E591F" w14:textId="77777777" w:rsidR="00733900" w:rsidRDefault="00733900" w:rsidP="005779DE">
      <w:pPr>
        <w:spacing w:line="360" w:lineRule="auto"/>
      </w:pPr>
    </w:p>
    <w:p w14:paraId="1F9B6230" w14:textId="77777777" w:rsidR="00F30D95" w:rsidRDefault="00F30D95" w:rsidP="005779DE">
      <w:pPr>
        <w:spacing w:line="360" w:lineRule="auto"/>
      </w:pPr>
      <w:r w:rsidRPr="00F30D95">
        <w:t>This divergence in ideological preferences contributes to persistent weaknesses within the academic and policy literature, especially regarding how the social and environmental dimensions of policy are interconnected and interpreted. Often, there is insufficient clarity in how these dimensions are understood and subsequently operationalised. This has implications not only for the amendment and refinement of existing policies but also for the formulation of new legislation.</w:t>
      </w:r>
    </w:p>
    <w:p w14:paraId="7AEFDBDE" w14:textId="77777777" w:rsidR="005B24D3" w:rsidRDefault="005B24D3" w:rsidP="005779DE">
      <w:pPr>
        <w:spacing w:line="360" w:lineRule="auto"/>
      </w:pPr>
    </w:p>
    <w:p w14:paraId="76BFB141" w14:textId="3FC29C86" w:rsidR="00ED0B7A" w:rsidRDefault="00F30D95" w:rsidP="005779DE">
      <w:pPr>
        <w:spacing w:line="360" w:lineRule="auto"/>
      </w:pPr>
      <w:r w:rsidRPr="00F30D95">
        <w:lastRenderedPageBreak/>
        <w:t>Furthermore, it is crucial to extend this analysis beyond the national context</w:t>
      </w:r>
      <w:r w:rsidR="009C2ED8">
        <w:t xml:space="preserve"> to consider</w:t>
      </w:r>
      <w:r w:rsidRPr="00F30D95">
        <w:t xml:space="preserve"> international perspectives. The process of implementing </w:t>
      </w:r>
      <w:r w:rsidR="00AC15B6">
        <w:t>policy changes</w:t>
      </w:r>
      <w:r w:rsidR="009C2ED8">
        <w:t>, whether through amendments, refinements, or new legislation,</w:t>
      </w:r>
      <w:r>
        <w:t xml:space="preserve"> </w:t>
      </w:r>
      <w:r w:rsidRPr="00F30D95">
        <w:t>must be informed by a broader understanding that recognises the global diversity of social priorities and approaches to sustainability (Murphy, 2012).</w:t>
      </w:r>
    </w:p>
    <w:p w14:paraId="6F4B31FE" w14:textId="77777777" w:rsidR="00876C71" w:rsidRDefault="00876C71" w:rsidP="005779DE">
      <w:pPr>
        <w:spacing w:line="360" w:lineRule="auto"/>
      </w:pPr>
    </w:p>
    <w:p w14:paraId="6ADD9724" w14:textId="60039B5C" w:rsidR="00733900" w:rsidRPr="0037506E" w:rsidRDefault="00A36853" w:rsidP="0037506E">
      <w:pPr>
        <w:pStyle w:val="Heading2"/>
        <w:rPr>
          <w:sz w:val="28"/>
          <w:szCs w:val="28"/>
        </w:rPr>
      </w:pPr>
      <w:r w:rsidRPr="002142A9">
        <w:rPr>
          <w:sz w:val="28"/>
          <w:szCs w:val="28"/>
        </w:rPr>
        <w:t>Conclusion</w:t>
      </w:r>
    </w:p>
    <w:p w14:paraId="453EED8A" w14:textId="77777777" w:rsidR="003129BB" w:rsidRDefault="003129BB" w:rsidP="003129BB">
      <w:pPr>
        <w:spacing w:line="360" w:lineRule="auto"/>
      </w:pPr>
      <w:r w:rsidRPr="00DD0D02">
        <w:t xml:space="preserve">PIP, Britain’s disability benefit, has evolved since WWII, blending social responsibility with neoliberal policies that emphasise individual independence. Definitions of disability are continually shifting, affecting eligibility and support, while fiscal pressures have led to stricter criteria and legislation. Recent Conservative governments have shifted more responsibility onto individuals, influencing both policy and definitions of disability. </w:t>
      </w:r>
    </w:p>
    <w:p w14:paraId="627122C4" w14:textId="77777777" w:rsidR="00D60BC9" w:rsidRPr="00DD0D02" w:rsidRDefault="00D60BC9" w:rsidP="003129BB">
      <w:pPr>
        <w:spacing w:line="360" w:lineRule="auto"/>
      </w:pPr>
    </w:p>
    <w:p w14:paraId="1A2B9A88" w14:textId="77777777" w:rsidR="003129BB" w:rsidRDefault="003129BB" w:rsidP="003129BB">
      <w:pPr>
        <w:spacing w:line="360" w:lineRule="auto"/>
      </w:pPr>
      <w:r w:rsidRPr="00DD0D02">
        <w:t>PIP’s application process and criteria are complex and often misunderstood. Ongoing austerity measures have reduced benefits, and the appeals process frequently overturns initial rejections, causing delays and extra costs. Although PIP is promoted as non-means-tested, it relies on strict point-based eligibility, which may be tightened under upcoming reforms from the Timms Review.</w:t>
      </w:r>
    </w:p>
    <w:p w14:paraId="6FD99B5C" w14:textId="77777777" w:rsidR="00D60BC9" w:rsidRPr="00DD0D02" w:rsidRDefault="00D60BC9" w:rsidP="003129BB">
      <w:pPr>
        <w:spacing w:line="360" w:lineRule="auto"/>
      </w:pPr>
    </w:p>
    <w:p w14:paraId="15D40D41" w14:textId="77777777" w:rsidR="003129BB" w:rsidRDefault="003129BB" w:rsidP="003129BB">
      <w:pPr>
        <w:spacing w:line="360" w:lineRule="auto"/>
      </w:pPr>
      <w:r w:rsidRPr="00DD0D02">
        <w:t xml:space="preserve">The lack of impact assessment on disabled individuals, carers, and charities is significant. Transparency is crucial in developing new structures and systems for PIP, yet the exclusion of disabled charities and claimants from the full process under the Timms Review raises concerns about accountability. This complexity invites diverse perspectives from scholars, think tanks, charities, and government, making theories like complexity theory and the WHO Bio-Psycho-Social Model increasingly relevant. </w:t>
      </w:r>
    </w:p>
    <w:p w14:paraId="0A0E3A53" w14:textId="77777777" w:rsidR="00D60BC9" w:rsidRPr="00DD0D02" w:rsidRDefault="00D60BC9" w:rsidP="003129BB">
      <w:pPr>
        <w:spacing w:line="360" w:lineRule="auto"/>
      </w:pPr>
    </w:p>
    <w:p w14:paraId="2C61F707" w14:textId="4B84EDF9" w:rsidR="003129BB" w:rsidRDefault="003129BB" w:rsidP="003129BB">
      <w:pPr>
        <w:spacing w:line="360" w:lineRule="auto"/>
      </w:pPr>
      <w:r w:rsidRPr="00DD0D02">
        <w:lastRenderedPageBreak/>
        <w:t xml:space="preserve">Advocates worry that some groups may lose out with limited scrutiny of reforms. Calls for fairer, more inclusive policies persist, supported by disabled people and experts. Ethical and sustainability concerns are raised by charities, government members, and PIP recipients regarding future criteria. Restricting fiscal assistance or changing eligibility could push disabled individuals into further poverty, worsening wellbeing and health. </w:t>
      </w:r>
      <w:r w:rsidR="00B576C0">
        <w:t xml:space="preserve"> </w:t>
      </w:r>
      <w:r w:rsidRPr="00DD0D02">
        <w:t xml:space="preserve">Governments must balance fiscal responsibility with adequate support, ensuring policies do not harm jobs, mobility, or accessibility. Welfare must challenge discrimination and support individuals. Sustainability could be improved by recouping overpayments and basing policy on medical, environmental, and functional assessments, with reviews by professionals and charities. </w:t>
      </w:r>
    </w:p>
    <w:p w14:paraId="2D50B90E" w14:textId="77777777" w:rsidR="00D60BC9" w:rsidRPr="00DD0D02" w:rsidRDefault="00D60BC9" w:rsidP="003129BB">
      <w:pPr>
        <w:spacing w:line="360" w:lineRule="auto"/>
      </w:pPr>
    </w:p>
    <w:p w14:paraId="454E8F40" w14:textId="77777777" w:rsidR="003129BB" w:rsidRPr="00DD0D02" w:rsidRDefault="003129BB" w:rsidP="003129BB">
      <w:pPr>
        <w:spacing w:line="360" w:lineRule="auto"/>
      </w:pPr>
      <w:r w:rsidRPr="00DD0D02">
        <w:t>PIP should foster autonomy, trust, and address health concerns. Maintaining the current policy helps cover extra costs related to social mobility, education, employment, and health, providing peace of mind and promoting social justice. Government support can challenge misinformation and promote equity, but sustaining the system requires robust, inclusive implementation. Policy changes should be co-produced to maintain trust among stakeholders. Ultimately, all policy is shaped by a single department and minister, reflecting political priorities that may shift with societal needs.</w:t>
      </w:r>
    </w:p>
    <w:p w14:paraId="03AC5CE5" w14:textId="77777777" w:rsidR="006809AE" w:rsidRPr="00AF6E49" w:rsidRDefault="006809AE" w:rsidP="00C5454A">
      <w:pPr>
        <w:spacing w:line="360" w:lineRule="auto"/>
      </w:pPr>
    </w:p>
    <w:p w14:paraId="61DA1C93" w14:textId="7A8E5BC8" w:rsidR="003A2EE2" w:rsidRDefault="003A2EE2" w:rsidP="00ED2442">
      <w:pPr>
        <w:spacing w:line="360" w:lineRule="auto"/>
        <w:rPr>
          <w:rFonts w:ascii="Aptos" w:hAnsi="Aptos"/>
          <w:color w:val="000000"/>
        </w:rPr>
      </w:pPr>
    </w:p>
    <w:p w14:paraId="11328465" w14:textId="77777777" w:rsidR="006809AE" w:rsidRDefault="006809AE" w:rsidP="00ED2442">
      <w:pPr>
        <w:spacing w:line="360" w:lineRule="auto"/>
        <w:rPr>
          <w:rFonts w:ascii="Aptos" w:hAnsi="Aptos"/>
          <w:color w:val="000000"/>
        </w:rPr>
      </w:pPr>
    </w:p>
    <w:p w14:paraId="60142E24" w14:textId="77777777" w:rsidR="006809AE" w:rsidRDefault="006809AE" w:rsidP="00ED2442">
      <w:pPr>
        <w:spacing w:line="360" w:lineRule="auto"/>
        <w:rPr>
          <w:rFonts w:ascii="Aptos" w:hAnsi="Aptos"/>
          <w:color w:val="000000"/>
        </w:rPr>
      </w:pPr>
    </w:p>
    <w:p w14:paraId="5230DABC" w14:textId="77777777" w:rsidR="006809AE" w:rsidRDefault="006809AE" w:rsidP="00ED2442">
      <w:pPr>
        <w:spacing w:line="360" w:lineRule="auto"/>
        <w:rPr>
          <w:rFonts w:ascii="Aptos" w:hAnsi="Aptos"/>
          <w:color w:val="000000"/>
        </w:rPr>
      </w:pPr>
    </w:p>
    <w:p w14:paraId="50528688" w14:textId="77777777" w:rsidR="006809AE" w:rsidRDefault="006809AE" w:rsidP="00ED2442">
      <w:pPr>
        <w:spacing w:line="360" w:lineRule="auto"/>
        <w:rPr>
          <w:rFonts w:ascii="Aptos" w:hAnsi="Aptos"/>
          <w:color w:val="000000"/>
        </w:rPr>
      </w:pPr>
    </w:p>
    <w:p w14:paraId="5B003A70" w14:textId="77777777" w:rsidR="006809AE" w:rsidRDefault="006809AE" w:rsidP="00ED2442">
      <w:pPr>
        <w:spacing w:line="360" w:lineRule="auto"/>
        <w:rPr>
          <w:rFonts w:ascii="Aptos" w:hAnsi="Aptos"/>
          <w:color w:val="000000"/>
        </w:rPr>
      </w:pPr>
    </w:p>
    <w:p w14:paraId="00160E5E" w14:textId="77777777" w:rsidR="00876C71" w:rsidRPr="00ED2442" w:rsidRDefault="00876C71" w:rsidP="00ED2442">
      <w:pPr>
        <w:spacing w:line="360" w:lineRule="auto"/>
        <w:rPr>
          <w:rFonts w:ascii="Aptos" w:hAnsi="Aptos"/>
          <w:color w:val="000000"/>
        </w:rPr>
      </w:pPr>
    </w:p>
    <w:p w14:paraId="0AA3F397" w14:textId="45AA3F66" w:rsidR="00733900" w:rsidRPr="00B576C0" w:rsidRDefault="006964D9" w:rsidP="00B576C0">
      <w:pPr>
        <w:pStyle w:val="Heading4"/>
        <w:rPr>
          <w:rFonts w:asciiTheme="majorHAnsi" w:hAnsiTheme="majorHAnsi"/>
          <w:i w:val="0"/>
          <w:iCs w:val="0"/>
          <w:sz w:val="28"/>
          <w:szCs w:val="28"/>
        </w:rPr>
      </w:pPr>
      <w:r w:rsidRPr="002142A9">
        <w:rPr>
          <w:rFonts w:asciiTheme="majorHAnsi" w:hAnsiTheme="majorHAnsi"/>
          <w:i w:val="0"/>
          <w:iCs w:val="0"/>
          <w:sz w:val="28"/>
          <w:szCs w:val="28"/>
        </w:rPr>
        <w:lastRenderedPageBreak/>
        <w:t>References</w:t>
      </w:r>
    </w:p>
    <w:p w14:paraId="40C1F9A2" w14:textId="3D501BB6" w:rsidR="008A2C3E" w:rsidRDefault="008A2C3E" w:rsidP="005779DE">
      <w:pPr>
        <w:spacing w:line="360" w:lineRule="auto"/>
      </w:pPr>
      <w:r w:rsidRPr="008A2C3E">
        <w:t>Ackers, P. and Payne, J. (1998)</w:t>
      </w:r>
      <w:r w:rsidR="00C402BF">
        <w:t>.</w:t>
      </w:r>
      <w:r w:rsidRPr="008A2C3E">
        <w:t xml:space="preserve"> ‘British trade unions and social partnership: rhetoric, reality and strategy’, </w:t>
      </w:r>
      <w:r w:rsidRPr="008A2C3E">
        <w:rPr>
          <w:i/>
          <w:iCs/>
        </w:rPr>
        <w:t>The International Journal of Human Resource Management</w:t>
      </w:r>
      <w:r w:rsidRPr="008A2C3E">
        <w:t xml:space="preserve">, 9(3), pp. 529–550. Available at: </w:t>
      </w:r>
      <w:hyperlink r:id="rId9" w:history="1">
        <w:r w:rsidRPr="008A2C3E">
          <w:rPr>
            <w:rStyle w:val="Hyperlink"/>
          </w:rPr>
          <w:t>https://doi.org/10.1080/095851998341062</w:t>
        </w:r>
      </w:hyperlink>
      <w:r w:rsidRPr="008A2C3E">
        <w:t>.</w:t>
      </w:r>
    </w:p>
    <w:p w14:paraId="59DE759C" w14:textId="77777777" w:rsidR="007432C4" w:rsidRPr="007432C4" w:rsidRDefault="007432C4" w:rsidP="007432C4">
      <w:pPr>
        <w:spacing w:line="360" w:lineRule="auto"/>
      </w:pPr>
      <w:r w:rsidRPr="007432C4">
        <w:t xml:space="preserve">Alarcon-Garcia, G. and Martinez-Serrano, A. (2025) ‘Political Ideology and Individual Values as Key Determinants of Fiscal Awareness’, in </w:t>
      </w:r>
      <w:proofErr w:type="spellStart"/>
      <w:r w:rsidRPr="007432C4">
        <w:rPr>
          <w:i/>
          <w:iCs/>
        </w:rPr>
        <w:t>Modeling</w:t>
      </w:r>
      <w:proofErr w:type="spellEnd"/>
      <w:r w:rsidRPr="007432C4">
        <w:rPr>
          <w:i/>
          <w:iCs/>
        </w:rPr>
        <w:t xml:space="preserve"> and Profiling Taxpayer </w:t>
      </w:r>
      <w:proofErr w:type="spellStart"/>
      <w:r w:rsidRPr="007432C4">
        <w:rPr>
          <w:i/>
          <w:iCs/>
        </w:rPr>
        <w:t>Behavior</w:t>
      </w:r>
      <w:proofErr w:type="spellEnd"/>
      <w:r w:rsidRPr="007432C4">
        <w:rPr>
          <w:i/>
          <w:iCs/>
        </w:rPr>
        <w:t xml:space="preserve"> and Compliance</w:t>
      </w:r>
      <w:r w:rsidRPr="007432C4">
        <w:t xml:space="preserve">. IGI Global Scientific Publishing, pp. 87–114. Available at: </w:t>
      </w:r>
      <w:hyperlink r:id="rId10" w:history="1">
        <w:r w:rsidRPr="007432C4">
          <w:rPr>
            <w:rStyle w:val="Hyperlink"/>
          </w:rPr>
          <w:t>https://www.igi-global.com/chapter/political-ideology-and-individual-values-as-key-determinants-of-fiscal-awareness/376894</w:t>
        </w:r>
      </w:hyperlink>
      <w:r w:rsidRPr="007432C4">
        <w:t xml:space="preserve"> (Accessed: 8 February 2026).</w:t>
      </w:r>
    </w:p>
    <w:p w14:paraId="6C928ECB" w14:textId="41E8F61A" w:rsidR="008A2C3E" w:rsidRPr="008A2C3E" w:rsidRDefault="008A2C3E" w:rsidP="005779DE">
      <w:pPr>
        <w:spacing w:line="360" w:lineRule="auto"/>
      </w:pPr>
      <w:r w:rsidRPr="008A2C3E">
        <w:t>Alcock, P. et al (2016)</w:t>
      </w:r>
      <w:r w:rsidR="00C402BF">
        <w:t>.</w:t>
      </w:r>
      <w:r w:rsidRPr="008A2C3E">
        <w:t xml:space="preserve"> </w:t>
      </w:r>
      <w:r w:rsidR="00D80557">
        <w:t>‘</w:t>
      </w:r>
      <w:r w:rsidRPr="008A2C3E">
        <w:rPr>
          <w:i/>
          <w:iCs/>
        </w:rPr>
        <w:t>The Student’s Companion to Social Policy</w:t>
      </w:r>
      <w:r w:rsidR="00D80557">
        <w:rPr>
          <w:i/>
          <w:iCs/>
        </w:rPr>
        <w:t>’</w:t>
      </w:r>
      <w:r w:rsidRPr="008A2C3E">
        <w:t xml:space="preserve">. 5th </w:t>
      </w:r>
      <w:proofErr w:type="spellStart"/>
      <w:r w:rsidRPr="008A2C3E">
        <w:t>edn</w:t>
      </w:r>
      <w:proofErr w:type="spellEnd"/>
      <w:r w:rsidRPr="008A2C3E">
        <w:t>. Wiley-Blackwell Publishing.</w:t>
      </w:r>
    </w:p>
    <w:p w14:paraId="4D7D04DF" w14:textId="213614E5" w:rsidR="008A2C3E" w:rsidRDefault="008A2C3E" w:rsidP="005779DE">
      <w:pPr>
        <w:spacing w:line="360" w:lineRule="auto"/>
      </w:pPr>
      <w:r w:rsidRPr="008A2C3E">
        <w:t>Alldridge, P. (2019)</w:t>
      </w:r>
      <w:r w:rsidR="00C402BF">
        <w:t>.</w:t>
      </w:r>
      <w:r w:rsidRPr="008A2C3E">
        <w:t xml:space="preserve"> ‘On Being Able to Walk Twenty Metres: The Introduction of Personal Independence Payments’, </w:t>
      </w:r>
      <w:r w:rsidRPr="008A2C3E">
        <w:rPr>
          <w:i/>
          <w:iCs/>
        </w:rPr>
        <w:t>Journal of Law and Society</w:t>
      </w:r>
      <w:r w:rsidRPr="008A2C3E">
        <w:t xml:space="preserve">, 46(3), pp. 448–475. Available at: </w:t>
      </w:r>
      <w:hyperlink r:id="rId11" w:history="1">
        <w:r w:rsidRPr="008A2C3E">
          <w:rPr>
            <w:rStyle w:val="Hyperlink"/>
          </w:rPr>
          <w:t>https://doi.org/10.1111/jols.12170</w:t>
        </w:r>
      </w:hyperlink>
      <w:r w:rsidRPr="008A2C3E">
        <w:t>.</w:t>
      </w:r>
    </w:p>
    <w:p w14:paraId="6F1C695C" w14:textId="32CC59AD" w:rsidR="00C402BF" w:rsidRDefault="00C402BF" w:rsidP="005779DE">
      <w:pPr>
        <w:spacing w:line="360" w:lineRule="auto"/>
      </w:pPr>
      <w:r w:rsidRPr="00C402BF">
        <w:t>Ballard, K. (2013)</w:t>
      </w:r>
      <w:r>
        <w:t>.</w:t>
      </w:r>
      <w:r w:rsidRPr="00C402BF">
        <w:t xml:space="preserve"> ‘Thinking in another way: ideas for sustainable inclusion’, </w:t>
      </w:r>
      <w:r w:rsidRPr="00C402BF">
        <w:rPr>
          <w:i/>
          <w:iCs/>
        </w:rPr>
        <w:t>International Journal of Inclusive Education</w:t>
      </w:r>
      <w:r w:rsidRPr="00C402BF">
        <w:t xml:space="preserve">, 17(8), pp. 762–775. </w:t>
      </w:r>
      <w:hyperlink r:id="rId12" w:history="1">
        <w:r w:rsidRPr="002913C5">
          <w:rPr>
            <w:rStyle w:val="Hyperlink"/>
          </w:rPr>
          <w:t>https://doi.org/10.1080/13603116.2011.602527</w:t>
        </w:r>
      </w:hyperlink>
      <w:r>
        <w:t xml:space="preserve"> </w:t>
      </w:r>
    </w:p>
    <w:p w14:paraId="77785D24" w14:textId="64991C6F" w:rsidR="008A2C3E" w:rsidRPr="008A2C3E" w:rsidRDefault="008A2C3E" w:rsidP="005779DE">
      <w:pPr>
        <w:spacing w:line="360" w:lineRule="auto"/>
      </w:pPr>
      <w:r w:rsidRPr="008A2C3E">
        <w:t>Barnes, C. (2002)</w:t>
      </w:r>
      <w:r w:rsidR="00C402BF">
        <w:t>.</w:t>
      </w:r>
      <w:r w:rsidRPr="008A2C3E">
        <w:t xml:space="preserve"> ‘Introduction: Disability, policy and politics’, </w:t>
      </w:r>
      <w:r w:rsidRPr="008A2C3E">
        <w:rPr>
          <w:i/>
          <w:iCs/>
        </w:rPr>
        <w:t>Policy and Politics</w:t>
      </w:r>
      <w:r w:rsidRPr="008A2C3E">
        <w:t xml:space="preserve">, 30(3), pp. 311–318. Available at: </w:t>
      </w:r>
      <w:hyperlink r:id="rId13" w:history="1">
        <w:r w:rsidRPr="008A2C3E">
          <w:rPr>
            <w:rStyle w:val="Hyperlink"/>
          </w:rPr>
          <w:t>https://doi.org/10.1332/030557302760094685</w:t>
        </w:r>
      </w:hyperlink>
      <w:r w:rsidRPr="008A2C3E">
        <w:t>.</w:t>
      </w:r>
    </w:p>
    <w:p w14:paraId="5F9A2909" w14:textId="1DD76811" w:rsidR="008A2C3E" w:rsidRDefault="008A2C3E" w:rsidP="005779DE">
      <w:pPr>
        <w:spacing w:line="360" w:lineRule="auto"/>
      </w:pPr>
      <w:r w:rsidRPr="008A2C3E">
        <w:t>Barnes, C. (2007)</w:t>
      </w:r>
      <w:r w:rsidR="00C402BF">
        <w:t xml:space="preserve">. </w:t>
      </w:r>
      <w:r w:rsidRPr="008A2C3E">
        <w:t>‘</w:t>
      </w:r>
      <w:r w:rsidR="00D80557">
        <w:t>D</w:t>
      </w:r>
      <w:r w:rsidRPr="008A2C3E">
        <w:t xml:space="preserve">isability activism and the struggle for change: disability, policy and politics in the UK’, </w:t>
      </w:r>
      <w:r w:rsidRPr="008A2C3E">
        <w:rPr>
          <w:i/>
          <w:iCs/>
        </w:rPr>
        <w:t>Education, Citizenship and Social Justice</w:t>
      </w:r>
      <w:r w:rsidRPr="008A2C3E">
        <w:t xml:space="preserve">, 2(3), pp. 203–221. Available at: </w:t>
      </w:r>
      <w:hyperlink r:id="rId14" w:history="1">
        <w:r w:rsidRPr="008A2C3E">
          <w:rPr>
            <w:rStyle w:val="Hyperlink"/>
          </w:rPr>
          <w:t>https://doi.org/10.1177/1746197907081259</w:t>
        </w:r>
      </w:hyperlink>
      <w:r w:rsidRPr="008A2C3E">
        <w:t>.</w:t>
      </w:r>
    </w:p>
    <w:p w14:paraId="64EC6467" w14:textId="4F9AB08B" w:rsidR="007D0E77" w:rsidRDefault="007D0E77" w:rsidP="005779DE">
      <w:pPr>
        <w:spacing w:line="360" w:lineRule="auto"/>
      </w:pPr>
      <w:r w:rsidRPr="007D0E77">
        <w:t xml:space="preserve">Barnes, C. </w:t>
      </w:r>
      <w:r>
        <w:t>(2011)</w:t>
      </w:r>
      <w:r w:rsidRPr="007D0E77">
        <w:t xml:space="preserve">. </w:t>
      </w:r>
      <w:r w:rsidR="00D80557">
        <w:t>‘</w:t>
      </w:r>
      <w:r w:rsidRPr="007D0E77">
        <w:t>Understanding disability and the importance of design for all</w:t>
      </w:r>
      <w:r w:rsidR="00D80557">
        <w:t>’</w:t>
      </w:r>
      <w:r w:rsidRPr="007D0E77">
        <w:t>. </w:t>
      </w:r>
      <w:r w:rsidRPr="007D0E77">
        <w:rPr>
          <w:i/>
          <w:iCs/>
        </w:rPr>
        <w:t xml:space="preserve">Journal of accessibility and </w:t>
      </w:r>
      <w:r w:rsidR="00D80557">
        <w:rPr>
          <w:i/>
          <w:iCs/>
        </w:rPr>
        <w:t>Design for All</w:t>
      </w:r>
      <w:r w:rsidRPr="007D0E77">
        <w:t>, </w:t>
      </w:r>
      <w:r w:rsidRPr="007D0E77">
        <w:rPr>
          <w:i/>
          <w:iCs/>
        </w:rPr>
        <w:t>1</w:t>
      </w:r>
      <w:r w:rsidRPr="007D0E77">
        <w:t>(1), pp.55</w:t>
      </w:r>
      <w:r>
        <w:t>–</w:t>
      </w:r>
      <w:r w:rsidRPr="007D0E77">
        <w:t>80.</w:t>
      </w:r>
      <w:r w:rsidR="00D80557">
        <w:t xml:space="preserve"> </w:t>
      </w:r>
      <w:r w:rsidR="00D80557" w:rsidRPr="00D80557">
        <w:t xml:space="preserve">DOI: </w:t>
      </w:r>
      <w:r w:rsidR="00D80557">
        <w:t xml:space="preserve"> </w:t>
      </w:r>
      <w:hyperlink r:id="rId15" w:history="1">
        <w:r w:rsidR="00D80557" w:rsidRPr="003B0A35">
          <w:rPr>
            <w:rStyle w:val="Hyperlink"/>
          </w:rPr>
          <w:t>https://doi.org/10.17411/jacces.v1i1.81</w:t>
        </w:r>
      </w:hyperlink>
      <w:r w:rsidR="00D80557">
        <w:t xml:space="preserve"> </w:t>
      </w:r>
    </w:p>
    <w:p w14:paraId="507140E3" w14:textId="4369C611" w:rsidR="009736E1" w:rsidRPr="009736E1" w:rsidRDefault="009736E1" w:rsidP="005779DE">
      <w:pPr>
        <w:spacing w:line="360" w:lineRule="auto"/>
        <w:rPr>
          <w:i/>
          <w:iCs/>
        </w:rPr>
      </w:pPr>
      <w:r w:rsidRPr="002F6F79">
        <w:t xml:space="preserve">Baumberg, B., Warren, J., Garthwaite, K., &amp; Bambra, C. (DEMOS 2015). </w:t>
      </w:r>
      <w:r w:rsidRPr="002F6F79">
        <w:rPr>
          <w:i/>
          <w:iCs/>
        </w:rPr>
        <w:t>Rethinking the work capability</w:t>
      </w:r>
      <w:r>
        <w:rPr>
          <w:i/>
          <w:iCs/>
        </w:rPr>
        <w:t xml:space="preserve"> </w:t>
      </w:r>
      <w:r w:rsidRPr="002F6F79">
        <w:rPr>
          <w:i/>
          <w:iCs/>
        </w:rPr>
        <w:t xml:space="preserve">assessment. </w:t>
      </w:r>
      <w:r w:rsidRPr="002F6F79">
        <w:t xml:space="preserve">Retrieved from: </w:t>
      </w:r>
      <w:hyperlink r:id="rId16" w:history="1">
        <w:r w:rsidRPr="008477D3">
          <w:rPr>
            <w:rStyle w:val="Hyperlink"/>
          </w:rPr>
          <w:t>https://www.demos.co.uk/files/Rethinking_-_web_1_.pdf?1426175121</w:t>
        </w:r>
      </w:hyperlink>
      <w:r>
        <w:t xml:space="preserve"> </w:t>
      </w:r>
    </w:p>
    <w:p w14:paraId="7AD0E27C" w14:textId="296DF821" w:rsidR="000671AF" w:rsidRDefault="000671AF" w:rsidP="005779DE">
      <w:pPr>
        <w:spacing w:line="360" w:lineRule="auto"/>
      </w:pPr>
      <w:r w:rsidRPr="000671AF">
        <w:lastRenderedPageBreak/>
        <w:t xml:space="preserve">Behrendt, C. </w:t>
      </w:r>
      <w:r>
        <w:t>(2000)</w:t>
      </w:r>
      <w:r w:rsidRPr="000671AF">
        <w:t xml:space="preserve">. Do means-tested benefits alleviate </w:t>
      </w:r>
      <w:r w:rsidR="002F6F79" w:rsidRPr="000671AF">
        <w:t>poverty?</w:t>
      </w:r>
      <w:r w:rsidRPr="000671AF">
        <w:t xml:space="preserve"> Evidence on Germany, Sweden and the United Kingdom from the Luxembourg Income Study. </w:t>
      </w:r>
      <w:r w:rsidRPr="000671AF">
        <w:rPr>
          <w:i/>
          <w:iCs/>
        </w:rPr>
        <w:t>Journal of European Social Policy</w:t>
      </w:r>
      <w:r w:rsidRPr="000671AF">
        <w:t>, </w:t>
      </w:r>
      <w:r w:rsidRPr="000671AF">
        <w:rPr>
          <w:i/>
          <w:iCs/>
        </w:rPr>
        <w:t>10</w:t>
      </w:r>
      <w:r w:rsidRPr="000671AF">
        <w:t>(1), pp.23</w:t>
      </w:r>
      <w:r w:rsidR="002F6F79">
        <w:t>–</w:t>
      </w:r>
      <w:r w:rsidRPr="000671AF">
        <w:t>41.</w:t>
      </w:r>
    </w:p>
    <w:p w14:paraId="38251AF5" w14:textId="6BC02313" w:rsidR="008A2C3E" w:rsidRDefault="008A2C3E" w:rsidP="005779DE">
      <w:pPr>
        <w:spacing w:line="360" w:lineRule="auto"/>
      </w:pPr>
      <w:r w:rsidRPr="008A2C3E">
        <w:t>Beveridge, W. (1942)</w:t>
      </w:r>
      <w:r w:rsidR="00C402BF">
        <w:t>.</w:t>
      </w:r>
      <w:r w:rsidRPr="008A2C3E">
        <w:t xml:space="preserve"> </w:t>
      </w:r>
      <w:r w:rsidR="00D80557">
        <w:t>‘</w:t>
      </w:r>
      <w:r w:rsidRPr="008A2C3E">
        <w:rPr>
          <w:i/>
          <w:iCs/>
        </w:rPr>
        <w:t>Social Insurance and Allied Services</w:t>
      </w:r>
      <w:r w:rsidR="00D80557">
        <w:rPr>
          <w:i/>
          <w:iCs/>
        </w:rPr>
        <w:t>’</w:t>
      </w:r>
      <w:r w:rsidRPr="008A2C3E">
        <w:rPr>
          <w:i/>
          <w:iCs/>
        </w:rPr>
        <w:t xml:space="preserve"> (Beveridge Report)</w:t>
      </w:r>
      <w:r w:rsidRPr="008A2C3E">
        <w:t xml:space="preserve">, </w:t>
      </w:r>
      <w:r w:rsidRPr="008A2C3E">
        <w:rPr>
          <w:i/>
          <w:iCs/>
        </w:rPr>
        <w:t>1942 Beveridge Report</w:t>
      </w:r>
      <w:r w:rsidRPr="008A2C3E">
        <w:t xml:space="preserve">. Available at: </w:t>
      </w:r>
      <w:hyperlink r:id="rId17" w:history="1">
        <w:r w:rsidRPr="008A2C3E">
          <w:rPr>
            <w:rStyle w:val="Hyperlink"/>
          </w:rPr>
          <w:t>https://www.parliament.uk/about/living-heritage/transformingsociety/livinglearning/coll-9-health1/coll-9-health/</w:t>
        </w:r>
      </w:hyperlink>
      <w:r w:rsidRPr="008A2C3E">
        <w:t xml:space="preserve"> (Accessed: 6 December 2025).</w:t>
      </w:r>
    </w:p>
    <w:p w14:paraId="2536618C" w14:textId="729CD2A2" w:rsidR="000931E0" w:rsidRDefault="000931E0" w:rsidP="005779DE">
      <w:pPr>
        <w:spacing w:line="360" w:lineRule="auto"/>
      </w:pPr>
      <w:r w:rsidRPr="000931E0">
        <w:t>Blackman, T., 2000. Complexity theory. </w:t>
      </w:r>
      <w:r w:rsidRPr="000931E0">
        <w:rPr>
          <w:i/>
          <w:iCs/>
        </w:rPr>
        <w:t>Understanding contemporary society: Theories of the present</w:t>
      </w:r>
      <w:r w:rsidRPr="000931E0">
        <w:t>, pp.139-151.</w:t>
      </w:r>
    </w:p>
    <w:p w14:paraId="0287F6EF" w14:textId="4077565E" w:rsidR="008A2C3E" w:rsidRPr="008A2C3E" w:rsidRDefault="008A2C3E" w:rsidP="005779DE">
      <w:pPr>
        <w:spacing w:line="360" w:lineRule="auto"/>
      </w:pPr>
      <w:r w:rsidRPr="008A2C3E">
        <w:t>Blustein, J. (2012)</w:t>
      </w:r>
      <w:r w:rsidR="00C402BF">
        <w:t xml:space="preserve">. </w:t>
      </w:r>
      <w:r w:rsidRPr="008A2C3E">
        <w:t xml:space="preserve">‘Philosophical and Ethical Issues in Disability’, </w:t>
      </w:r>
      <w:r w:rsidRPr="008A2C3E">
        <w:rPr>
          <w:i/>
          <w:iCs/>
        </w:rPr>
        <w:t xml:space="preserve">Journal of </w:t>
      </w:r>
      <w:r w:rsidR="00CA0CB8">
        <w:rPr>
          <w:i/>
          <w:iCs/>
        </w:rPr>
        <w:t>Moral Philosophy</w:t>
      </w:r>
      <w:r w:rsidRPr="008A2C3E">
        <w:t xml:space="preserve">, 9(4), pp. 573–587. Available at: </w:t>
      </w:r>
      <w:hyperlink r:id="rId18" w:history="1">
        <w:r w:rsidRPr="008A2C3E">
          <w:rPr>
            <w:rStyle w:val="Hyperlink"/>
          </w:rPr>
          <w:t>https://doi.org/10.1163/17455243-00904002</w:t>
        </w:r>
      </w:hyperlink>
      <w:r w:rsidRPr="008A2C3E">
        <w:t>.</w:t>
      </w:r>
    </w:p>
    <w:p w14:paraId="3518DEB4" w14:textId="3D393016" w:rsidR="008A2C3E" w:rsidRDefault="008A2C3E" w:rsidP="005779DE">
      <w:pPr>
        <w:spacing w:line="360" w:lineRule="auto"/>
      </w:pPr>
      <w:r w:rsidRPr="008A2C3E">
        <w:t>Briggs, A. (1961)</w:t>
      </w:r>
      <w:r w:rsidR="00C402BF">
        <w:t>.</w:t>
      </w:r>
      <w:r w:rsidRPr="008A2C3E">
        <w:t xml:space="preserve"> ‘The Welfare State in Historical Perspective’, </w:t>
      </w:r>
      <w:r w:rsidRPr="008A2C3E">
        <w:rPr>
          <w:i/>
          <w:iCs/>
        </w:rPr>
        <w:t xml:space="preserve">European Journal of Sociology / Archives Européennes de </w:t>
      </w:r>
      <w:proofErr w:type="spellStart"/>
      <w:r w:rsidRPr="008A2C3E">
        <w:rPr>
          <w:i/>
          <w:iCs/>
        </w:rPr>
        <w:t>Sociologie</w:t>
      </w:r>
      <w:proofErr w:type="spellEnd"/>
      <w:r w:rsidRPr="008A2C3E">
        <w:t xml:space="preserve">, 2(2), pp. 221–258. Available at: </w:t>
      </w:r>
      <w:hyperlink r:id="rId19" w:history="1">
        <w:r w:rsidRPr="008A2C3E">
          <w:rPr>
            <w:rStyle w:val="Hyperlink"/>
          </w:rPr>
          <w:t>https://doi.org/10.1017/S0003975600000412</w:t>
        </w:r>
      </w:hyperlink>
      <w:r w:rsidRPr="008A2C3E">
        <w:t>.</w:t>
      </w:r>
    </w:p>
    <w:p w14:paraId="12EE642F" w14:textId="6E9C0B66" w:rsidR="001767E3" w:rsidRDefault="005A1843" w:rsidP="005779DE">
      <w:pPr>
        <w:spacing w:line="360" w:lineRule="auto"/>
      </w:pPr>
      <w:r w:rsidRPr="00003CF3">
        <w:t xml:space="preserve">Brown, J.M. (2020) </w:t>
      </w:r>
      <w:r w:rsidRPr="00003CF3">
        <w:rPr>
          <w:i/>
          <w:iCs/>
        </w:rPr>
        <w:t>Fair welfare? Understanding the lived experiences of disabled welfare claimants</w:t>
      </w:r>
      <w:r w:rsidRPr="00003CF3">
        <w:t xml:space="preserve">. PhD. University of Glasgow. Available at: </w:t>
      </w:r>
      <w:hyperlink r:id="rId20" w:history="1">
        <w:r w:rsidRPr="00003CF3">
          <w:rPr>
            <w:rStyle w:val="Hyperlink"/>
          </w:rPr>
          <w:t>https://doi.org/10.5525/gla.thesis.81605</w:t>
        </w:r>
      </w:hyperlink>
      <w:r w:rsidRPr="00003CF3">
        <w:t>.</w:t>
      </w:r>
    </w:p>
    <w:p w14:paraId="5BBE57A6" w14:textId="5CE8D9FC" w:rsidR="001767E3" w:rsidRDefault="001767E3" w:rsidP="005779DE">
      <w:pPr>
        <w:spacing w:line="360" w:lineRule="auto"/>
      </w:pPr>
      <w:r w:rsidRPr="001767E3">
        <w:t xml:space="preserve">Byrne, D., </w:t>
      </w:r>
      <w:r w:rsidR="00236078">
        <w:t>(1998)</w:t>
      </w:r>
      <w:r w:rsidRPr="001767E3">
        <w:t>. </w:t>
      </w:r>
      <w:r w:rsidRPr="001767E3">
        <w:rPr>
          <w:i/>
          <w:iCs/>
        </w:rPr>
        <w:t>Complexity theory and the social sciences: An introduction</w:t>
      </w:r>
      <w:r w:rsidRPr="001767E3">
        <w:t>. Routledge.</w:t>
      </w:r>
    </w:p>
    <w:p w14:paraId="16247BDB" w14:textId="5E862821" w:rsidR="008A2C3E" w:rsidRDefault="008A2C3E" w:rsidP="005779DE">
      <w:pPr>
        <w:spacing w:line="360" w:lineRule="auto"/>
      </w:pPr>
      <w:r w:rsidRPr="008A2C3E">
        <w:t>Chan, D.M. and Zoellick, M.R.B. (2011)</w:t>
      </w:r>
      <w:r w:rsidR="00C402BF">
        <w:t>.</w:t>
      </w:r>
      <w:r w:rsidRPr="008A2C3E">
        <w:t xml:space="preserve"> ‘World Report on Disability’, </w:t>
      </w:r>
      <w:r w:rsidRPr="008A2C3E">
        <w:rPr>
          <w:i/>
          <w:iCs/>
        </w:rPr>
        <w:t xml:space="preserve">World Health </w:t>
      </w:r>
      <w:r w:rsidR="00CA0CB8">
        <w:rPr>
          <w:i/>
          <w:iCs/>
        </w:rPr>
        <w:t>Organisation</w:t>
      </w:r>
      <w:r w:rsidRPr="008A2C3E">
        <w:t xml:space="preserve">, pp. 1–24. Available at: </w:t>
      </w:r>
      <w:hyperlink r:id="rId21" w:history="1">
        <w:r w:rsidRPr="008A2C3E">
          <w:rPr>
            <w:rStyle w:val="Hyperlink"/>
          </w:rPr>
          <w:t>https://iris.who.int/server/api/core/bitstreams/cdced85a-86ce-47b9-ae21-156fab9a96a0/content</w:t>
        </w:r>
      </w:hyperlink>
      <w:r w:rsidRPr="008A2C3E">
        <w:t xml:space="preserve"> (Accessed: 5 December 2025).</w:t>
      </w:r>
    </w:p>
    <w:p w14:paraId="6C6E61C0" w14:textId="77777777" w:rsidR="00F94768" w:rsidRPr="002225F8" w:rsidRDefault="00F94768" w:rsidP="005779DE">
      <w:pPr>
        <w:spacing w:after="0" w:line="360" w:lineRule="auto"/>
      </w:pPr>
      <w:r w:rsidRPr="002225F8">
        <w:t>Crain, Robert L., and Donald B. Rosenthal. 1967. ‘‘Community Status as a Dimension of</w:t>
      </w:r>
    </w:p>
    <w:p w14:paraId="10B0747C" w14:textId="3BF5AEEA" w:rsidR="00A07B57" w:rsidRDefault="00F94768" w:rsidP="00A07B57">
      <w:pPr>
        <w:spacing w:after="0" w:line="360" w:lineRule="auto"/>
      </w:pPr>
      <w:r w:rsidRPr="002225F8">
        <w:t>Local Decision-Making.’’ American Sociological Review 32(6):970–84.</w:t>
      </w:r>
    </w:p>
    <w:p w14:paraId="57103DAB" w14:textId="5CD273C7" w:rsidR="008A2C3E" w:rsidRPr="008A2C3E" w:rsidRDefault="008A2C3E" w:rsidP="005779DE">
      <w:pPr>
        <w:spacing w:line="360" w:lineRule="auto"/>
      </w:pPr>
      <w:r w:rsidRPr="008A2C3E">
        <w:t xml:space="preserve">Department of Work and Pensions (2025) </w:t>
      </w:r>
      <w:r w:rsidRPr="008A2C3E">
        <w:rPr>
          <w:i/>
          <w:iCs/>
        </w:rPr>
        <w:t>Personal Independence Payment (PIP)</w:t>
      </w:r>
      <w:r w:rsidRPr="008A2C3E">
        <w:t xml:space="preserve">, </w:t>
      </w:r>
      <w:r w:rsidRPr="008A2C3E">
        <w:rPr>
          <w:i/>
          <w:iCs/>
        </w:rPr>
        <w:t>GOV.UK</w:t>
      </w:r>
      <w:r w:rsidRPr="008A2C3E">
        <w:t xml:space="preserve">. Available at: </w:t>
      </w:r>
      <w:hyperlink r:id="rId22" w:history="1">
        <w:r w:rsidRPr="008A2C3E">
          <w:rPr>
            <w:rStyle w:val="Hyperlink"/>
          </w:rPr>
          <w:t>https://www.gov.uk/pip</w:t>
        </w:r>
      </w:hyperlink>
      <w:r w:rsidRPr="008A2C3E">
        <w:t xml:space="preserve"> (Accessed: 5 December 2025).</w:t>
      </w:r>
    </w:p>
    <w:p w14:paraId="251AA549" w14:textId="07EFC264" w:rsidR="008A2C3E" w:rsidRDefault="008A2C3E" w:rsidP="005779DE">
      <w:pPr>
        <w:spacing w:line="360" w:lineRule="auto"/>
      </w:pPr>
      <w:proofErr w:type="spellStart"/>
      <w:r w:rsidRPr="008A2C3E">
        <w:lastRenderedPageBreak/>
        <w:t>Dineshan</w:t>
      </w:r>
      <w:proofErr w:type="spellEnd"/>
      <w:r w:rsidRPr="008A2C3E">
        <w:t>, A. and Geetha, B. (2023)</w:t>
      </w:r>
      <w:r w:rsidR="00C402BF">
        <w:t>.</w:t>
      </w:r>
      <w:r w:rsidRPr="008A2C3E">
        <w:t xml:space="preserve"> </w:t>
      </w:r>
      <w:r w:rsidRPr="008A2C3E">
        <w:rPr>
          <w:i/>
          <w:iCs/>
        </w:rPr>
        <w:t>C</w:t>
      </w:r>
      <w:r w:rsidR="0009710D">
        <w:rPr>
          <w:i/>
          <w:iCs/>
        </w:rPr>
        <w:t>oncept</w:t>
      </w:r>
      <w:r w:rsidRPr="008A2C3E">
        <w:rPr>
          <w:i/>
          <w:iCs/>
        </w:rPr>
        <w:t xml:space="preserve"> </w:t>
      </w:r>
      <w:r w:rsidR="0009710D">
        <w:rPr>
          <w:i/>
          <w:iCs/>
        </w:rPr>
        <w:t>of</w:t>
      </w:r>
      <w:r w:rsidRPr="008A2C3E">
        <w:rPr>
          <w:i/>
          <w:iCs/>
        </w:rPr>
        <w:t xml:space="preserve"> ‘D</w:t>
      </w:r>
      <w:r w:rsidR="0009710D">
        <w:rPr>
          <w:i/>
          <w:iCs/>
        </w:rPr>
        <w:t>isability</w:t>
      </w:r>
      <w:r w:rsidRPr="008A2C3E">
        <w:rPr>
          <w:i/>
          <w:iCs/>
        </w:rPr>
        <w:t>’ -F</w:t>
      </w:r>
      <w:r w:rsidR="0009710D">
        <w:rPr>
          <w:i/>
          <w:iCs/>
        </w:rPr>
        <w:t xml:space="preserve">rom the Historical </w:t>
      </w:r>
      <w:r w:rsidR="009213C2">
        <w:rPr>
          <w:i/>
          <w:iCs/>
        </w:rPr>
        <w:t>Trajector</w:t>
      </w:r>
      <w:r w:rsidR="003F0F8C">
        <w:rPr>
          <w:i/>
          <w:iCs/>
        </w:rPr>
        <w:t>y</w:t>
      </w:r>
      <w:r w:rsidRPr="008A2C3E">
        <w:rPr>
          <w:i/>
          <w:iCs/>
        </w:rPr>
        <w:t xml:space="preserve"> - Proceedings of International Conference on Social Sciences, Languages and Culture</w:t>
      </w:r>
      <w:r w:rsidRPr="008A2C3E">
        <w:t>.</w:t>
      </w:r>
      <w:r w:rsidR="00DD609E">
        <w:t xml:space="preserve"> </w:t>
      </w:r>
      <w:r w:rsidR="001148B9">
        <w:t>E</w:t>
      </w:r>
      <w:r w:rsidR="001148B9" w:rsidRPr="001148B9">
        <w:t>ISBN: 978-81-946660-9-7</w:t>
      </w:r>
      <w:r w:rsidR="001148B9">
        <w:t>.</w:t>
      </w:r>
    </w:p>
    <w:p w14:paraId="66F0727C" w14:textId="69618C35" w:rsidR="008103CD" w:rsidRPr="008103CD" w:rsidRDefault="008103CD" w:rsidP="008103CD">
      <w:pPr>
        <w:spacing w:line="360" w:lineRule="auto"/>
      </w:pPr>
      <w:r w:rsidRPr="008103CD">
        <w:rPr>
          <w:i/>
          <w:iCs/>
        </w:rPr>
        <w:t>The Disabled People’s Movement - Book Four- A Resource Pack for Local Groups of Disabled People</w:t>
      </w:r>
      <w:r w:rsidRPr="008103CD">
        <w:t xml:space="preserve"> (1997) </w:t>
      </w:r>
      <w:r w:rsidRPr="008103CD">
        <w:rPr>
          <w:i/>
          <w:iCs/>
        </w:rPr>
        <w:t xml:space="preserve">A Resources Pack for Local Groups of </w:t>
      </w:r>
      <w:proofErr w:type="spellStart"/>
      <w:r w:rsidRPr="008103CD">
        <w:rPr>
          <w:i/>
          <w:iCs/>
        </w:rPr>
        <w:t>Disabed</w:t>
      </w:r>
      <w:proofErr w:type="spellEnd"/>
      <w:r w:rsidRPr="008103CD">
        <w:rPr>
          <w:i/>
          <w:iCs/>
        </w:rPr>
        <w:t xml:space="preserve"> </w:t>
      </w:r>
      <w:r w:rsidR="00AC3FA6" w:rsidRPr="008103CD">
        <w:rPr>
          <w:i/>
          <w:iCs/>
        </w:rPr>
        <w:t>People</w:t>
      </w:r>
      <w:r w:rsidRPr="008103CD">
        <w:rPr>
          <w:i/>
          <w:iCs/>
        </w:rPr>
        <w:t>.</w:t>
      </w:r>
      <w:r w:rsidRPr="008103CD">
        <w:t xml:space="preserve"> </w:t>
      </w:r>
      <w:proofErr w:type="spellStart"/>
      <w:r w:rsidRPr="008103CD">
        <w:t>Somercotes</w:t>
      </w:r>
      <w:proofErr w:type="spellEnd"/>
      <w:r w:rsidRPr="008103CD">
        <w:t xml:space="preserve">, Derbyshire. England: British Council of Organisations of Disabled People (BCODP). Available at: </w:t>
      </w:r>
      <w:hyperlink r:id="rId23" w:history="1">
        <w:r w:rsidRPr="008103CD">
          <w:rPr>
            <w:rStyle w:val="Hyperlink"/>
          </w:rPr>
          <w:t>https://disability-studies.leeds.ac.uk/wp-content/uploads/sites/40/library/BCODP-workbook4.pdf</w:t>
        </w:r>
      </w:hyperlink>
      <w:r w:rsidRPr="008103CD">
        <w:t xml:space="preserve"> (Accessed: 15 February 2026).</w:t>
      </w:r>
    </w:p>
    <w:p w14:paraId="677C4B1B" w14:textId="04DB0E12" w:rsidR="00076D17" w:rsidRPr="008A2C3E" w:rsidRDefault="00B20B99" w:rsidP="005779DE">
      <w:pPr>
        <w:spacing w:line="360" w:lineRule="auto"/>
      </w:pPr>
      <w:r w:rsidRPr="00E47987">
        <w:rPr>
          <w:i/>
          <w:iCs/>
        </w:rPr>
        <w:t>Disability</w:t>
      </w:r>
      <w:r w:rsidR="00E47987" w:rsidRPr="00E47987">
        <w:rPr>
          <w:i/>
          <w:iCs/>
        </w:rPr>
        <w:t xml:space="preserve"> Rights UK Funding</w:t>
      </w:r>
      <w:r w:rsidR="00E47987" w:rsidRPr="00E47987">
        <w:t xml:space="preserve"> (2025) </w:t>
      </w:r>
      <w:r w:rsidR="00E47987" w:rsidRPr="00E47987">
        <w:rPr>
          <w:i/>
          <w:iCs/>
        </w:rPr>
        <w:t>Disability Rights UK</w:t>
      </w:r>
      <w:r w:rsidR="00E47987" w:rsidRPr="00E47987">
        <w:t xml:space="preserve">. London, United Kingdom: </w:t>
      </w:r>
      <w:proofErr w:type="spellStart"/>
      <w:r w:rsidR="00E47987" w:rsidRPr="00E47987">
        <w:t>CiviPlus</w:t>
      </w:r>
      <w:proofErr w:type="spellEnd"/>
      <w:r w:rsidR="00E47987" w:rsidRPr="00E47987">
        <w:t xml:space="preserve"> by </w:t>
      </w:r>
      <w:proofErr w:type="spellStart"/>
      <w:r w:rsidR="00E47987" w:rsidRPr="00E47987">
        <w:t>Compuco</w:t>
      </w:r>
      <w:proofErr w:type="spellEnd"/>
      <w:r w:rsidR="00E47987" w:rsidRPr="00E47987">
        <w:t xml:space="preserve">. Available at: </w:t>
      </w:r>
      <w:hyperlink r:id="rId24" w:history="1">
        <w:r w:rsidR="00E47987" w:rsidRPr="00E47987">
          <w:rPr>
            <w:rStyle w:val="Hyperlink"/>
          </w:rPr>
          <w:t>https://www.disabilityrightsuk.org/funding-justice</w:t>
        </w:r>
      </w:hyperlink>
      <w:r w:rsidR="00E47987" w:rsidRPr="00E47987">
        <w:t xml:space="preserve"> (Accessed: 15 February 2026).</w:t>
      </w:r>
    </w:p>
    <w:p w14:paraId="0A43A509" w14:textId="54188F38" w:rsidR="008A2C3E" w:rsidRDefault="008A2C3E" w:rsidP="005779DE">
      <w:pPr>
        <w:spacing w:line="360" w:lineRule="auto"/>
      </w:pPr>
      <w:proofErr w:type="spellStart"/>
      <w:r w:rsidRPr="008A2C3E">
        <w:t>Dryzek</w:t>
      </w:r>
      <w:proofErr w:type="spellEnd"/>
      <w:r w:rsidRPr="008A2C3E">
        <w:t>, J. and Goodin, R.E. (1986)</w:t>
      </w:r>
      <w:r w:rsidR="00C402BF">
        <w:t>.</w:t>
      </w:r>
      <w:r w:rsidRPr="008A2C3E">
        <w:t xml:space="preserve"> ‘Risk-Sharing and Social Justice: The Motivational Foundations of the Post-War Welfare State’, </w:t>
      </w:r>
      <w:r w:rsidRPr="008A2C3E">
        <w:rPr>
          <w:i/>
          <w:iCs/>
        </w:rPr>
        <w:t>British Journal of Political Science</w:t>
      </w:r>
      <w:r w:rsidRPr="008A2C3E">
        <w:t xml:space="preserve">, 16(1), pp. 1–34. Available at: </w:t>
      </w:r>
      <w:hyperlink r:id="rId25" w:history="1">
        <w:r w:rsidRPr="008A2C3E">
          <w:rPr>
            <w:rStyle w:val="Hyperlink"/>
          </w:rPr>
          <w:t>https://doi.org/10.1017/S0007123400003781</w:t>
        </w:r>
      </w:hyperlink>
      <w:r w:rsidRPr="008A2C3E">
        <w:t>.</w:t>
      </w:r>
    </w:p>
    <w:p w14:paraId="619214D7" w14:textId="730F8A82" w:rsidR="00566997" w:rsidRDefault="00566997" w:rsidP="005779DE">
      <w:pPr>
        <w:spacing w:line="360" w:lineRule="auto"/>
      </w:pPr>
      <w:r w:rsidRPr="00566997">
        <w:t xml:space="preserve">Dwyer, P. (2000). </w:t>
      </w:r>
      <w:r w:rsidRPr="00566997">
        <w:rPr>
          <w:i/>
          <w:iCs/>
        </w:rPr>
        <w:t xml:space="preserve">Welfare rights and responsibilities: Contesting Social Citizenship. </w:t>
      </w:r>
      <w:r w:rsidRPr="00566997">
        <w:t xml:space="preserve">Bristol: The Policy Press. </w:t>
      </w:r>
    </w:p>
    <w:p w14:paraId="5E0056E3" w14:textId="4DA176F3" w:rsidR="009728A6" w:rsidRPr="008A2C3E" w:rsidRDefault="009728A6" w:rsidP="005779DE">
      <w:pPr>
        <w:spacing w:line="360" w:lineRule="auto"/>
      </w:pPr>
      <w:r w:rsidRPr="009728A6">
        <w:t>Fairclough, N., 2000. Discourse, social theory, and social research: The discourse of welfare reform. </w:t>
      </w:r>
      <w:r w:rsidRPr="009728A6">
        <w:rPr>
          <w:i/>
          <w:iCs/>
        </w:rPr>
        <w:t>Journal of sociolinguistics</w:t>
      </w:r>
      <w:r w:rsidRPr="009728A6">
        <w:t>, </w:t>
      </w:r>
      <w:r w:rsidRPr="009728A6">
        <w:rPr>
          <w:i/>
          <w:iCs/>
        </w:rPr>
        <w:t>4</w:t>
      </w:r>
      <w:r w:rsidRPr="009728A6">
        <w:t>(2), pp.163-195.</w:t>
      </w:r>
    </w:p>
    <w:p w14:paraId="601EF0A2" w14:textId="153B5EC6" w:rsidR="008A2C3E" w:rsidRDefault="008A2C3E" w:rsidP="005779DE">
      <w:pPr>
        <w:spacing w:line="360" w:lineRule="auto"/>
      </w:pPr>
      <w:r w:rsidRPr="008A2C3E">
        <w:t>Fraser, D. (202</w:t>
      </w:r>
      <w:r w:rsidR="00CF34A0">
        <w:t>3</w:t>
      </w:r>
      <w:r w:rsidRPr="008A2C3E">
        <w:t>)</w:t>
      </w:r>
      <w:r w:rsidR="00C402BF">
        <w:t>.</w:t>
      </w:r>
      <w:r w:rsidRPr="008A2C3E">
        <w:t xml:space="preserve"> </w:t>
      </w:r>
      <w:r w:rsidRPr="008A2C3E">
        <w:rPr>
          <w:i/>
          <w:iCs/>
        </w:rPr>
        <w:t>The Beveridge Report: Blueprint for the Welfare State</w:t>
      </w:r>
      <w:r w:rsidRPr="008A2C3E">
        <w:t xml:space="preserve">. London: Routledge. Available at: </w:t>
      </w:r>
      <w:hyperlink r:id="rId26" w:history="1">
        <w:r w:rsidRPr="008A2C3E">
          <w:rPr>
            <w:rStyle w:val="Hyperlink"/>
          </w:rPr>
          <w:t>https://doi.org/10.4324/9781003167402</w:t>
        </w:r>
      </w:hyperlink>
      <w:r w:rsidRPr="008A2C3E">
        <w:t>.</w:t>
      </w:r>
    </w:p>
    <w:p w14:paraId="5D470D55" w14:textId="513129E6" w:rsidR="00695D79" w:rsidRDefault="00695D79" w:rsidP="005779DE">
      <w:pPr>
        <w:spacing w:line="360" w:lineRule="auto"/>
      </w:pPr>
      <w:r w:rsidRPr="00695D79">
        <w:t xml:space="preserve">Frawley, P. </w:t>
      </w:r>
      <w:r>
        <w:t>(2008)</w:t>
      </w:r>
      <w:r w:rsidRPr="00695D79">
        <w:t>. </w:t>
      </w:r>
      <w:r w:rsidRPr="00695D79">
        <w:rPr>
          <w:i/>
          <w:iCs/>
        </w:rPr>
        <w:t>Participation in government disability advisory bodies in Australia: An intellectual disability perspective</w:t>
      </w:r>
      <w:r w:rsidRPr="00695D79">
        <w:t> (Doctoral dissertation, La Trobe).</w:t>
      </w:r>
      <w:r>
        <w:t xml:space="preserve"> </w:t>
      </w:r>
      <w:hyperlink r:id="rId27" w:history="1">
        <w:r w:rsidRPr="00695D79">
          <w:rPr>
            <w:rStyle w:val="Hyperlink"/>
          </w:rPr>
          <w:t>Participation in Government Disability Advisory Bodies in Australia: An Intellectual Disability perspective</w:t>
        </w:r>
      </w:hyperlink>
      <w:r>
        <w:t xml:space="preserve"> (</w:t>
      </w:r>
      <w:r w:rsidR="00E72A3F">
        <w:t>Accessed:</w:t>
      </w:r>
      <w:r>
        <w:t xml:space="preserve"> 17</w:t>
      </w:r>
      <w:r w:rsidR="002E4BFA">
        <w:t xml:space="preserve"> December </w:t>
      </w:r>
      <w:r>
        <w:t>2025)</w:t>
      </w:r>
    </w:p>
    <w:p w14:paraId="2C5BD790" w14:textId="7336A59B" w:rsidR="00D547EB" w:rsidRPr="00D547EB" w:rsidRDefault="00D547EB" w:rsidP="005779DE">
      <w:pPr>
        <w:spacing w:line="360" w:lineRule="auto"/>
      </w:pPr>
      <w:proofErr w:type="spellStart"/>
      <w:r w:rsidRPr="00D547EB">
        <w:t>Grönvik</w:t>
      </w:r>
      <w:proofErr w:type="spellEnd"/>
      <w:r w:rsidRPr="00D547EB">
        <w:t>, L. (2009)</w:t>
      </w:r>
      <w:r w:rsidR="00C402BF">
        <w:t>.</w:t>
      </w:r>
      <w:r w:rsidRPr="00D547EB">
        <w:t xml:space="preserve"> ‘Defining disability: effects of disability concepts on research outcomes’, </w:t>
      </w:r>
      <w:r w:rsidRPr="00D547EB">
        <w:rPr>
          <w:i/>
          <w:iCs/>
        </w:rPr>
        <w:t>International Journal of Social Research Methodology</w:t>
      </w:r>
      <w:r w:rsidRPr="00D547EB">
        <w:t xml:space="preserve">, 12(1), pp. 1–18. Available at: </w:t>
      </w:r>
      <w:hyperlink r:id="rId28" w:history="1">
        <w:r w:rsidRPr="00D547EB">
          <w:rPr>
            <w:rStyle w:val="Hyperlink"/>
          </w:rPr>
          <w:t>https://doi.org/10.1080/13645570701621977</w:t>
        </w:r>
      </w:hyperlink>
      <w:r w:rsidRPr="00D547EB">
        <w:t>.</w:t>
      </w:r>
    </w:p>
    <w:p w14:paraId="59DE67F9" w14:textId="3E08F015" w:rsidR="008A2C3E" w:rsidRPr="008A2C3E" w:rsidRDefault="008A2C3E" w:rsidP="005779DE">
      <w:pPr>
        <w:spacing w:line="360" w:lineRule="auto"/>
      </w:pPr>
      <w:r w:rsidRPr="008A2C3E">
        <w:lastRenderedPageBreak/>
        <w:t>Grover, C. (2016)</w:t>
      </w:r>
      <w:r w:rsidR="00C402BF">
        <w:t>.</w:t>
      </w:r>
      <w:r w:rsidRPr="008A2C3E">
        <w:t xml:space="preserve"> ‘The end of an era? The resignation of Iain Duncan Smith, Conservatism and social security benefits for disabled people’, </w:t>
      </w:r>
      <w:r w:rsidRPr="008A2C3E">
        <w:rPr>
          <w:i/>
          <w:iCs/>
        </w:rPr>
        <w:t>Disability &amp; Society</w:t>
      </w:r>
      <w:r w:rsidRPr="008A2C3E">
        <w:t xml:space="preserve">, 31(8), pp. 1127–1131. Available at: </w:t>
      </w:r>
      <w:hyperlink r:id="rId29" w:history="1">
        <w:r w:rsidRPr="008A2C3E">
          <w:rPr>
            <w:rStyle w:val="Hyperlink"/>
          </w:rPr>
          <w:t>https://doi.org/10.1080/09687599.2016.1218153</w:t>
        </w:r>
      </w:hyperlink>
      <w:r w:rsidRPr="008A2C3E">
        <w:t>.</w:t>
      </w:r>
    </w:p>
    <w:p w14:paraId="444794D9" w14:textId="77EF2ABF" w:rsidR="008A2C3E" w:rsidRPr="008A2C3E" w:rsidRDefault="008A2C3E" w:rsidP="005779DE">
      <w:pPr>
        <w:spacing w:line="360" w:lineRule="auto"/>
      </w:pPr>
      <w:r w:rsidRPr="008A2C3E">
        <w:t>Güler, M.A. (2020)</w:t>
      </w:r>
      <w:r w:rsidR="00C402BF">
        <w:t>.</w:t>
      </w:r>
      <w:r w:rsidRPr="008A2C3E">
        <w:t xml:space="preserve"> ‘The concept of the welfare state and typologies of welfare regimes: A review’, </w:t>
      </w:r>
      <w:r w:rsidRPr="008A2C3E">
        <w:rPr>
          <w:i/>
          <w:iCs/>
        </w:rPr>
        <w:t>Social Policy Issues</w:t>
      </w:r>
      <w:r w:rsidRPr="008A2C3E">
        <w:t xml:space="preserve">, 47, pp. 113–130. Available at: </w:t>
      </w:r>
      <w:hyperlink r:id="rId30" w:history="1">
        <w:r w:rsidRPr="008A2C3E">
          <w:rPr>
            <w:rStyle w:val="Hyperlink"/>
          </w:rPr>
          <w:t>https://doi.org/10.31971/16401808.47.4.2019.6</w:t>
        </w:r>
      </w:hyperlink>
      <w:r w:rsidRPr="008A2C3E">
        <w:t>.</w:t>
      </w:r>
    </w:p>
    <w:p w14:paraId="081F9BC5" w14:textId="07117FC2" w:rsidR="00E20250" w:rsidRDefault="008A2C3E" w:rsidP="005779DE">
      <w:pPr>
        <w:spacing w:line="360" w:lineRule="auto"/>
      </w:pPr>
      <w:r w:rsidRPr="008A2C3E">
        <w:t xml:space="preserve">Harris, N. (2014) ‘Welfare Reform and the Shifting Threshold of Support for Disabled People’, </w:t>
      </w:r>
      <w:r w:rsidRPr="008A2C3E">
        <w:rPr>
          <w:i/>
          <w:iCs/>
        </w:rPr>
        <w:t>The Modern Law Review</w:t>
      </w:r>
      <w:r w:rsidRPr="008A2C3E">
        <w:t xml:space="preserve">, 77(6), pp. 888–927. Available at: </w:t>
      </w:r>
      <w:hyperlink r:id="rId31" w:history="1">
        <w:r w:rsidRPr="008A2C3E">
          <w:rPr>
            <w:rStyle w:val="Hyperlink"/>
          </w:rPr>
          <w:t>https://doi.org/10.1111/1468-2230.12096</w:t>
        </w:r>
      </w:hyperlink>
      <w:r w:rsidRPr="008A2C3E">
        <w:t>.</w:t>
      </w:r>
    </w:p>
    <w:p w14:paraId="0284B243" w14:textId="77777777" w:rsidR="00E20250" w:rsidRPr="00E20250" w:rsidRDefault="00E20250" w:rsidP="00E20250">
      <w:pPr>
        <w:spacing w:line="360" w:lineRule="auto"/>
      </w:pPr>
      <w:r w:rsidRPr="00E20250">
        <w:t xml:space="preserve">H.M. Government (no date) </w:t>
      </w:r>
      <w:r w:rsidRPr="00E20250">
        <w:rPr>
          <w:i/>
          <w:iCs/>
        </w:rPr>
        <w:t>Mobility Allowance</w:t>
      </w:r>
      <w:r w:rsidRPr="00E20250">
        <w:t xml:space="preserve">, </w:t>
      </w:r>
      <w:r w:rsidRPr="00E20250">
        <w:rPr>
          <w:i/>
          <w:iCs/>
        </w:rPr>
        <w:t>Mobility Allowance - Legislation</w:t>
      </w:r>
      <w:r w:rsidRPr="00E20250">
        <w:t xml:space="preserve">. London, United Kingdom: H.M Government. Available at: </w:t>
      </w:r>
      <w:hyperlink r:id="rId32" w:history="1">
        <w:r w:rsidRPr="00E20250">
          <w:rPr>
            <w:rStyle w:val="Hyperlink"/>
          </w:rPr>
          <w:t>https://www.legislation.gov.uk/ukpga/Geo5/1-2/55/pdfs/ukpga_19110055_en.pdf</w:t>
        </w:r>
      </w:hyperlink>
      <w:r w:rsidRPr="00E20250">
        <w:t xml:space="preserve"> (Accessed: 13 February 2026).</w:t>
      </w:r>
    </w:p>
    <w:p w14:paraId="16A55BFE" w14:textId="6F6C5D10" w:rsidR="00E20250" w:rsidRDefault="00E20250" w:rsidP="005779DE">
      <w:pPr>
        <w:spacing w:line="360" w:lineRule="auto"/>
      </w:pPr>
      <w:r w:rsidRPr="00E20250">
        <w:t xml:space="preserve">H.M. Government (1911) </w:t>
      </w:r>
      <w:r w:rsidRPr="00E20250">
        <w:rPr>
          <w:i/>
          <w:iCs/>
        </w:rPr>
        <w:t>National Insurance Act 1911</w:t>
      </w:r>
      <w:r w:rsidRPr="00E20250">
        <w:t xml:space="preserve">. London, United Kingdom. Available at: </w:t>
      </w:r>
      <w:hyperlink r:id="rId33" w:history="1">
        <w:r w:rsidRPr="00E20250">
          <w:rPr>
            <w:rStyle w:val="Hyperlink"/>
          </w:rPr>
          <w:t>https://www.legislation.gov.uk/ukpga/Geo5/1-2/55/pdfs/ukpga_19110055_en.pdf</w:t>
        </w:r>
      </w:hyperlink>
      <w:r w:rsidRPr="00E20250">
        <w:t xml:space="preserve"> (Accessed: 13 February 2026).</w:t>
      </w:r>
    </w:p>
    <w:p w14:paraId="1072862E" w14:textId="3FA777A2" w:rsidR="00EB3FD4" w:rsidRPr="00EB3FD4" w:rsidRDefault="00EB3FD4" w:rsidP="005779DE">
      <w:pPr>
        <w:spacing w:line="360" w:lineRule="auto"/>
      </w:pPr>
      <w:r w:rsidRPr="00EB3FD4">
        <w:t xml:space="preserve">H.M Government (no date) </w:t>
      </w:r>
      <w:r w:rsidRPr="00EB3FD4">
        <w:rPr>
          <w:i/>
          <w:iCs/>
        </w:rPr>
        <w:t>Employment and Support Allowance (ESA)</w:t>
      </w:r>
      <w:r w:rsidRPr="00EB3FD4">
        <w:t xml:space="preserve">, </w:t>
      </w:r>
      <w:r w:rsidRPr="00EB3FD4">
        <w:rPr>
          <w:i/>
          <w:iCs/>
        </w:rPr>
        <w:t>GOV.UK</w:t>
      </w:r>
      <w:r w:rsidRPr="00EB3FD4">
        <w:t xml:space="preserve">. Available at: </w:t>
      </w:r>
      <w:hyperlink r:id="rId34" w:history="1">
        <w:r w:rsidRPr="00EB3FD4">
          <w:rPr>
            <w:rStyle w:val="Hyperlink"/>
          </w:rPr>
          <w:t>https://www.gov.uk/employment-support-allowance</w:t>
        </w:r>
      </w:hyperlink>
      <w:r w:rsidRPr="00EB3FD4">
        <w:t xml:space="preserve"> (Accessed: 30 January 2026).</w:t>
      </w:r>
    </w:p>
    <w:p w14:paraId="47F5EE82" w14:textId="77777777" w:rsidR="00E20250" w:rsidRDefault="0099489B" w:rsidP="00E20250">
      <w:pPr>
        <w:spacing w:after="120" w:line="360" w:lineRule="auto"/>
      </w:pPr>
      <w:r w:rsidRPr="0079350B">
        <w:t>H.M. Government, E. (</w:t>
      </w:r>
      <w:r w:rsidR="00D90878">
        <w:t>1995</w:t>
      </w:r>
      <w:r w:rsidRPr="0079350B">
        <w:t xml:space="preserve">) </w:t>
      </w:r>
      <w:r w:rsidRPr="0079350B">
        <w:rPr>
          <w:i/>
          <w:iCs/>
        </w:rPr>
        <w:t>Disability Discrimination Act 1995</w:t>
      </w:r>
      <w:r w:rsidRPr="0079350B">
        <w:t xml:space="preserve">. Statute Law Database. Available at: </w:t>
      </w:r>
      <w:hyperlink r:id="rId35" w:history="1">
        <w:r w:rsidRPr="0079350B">
          <w:rPr>
            <w:rStyle w:val="Hyperlink"/>
          </w:rPr>
          <w:t>https://www.legislation.gov.uk/ukpga/1995/50/contents</w:t>
        </w:r>
      </w:hyperlink>
      <w:r w:rsidRPr="0079350B">
        <w:t xml:space="preserve"> (Accessed: 30 January 2026).</w:t>
      </w:r>
    </w:p>
    <w:p w14:paraId="768C25D3" w14:textId="40CBD794" w:rsidR="0099489B" w:rsidRPr="0079350B" w:rsidRDefault="00E20250" w:rsidP="005779DE">
      <w:pPr>
        <w:spacing w:after="120" w:line="360" w:lineRule="auto"/>
      </w:pPr>
      <w:r w:rsidRPr="00E20250">
        <w:t xml:space="preserve">H.M Government (no date) </w:t>
      </w:r>
      <w:r w:rsidRPr="00E20250">
        <w:rPr>
          <w:i/>
          <w:iCs/>
        </w:rPr>
        <w:t>Disability Living Allowance and Disability Working Allowance 1991</w:t>
      </w:r>
      <w:r w:rsidRPr="00E20250">
        <w:t xml:space="preserve">, </w:t>
      </w:r>
      <w:r w:rsidRPr="00E20250">
        <w:rPr>
          <w:i/>
          <w:iCs/>
        </w:rPr>
        <w:t>GOV.UK</w:t>
      </w:r>
      <w:r w:rsidRPr="00E20250">
        <w:t xml:space="preserve">. London, United Kingdom. Available at: </w:t>
      </w:r>
      <w:hyperlink r:id="rId36" w:history="1">
        <w:r w:rsidRPr="00E20250">
          <w:rPr>
            <w:rStyle w:val="Hyperlink"/>
          </w:rPr>
          <w:t>https://www.legislation.gov.uk/ukpga/1991/21/data.pdf</w:t>
        </w:r>
      </w:hyperlink>
      <w:r w:rsidRPr="00E20250">
        <w:t xml:space="preserve"> (Accessed: 30 January 2026).</w:t>
      </w:r>
    </w:p>
    <w:p w14:paraId="78AF4237" w14:textId="47AB44DB" w:rsidR="0099489B" w:rsidRPr="008A2C3E" w:rsidRDefault="00F5064C" w:rsidP="005779DE">
      <w:pPr>
        <w:spacing w:line="360" w:lineRule="auto"/>
      </w:pPr>
      <w:r w:rsidRPr="00F5064C">
        <w:t xml:space="preserve">H.M. Government (2009) </w:t>
      </w:r>
      <w:r w:rsidRPr="00F5064C">
        <w:rPr>
          <w:i/>
          <w:iCs/>
        </w:rPr>
        <w:t>Autism Act 2009</w:t>
      </w:r>
      <w:r w:rsidRPr="00F5064C">
        <w:t xml:space="preserve">. Statute Law Database. Available at: </w:t>
      </w:r>
      <w:hyperlink r:id="rId37" w:history="1">
        <w:r w:rsidRPr="00F5064C">
          <w:rPr>
            <w:rStyle w:val="Hyperlink"/>
          </w:rPr>
          <w:t>https://www.legislation.gov.uk/ukpga/2009/15/contents</w:t>
        </w:r>
      </w:hyperlink>
      <w:r w:rsidRPr="00F5064C">
        <w:t xml:space="preserve"> (Accessed: 30 January 2026).</w:t>
      </w:r>
    </w:p>
    <w:p w14:paraId="2210A4DF" w14:textId="5117C585" w:rsidR="008A2C3E" w:rsidRPr="008A2C3E" w:rsidRDefault="008A2C3E" w:rsidP="005779DE">
      <w:pPr>
        <w:spacing w:line="360" w:lineRule="auto"/>
      </w:pPr>
      <w:r w:rsidRPr="008A2C3E">
        <w:lastRenderedPageBreak/>
        <w:t>H.M. Government (2013)</w:t>
      </w:r>
      <w:r w:rsidR="00CA0CB8">
        <w:t>.</w:t>
      </w:r>
      <w:r w:rsidRPr="008A2C3E">
        <w:t xml:space="preserve"> </w:t>
      </w:r>
      <w:r w:rsidRPr="008A2C3E">
        <w:rPr>
          <w:i/>
          <w:iCs/>
        </w:rPr>
        <w:t>The Social Security (Personal Independence Payment) Regulations 2013</w:t>
      </w:r>
      <w:r w:rsidRPr="008A2C3E">
        <w:t xml:space="preserve">. Statute Law Database. Available at: </w:t>
      </w:r>
      <w:hyperlink r:id="rId38" w:history="1">
        <w:r w:rsidRPr="008A2C3E">
          <w:rPr>
            <w:rStyle w:val="Hyperlink"/>
          </w:rPr>
          <w:t>https://www.legislation.gov.uk/uksi/2013/377/contents</w:t>
        </w:r>
      </w:hyperlink>
      <w:r w:rsidRPr="008A2C3E">
        <w:t xml:space="preserve"> (Accessed: 5 December 2025).</w:t>
      </w:r>
    </w:p>
    <w:p w14:paraId="7391B987" w14:textId="287B11E7" w:rsidR="008A2C3E" w:rsidRDefault="008A2C3E" w:rsidP="005779DE">
      <w:pPr>
        <w:spacing w:line="360" w:lineRule="auto"/>
      </w:pPr>
      <w:r w:rsidRPr="008A2C3E">
        <w:t xml:space="preserve">H.M. Government (2025) </w:t>
      </w:r>
      <w:r w:rsidRPr="008A2C3E">
        <w:rPr>
          <w:i/>
          <w:iCs/>
        </w:rPr>
        <w:t xml:space="preserve">Universal Credit and Personal Independence Payment </w:t>
      </w:r>
      <w:r w:rsidR="002A679B">
        <w:rPr>
          <w:i/>
          <w:iCs/>
        </w:rPr>
        <w:t>Bill - Hansard - UK Parliament, Universal Credit and Personal Independence Payment Bill</w:t>
      </w:r>
      <w:r w:rsidRPr="008A2C3E">
        <w:rPr>
          <w:i/>
          <w:iCs/>
        </w:rPr>
        <w:t xml:space="preserve"> Vol. 770: Debated on Tuesday 1 July 2025</w:t>
      </w:r>
      <w:r w:rsidRPr="008A2C3E">
        <w:t xml:space="preserve">. Available at: </w:t>
      </w:r>
      <w:hyperlink r:id="rId39" w:history="1">
        <w:r w:rsidRPr="008A2C3E">
          <w:rPr>
            <w:rStyle w:val="Hyperlink"/>
          </w:rPr>
          <w:t>https://hansard.parliament.uk/commons/2025-07-01/debates/56F2EF7B-404B-44D4-865E-EA09FCD92EA4/UniversalCreditAndPersonalIndependencePaymentBill</w:t>
        </w:r>
      </w:hyperlink>
      <w:r w:rsidRPr="008A2C3E">
        <w:t xml:space="preserve"> (Accessed: 2 July 2025).</w:t>
      </w:r>
    </w:p>
    <w:p w14:paraId="609CA455" w14:textId="77777777" w:rsidR="007C6E78" w:rsidRPr="007C6E78" w:rsidRDefault="007C6E78" w:rsidP="007C6E78">
      <w:pPr>
        <w:spacing w:line="360" w:lineRule="auto"/>
      </w:pPr>
      <w:r w:rsidRPr="007C6E78">
        <w:t xml:space="preserve">H.M Government (2025) </w:t>
      </w:r>
      <w:r w:rsidRPr="007C6E78">
        <w:rPr>
          <w:i/>
          <w:iCs/>
        </w:rPr>
        <w:t>Work Capability Assessment Questionnaire - WCA50</w:t>
      </w:r>
      <w:r w:rsidRPr="007C6E78">
        <w:t xml:space="preserve">, </w:t>
      </w:r>
      <w:r w:rsidRPr="007C6E78">
        <w:rPr>
          <w:i/>
          <w:iCs/>
        </w:rPr>
        <w:t>Department for Work and Pensions.</w:t>
      </w:r>
      <w:r w:rsidRPr="007C6E78">
        <w:t xml:space="preserve"> London, United Kingdom: HMSO. Available at: </w:t>
      </w:r>
      <w:hyperlink r:id="rId40" w:history="1">
        <w:r w:rsidRPr="007C6E78">
          <w:rPr>
            <w:rStyle w:val="Hyperlink"/>
          </w:rPr>
          <w:t>https://www.gov.uk/government/publications/wca50-form-capability-for-work-questionnaire</w:t>
        </w:r>
      </w:hyperlink>
      <w:r w:rsidRPr="007C6E78">
        <w:t xml:space="preserve"> (Accessed: 25 November 2026).</w:t>
      </w:r>
    </w:p>
    <w:p w14:paraId="38876AED" w14:textId="1B71D459" w:rsidR="008A2C3E" w:rsidRPr="008A2C3E" w:rsidRDefault="008A2C3E" w:rsidP="005779DE">
      <w:pPr>
        <w:spacing w:line="360" w:lineRule="auto"/>
      </w:pPr>
      <w:r w:rsidRPr="008A2C3E">
        <w:t xml:space="preserve">Hogan, A.J. (2019) ‘Social and medical models of disability and mental health: evolution and renewal’, </w:t>
      </w:r>
      <w:r w:rsidR="00E72A3F" w:rsidRPr="008A2C3E">
        <w:rPr>
          <w:i/>
          <w:iCs/>
        </w:rPr>
        <w:t>CMAJ</w:t>
      </w:r>
      <w:r w:rsidR="00E72A3F" w:rsidRPr="008A2C3E">
        <w:rPr>
          <w:rFonts w:ascii="Arial" w:hAnsi="Arial" w:cs="Arial"/>
          <w:i/>
          <w:iCs/>
        </w:rPr>
        <w:t>:</w:t>
      </w:r>
      <w:r w:rsidRPr="008A2C3E">
        <w:rPr>
          <w:i/>
          <w:iCs/>
        </w:rPr>
        <w:t xml:space="preserve"> Canadian Medical Association Journal</w:t>
      </w:r>
      <w:r w:rsidRPr="008A2C3E">
        <w:t xml:space="preserve">, 191(1), pp. E16–E18. Available at: </w:t>
      </w:r>
      <w:hyperlink r:id="rId41" w:history="1">
        <w:r w:rsidRPr="008A2C3E">
          <w:rPr>
            <w:rStyle w:val="Hyperlink"/>
          </w:rPr>
          <w:t>https://doi.org/10.1503/cmaj.181008</w:t>
        </w:r>
      </w:hyperlink>
      <w:r w:rsidRPr="008A2C3E">
        <w:t>.</w:t>
      </w:r>
    </w:p>
    <w:p w14:paraId="3E1DDBBE" w14:textId="77777777" w:rsidR="008A2C3E" w:rsidRPr="008A2C3E" w:rsidRDefault="008A2C3E" w:rsidP="005779DE">
      <w:pPr>
        <w:spacing w:line="360" w:lineRule="auto"/>
      </w:pPr>
      <w:r w:rsidRPr="008A2C3E">
        <w:t xml:space="preserve">Hughes, B. (2009) ‘Disability Activisms: social model stalwarts and biological citizens’, </w:t>
      </w:r>
      <w:r w:rsidRPr="008A2C3E">
        <w:rPr>
          <w:i/>
          <w:iCs/>
        </w:rPr>
        <w:t>Disability &amp; Society</w:t>
      </w:r>
      <w:r w:rsidRPr="008A2C3E">
        <w:t xml:space="preserve">, 24(6), pp. 677–688. Available at: </w:t>
      </w:r>
      <w:hyperlink r:id="rId42" w:history="1">
        <w:r w:rsidRPr="008A2C3E">
          <w:rPr>
            <w:rStyle w:val="Hyperlink"/>
          </w:rPr>
          <w:t>https://doi.org/10.1080/09687590903160118</w:t>
        </w:r>
      </w:hyperlink>
      <w:r w:rsidRPr="008A2C3E">
        <w:t>.</w:t>
      </w:r>
    </w:p>
    <w:p w14:paraId="1A83D31B" w14:textId="77777777" w:rsidR="008A2C3E" w:rsidRPr="008A2C3E" w:rsidRDefault="008A2C3E" w:rsidP="005779DE">
      <w:pPr>
        <w:spacing w:line="360" w:lineRule="auto"/>
      </w:pPr>
      <w:r w:rsidRPr="008A2C3E">
        <w:t xml:space="preserve">Kendall, L. (2025a) </w:t>
      </w:r>
      <w:r w:rsidRPr="008A2C3E">
        <w:rPr>
          <w:i/>
          <w:iCs/>
        </w:rPr>
        <w:t>Universal Credit and Personal Independence Payment Bill</w:t>
      </w:r>
      <w:r w:rsidRPr="008A2C3E">
        <w:t xml:space="preserve">. Available at: </w:t>
      </w:r>
      <w:hyperlink r:id="rId43" w:history="1">
        <w:r w:rsidRPr="008A2C3E">
          <w:rPr>
            <w:rStyle w:val="Hyperlink"/>
          </w:rPr>
          <w:t>https://publications.parliament.uk/pa/bills/cbill/59-01/0267/240267.pdf</w:t>
        </w:r>
      </w:hyperlink>
      <w:r w:rsidRPr="008A2C3E">
        <w:t xml:space="preserve"> (Accessed: 29 June 2025).</w:t>
      </w:r>
    </w:p>
    <w:p w14:paraId="4E46666F" w14:textId="77777777" w:rsidR="008A2C3E" w:rsidRDefault="008A2C3E" w:rsidP="005779DE">
      <w:pPr>
        <w:spacing w:line="360" w:lineRule="auto"/>
      </w:pPr>
      <w:r w:rsidRPr="008A2C3E">
        <w:t xml:space="preserve">Kendall, L. (2025b) </w:t>
      </w:r>
      <w:r w:rsidRPr="008A2C3E">
        <w:rPr>
          <w:i/>
          <w:iCs/>
        </w:rPr>
        <w:t>Written statements - Written questions, answers and statements - UK Parliament</w:t>
      </w:r>
      <w:r w:rsidRPr="008A2C3E">
        <w:t xml:space="preserve">, </w:t>
      </w:r>
      <w:r w:rsidRPr="008A2C3E">
        <w:rPr>
          <w:i/>
          <w:iCs/>
        </w:rPr>
        <w:t>Welfare Reform Statement made on 30 June 2025 -Statement UIN HCWS755</w:t>
      </w:r>
      <w:r w:rsidRPr="008A2C3E">
        <w:t xml:space="preserve">. Available at: </w:t>
      </w:r>
      <w:hyperlink r:id="rId44" w:history="1">
        <w:r w:rsidRPr="008A2C3E">
          <w:rPr>
            <w:rStyle w:val="Hyperlink"/>
          </w:rPr>
          <w:t>https://questions-statements.parliament.uk/written-statements/detail/2025-06-30/hcws755</w:t>
        </w:r>
      </w:hyperlink>
      <w:r w:rsidRPr="008A2C3E">
        <w:t xml:space="preserve"> (Accessed: 1 July 2025).</w:t>
      </w:r>
    </w:p>
    <w:p w14:paraId="22AE752C" w14:textId="3EDF823D" w:rsidR="00FF6F78" w:rsidRDefault="00FF6F78" w:rsidP="005779DE">
      <w:pPr>
        <w:spacing w:line="360" w:lineRule="auto"/>
      </w:pPr>
      <w:r w:rsidRPr="00FF6F78">
        <w:t xml:space="preserve">Kitchin, R. and Wilton, R. </w:t>
      </w:r>
      <w:r w:rsidR="00382F72">
        <w:t>(</w:t>
      </w:r>
      <w:r w:rsidRPr="00FF6F78">
        <w:t>2003</w:t>
      </w:r>
      <w:r w:rsidR="00382F72">
        <w:t>)</w:t>
      </w:r>
      <w:r w:rsidRPr="00FF6F78">
        <w:t>. Disability activism and the politics of scale. </w:t>
      </w:r>
      <w:r w:rsidRPr="00FF6F78">
        <w:rPr>
          <w:i/>
          <w:iCs/>
        </w:rPr>
        <w:t xml:space="preserve">Canadian Geographer/Le </w:t>
      </w:r>
      <w:proofErr w:type="spellStart"/>
      <w:r w:rsidRPr="00FF6F78">
        <w:rPr>
          <w:i/>
          <w:iCs/>
        </w:rPr>
        <w:t>Géographe</w:t>
      </w:r>
      <w:proofErr w:type="spellEnd"/>
      <w:r w:rsidRPr="00FF6F78">
        <w:rPr>
          <w:i/>
          <w:iCs/>
        </w:rPr>
        <w:t xml:space="preserve"> </w:t>
      </w:r>
      <w:proofErr w:type="spellStart"/>
      <w:r w:rsidRPr="00FF6F78">
        <w:rPr>
          <w:i/>
          <w:iCs/>
        </w:rPr>
        <w:t>canadien</w:t>
      </w:r>
      <w:proofErr w:type="spellEnd"/>
      <w:r w:rsidRPr="00FF6F78">
        <w:t>, </w:t>
      </w:r>
      <w:r w:rsidRPr="00FF6F78">
        <w:rPr>
          <w:i/>
          <w:iCs/>
        </w:rPr>
        <w:t>47</w:t>
      </w:r>
      <w:r w:rsidRPr="00FF6F78">
        <w:t>(2), pp.97-115.</w:t>
      </w:r>
    </w:p>
    <w:p w14:paraId="19AECEDE" w14:textId="4BFAB8E5" w:rsidR="00563AAE" w:rsidRPr="00563AAE" w:rsidRDefault="00AE21C6" w:rsidP="00563AAE">
      <w:pPr>
        <w:spacing w:after="0" w:line="360" w:lineRule="auto"/>
        <w:rPr>
          <w:rFonts w:eastAsia="Times New Roman" w:cs="Times New Roman"/>
          <w:kern w:val="0"/>
          <w:lang w:eastAsia="en-GB"/>
          <w14:ligatures w14:val="none"/>
        </w:rPr>
      </w:pPr>
      <w:r w:rsidRPr="00813D3E">
        <w:rPr>
          <w:rFonts w:eastAsia="Times New Roman" w:cs="Times New Roman"/>
          <w:kern w:val="0"/>
          <w:lang w:eastAsia="en-GB"/>
          <w14:ligatures w14:val="none"/>
        </w:rPr>
        <w:lastRenderedPageBreak/>
        <w:t xml:space="preserve">Labour Research Department (2025) </w:t>
      </w:r>
      <w:r w:rsidRPr="00813D3E">
        <w:rPr>
          <w:rFonts w:eastAsia="Times New Roman" w:cs="Times New Roman"/>
          <w:i/>
          <w:iCs/>
          <w:kern w:val="0"/>
          <w:lang w:eastAsia="en-GB"/>
          <w14:ligatures w14:val="none"/>
        </w:rPr>
        <w:t xml:space="preserve">Unions urge immediate </w:t>
      </w:r>
      <w:r w:rsidR="002A679B">
        <w:rPr>
          <w:rFonts w:eastAsia="Times New Roman" w:cs="Times New Roman"/>
          <w:i/>
          <w:iCs/>
          <w:kern w:val="0"/>
          <w:lang w:eastAsia="en-GB"/>
          <w14:ligatures w14:val="none"/>
        </w:rPr>
        <w:t>rethink</w:t>
      </w:r>
      <w:r w:rsidRPr="00813D3E">
        <w:rPr>
          <w:rFonts w:eastAsia="Times New Roman" w:cs="Times New Roman"/>
          <w:i/>
          <w:iCs/>
          <w:kern w:val="0"/>
          <w:lang w:eastAsia="en-GB"/>
          <w14:ligatures w14:val="none"/>
        </w:rPr>
        <w:t xml:space="preserve"> on welfare cuts | LRD</w:t>
      </w:r>
      <w:r w:rsidRPr="00813D3E">
        <w:rPr>
          <w:rFonts w:eastAsia="Times New Roman" w:cs="Times New Roman"/>
          <w:kern w:val="0"/>
          <w:lang w:eastAsia="en-GB"/>
          <w14:ligatures w14:val="none"/>
        </w:rPr>
        <w:t xml:space="preserve">. Available at: </w:t>
      </w:r>
      <w:hyperlink r:id="rId45" w:history="1">
        <w:r w:rsidRPr="00813D3E">
          <w:rPr>
            <w:rFonts w:eastAsia="Times New Roman" w:cs="Times New Roman"/>
            <w:color w:val="0000FF"/>
            <w:kern w:val="0"/>
            <w:u w:val="single"/>
            <w:lang w:eastAsia="en-GB"/>
            <w14:ligatures w14:val="none"/>
          </w:rPr>
          <w:t>https://www.lrd.org.uk/free-read/unions-urge-immediate-re-think-welfare-cuts</w:t>
        </w:r>
      </w:hyperlink>
      <w:r w:rsidRPr="00813D3E">
        <w:rPr>
          <w:rFonts w:eastAsia="Times New Roman" w:cs="Times New Roman"/>
          <w:kern w:val="0"/>
          <w:lang w:eastAsia="en-GB"/>
          <w14:ligatures w14:val="none"/>
        </w:rPr>
        <w:t xml:space="preserve"> (Accessed: 17 December 2025).</w:t>
      </w:r>
    </w:p>
    <w:p w14:paraId="7DD48FEE" w14:textId="764A410F" w:rsidR="008A2C3E" w:rsidRPr="008A2C3E" w:rsidRDefault="008A2C3E" w:rsidP="005779DE">
      <w:pPr>
        <w:spacing w:line="360" w:lineRule="auto"/>
      </w:pPr>
      <w:r w:rsidRPr="008A2C3E">
        <w:t xml:space="preserve">Lindbeck, A. (2006) ‘The Welfare State - Background, Achievements, Problems’, </w:t>
      </w:r>
      <w:r w:rsidRPr="008A2C3E">
        <w:rPr>
          <w:i/>
          <w:iCs/>
        </w:rPr>
        <w:t>Research Institute of Industrial Economics (IFN), Stockholm</w:t>
      </w:r>
      <w:r w:rsidRPr="008A2C3E">
        <w:t xml:space="preserve">, IFN Working Paper, No. 662. Available at: </w:t>
      </w:r>
      <w:hyperlink r:id="rId46" w:history="1">
        <w:r w:rsidRPr="008A2C3E">
          <w:rPr>
            <w:rStyle w:val="Hyperlink"/>
          </w:rPr>
          <w:t>https://hdl.handle.net/10419/81236</w:t>
        </w:r>
      </w:hyperlink>
      <w:r w:rsidRPr="008A2C3E">
        <w:t>.</w:t>
      </w:r>
    </w:p>
    <w:p w14:paraId="5EA294F8" w14:textId="77777777" w:rsidR="008A2C3E" w:rsidRDefault="008A2C3E" w:rsidP="005779DE">
      <w:pPr>
        <w:spacing w:line="360" w:lineRule="auto"/>
      </w:pPr>
      <w:r w:rsidRPr="008A2C3E">
        <w:t xml:space="preserve">Lister, R. (2001) ‘Towards a Citizens’ Welfare State’, </w:t>
      </w:r>
      <w:r w:rsidRPr="008A2C3E">
        <w:rPr>
          <w:i/>
          <w:iCs/>
        </w:rPr>
        <w:t>Theory, Culture &amp; Society Volume 18, Issue 2-3</w:t>
      </w:r>
      <w:r w:rsidRPr="008A2C3E">
        <w:t xml:space="preserve">, 18(2–3), pp. 1–30. Available at: </w:t>
      </w:r>
      <w:hyperlink r:id="rId47" w:history="1">
        <w:r w:rsidRPr="008A2C3E">
          <w:rPr>
            <w:rStyle w:val="Hyperlink"/>
          </w:rPr>
          <w:t>https://doi.org/10.1177/02632760122051805</w:t>
        </w:r>
      </w:hyperlink>
      <w:r w:rsidRPr="008A2C3E">
        <w:t>.</w:t>
      </w:r>
    </w:p>
    <w:p w14:paraId="7D73AB93" w14:textId="607D0EDE" w:rsidR="00396D92" w:rsidRDefault="00396D92" w:rsidP="005779DE">
      <w:pPr>
        <w:spacing w:line="360" w:lineRule="auto"/>
      </w:pPr>
      <w:r w:rsidRPr="00396D92">
        <w:t xml:space="preserve">Lindsay, C. and Houston, D. (2011). ‘Fit for Purpose? Welfare Reform and Challenges for Health and Labour Market Policy in the UK’. </w:t>
      </w:r>
      <w:r w:rsidRPr="00396D92">
        <w:rPr>
          <w:i/>
          <w:iCs/>
        </w:rPr>
        <w:t xml:space="preserve">Environment and Planning A: Economy and Space, </w:t>
      </w:r>
      <w:r w:rsidRPr="00396D92">
        <w:t xml:space="preserve">43:3, pp.703–721. </w:t>
      </w:r>
    </w:p>
    <w:p w14:paraId="57393517" w14:textId="03416941" w:rsidR="0092170F" w:rsidRDefault="0092170F" w:rsidP="005779DE">
      <w:pPr>
        <w:spacing w:line="360" w:lineRule="auto"/>
      </w:pPr>
      <w:r>
        <w:t>Lister</w:t>
      </w:r>
      <w:r w:rsidR="00321140">
        <w:t>, R. (2010)</w:t>
      </w:r>
      <w:r w:rsidR="00137E54">
        <w:t xml:space="preserve"> </w:t>
      </w:r>
      <w:r w:rsidR="005123B2">
        <w:rPr>
          <w:i/>
          <w:iCs/>
        </w:rPr>
        <w:t>Understa</w:t>
      </w:r>
      <w:r w:rsidR="009D3AC1">
        <w:rPr>
          <w:i/>
          <w:iCs/>
        </w:rPr>
        <w:t>nding Theories and Concepts</w:t>
      </w:r>
      <w:r w:rsidR="003E761A">
        <w:rPr>
          <w:i/>
          <w:iCs/>
        </w:rPr>
        <w:t xml:space="preserve"> </w:t>
      </w:r>
      <w:r w:rsidR="009D3AC1">
        <w:rPr>
          <w:i/>
          <w:iCs/>
        </w:rPr>
        <w:t>in Social Policy</w:t>
      </w:r>
      <w:r w:rsidR="003E761A">
        <w:rPr>
          <w:i/>
          <w:iCs/>
        </w:rPr>
        <w:t>.</w:t>
      </w:r>
      <w:r w:rsidR="003E761A">
        <w:t xml:space="preserve"> </w:t>
      </w:r>
      <w:r w:rsidR="00EE1EDE">
        <w:t>1</w:t>
      </w:r>
      <w:r w:rsidR="00EE1EDE" w:rsidRPr="00EE1EDE">
        <w:rPr>
          <w:vertAlign w:val="superscript"/>
        </w:rPr>
        <w:t>st</w:t>
      </w:r>
      <w:r w:rsidR="00EE1EDE">
        <w:t xml:space="preserve"> ed, University of Brist</w:t>
      </w:r>
      <w:r w:rsidR="00F957F1">
        <w:t>ol, The Policy Press, Bristol, UK</w:t>
      </w:r>
      <w:r w:rsidR="00A46520">
        <w:t>, pp.</w:t>
      </w:r>
      <w:r w:rsidR="00252C4C">
        <w:t>1</w:t>
      </w:r>
      <w:r w:rsidR="00524994">
        <w:t>–</w:t>
      </w:r>
      <w:r w:rsidR="00A3013B">
        <w:t>25</w:t>
      </w:r>
      <w:r w:rsidR="002C0382">
        <w:t xml:space="preserve">. ISBN: </w:t>
      </w:r>
      <w:r w:rsidR="00624824">
        <w:t>978-1-</w:t>
      </w:r>
      <w:r w:rsidR="00705CAB">
        <w:t>86134*793-0</w:t>
      </w:r>
    </w:p>
    <w:p w14:paraId="37AF9BDC" w14:textId="1AA84A47" w:rsidR="0039103A" w:rsidRDefault="0039103A" w:rsidP="005779DE">
      <w:pPr>
        <w:spacing w:line="360" w:lineRule="auto"/>
      </w:pPr>
      <w:r w:rsidRPr="0039103A">
        <w:t>Machin, R. (2017) ‘Made to measure? An analysis of the transition from Disability Living Allowance to Personal Independence Payment’, </w:t>
      </w:r>
      <w:r w:rsidRPr="0039103A">
        <w:rPr>
          <w:i/>
          <w:iCs/>
        </w:rPr>
        <w:t>Journal of Social Welfare and Family Law</w:t>
      </w:r>
      <w:r w:rsidRPr="0039103A">
        <w:t xml:space="preserve">, 39(4), pp. 435–453. </w:t>
      </w:r>
      <w:proofErr w:type="spellStart"/>
      <w:r w:rsidRPr="0039103A">
        <w:t>doi</w:t>
      </w:r>
      <w:proofErr w:type="spellEnd"/>
      <w:r w:rsidRPr="0039103A">
        <w:t>: 10.1080/09649069.2017.1390291.</w:t>
      </w:r>
    </w:p>
    <w:p w14:paraId="2159E069" w14:textId="59AB3291" w:rsidR="00CA64FE" w:rsidRPr="003E761A" w:rsidRDefault="00CA64FE" w:rsidP="005779DE">
      <w:pPr>
        <w:spacing w:line="360" w:lineRule="auto"/>
      </w:pPr>
      <w:r w:rsidRPr="00CA64FE">
        <w:t xml:space="preserve">McGee, R. and </w:t>
      </w:r>
      <w:proofErr w:type="spellStart"/>
      <w:r w:rsidRPr="00CA64FE">
        <w:t>Gaventa</w:t>
      </w:r>
      <w:proofErr w:type="spellEnd"/>
      <w:r w:rsidRPr="00CA64FE">
        <w:t xml:space="preserve">, J. </w:t>
      </w:r>
      <w:r>
        <w:t>(2011)</w:t>
      </w:r>
      <w:r w:rsidRPr="00CA64FE">
        <w:t>. Shifting power? Assessing the impact of transparency and accountability initiatives. </w:t>
      </w:r>
      <w:r w:rsidRPr="00CA64FE">
        <w:rPr>
          <w:i/>
          <w:iCs/>
        </w:rPr>
        <w:t>IDS Working Papers</w:t>
      </w:r>
      <w:r w:rsidRPr="00CA64FE">
        <w:t>, </w:t>
      </w:r>
      <w:r w:rsidRPr="00CA64FE">
        <w:rPr>
          <w:i/>
          <w:iCs/>
        </w:rPr>
        <w:t>2011</w:t>
      </w:r>
      <w:r w:rsidRPr="00CA64FE">
        <w:t>(383), pp.1-39.</w:t>
      </w:r>
    </w:p>
    <w:p w14:paraId="2DD9BDE8" w14:textId="38EF2167" w:rsidR="008A2C3E" w:rsidRDefault="008A2C3E" w:rsidP="005779DE">
      <w:pPr>
        <w:spacing w:line="360" w:lineRule="auto"/>
      </w:pPr>
      <w:r w:rsidRPr="008A2C3E">
        <w:t xml:space="preserve">Morris, J. (2006) Independent living: the role of the disability movement in the development of government policy’, in C. Glendinning and P.A. Kemp (eds) </w:t>
      </w:r>
      <w:r w:rsidRPr="008A2C3E">
        <w:rPr>
          <w:i/>
          <w:iCs/>
        </w:rPr>
        <w:t>Cash and care: Policy challenges in the welfare state</w:t>
      </w:r>
      <w:r w:rsidRPr="008A2C3E">
        <w:t xml:space="preserve">. Policy Press, p. 0. Available at: </w:t>
      </w:r>
      <w:hyperlink r:id="rId48" w:history="1">
        <w:r w:rsidRPr="008A2C3E">
          <w:rPr>
            <w:rStyle w:val="Hyperlink"/>
          </w:rPr>
          <w:t>https://doi.org/10.1332/policypress/9781861348562.003.0017</w:t>
        </w:r>
      </w:hyperlink>
      <w:r w:rsidRPr="008A2C3E">
        <w:t>.</w:t>
      </w:r>
    </w:p>
    <w:p w14:paraId="7631351D" w14:textId="00EE167D" w:rsidR="00C402BF" w:rsidRPr="008A2C3E" w:rsidRDefault="00C402BF" w:rsidP="005779DE">
      <w:pPr>
        <w:spacing w:line="360" w:lineRule="auto"/>
      </w:pPr>
      <w:r w:rsidRPr="00C402BF">
        <w:t>Murphy, K. (2012) ‘The social pillar of sustainable development: a literature review and framework for policy analysis’, </w:t>
      </w:r>
      <w:r w:rsidRPr="00C402BF">
        <w:rPr>
          <w:i/>
          <w:iCs/>
        </w:rPr>
        <w:t>Sustainability: Science, Practice and Policy</w:t>
      </w:r>
      <w:r w:rsidRPr="00C402BF">
        <w:t xml:space="preserve">, 8(1), pp. 15–29. </w:t>
      </w:r>
      <w:proofErr w:type="spellStart"/>
      <w:r w:rsidRPr="00C402BF">
        <w:t>doi</w:t>
      </w:r>
      <w:proofErr w:type="spellEnd"/>
      <w:r w:rsidRPr="00C402BF">
        <w:t>: 10.1080/15487733.2012.11908081.</w:t>
      </w:r>
    </w:p>
    <w:p w14:paraId="1557324B" w14:textId="2B79A2E1" w:rsidR="008A2C3E" w:rsidRDefault="008A2C3E" w:rsidP="005779DE">
      <w:pPr>
        <w:spacing w:line="360" w:lineRule="auto"/>
      </w:pPr>
      <w:r w:rsidRPr="008A2C3E">
        <w:lastRenderedPageBreak/>
        <w:t xml:space="preserve">Murray, A.H.E. (2022) </w:t>
      </w:r>
      <w:r w:rsidRPr="008A2C3E">
        <w:rPr>
          <w:i/>
          <w:iCs/>
        </w:rPr>
        <w:t>Amplifying Disabled Identities: Invisible Disabilities in Personal Independence Payment Assessments and Appeals</w:t>
      </w:r>
      <w:r w:rsidRPr="008A2C3E">
        <w:t xml:space="preserve">. Ph.D. The Open University. Available at: </w:t>
      </w:r>
      <w:hyperlink r:id="rId49" w:history="1">
        <w:r w:rsidRPr="008A2C3E">
          <w:rPr>
            <w:rStyle w:val="Hyperlink"/>
          </w:rPr>
          <w:t>https://oro.open.ac.uk/86069/</w:t>
        </w:r>
      </w:hyperlink>
      <w:r w:rsidRPr="008A2C3E">
        <w:t xml:space="preserve"> (Accessed: 5 December 2025).</w:t>
      </w:r>
    </w:p>
    <w:p w14:paraId="4C5DA354" w14:textId="77777777" w:rsidR="00AA6C56" w:rsidRPr="00AA6C56" w:rsidRDefault="00AA6C56" w:rsidP="00AA6C56">
      <w:pPr>
        <w:spacing w:line="360" w:lineRule="auto"/>
      </w:pPr>
      <w:proofErr w:type="spellStart"/>
      <w:r w:rsidRPr="00AA6C56">
        <w:t>Newig</w:t>
      </w:r>
      <w:proofErr w:type="spellEnd"/>
      <w:r w:rsidRPr="00AA6C56">
        <w:t xml:space="preserve">, J. </w:t>
      </w:r>
      <w:r w:rsidRPr="00AA6C56">
        <w:rPr>
          <w:i/>
          <w:iCs/>
        </w:rPr>
        <w:t>et al.</w:t>
      </w:r>
      <w:r w:rsidRPr="00AA6C56">
        <w:t xml:space="preserve"> (2013) ‘Communication regarding sustainability: Conceptual perspectives and exploration of societal subsystems’, </w:t>
      </w:r>
      <w:r w:rsidRPr="00AA6C56">
        <w:rPr>
          <w:i/>
          <w:iCs/>
        </w:rPr>
        <w:t>Sustainability</w:t>
      </w:r>
      <w:r w:rsidRPr="00AA6C56">
        <w:t xml:space="preserve">, 5(7), pp. 2976–2990. Available at: </w:t>
      </w:r>
      <w:hyperlink r:id="rId50" w:history="1">
        <w:r w:rsidRPr="00AA6C56">
          <w:rPr>
            <w:rStyle w:val="Hyperlink"/>
          </w:rPr>
          <w:t>https://www.mdpi.com/2071-1050/5/7/2976</w:t>
        </w:r>
      </w:hyperlink>
      <w:r w:rsidRPr="00AA6C56">
        <w:t xml:space="preserve"> (Accessed: 19 February 2026).</w:t>
      </w:r>
    </w:p>
    <w:p w14:paraId="6E004180" w14:textId="0A4E5A48" w:rsidR="004322B4" w:rsidRPr="004322B4" w:rsidRDefault="004322B4" w:rsidP="004322B4">
      <w:pPr>
        <w:spacing w:line="360" w:lineRule="auto"/>
      </w:pPr>
      <w:r w:rsidRPr="004322B4">
        <w:t xml:space="preserve">O’Brien, M. and Penna, S. (1998) </w:t>
      </w:r>
      <w:r w:rsidRPr="004322B4">
        <w:rPr>
          <w:i/>
          <w:iCs/>
        </w:rPr>
        <w:t>Theorising Welfare: Enlightenment and Modern Society</w:t>
      </w:r>
      <w:r w:rsidRPr="004322B4">
        <w:t>. SAGE Publications</w:t>
      </w:r>
      <w:r w:rsidR="00921F34">
        <w:t>, London United Kingdom</w:t>
      </w:r>
      <w:r w:rsidR="00BD0DF2">
        <w:t>, pp. 1 - 264</w:t>
      </w:r>
    </w:p>
    <w:p w14:paraId="4D3125E3" w14:textId="77777777" w:rsidR="008A2C3E" w:rsidRPr="008A2C3E" w:rsidRDefault="008A2C3E" w:rsidP="005779DE">
      <w:pPr>
        <w:spacing w:line="360" w:lineRule="auto"/>
      </w:pPr>
      <w:r w:rsidRPr="008A2C3E">
        <w:t xml:space="preserve">Oliver, M. (1990) ‘The Social Construction of the Disability Problem’, in M. Oliver (ed.) </w:t>
      </w:r>
      <w:r w:rsidRPr="008A2C3E">
        <w:rPr>
          <w:i/>
          <w:iCs/>
        </w:rPr>
        <w:t>The Politics of Disablement</w:t>
      </w:r>
      <w:r w:rsidRPr="008A2C3E">
        <w:t xml:space="preserve">. London: Macmillan Education UK, pp. 78–94. Available at: </w:t>
      </w:r>
      <w:hyperlink r:id="rId51" w:history="1">
        <w:r w:rsidRPr="008A2C3E">
          <w:rPr>
            <w:rStyle w:val="Hyperlink"/>
          </w:rPr>
          <w:t>https://doi.org/10.1007/978-1-349-20895-1_6</w:t>
        </w:r>
      </w:hyperlink>
      <w:r w:rsidRPr="008A2C3E">
        <w:t>.</w:t>
      </w:r>
    </w:p>
    <w:p w14:paraId="7187499B" w14:textId="77777777" w:rsidR="008A2C3E" w:rsidRPr="008A2C3E" w:rsidRDefault="008A2C3E" w:rsidP="005779DE">
      <w:pPr>
        <w:spacing w:line="360" w:lineRule="auto"/>
      </w:pPr>
      <w:r w:rsidRPr="008A2C3E">
        <w:t xml:space="preserve">Panitch, L.V. (1971) ‘Ideology and Integration: The Case of the British Labour Party’, </w:t>
      </w:r>
      <w:r w:rsidRPr="008A2C3E">
        <w:rPr>
          <w:i/>
          <w:iCs/>
        </w:rPr>
        <w:t>Political Studies</w:t>
      </w:r>
      <w:r w:rsidRPr="008A2C3E">
        <w:t xml:space="preserve">, 19(2), pp. 184–200. Available at: </w:t>
      </w:r>
      <w:hyperlink r:id="rId52" w:history="1">
        <w:r w:rsidRPr="008A2C3E">
          <w:rPr>
            <w:rStyle w:val="Hyperlink"/>
          </w:rPr>
          <w:t>https://doi.org/10.1111/j.1467-9248.1971.tb00669.x</w:t>
        </w:r>
      </w:hyperlink>
      <w:r w:rsidRPr="008A2C3E">
        <w:t>.</w:t>
      </w:r>
    </w:p>
    <w:p w14:paraId="6E1FBED6" w14:textId="0528CBF3" w:rsidR="008A2C3E" w:rsidRDefault="008A2C3E" w:rsidP="005779DE">
      <w:pPr>
        <w:spacing w:line="360" w:lineRule="auto"/>
      </w:pPr>
      <w:r w:rsidRPr="008A2C3E">
        <w:t xml:space="preserve">Roberts, H. </w:t>
      </w:r>
      <w:r w:rsidRPr="008A2C3E">
        <w:rPr>
          <w:i/>
          <w:iCs/>
        </w:rPr>
        <w:t>et al.</w:t>
      </w:r>
      <w:r w:rsidRPr="008A2C3E">
        <w:t xml:space="preserve"> (2024) ‘It’s Like the Sword of Damocles</w:t>
      </w:r>
      <w:r w:rsidR="00786A99">
        <w:t>’</w:t>
      </w:r>
      <w:r w:rsidRPr="008A2C3E">
        <w:t xml:space="preserve">– A Trauma-Informed Framework Analysis of Individuals’ Experiences of Assessment for the Personal Independence Payment Benefit in the UK’, </w:t>
      </w:r>
      <w:r w:rsidRPr="008A2C3E">
        <w:rPr>
          <w:i/>
          <w:iCs/>
        </w:rPr>
        <w:t>Journal of Social Policy</w:t>
      </w:r>
      <w:r w:rsidRPr="008A2C3E">
        <w:t xml:space="preserve">, 53(4), pp. 997–1015. Available at: </w:t>
      </w:r>
      <w:hyperlink r:id="rId53" w:history="1">
        <w:r w:rsidRPr="008A2C3E">
          <w:rPr>
            <w:rStyle w:val="Hyperlink"/>
          </w:rPr>
          <w:t>https://doi.org/10.1017/S0047279422000800</w:t>
        </w:r>
      </w:hyperlink>
      <w:r w:rsidRPr="008A2C3E">
        <w:t>.</w:t>
      </w:r>
    </w:p>
    <w:p w14:paraId="04D1C72B" w14:textId="3838CF4C" w:rsidR="00374023" w:rsidRPr="00374023" w:rsidRDefault="00374023" w:rsidP="005779DE">
      <w:pPr>
        <w:spacing w:line="360" w:lineRule="auto"/>
      </w:pPr>
      <w:r w:rsidRPr="00374023">
        <w:t>R</w:t>
      </w:r>
      <w:r w:rsidR="00474D13">
        <w:t>obinson</w:t>
      </w:r>
      <w:r w:rsidRPr="00374023">
        <w:t>, J., H</w:t>
      </w:r>
      <w:r w:rsidR="00474D13">
        <w:t>olland</w:t>
      </w:r>
      <w:r w:rsidRPr="00374023">
        <w:t>, S., &amp; S</w:t>
      </w:r>
      <w:r w:rsidR="00474D13">
        <w:t>ilverman</w:t>
      </w:r>
      <w:r w:rsidRPr="00374023">
        <w:t xml:space="preserve">, B. (1980). The Crisis of the British Welfare State. </w:t>
      </w:r>
      <w:r w:rsidRPr="00374023">
        <w:rPr>
          <w:i/>
          <w:iCs/>
        </w:rPr>
        <w:t>Challenge</w:t>
      </w:r>
      <w:r w:rsidRPr="00374023">
        <w:t xml:space="preserve">, </w:t>
      </w:r>
      <w:r w:rsidRPr="00374023">
        <w:rPr>
          <w:i/>
          <w:iCs/>
        </w:rPr>
        <w:t>23</w:t>
      </w:r>
      <w:r w:rsidRPr="00374023">
        <w:t xml:space="preserve">(4), 28–39. </w:t>
      </w:r>
      <w:hyperlink r:id="rId54" w:history="1">
        <w:r w:rsidR="00833B28" w:rsidRPr="007D3DC5">
          <w:rPr>
            <w:rStyle w:val="Hyperlink"/>
          </w:rPr>
          <w:t>http://www.jstor.org/stable/40719895</w:t>
        </w:r>
      </w:hyperlink>
      <w:r w:rsidR="00833B28">
        <w:t xml:space="preserve">. </w:t>
      </w:r>
    </w:p>
    <w:p w14:paraId="52E8F793" w14:textId="514AE0AA" w:rsidR="008A2C3E" w:rsidRPr="008A2C3E" w:rsidRDefault="008A2C3E" w:rsidP="005779DE">
      <w:pPr>
        <w:spacing w:line="360" w:lineRule="auto"/>
      </w:pPr>
      <w:proofErr w:type="spellStart"/>
      <w:r w:rsidRPr="008A2C3E">
        <w:t>Roulstone</w:t>
      </w:r>
      <w:proofErr w:type="spellEnd"/>
      <w:r w:rsidRPr="008A2C3E">
        <w:t>, A. (2015)</w:t>
      </w:r>
      <w:r w:rsidR="00396D92">
        <w:t>.</w:t>
      </w:r>
      <w:r w:rsidRPr="008A2C3E">
        <w:t xml:space="preserve"> ‘Personal Independence Payments, welfare reform and the shrinking disability category’, </w:t>
      </w:r>
      <w:r w:rsidRPr="008A2C3E">
        <w:rPr>
          <w:i/>
          <w:iCs/>
        </w:rPr>
        <w:t>Disability &amp; Society</w:t>
      </w:r>
      <w:r w:rsidRPr="008A2C3E">
        <w:t xml:space="preserve">, 30(5), pp. 673–688. Available at: </w:t>
      </w:r>
      <w:hyperlink r:id="rId55" w:history="1">
        <w:r w:rsidRPr="008A2C3E">
          <w:rPr>
            <w:rStyle w:val="Hyperlink"/>
          </w:rPr>
          <w:t>https://doi.org/10.1080/09687599.2015.1021759</w:t>
        </w:r>
      </w:hyperlink>
      <w:r w:rsidRPr="008A2C3E">
        <w:t>.</w:t>
      </w:r>
    </w:p>
    <w:p w14:paraId="4E6EA887" w14:textId="4099CC06" w:rsidR="008A2C3E" w:rsidRPr="008A2C3E" w:rsidRDefault="008A2C3E" w:rsidP="005779DE">
      <w:pPr>
        <w:spacing w:line="360" w:lineRule="auto"/>
      </w:pPr>
      <w:r w:rsidRPr="008A2C3E">
        <w:t>Rummery, K. (2016)</w:t>
      </w:r>
      <w:r w:rsidR="00396D92">
        <w:t>.</w:t>
      </w:r>
      <w:r w:rsidRPr="008A2C3E">
        <w:t xml:space="preserve"> ‘Equalities: The impact of welfare reform and austerity by gender, disability and age in Hugh Bochel, and Martin Powell (eds)’, in </w:t>
      </w:r>
      <w:r w:rsidRPr="008A2C3E">
        <w:rPr>
          <w:i/>
          <w:iCs/>
        </w:rPr>
        <w:t>The Coalition Government and Social Policy Restructuring the Welfare State</w:t>
      </w:r>
      <w:r w:rsidRPr="008A2C3E">
        <w:t xml:space="preserve">. Bristol University Press, pp. 309–324. Available at: </w:t>
      </w:r>
      <w:hyperlink r:id="rId56" w:history="1">
        <w:r w:rsidRPr="008A2C3E">
          <w:rPr>
            <w:rStyle w:val="Hyperlink"/>
          </w:rPr>
          <w:t>https://doi.org/10.1332/policypress/9781447324560.003.0014</w:t>
        </w:r>
      </w:hyperlink>
      <w:r w:rsidRPr="008A2C3E">
        <w:t>.</w:t>
      </w:r>
    </w:p>
    <w:p w14:paraId="064432FD" w14:textId="6734DC17" w:rsidR="008A2C3E" w:rsidRPr="008A2C3E" w:rsidRDefault="008A2C3E" w:rsidP="005779DE">
      <w:pPr>
        <w:spacing w:line="360" w:lineRule="auto"/>
      </w:pPr>
      <w:proofErr w:type="spellStart"/>
      <w:r w:rsidRPr="008A2C3E">
        <w:lastRenderedPageBreak/>
        <w:t>Sachweh</w:t>
      </w:r>
      <w:proofErr w:type="spellEnd"/>
      <w:r w:rsidRPr="008A2C3E">
        <w:t>, P. and Olafsdottir, S. (2012)</w:t>
      </w:r>
      <w:r w:rsidR="00396D92">
        <w:t>.</w:t>
      </w:r>
      <w:r w:rsidRPr="008A2C3E">
        <w:t xml:space="preserve"> ‘The Welfare State and Equality? Stratification Realities and Aspirations in Three Welfare Regimes’, </w:t>
      </w:r>
      <w:r w:rsidRPr="008A2C3E">
        <w:rPr>
          <w:i/>
          <w:iCs/>
        </w:rPr>
        <w:t>European Sociological Review</w:t>
      </w:r>
      <w:r w:rsidRPr="008A2C3E">
        <w:t xml:space="preserve">, 28(2), pp. 149–168. Available at: </w:t>
      </w:r>
      <w:hyperlink r:id="rId57" w:history="1">
        <w:r w:rsidRPr="008A2C3E">
          <w:rPr>
            <w:rStyle w:val="Hyperlink"/>
          </w:rPr>
          <w:t>https://doi.org/10.1093/esr/jcq055</w:t>
        </w:r>
      </w:hyperlink>
      <w:r w:rsidRPr="008A2C3E">
        <w:t>.</w:t>
      </w:r>
    </w:p>
    <w:p w14:paraId="0164D5A0" w14:textId="71EC5D5B" w:rsidR="008A2C3E" w:rsidRPr="008A2C3E" w:rsidRDefault="008A2C3E" w:rsidP="005779DE">
      <w:pPr>
        <w:spacing w:line="360" w:lineRule="auto"/>
      </w:pPr>
      <w:r w:rsidRPr="008A2C3E">
        <w:t>Sainsbury, R. (2014)</w:t>
      </w:r>
      <w:r w:rsidR="00396D92">
        <w:t>.</w:t>
      </w:r>
      <w:r w:rsidRPr="008A2C3E">
        <w:t xml:space="preserve"> ‘Talking Universal Credit: in conversation with Lord Freud, Minister for Welfare Reform’, </w:t>
      </w:r>
      <w:r w:rsidRPr="008A2C3E">
        <w:rPr>
          <w:i/>
          <w:iCs/>
        </w:rPr>
        <w:t>Journal of Poverty and Social Justice</w:t>
      </w:r>
      <w:r w:rsidRPr="008A2C3E">
        <w:t xml:space="preserve">, 22(1), pp. 37–44. Available at: </w:t>
      </w:r>
      <w:hyperlink r:id="rId58" w:history="1">
        <w:r w:rsidRPr="008A2C3E">
          <w:rPr>
            <w:rStyle w:val="Hyperlink"/>
          </w:rPr>
          <w:t>https://doi.org/10.1332/175982714X13875308002243</w:t>
        </w:r>
      </w:hyperlink>
      <w:r w:rsidRPr="008A2C3E">
        <w:t>.</w:t>
      </w:r>
    </w:p>
    <w:p w14:paraId="14641A11" w14:textId="77777777" w:rsidR="008A2C3E" w:rsidRPr="008A2C3E" w:rsidRDefault="008A2C3E" w:rsidP="005779DE">
      <w:pPr>
        <w:spacing w:line="360" w:lineRule="auto"/>
      </w:pPr>
      <w:r w:rsidRPr="008A2C3E">
        <w:t xml:space="preserve">Sainsbury, R. and Millar, J. (2018) </w:t>
      </w:r>
      <w:r w:rsidRPr="008A2C3E">
        <w:rPr>
          <w:i/>
          <w:iCs/>
        </w:rPr>
        <w:t>Understanding Social Security: Issues for Policy and Practice.</w:t>
      </w:r>
      <w:r w:rsidRPr="008A2C3E">
        <w:t xml:space="preserve"> 3rd </w:t>
      </w:r>
      <w:proofErr w:type="spellStart"/>
      <w:r w:rsidRPr="008A2C3E">
        <w:t>edn</w:t>
      </w:r>
      <w:proofErr w:type="spellEnd"/>
      <w:r w:rsidRPr="008A2C3E">
        <w:t xml:space="preserve">. University of Bristol: Policy Press. Available at: </w:t>
      </w:r>
      <w:hyperlink r:id="rId59" w:history="1">
        <w:r w:rsidRPr="008A2C3E">
          <w:rPr>
            <w:rStyle w:val="Hyperlink"/>
          </w:rPr>
          <w:t>https://www.wiley.com/en-au/Understanding+Social+Security%3A+Issues+for+Policy+and+Practice%2C+3rd+Edition-p-9781447339472</w:t>
        </w:r>
      </w:hyperlink>
      <w:r w:rsidRPr="008A2C3E">
        <w:t xml:space="preserve"> (Accessed: 5 December 2025).</w:t>
      </w:r>
    </w:p>
    <w:p w14:paraId="5F48C7D4" w14:textId="77777777" w:rsidR="008A2C3E" w:rsidRPr="008A2C3E" w:rsidRDefault="008A2C3E" w:rsidP="005779DE">
      <w:pPr>
        <w:spacing w:line="360" w:lineRule="auto"/>
      </w:pPr>
      <w:r w:rsidRPr="008A2C3E">
        <w:t xml:space="preserve">Siebers, T. (2001) ‘Disability in Theory: From Social Constructionism to the New Realism of the Body.’, </w:t>
      </w:r>
      <w:r w:rsidRPr="008A2C3E">
        <w:rPr>
          <w:i/>
          <w:iCs/>
        </w:rPr>
        <w:t>American Literacy History</w:t>
      </w:r>
      <w:r w:rsidRPr="008A2C3E">
        <w:t xml:space="preserve">, (13 (4)), pp. 737–754. Available at: </w:t>
      </w:r>
      <w:hyperlink r:id="rId60" w:history="1">
        <w:r w:rsidRPr="008A2C3E">
          <w:rPr>
            <w:rStyle w:val="Hyperlink"/>
          </w:rPr>
          <w:t>https://www-jstor-org.ezproxy.uwtsd.ac.uk/stable/3054594</w:t>
        </w:r>
      </w:hyperlink>
      <w:r w:rsidRPr="008A2C3E">
        <w:t xml:space="preserve"> (Accessed: 4 December 2025).</w:t>
      </w:r>
    </w:p>
    <w:p w14:paraId="06270A91" w14:textId="77777777" w:rsidR="008A2C3E" w:rsidRPr="008A2C3E" w:rsidRDefault="008A2C3E" w:rsidP="005779DE">
      <w:pPr>
        <w:spacing w:line="360" w:lineRule="auto"/>
      </w:pPr>
      <w:proofErr w:type="spellStart"/>
      <w:r w:rsidRPr="008A2C3E">
        <w:t>Slorach</w:t>
      </w:r>
      <w:proofErr w:type="spellEnd"/>
      <w:r w:rsidRPr="008A2C3E">
        <w:t xml:space="preserve">, R. (2024) </w:t>
      </w:r>
      <w:r w:rsidRPr="008A2C3E">
        <w:rPr>
          <w:i/>
          <w:iCs/>
        </w:rPr>
        <w:t>A Very Capitalist Condition</w:t>
      </w:r>
      <w:r w:rsidRPr="008A2C3E">
        <w:t xml:space="preserve">. 2024th </w:t>
      </w:r>
      <w:proofErr w:type="spellStart"/>
      <w:r w:rsidRPr="008A2C3E">
        <w:t>edn</w:t>
      </w:r>
      <w:proofErr w:type="spellEnd"/>
      <w:r w:rsidRPr="008A2C3E">
        <w:t xml:space="preserve">. London, United Kingdom: Bookmarks Publications. Available at: </w:t>
      </w:r>
      <w:hyperlink r:id="rId61" w:history="1">
        <w:r w:rsidRPr="008A2C3E">
          <w:rPr>
            <w:rStyle w:val="Hyperlink"/>
          </w:rPr>
          <w:t>https://blackwells.co.uk/bookshop/product/A-Very-Capitalist-Condition-by-Roddy-Slorach/9781914143984</w:t>
        </w:r>
      </w:hyperlink>
      <w:r w:rsidRPr="008A2C3E">
        <w:t xml:space="preserve"> (Accessed: 5 December 2025).</w:t>
      </w:r>
    </w:p>
    <w:p w14:paraId="2D7BF62A" w14:textId="77777777" w:rsidR="008A2C3E" w:rsidRPr="008A2C3E" w:rsidRDefault="008A2C3E" w:rsidP="005779DE">
      <w:pPr>
        <w:spacing w:line="360" w:lineRule="auto"/>
      </w:pPr>
      <w:r w:rsidRPr="008A2C3E">
        <w:t xml:space="preserve">Smith, S.R. (2013) ‘Liberal Ethics and Well-being Promotion in the Disability Rights Movement, Disability Policy, and Welfare Practice’, </w:t>
      </w:r>
      <w:r w:rsidRPr="008A2C3E">
        <w:rPr>
          <w:i/>
          <w:iCs/>
        </w:rPr>
        <w:t>Ethics and social welfare</w:t>
      </w:r>
      <w:r w:rsidRPr="008A2C3E">
        <w:t xml:space="preserve">, 7(1), pp. 20–35. Available at: </w:t>
      </w:r>
      <w:hyperlink r:id="rId62" w:history="1">
        <w:r w:rsidRPr="008A2C3E">
          <w:rPr>
            <w:rStyle w:val="Hyperlink"/>
          </w:rPr>
          <w:t>https://doi.org/10.1080/17496535.2012.671839</w:t>
        </w:r>
      </w:hyperlink>
      <w:r w:rsidRPr="008A2C3E">
        <w:t>.</w:t>
      </w:r>
    </w:p>
    <w:p w14:paraId="079F7072" w14:textId="77777777" w:rsidR="008A2C3E" w:rsidRDefault="008A2C3E" w:rsidP="005779DE">
      <w:pPr>
        <w:spacing w:line="360" w:lineRule="auto"/>
      </w:pPr>
      <w:proofErr w:type="spellStart"/>
      <w:r w:rsidRPr="008A2C3E">
        <w:t>Soldatic</w:t>
      </w:r>
      <w:proofErr w:type="spellEnd"/>
      <w:r w:rsidRPr="008A2C3E">
        <w:t xml:space="preserve">, K. (2018) </w:t>
      </w:r>
      <w:r w:rsidRPr="008A2C3E">
        <w:rPr>
          <w:i/>
          <w:iCs/>
        </w:rPr>
        <w:t>Disability and Neoliberal State Formations</w:t>
      </w:r>
      <w:r w:rsidRPr="008A2C3E">
        <w:t xml:space="preserve">. London: Routledge. Available at: </w:t>
      </w:r>
      <w:hyperlink r:id="rId63" w:history="1">
        <w:r w:rsidRPr="008A2C3E">
          <w:rPr>
            <w:rStyle w:val="Hyperlink"/>
          </w:rPr>
          <w:t>https://doi.org/10.4324/9781315577319</w:t>
        </w:r>
      </w:hyperlink>
      <w:r w:rsidRPr="008A2C3E">
        <w:t>.</w:t>
      </w:r>
    </w:p>
    <w:p w14:paraId="4013AFB2" w14:textId="37DEA37E" w:rsidR="003B6BF0" w:rsidRPr="008A2C3E" w:rsidRDefault="003B6BF0" w:rsidP="005779DE">
      <w:pPr>
        <w:spacing w:line="360" w:lineRule="auto"/>
      </w:pPr>
      <w:r w:rsidRPr="003B6BF0">
        <w:t xml:space="preserve">‘Written evidence from Mo Stewart (PEA0104)’ (2017). House of Commons, London: Committees Parliament UK. Available at: </w:t>
      </w:r>
      <w:hyperlink r:id="rId64" w:history="1">
        <w:r w:rsidRPr="003B6BF0">
          <w:rPr>
            <w:rStyle w:val="Hyperlink"/>
          </w:rPr>
          <w:t>https://committees.parliament.uk/writtenevidence/82222/html/</w:t>
        </w:r>
      </w:hyperlink>
      <w:r w:rsidRPr="003B6BF0">
        <w:t>.</w:t>
      </w:r>
      <w:r w:rsidR="00FE4CB3">
        <w:t xml:space="preserve"> (Accessed</w:t>
      </w:r>
      <w:r w:rsidR="00C94557">
        <w:t>: 07 January 202</w:t>
      </w:r>
      <w:r w:rsidR="002A2A46">
        <w:t>6)</w:t>
      </w:r>
    </w:p>
    <w:p w14:paraId="0AA967F6" w14:textId="77777777" w:rsidR="008A2C3E" w:rsidRPr="008A2C3E" w:rsidRDefault="008A2C3E" w:rsidP="005779DE">
      <w:pPr>
        <w:spacing w:line="360" w:lineRule="auto"/>
      </w:pPr>
      <w:r w:rsidRPr="008A2C3E">
        <w:lastRenderedPageBreak/>
        <w:t xml:space="preserve">Stiglitz, J.E. (2014) ‘Reforming Taxation to Promote Growth and Equity’, </w:t>
      </w:r>
      <w:r w:rsidRPr="008A2C3E">
        <w:rPr>
          <w:i/>
          <w:iCs/>
        </w:rPr>
        <w:t>Roosevelt Institute, White Paper</w:t>
      </w:r>
      <w:r w:rsidRPr="008A2C3E">
        <w:t>, pp. 1–29.</w:t>
      </w:r>
    </w:p>
    <w:p w14:paraId="2005F1BB" w14:textId="4DD8FB5B" w:rsidR="008A2C3E" w:rsidRPr="008A2C3E" w:rsidRDefault="008A2C3E" w:rsidP="005779DE">
      <w:pPr>
        <w:spacing w:line="360" w:lineRule="auto"/>
      </w:pPr>
      <w:r w:rsidRPr="008A2C3E">
        <w:t xml:space="preserve">Swain, J. </w:t>
      </w:r>
      <w:r w:rsidRPr="008A2C3E">
        <w:rPr>
          <w:i/>
          <w:iCs/>
        </w:rPr>
        <w:t>et al.</w:t>
      </w:r>
      <w:r w:rsidRPr="008A2C3E">
        <w:t xml:space="preserve"> (2013) </w:t>
      </w:r>
      <w:r w:rsidRPr="008A2C3E">
        <w:rPr>
          <w:i/>
          <w:iCs/>
        </w:rPr>
        <w:t>Disabling Barriers - Enabling Environments</w:t>
      </w:r>
      <w:r w:rsidRPr="008A2C3E">
        <w:t>. SAGE Publications, Limited</w:t>
      </w:r>
      <w:r w:rsidR="002573B8">
        <w:t xml:space="preserve">, London, United Kingdom. </w:t>
      </w:r>
      <w:r w:rsidR="002573B8" w:rsidRPr="002573B8">
        <w:t>ISBN: ‎ 978-1446258996</w:t>
      </w:r>
    </w:p>
    <w:p w14:paraId="1F17509A" w14:textId="392316C9" w:rsidR="008A2C3E" w:rsidRPr="008A2C3E" w:rsidRDefault="008A2C3E" w:rsidP="005779DE">
      <w:pPr>
        <w:spacing w:line="360" w:lineRule="auto"/>
      </w:pPr>
      <w:r w:rsidRPr="008A2C3E">
        <w:t>Taylor, G. (200</w:t>
      </w:r>
      <w:r w:rsidR="00024E32">
        <w:t>7</w:t>
      </w:r>
      <w:r w:rsidRPr="008A2C3E">
        <w:t>)</w:t>
      </w:r>
      <w:r w:rsidR="002A679B">
        <w:t>.</w:t>
      </w:r>
      <w:r w:rsidRPr="008A2C3E">
        <w:t xml:space="preserve"> </w:t>
      </w:r>
      <w:r w:rsidRPr="008A2C3E">
        <w:rPr>
          <w:i/>
          <w:iCs/>
        </w:rPr>
        <w:t>Ideology and Welfare</w:t>
      </w:r>
      <w:r w:rsidRPr="008A2C3E">
        <w:t>. Macmillan Education UK</w:t>
      </w:r>
      <w:r w:rsidR="00833B28">
        <w:t>, Basingstoke, Hampshire. United Kingdom, ISBN: 0-333-92930-6</w:t>
      </w:r>
    </w:p>
    <w:p w14:paraId="5C7BEA3A" w14:textId="77777777" w:rsidR="008A2C3E" w:rsidRPr="008A2C3E" w:rsidRDefault="008A2C3E" w:rsidP="005779DE">
      <w:pPr>
        <w:spacing w:line="360" w:lineRule="auto"/>
      </w:pPr>
      <w:r w:rsidRPr="008A2C3E">
        <w:t xml:space="preserve">Taylor-Gooby, P. and </w:t>
      </w:r>
      <w:proofErr w:type="spellStart"/>
      <w:r w:rsidRPr="008A2C3E">
        <w:t>Leruth</w:t>
      </w:r>
      <w:proofErr w:type="spellEnd"/>
      <w:r w:rsidRPr="008A2C3E">
        <w:t xml:space="preserve">, B. (2018) ‘Individualism and Neo-Liberalism’, in P. Taylor-Gooby and B. </w:t>
      </w:r>
      <w:proofErr w:type="spellStart"/>
      <w:r w:rsidRPr="008A2C3E">
        <w:t>Leruth</w:t>
      </w:r>
      <w:proofErr w:type="spellEnd"/>
      <w:r w:rsidRPr="008A2C3E">
        <w:t xml:space="preserve"> (eds) </w:t>
      </w:r>
      <w:r w:rsidRPr="008A2C3E">
        <w:rPr>
          <w:i/>
          <w:iCs/>
        </w:rPr>
        <w:t>Attitudes, Aspirations and Welfare: Social Policy Directions in Uncertain Times</w:t>
      </w:r>
      <w:r w:rsidRPr="008A2C3E">
        <w:t xml:space="preserve">. Cham: Springer International Publishing, pp. 29–61. Available at: </w:t>
      </w:r>
      <w:hyperlink r:id="rId65" w:history="1">
        <w:r w:rsidRPr="008A2C3E">
          <w:rPr>
            <w:rStyle w:val="Hyperlink"/>
          </w:rPr>
          <w:t>https://doi.org/10.1007/978-3-319-75783-4_2</w:t>
        </w:r>
      </w:hyperlink>
      <w:r w:rsidRPr="008A2C3E">
        <w:t>.</w:t>
      </w:r>
    </w:p>
    <w:p w14:paraId="18D59B73" w14:textId="36362E33" w:rsidR="008A2C3E" w:rsidRPr="008A2C3E" w:rsidRDefault="008A2C3E" w:rsidP="005779DE">
      <w:pPr>
        <w:spacing w:line="360" w:lineRule="auto"/>
      </w:pPr>
      <w:r w:rsidRPr="008A2C3E">
        <w:t>Timmins, N.</w:t>
      </w:r>
      <w:r w:rsidR="002573B8">
        <w:t xml:space="preserve"> </w:t>
      </w:r>
      <w:r w:rsidRPr="008A2C3E">
        <w:t xml:space="preserve">(2017) </w:t>
      </w:r>
      <w:r w:rsidRPr="008A2C3E">
        <w:rPr>
          <w:i/>
          <w:iCs/>
        </w:rPr>
        <w:t>The Five Giants [New Edition]: A Biography of the Welfare State</w:t>
      </w:r>
      <w:r w:rsidRPr="008A2C3E">
        <w:t>. London: William Collins.</w:t>
      </w:r>
    </w:p>
    <w:p w14:paraId="55B93F3A" w14:textId="77777777" w:rsidR="008A2C3E" w:rsidRPr="008A2C3E" w:rsidRDefault="008A2C3E" w:rsidP="005779DE">
      <w:pPr>
        <w:spacing w:line="360" w:lineRule="auto"/>
      </w:pPr>
      <w:r w:rsidRPr="008A2C3E">
        <w:t xml:space="preserve">Timms, S. (2025a) </w:t>
      </w:r>
      <w:r w:rsidRPr="008A2C3E">
        <w:rPr>
          <w:i/>
          <w:iCs/>
        </w:rPr>
        <w:t>The Timms Review - United Kingdom Parliament</w:t>
      </w:r>
      <w:r w:rsidRPr="008A2C3E">
        <w:t xml:space="preserve">, </w:t>
      </w:r>
      <w:r w:rsidRPr="008A2C3E">
        <w:rPr>
          <w:i/>
          <w:iCs/>
        </w:rPr>
        <w:t>Bing</w:t>
      </w:r>
      <w:r w:rsidRPr="008A2C3E">
        <w:t xml:space="preserve">. Available at: </w:t>
      </w:r>
      <w:hyperlink r:id="rId66" w:history="1">
        <w:r w:rsidRPr="008A2C3E">
          <w:rPr>
            <w:rStyle w:val="Hyperlink"/>
          </w:rPr>
          <w:t xml:space="preserve">https://www.bing.com/search?q=parliament </w:t>
        </w:r>
        <w:proofErr w:type="spellStart"/>
        <w:r w:rsidRPr="008A2C3E">
          <w:rPr>
            <w:rStyle w:val="Hyperlink"/>
          </w:rPr>
          <w:t>uktimms</w:t>
        </w:r>
        <w:proofErr w:type="spellEnd"/>
        <w:r w:rsidRPr="008A2C3E">
          <w:rPr>
            <w:rStyle w:val="Hyperlink"/>
          </w:rPr>
          <w:t xml:space="preserve"> </w:t>
        </w:r>
        <w:proofErr w:type="spellStart"/>
        <w:r w:rsidRPr="008A2C3E">
          <w:rPr>
            <w:rStyle w:val="Hyperlink"/>
          </w:rPr>
          <w:t>review&amp;qs</w:t>
        </w:r>
        <w:proofErr w:type="spellEnd"/>
        <w:r w:rsidRPr="008A2C3E">
          <w:rPr>
            <w:rStyle w:val="Hyperlink"/>
          </w:rPr>
          <w:t>=</w:t>
        </w:r>
        <w:proofErr w:type="spellStart"/>
        <w:r w:rsidRPr="008A2C3E">
          <w:rPr>
            <w:rStyle w:val="Hyperlink"/>
          </w:rPr>
          <w:t>n&amp;form</w:t>
        </w:r>
        <w:proofErr w:type="spellEnd"/>
        <w:r w:rsidRPr="008A2C3E">
          <w:rPr>
            <w:rStyle w:val="Hyperlink"/>
          </w:rPr>
          <w:t>=</w:t>
        </w:r>
        <w:proofErr w:type="spellStart"/>
        <w:r w:rsidRPr="008A2C3E">
          <w:rPr>
            <w:rStyle w:val="Hyperlink"/>
          </w:rPr>
          <w:t>QBRE&amp;sp</w:t>
        </w:r>
        <w:proofErr w:type="spellEnd"/>
        <w:r w:rsidRPr="008A2C3E">
          <w:rPr>
            <w:rStyle w:val="Hyperlink"/>
          </w:rPr>
          <w:t xml:space="preserve">=-1&amp;lq=0&amp;pq=parliament </w:t>
        </w:r>
        <w:proofErr w:type="spellStart"/>
        <w:r w:rsidRPr="008A2C3E">
          <w:rPr>
            <w:rStyle w:val="Hyperlink"/>
          </w:rPr>
          <w:t>uktimms</w:t>
        </w:r>
        <w:proofErr w:type="spellEnd"/>
        <w:r w:rsidRPr="008A2C3E">
          <w:rPr>
            <w:rStyle w:val="Hyperlink"/>
          </w:rPr>
          <w:t xml:space="preserve"> </w:t>
        </w:r>
        <w:proofErr w:type="spellStart"/>
        <w:r w:rsidRPr="008A2C3E">
          <w:rPr>
            <w:rStyle w:val="Hyperlink"/>
          </w:rPr>
          <w:t>review&amp;sc</w:t>
        </w:r>
        <w:proofErr w:type="spellEnd"/>
        <w:r w:rsidRPr="008A2C3E">
          <w:rPr>
            <w:rStyle w:val="Hyperlink"/>
          </w:rPr>
          <w:t>=0-25&amp;sk=&amp;</w:t>
        </w:r>
        <w:proofErr w:type="spellStart"/>
        <w:r w:rsidRPr="008A2C3E">
          <w:rPr>
            <w:rStyle w:val="Hyperlink"/>
          </w:rPr>
          <w:t>cvid</w:t>
        </w:r>
        <w:proofErr w:type="spellEnd"/>
        <w:r w:rsidRPr="008A2C3E">
          <w:rPr>
            <w:rStyle w:val="Hyperlink"/>
          </w:rPr>
          <w:t>=BCDCF37D38344A46A6816C41DC3D6B4F&amp;ntref=1</w:t>
        </w:r>
      </w:hyperlink>
      <w:r w:rsidRPr="008A2C3E">
        <w:t xml:space="preserve"> (Accessed: 1 July 2025).</w:t>
      </w:r>
    </w:p>
    <w:p w14:paraId="3EBB739B" w14:textId="77777777" w:rsidR="008A2C3E" w:rsidRPr="008A2C3E" w:rsidRDefault="008A2C3E" w:rsidP="005779DE">
      <w:pPr>
        <w:spacing w:line="360" w:lineRule="auto"/>
      </w:pPr>
      <w:r w:rsidRPr="008A2C3E">
        <w:t xml:space="preserve">Timms, S. (2025b) ‘Welfare Reform’. Available at: </w:t>
      </w:r>
      <w:hyperlink r:id="rId67" w:history="1">
        <w:r w:rsidRPr="008A2C3E">
          <w:rPr>
            <w:rStyle w:val="Hyperlink"/>
          </w:rPr>
          <w:t>https://data.parliament.uk/DepositedPapers/Files/DEP2025-0432/DCL-Welfare_Reform.pdf</w:t>
        </w:r>
      </w:hyperlink>
      <w:r w:rsidRPr="008A2C3E">
        <w:t xml:space="preserve"> (Accessed: 30 June 2025).</w:t>
      </w:r>
    </w:p>
    <w:p w14:paraId="384ECB7D" w14:textId="77777777" w:rsidR="008A2C3E" w:rsidRDefault="008A2C3E" w:rsidP="005779DE">
      <w:pPr>
        <w:spacing w:line="360" w:lineRule="auto"/>
      </w:pPr>
      <w:r w:rsidRPr="008A2C3E">
        <w:t xml:space="preserve">Timms, S.S. (2025) ‘Timms Review of PIP: Terms of Reference’. Available at: </w:t>
      </w:r>
      <w:hyperlink r:id="rId68" w:history="1">
        <w:r w:rsidRPr="008A2C3E">
          <w:rPr>
            <w:rStyle w:val="Hyperlink"/>
          </w:rPr>
          <w:t>https://assets.publishing.service.gov.uk/media/690215c7918e1f940b3cf7f6/timms-review-of-pip-terms-of-reference.pdf</w:t>
        </w:r>
      </w:hyperlink>
      <w:r w:rsidRPr="008A2C3E">
        <w:t xml:space="preserve"> (Accessed: 5 October 2025).</w:t>
      </w:r>
    </w:p>
    <w:p w14:paraId="3AA94059" w14:textId="7DFCEAAE" w:rsidR="001B6345" w:rsidRPr="008A2C3E" w:rsidRDefault="001B6345" w:rsidP="005779DE">
      <w:pPr>
        <w:spacing w:line="360" w:lineRule="auto"/>
      </w:pPr>
      <w:proofErr w:type="spellStart"/>
      <w:r w:rsidRPr="001B6345">
        <w:t>Tsoukas</w:t>
      </w:r>
      <w:proofErr w:type="spellEnd"/>
      <w:r w:rsidRPr="001B6345">
        <w:t xml:space="preserve">, H. and Papoulias, D.B. </w:t>
      </w:r>
      <w:r>
        <w:t>(</w:t>
      </w:r>
      <w:r w:rsidRPr="001B6345">
        <w:t>1996</w:t>
      </w:r>
      <w:r>
        <w:t>)</w:t>
      </w:r>
      <w:r w:rsidRPr="001B6345">
        <w:t xml:space="preserve"> Understanding social reforms: A conceptual analysis. </w:t>
      </w:r>
      <w:r w:rsidRPr="001B6345">
        <w:rPr>
          <w:i/>
          <w:iCs/>
        </w:rPr>
        <w:t>Journal of the Operational Research Society</w:t>
      </w:r>
      <w:r w:rsidRPr="001B6345">
        <w:t>, </w:t>
      </w:r>
      <w:r w:rsidRPr="001B6345">
        <w:rPr>
          <w:i/>
          <w:iCs/>
        </w:rPr>
        <w:t>47</w:t>
      </w:r>
      <w:r w:rsidRPr="001B6345">
        <w:t>(7), pp.853-863.</w:t>
      </w:r>
    </w:p>
    <w:p w14:paraId="7B67388F" w14:textId="77777777" w:rsidR="008A2C3E" w:rsidRDefault="008A2C3E" w:rsidP="005779DE">
      <w:pPr>
        <w:spacing w:line="360" w:lineRule="auto"/>
      </w:pPr>
      <w:r w:rsidRPr="008A2C3E">
        <w:t xml:space="preserve">United Nations (2006) </w:t>
      </w:r>
      <w:r w:rsidRPr="008A2C3E">
        <w:rPr>
          <w:i/>
          <w:iCs/>
        </w:rPr>
        <w:t>Convention on the Rights of Persons with Disabilities</w:t>
      </w:r>
      <w:r w:rsidRPr="008A2C3E">
        <w:t xml:space="preserve">, </w:t>
      </w:r>
      <w:r w:rsidRPr="008A2C3E">
        <w:rPr>
          <w:i/>
          <w:iCs/>
        </w:rPr>
        <w:t>OHCHR</w:t>
      </w:r>
      <w:r w:rsidRPr="008A2C3E">
        <w:t xml:space="preserve">. Available at: </w:t>
      </w:r>
      <w:hyperlink r:id="rId69" w:history="1">
        <w:r w:rsidRPr="008A2C3E">
          <w:rPr>
            <w:rStyle w:val="Hyperlink"/>
          </w:rPr>
          <w:t>https://www.ohchr.org/en/instruments-</w:t>
        </w:r>
        <w:r w:rsidRPr="008A2C3E">
          <w:rPr>
            <w:rStyle w:val="Hyperlink"/>
          </w:rPr>
          <w:lastRenderedPageBreak/>
          <w:t>mechanisms/instruments/convention-rights-persons-disabilities</w:t>
        </w:r>
      </w:hyperlink>
      <w:r w:rsidRPr="008A2C3E">
        <w:t xml:space="preserve"> (Accessed: 6 December 2025).</w:t>
      </w:r>
    </w:p>
    <w:p w14:paraId="465671D0" w14:textId="3146B23D" w:rsidR="00A61D0B" w:rsidRPr="00A61D0B" w:rsidRDefault="00A61D0B" w:rsidP="00A61D0B">
      <w:pPr>
        <w:spacing w:line="360" w:lineRule="auto"/>
        <w:rPr>
          <w:i/>
          <w:iCs/>
        </w:rPr>
      </w:pPr>
      <w:r w:rsidRPr="00A61D0B">
        <w:t xml:space="preserve">United Nations. (2016). </w:t>
      </w:r>
      <w:r w:rsidRPr="00A61D0B">
        <w:rPr>
          <w:i/>
          <w:iCs/>
        </w:rPr>
        <w:t>Committee on the Rights of Persons with Disabilities: Inquiry concerning the</w:t>
      </w:r>
      <w:r>
        <w:rPr>
          <w:i/>
          <w:iCs/>
        </w:rPr>
        <w:t xml:space="preserve"> </w:t>
      </w:r>
      <w:r w:rsidRPr="00A61D0B">
        <w:rPr>
          <w:i/>
          <w:iCs/>
        </w:rPr>
        <w:t>United Kingdom of Great Britain and Northern Ireland carried out by the Committee under article</w:t>
      </w:r>
      <w:r>
        <w:rPr>
          <w:i/>
          <w:iCs/>
        </w:rPr>
        <w:t xml:space="preserve"> </w:t>
      </w:r>
      <w:r w:rsidRPr="00A61D0B">
        <w:rPr>
          <w:i/>
          <w:iCs/>
        </w:rPr>
        <w:t>6 of the Optional Protocol to the Convention</w:t>
      </w:r>
      <w:r w:rsidRPr="00A61D0B">
        <w:t xml:space="preserve">. Retrieved from: </w:t>
      </w:r>
      <w:hyperlink r:id="rId70" w:history="1">
        <w:r w:rsidRPr="00D021E6">
          <w:rPr>
            <w:rStyle w:val="Hyperlink"/>
          </w:rPr>
          <w:t>http://www.ohchr.org/Documents/HRBodies/CRPD/CRPD.C.15.R.2.Rev.1-ENG.doc</w:t>
        </w:r>
      </w:hyperlink>
      <w:r>
        <w:t xml:space="preserve"> </w:t>
      </w:r>
    </w:p>
    <w:p w14:paraId="41F1B8F7" w14:textId="77777777" w:rsidR="008A2C3E" w:rsidRDefault="008A2C3E" w:rsidP="005779DE">
      <w:pPr>
        <w:spacing w:line="360" w:lineRule="auto"/>
      </w:pPr>
      <w:r w:rsidRPr="008A2C3E">
        <w:t xml:space="preserve">Van Der Linden, M. (2016) ‘Robert Castel’s </w:t>
      </w:r>
      <w:r w:rsidRPr="008A2C3E">
        <w:rPr>
          <w:i/>
          <w:iCs/>
        </w:rPr>
        <w:t xml:space="preserve">Les </w:t>
      </w:r>
      <w:proofErr w:type="spellStart"/>
      <w:r w:rsidRPr="008A2C3E">
        <w:rPr>
          <w:i/>
          <w:iCs/>
        </w:rPr>
        <w:t>métamorphoses</w:t>
      </w:r>
      <w:proofErr w:type="spellEnd"/>
      <w:r w:rsidRPr="008A2C3E">
        <w:rPr>
          <w:i/>
          <w:iCs/>
        </w:rPr>
        <w:t xml:space="preserve"> de la question </w:t>
      </w:r>
      <w:proofErr w:type="spellStart"/>
      <w:r w:rsidRPr="008A2C3E">
        <w:rPr>
          <w:i/>
          <w:iCs/>
        </w:rPr>
        <w:t>sociale</w:t>
      </w:r>
      <w:proofErr w:type="spellEnd"/>
      <w:r w:rsidRPr="008A2C3E">
        <w:t xml:space="preserve"> (1995)’, </w:t>
      </w:r>
      <w:r w:rsidRPr="008A2C3E">
        <w:rPr>
          <w:i/>
          <w:iCs/>
        </w:rPr>
        <w:t>International Labor and Working-Class History</w:t>
      </w:r>
      <w:r w:rsidRPr="008A2C3E">
        <w:t xml:space="preserve">, 89, pp. 153–161. Available at: </w:t>
      </w:r>
      <w:hyperlink r:id="rId71" w:history="1">
        <w:r w:rsidRPr="008A2C3E">
          <w:rPr>
            <w:rStyle w:val="Hyperlink"/>
          </w:rPr>
          <w:t>https://doi.org/10.1017/S014754791500037X</w:t>
        </w:r>
      </w:hyperlink>
      <w:r w:rsidRPr="008A2C3E">
        <w:t>.</w:t>
      </w:r>
    </w:p>
    <w:p w14:paraId="4C97B957" w14:textId="26810AA6" w:rsidR="008503D3" w:rsidRDefault="008503D3" w:rsidP="005779DE">
      <w:pPr>
        <w:spacing w:line="360" w:lineRule="auto"/>
      </w:pPr>
      <w:r w:rsidRPr="008503D3">
        <w:t xml:space="preserve">Van Oorschot, W. </w:t>
      </w:r>
      <w:r>
        <w:t>(</w:t>
      </w:r>
      <w:r w:rsidRPr="008503D3">
        <w:t>2</w:t>
      </w:r>
      <w:r>
        <w:t>0</w:t>
      </w:r>
      <w:r w:rsidRPr="008503D3">
        <w:t>02</w:t>
      </w:r>
      <w:r>
        <w:t>)</w:t>
      </w:r>
      <w:r w:rsidRPr="008503D3">
        <w:t xml:space="preserve"> Targeting welfare: on the functions and dysfunctions of means testing in social policy. In </w:t>
      </w:r>
      <w:r w:rsidRPr="008503D3">
        <w:rPr>
          <w:i/>
          <w:iCs/>
        </w:rPr>
        <w:t>World poverty</w:t>
      </w:r>
      <w:r w:rsidRPr="008503D3">
        <w:t> (pp. 171-194). Policy Press</w:t>
      </w:r>
      <w:r w:rsidR="00833B28">
        <w:t>, Bristol, United Kingdom.</w:t>
      </w:r>
    </w:p>
    <w:p w14:paraId="08306827" w14:textId="5452FD28" w:rsidR="004D1AA5" w:rsidRPr="008A2C3E" w:rsidRDefault="004D1AA5" w:rsidP="005779DE">
      <w:pPr>
        <w:spacing w:line="360" w:lineRule="auto"/>
      </w:pPr>
      <w:r w:rsidRPr="004D1AA5">
        <w:t xml:space="preserve">Varshini, T. </w:t>
      </w:r>
      <w:r>
        <w:t>(2016)</w:t>
      </w:r>
      <w:r w:rsidRPr="004D1AA5">
        <w:t xml:space="preserve">. </w:t>
      </w:r>
      <w:r w:rsidR="00002990">
        <w:t>‘</w:t>
      </w:r>
      <w:r w:rsidRPr="004D1AA5">
        <w:t>The United Kingdom's welfare state in practice: A case study of personal independence payment (PIP)</w:t>
      </w:r>
      <w:r w:rsidR="00002990">
        <w:t>’</w:t>
      </w:r>
      <w:r w:rsidRPr="004D1AA5">
        <w:t>. </w:t>
      </w:r>
      <w:proofErr w:type="spellStart"/>
      <w:r w:rsidRPr="004D1AA5">
        <w:rPr>
          <w:i/>
          <w:iCs/>
        </w:rPr>
        <w:t>ISLRev</w:t>
      </w:r>
      <w:proofErr w:type="spellEnd"/>
      <w:r w:rsidRPr="004D1AA5">
        <w:t>, </w:t>
      </w:r>
      <w:r w:rsidRPr="004D1AA5">
        <w:rPr>
          <w:i/>
          <w:iCs/>
        </w:rPr>
        <w:t>4</w:t>
      </w:r>
      <w:r w:rsidRPr="004D1AA5">
        <w:t>, p.36.</w:t>
      </w:r>
    </w:p>
    <w:p w14:paraId="65A6FF9B" w14:textId="2B617F2A" w:rsidR="008A2C3E" w:rsidRPr="008A2C3E" w:rsidRDefault="008A2C3E" w:rsidP="005779DE">
      <w:pPr>
        <w:spacing w:line="360" w:lineRule="auto"/>
      </w:pPr>
      <w:r w:rsidRPr="008A2C3E">
        <w:t xml:space="preserve">Vornholt, K. </w:t>
      </w:r>
      <w:r w:rsidRPr="008A2C3E">
        <w:rPr>
          <w:i/>
          <w:iCs/>
        </w:rPr>
        <w:t>et al.</w:t>
      </w:r>
      <w:r w:rsidRPr="008A2C3E">
        <w:t xml:space="preserve"> (2018) ‘Disability and employment – overview and highlights’, </w:t>
      </w:r>
      <w:r w:rsidRPr="008A2C3E">
        <w:rPr>
          <w:i/>
          <w:iCs/>
        </w:rPr>
        <w:t xml:space="preserve">European Journal of Work and </w:t>
      </w:r>
      <w:r w:rsidR="002A679B">
        <w:rPr>
          <w:i/>
          <w:iCs/>
        </w:rPr>
        <w:t>Organisational</w:t>
      </w:r>
      <w:r w:rsidRPr="008A2C3E">
        <w:rPr>
          <w:i/>
          <w:iCs/>
        </w:rPr>
        <w:t xml:space="preserve"> Psychology</w:t>
      </w:r>
      <w:r w:rsidRPr="008A2C3E">
        <w:t xml:space="preserve">, 27(1), pp. 40–55. Available at: </w:t>
      </w:r>
      <w:hyperlink r:id="rId72" w:history="1">
        <w:r w:rsidRPr="008A2C3E">
          <w:rPr>
            <w:rStyle w:val="Hyperlink"/>
          </w:rPr>
          <w:t>https://doi.org/10.1080/1359432X.2017.1387536</w:t>
        </w:r>
      </w:hyperlink>
      <w:r w:rsidRPr="008A2C3E">
        <w:t>.</w:t>
      </w:r>
    </w:p>
    <w:p w14:paraId="328EC48A" w14:textId="4EDF095D" w:rsidR="008A2C3E" w:rsidRDefault="008A2C3E" w:rsidP="005779DE">
      <w:pPr>
        <w:spacing w:line="360" w:lineRule="auto"/>
      </w:pPr>
      <w:r w:rsidRPr="008A2C3E">
        <w:t xml:space="preserve">World Health </w:t>
      </w:r>
      <w:r w:rsidR="002A679B">
        <w:t>Organisation</w:t>
      </w:r>
      <w:r w:rsidRPr="008A2C3E">
        <w:t xml:space="preserve"> (2001) </w:t>
      </w:r>
      <w:r w:rsidRPr="008A2C3E">
        <w:rPr>
          <w:i/>
          <w:iCs/>
        </w:rPr>
        <w:t>International Classification of Functioning, Disability and Health (ICF)</w:t>
      </w:r>
      <w:r w:rsidRPr="008A2C3E">
        <w:t xml:space="preserve">. Geneva, Switzerland: World Health </w:t>
      </w:r>
      <w:r w:rsidR="002A679B">
        <w:t>Organisation</w:t>
      </w:r>
      <w:r w:rsidRPr="008A2C3E">
        <w:t xml:space="preserve">. Available at: </w:t>
      </w:r>
      <w:hyperlink r:id="rId73" w:history="1">
        <w:r w:rsidRPr="008A2C3E">
          <w:rPr>
            <w:rStyle w:val="Hyperlink"/>
          </w:rPr>
          <w:t>https://cdn.who.int/media/docs/default-source/classification/icf/icfbeginnersguide.pdf?sfvrsn=eead63d3_4&amp;download=true</w:t>
        </w:r>
      </w:hyperlink>
      <w:r w:rsidRPr="008A2C3E">
        <w:t>.</w:t>
      </w:r>
    </w:p>
    <w:p w14:paraId="592972C2" w14:textId="4A4F3D5B" w:rsidR="00E45B09" w:rsidRPr="008A2C3E" w:rsidRDefault="00E45B09" w:rsidP="005779DE">
      <w:pPr>
        <w:spacing w:line="360" w:lineRule="auto"/>
      </w:pPr>
      <w:r w:rsidRPr="00E45B09">
        <w:t xml:space="preserve">World Health </w:t>
      </w:r>
      <w:r>
        <w:t>Organisation</w:t>
      </w:r>
      <w:r w:rsidRPr="00E45B09">
        <w:t xml:space="preserve"> </w:t>
      </w:r>
      <w:r>
        <w:t>(</w:t>
      </w:r>
      <w:r w:rsidRPr="00E45B09">
        <w:t>2022</w:t>
      </w:r>
      <w:r>
        <w:t>)</w:t>
      </w:r>
      <w:r w:rsidRPr="00E45B09">
        <w:t>. </w:t>
      </w:r>
      <w:r w:rsidRPr="009C00CB">
        <w:rPr>
          <w:i/>
          <w:iCs/>
        </w:rPr>
        <w:t>Global report on health equity for persons with disabilities</w:t>
      </w:r>
      <w:r w:rsidRPr="00E45B09">
        <w:t xml:space="preserve">. World Health </w:t>
      </w:r>
      <w:r>
        <w:t>Organisation</w:t>
      </w:r>
      <w:r w:rsidRPr="00E45B09">
        <w:t>.</w:t>
      </w:r>
    </w:p>
    <w:p w14:paraId="2A16B6BB" w14:textId="77777777" w:rsidR="008A2C3E" w:rsidRDefault="008A2C3E" w:rsidP="005779DE">
      <w:pPr>
        <w:spacing w:line="360" w:lineRule="auto"/>
      </w:pPr>
      <w:r w:rsidRPr="008A2C3E">
        <w:t xml:space="preserve">‘Written evidence from Mo Stewart (PEA0104)’ (2017). House of Commons, London: Committees Parliament UK. Available at: </w:t>
      </w:r>
      <w:hyperlink r:id="rId74" w:history="1">
        <w:r w:rsidRPr="008A2C3E">
          <w:rPr>
            <w:rStyle w:val="Hyperlink"/>
          </w:rPr>
          <w:t>https://committees.parliament.uk/writtenevidence/82222/html/</w:t>
        </w:r>
      </w:hyperlink>
      <w:r w:rsidRPr="008A2C3E">
        <w:t>.</w:t>
      </w:r>
    </w:p>
    <w:p w14:paraId="13CC78BD" w14:textId="0D47CB13" w:rsidR="00A67674" w:rsidRPr="008A2C3E" w:rsidRDefault="00A67674" w:rsidP="005779DE">
      <w:pPr>
        <w:spacing w:line="360" w:lineRule="auto"/>
      </w:pPr>
      <w:r w:rsidRPr="00A67674">
        <w:t xml:space="preserve">Wright, S. </w:t>
      </w:r>
      <w:r>
        <w:t>(2016)</w:t>
      </w:r>
      <w:r w:rsidRPr="00A67674">
        <w:t xml:space="preserve">. </w:t>
      </w:r>
      <w:r w:rsidR="00002990">
        <w:t>‘</w:t>
      </w:r>
      <w:r w:rsidRPr="00A67674">
        <w:t>Conceptualising the active welfare subject: welfare reform in discourse, policy and lived experience</w:t>
      </w:r>
      <w:r w:rsidR="00002990">
        <w:t>’</w:t>
      </w:r>
      <w:r w:rsidRPr="00A67674">
        <w:t>. </w:t>
      </w:r>
      <w:r w:rsidRPr="00A67674">
        <w:rPr>
          <w:i/>
          <w:iCs/>
        </w:rPr>
        <w:t>Policy &amp; Politics</w:t>
      </w:r>
      <w:r w:rsidRPr="00A67674">
        <w:t>, </w:t>
      </w:r>
      <w:r w:rsidRPr="00A67674">
        <w:rPr>
          <w:i/>
          <w:iCs/>
        </w:rPr>
        <w:t>44</w:t>
      </w:r>
      <w:r w:rsidRPr="00A67674">
        <w:t>(2), pp.235-252.</w:t>
      </w:r>
    </w:p>
    <w:p w14:paraId="446CDA2F" w14:textId="77777777" w:rsidR="008A2C3E" w:rsidRDefault="008A2C3E" w:rsidP="005779DE">
      <w:pPr>
        <w:spacing w:line="360" w:lineRule="auto"/>
      </w:pPr>
      <w:r w:rsidRPr="008A2C3E">
        <w:lastRenderedPageBreak/>
        <w:t>Yee, S. (2021) ‘</w:t>
      </w:r>
      <w:r w:rsidRPr="00A605D3">
        <w:t>Law, Benefits, Disability Rights, and Public Health: A Sum Greater than the Parts?’,</w:t>
      </w:r>
      <w:r w:rsidRPr="008A2C3E">
        <w:t xml:space="preserve"> in D.J. Lollar, W. Horner-Johnson, and K. Froehlich-Grobe (eds) </w:t>
      </w:r>
      <w:r w:rsidRPr="008A2C3E">
        <w:rPr>
          <w:i/>
          <w:iCs/>
        </w:rPr>
        <w:t>Public Health Perspectives on Disability: Science, Social Justice, Ethics, and Beyond</w:t>
      </w:r>
      <w:r w:rsidRPr="008A2C3E">
        <w:t xml:space="preserve">. New York, NY: Springer US, pp. 269–300. Available at: </w:t>
      </w:r>
      <w:hyperlink r:id="rId75" w:history="1">
        <w:r w:rsidRPr="008A2C3E">
          <w:rPr>
            <w:rStyle w:val="Hyperlink"/>
          </w:rPr>
          <w:t>https://doi.org/10.1007/978-1-0716-0888-3_13</w:t>
        </w:r>
      </w:hyperlink>
      <w:r w:rsidRPr="008A2C3E">
        <w:t>.</w:t>
      </w:r>
    </w:p>
    <w:p w14:paraId="63C2B9D4" w14:textId="30F9766E" w:rsidR="00236078" w:rsidRDefault="004948F2" w:rsidP="005779DE">
      <w:pPr>
        <w:spacing w:after="0" w:line="360" w:lineRule="auto"/>
        <w:rPr>
          <w:rFonts w:eastAsia="Times New Roman" w:cs="Times New Roman"/>
          <w:kern w:val="0"/>
          <w:lang w:eastAsia="en-GB"/>
          <w14:ligatures w14:val="none"/>
        </w:rPr>
      </w:pPr>
      <w:r w:rsidRPr="00BF3285">
        <w:rPr>
          <w:rFonts w:eastAsia="Times New Roman" w:cs="Times New Roman"/>
          <w:kern w:val="0"/>
          <w:lang w:eastAsia="en-GB"/>
          <w14:ligatures w14:val="none"/>
        </w:rPr>
        <w:t xml:space="preserve">Young, M. (2025) </w:t>
      </w:r>
      <w:r w:rsidR="00E8645A">
        <w:rPr>
          <w:rFonts w:eastAsia="Times New Roman" w:cs="Times New Roman"/>
          <w:kern w:val="0"/>
          <w:lang w:eastAsia="en-GB"/>
          <w14:ligatures w14:val="none"/>
        </w:rPr>
        <w:t>‘</w:t>
      </w:r>
      <w:r w:rsidRPr="00BF3285">
        <w:rPr>
          <w:rFonts w:eastAsia="Times New Roman" w:cs="Times New Roman"/>
          <w:i/>
          <w:iCs/>
          <w:kern w:val="0"/>
          <w:lang w:eastAsia="en-GB"/>
          <w14:ligatures w14:val="none"/>
        </w:rPr>
        <w:t>Access denied: Neoliberalism, service provision, and health inequalities in Scotland</w:t>
      </w:r>
      <w:r w:rsidR="00E8645A">
        <w:rPr>
          <w:rFonts w:eastAsia="Times New Roman" w:cs="Times New Roman"/>
          <w:i/>
          <w:iCs/>
          <w:kern w:val="0"/>
          <w:lang w:eastAsia="en-GB"/>
          <w14:ligatures w14:val="none"/>
        </w:rPr>
        <w:t>’</w:t>
      </w:r>
      <w:r w:rsidRPr="00BF3285">
        <w:rPr>
          <w:rFonts w:eastAsia="Times New Roman" w:cs="Times New Roman"/>
          <w:kern w:val="0"/>
          <w:lang w:eastAsia="en-GB"/>
          <w14:ligatures w14:val="none"/>
        </w:rPr>
        <w:t xml:space="preserve">. PhD Doctoral Thesis. University of Dundee. Available at: </w:t>
      </w:r>
      <w:hyperlink r:id="rId76" w:history="1">
        <w:r w:rsidRPr="00BF3285">
          <w:rPr>
            <w:rFonts w:eastAsia="Times New Roman" w:cs="Times New Roman"/>
            <w:color w:val="0000FF"/>
            <w:kern w:val="0"/>
            <w:u w:val="single"/>
            <w:lang w:eastAsia="en-GB"/>
            <w14:ligatures w14:val="none"/>
          </w:rPr>
          <w:t>https://discovery.dundee.ac.uk/ws/portalfiles/portal/155455600/Michelle_Young_170023034_Redacted.pdf</w:t>
        </w:r>
      </w:hyperlink>
      <w:r w:rsidRPr="00BF3285">
        <w:rPr>
          <w:rFonts w:eastAsia="Times New Roman" w:cs="Times New Roman"/>
          <w:kern w:val="0"/>
          <w:lang w:eastAsia="en-GB"/>
          <w14:ligatures w14:val="none"/>
        </w:rPr>
        <w:t xml:space="preserve"> (Accessed: 17 December 2025).</w:t>
      </w:r>
    </w:p>
    <w:p w14:paraId="2E533FB4" w14:textId="11C9628D" w:rsidR="00D90AFE" w:rsidRPr="00BF3285" w:rsidRDefault="00EE45D5" w:rsidP="005779DE">
      <w:pPr>
        <w:spacing w:after="0" w:line="360" w:lineRule="auto"/>
        <w:rPr>
          <w:rFonts w:eastAsia="Times New Roman" w:cs="Times New Roman"/>
          <w:kern w:val="0"/>
          <w:lang w:eastAsia="en-GB"/>
          <w14:ligatures w14:val="none"/>
        </w:rPr>
      </w:pPr>
      <w:proofErr w:type="spellStart"/>
      <w:r w:rsidRPr="00EE45D5">
        <w:rPr>
          <w:rFonts w:eastAsia="Times New Roman" w:cs="Times New Roman"/>
          <w:kern w:val="0"/>
          <w:lang w:eastAsia="en-GB"/>
          <w14:ligatures w14:val="none"/>
        </w:rPr>
        <w:t>Zmigrod</w:t>
      </w:r>
      <w:proofErr w:type="spellEnd"/>
      <w:r w:rsidRPr="00EE45D5">
        <w:rPr>
          <w:rFonts w:eastAsia="Times New Roman" w:cs="Times New Roman"/>
          <w:kern w:val="0"/>
          <w:lang w:eastAsia="en-GB"/>
          <w14:ligatures w14:val="none"/>
        </w:rPr>
        <w:t>, L., 2022. A psychology of ideology: Unpacking the psychological structure of ideological thinking. </w:t>
      </w:r>
      <w:r w:rsidRPr="00EE45D5">
        <w:rPr>
          <w:rFonts w:eastAsia="Times New Roman" w:cs="Times New Roman"/>
          <w:i/>
          <w:iCs/>
          <w:kern w:val="0"/>
          <w:lang w:eastAsia="en-GB"/>
          <w14:ligatures w14:val="none"/>
        </w:rPr>
        <w:t>Perspectives on Psychological Science</w:t>
      </w:r>
      <w:r w:rsidRPr="00EE45D5">
        <w:rPr>
          <w:rFonts w:eastAsia="Times New Roman" w:cs="Times New Roman"/>
          <w:kern w:val="0"/>
          <w:lang w:eastAsia="en-GB"/>
          <w14:ligatures w14:val="none"/>
        </w:rPr>
        <w:t>, </w:t>
      </w:r>
      <w:r w:rsidRPr="00EE45D5">
        <w:rPr>
          <w:rFonts w:eastAsia="Times New Roman" w:cs="Times New Roman"/>
          <w:i/>
          <w:iCs/>
          <w:kern w:val="0"/>
          <w:lang w:eastAsia="en-GB"/>
          <w14:ligatures w14:val="none"/>
        </w:rPr>
        <w:t>17</w:t>
      </w:r>
      <w:r w:rsidRPr="00EE45D5">
        <w:rPr>
          <w:rFonts w:eastAsia="Times New Roman" w:cs="Times New Roman"/>
          <w:kern w:val="0"/>
          <w:lang w:eastAsia="en-GB"/>
          <w14:ligatures w14:val="none"/>
        </w:rPr>
        <w:t>(4), pp.1072-1092.</w:t>
      </w:r>
      <w:r w:rsidR="006235F6">
        <w:rPr>
          <w:rFonts w:eastAsia="Times New Roman" w:cs="Times New Roman"/>
          <w:kern w:val="0"/>
          <w:lang w:eastAsia="en-GB"/>
          <w14:ligatures w14:val="none"/>
        </w:rPr>
        <w:t xml:space="preserve"> </w:t>
      </w:r>
    </w:p>
    <w:p w14:paraId="3C2EBC07" w14:textId="77777777" w:rsidR="00E439AE" w:rsidRPr="00E439AE" w:rsidRDefault="00E439AE" w:rsidP="005779DE">
      <w:pPr>
        <w:spacing w:line="360" w:lineRule="auto"/>
      </w:pPr>
    </w:p>
    <w:p w14:paraId="28985D77" w14:textId="51C5FEE9" w:rsidR="00934115" w:rsidRDefault="00934115"/>
    <w:p w14:paraId="5FA87E07" w14:textId="77777777" w:rsidR="006823F1" w:rsidRDefault="006823F1"/>
    <w:p w14:paraId="06BEA22D" w14:textId="77777777" w:rsidR="006823F1" w:rsidRDefault="006823F1"/>
    <w:p w14:paraId="3AB1562E" w14:textId="77777777" w:rsidR="006823F1" w:rsidRDefault="006823F1"/>
    <w:p w14:paraId="0967F3FA" w14:textId="77777777" w:rsidR="006823F1" w:rsidRDefault="006823F1"/>
    <w:p w14:paraId="5F6F414D" w14:textId="77777777" w:rsidR="006823F1" w:rsidRDefault="006823F1"/>
    <w:p w14:paraId="258095AA" w14:textId="77777777" w:rsidR="006823F1" w:rsidRDefault="006823F1"/>
    <w:p w14:paraId="2E449DB6" w14:textId="77777777" w:rsidR="006823F1" w:rsidRDefault="006823F1"/>
    <w:p w14:paraId="09866EF1" w14:textId="77777777" w:rsidR="006823F1" w:rsidRDefault="006823F1"/>
    <w:p w14:paraId="074A20F1" w14:textId="77777777" w:rsidR="006823F1" w:rsidRDefault="006823F1"/>
    <w:p w14:paraId="0E49A3B8" w14:textId="77777777" w:rsidR="006823F1" w:rsidRDefault="006823F1"/>
    <w:p w14:paraId="23E21480" w14:textId="77777777" w:rsidR="006823F1" w:rsidRDefault="006823F1"/>
    <w:p w14:paraId="3438E50F" w14:textId="77777777" w:rsidR="006823F1" w:rsidRDefault="006823F1"/>
    <w:p w14:paraId="0A1DC986" w14:textId="77777777" w:rsidR="006823F1" w:rsidRDefault="006823F1"/>
    <w:p w14:paraId="087882DD" w14:textId="77777777" w:rsidR="006823F1" w:rsidRPr="00253E58" w:rsidRDefault="006823F1"/>
    <w:sectPr w:rsidR="006823F1" w:rsidRPr="00253E58" w:rsidSect="0046194D">
      <w:headerReference w:type="default" r:id="rId77"/>
      <w:footerReference w:type="default" r:id="rId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6C99DD" w14:textId="77777777" w:rsidR="00E72323" w:rsidRDefault="00E72323" w:rsidP="00FA038A">
      <w:pPr>
        <w:spacing w:after="0" w:line="240" w:lineRule="auto"/>
      </w:pPr>
      <w:r>
        <w:separator/>
      </w:r>
    </w:p>
  </w:endnote>
  <w:endnote w:type="continuationSeparator" w:id="0">
    <w:p w14:paraId="231F2C3A" w14:textId="77777777" w:rsidR="00E72323" w:rsidRDefault="00E72323" w:rsidP="00FA03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dvOTc20ddc96">
    <w:altName w:val="Calibri"/>
    <w:panose1 w:val="00000000000000000000"/>
    <w:charset w:val="00"/>
    <w:family w:val="swiss"/>
    <w:notTrueType/>
    <w:pitch w:val="default"/>
    <w:sig w:usb0="00000003" w:usb1="00000000" w:usb2="00000000" w:usb3="00000000" w:csb0="00000001" w:csb1="00000000"/>
  </w:font>
  <w:font w:name="Open Sans">
    <w:panose1 w:val="020B0606030504020204"/>
    <w:charset w:val="00"/>
    <w:family w:val="swiss"/>
    <w:pitch w:val="variable"/>
    <w:sig w:usb0="E00002EF" w:usb1="4000205B" w:usb2="00000028" w:usb3="00000000" w:csb0="0000019F" w:csb1="00000000"/>
  </w:font>
  <w:font w:name="MinionPro-Regular">
    <w:altName w:val="Cambria"/>
    <w:panose1 w:val="00000000000000000000"/>
    <w:charset w:val="00"/>
    <w:family w:val="roman"/>
    <w:notTrueType/>
    <w:pitch w:val="default"/>
    <w:sig w:usb0="00000003" w:usb1="00000000" w:usb2="00000000" w:usb3="00000000" w:csb0="00000001"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4071263"/>
      <w:docPartObj>
        <w:docPartGallery w:val="Page Numbers (Bottom of Page)"/>
        <w:docPartUnique/>
      </w:docPartObj>
    </w:sdtPr>
    <w:sdtEndPr>
      <w:rPr>
        <w:color w:val="7F7F7F" w:themeColor="background1" w:themeShade="7F"/>
        <w:spacing w:val="60"/>
      </w:rPr>
    </w:sdtEndPr>
    <w:sdtContent>
      <w:p w14:paraId="7301F446" w14:textId="6640ADB0" w:rsidR="004C5E93" w:rsidRDefault="004C5E93">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592D7E83" w14:textId="77777777" w:rsidR="00FA038A" w:rsidRDefault="00FA03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9AEA7B" w14:textId="77777777" w:rsidR="00E72323" w:rsidRDefault="00E72323" w:rsidP="00FA038A">
      <w:pPr>
        <w:spacing w:after="0" w:line="240" w:lineRule="auto"/>
      </w:pPr>
      <w:r>
        <w:separator/>
      </w:r>
    </w:p>
  </w:footnote>
  <w:footnote w:type="continuationSeparator" w:id="0">
    <w:p w14:paraId="6F52B6B4" w14:textId="77777777" w:rsidR="00E72323" w:rsidRDefault="00E72323" w:rsidP="00FA03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33EEA6" w14:textId="6838170D" w:rsidR="001B7F25" w:rsidRDefault="0074062A">
    <w:pPr>
      <w:pStyle w:val="Header"/>
    </w:pPr>
    <w:r>
      <w:t xml:space="preserve">Candidate Number: </w:t>
    </w:r>
    <w:r w:rsidR="008E71E4">
      <w:t>2307635</w:t>
    </w:r>
    <w:r w:rsidR="00CC3562">
      <w:t xml:space="preserve">               </w:t>
    </w:r>
    <w:r w:rsidR="008E71E4">
      <w:tab/>
      <w:t>Unit: Political Influences</w:t>
    </w:r>
    <w:r w:rsidR="0079339B">
      <w:t xml:space="preserve"> on Inequality and Diversity</w:t>
    </w:r>
  </w:p>
  <w:p w14:paraId="0D7B2FAE" w14:textId="5D490473" w:rsidR="00CC3562" w:rsidRDefault="00CC3562">
    <w:pPr>
      <w:pStyle w:val="Header"/>
    </w:pPr>
    <w:r>
      <w:tab/>
      <w:t>(E</w:t>
    </w:r>
    <w:r w:rsidR="00F34F28">
      <w:t>CED7007).</w:t>
    </w:r>
    <w:r>
      <w:tab/>
    </w:r>
  </w:p>
  <w:p w14:paraId="3FA7CCFB" w14:textId="77777777" w:rsidR="00FA038A" w:rsidRDefault="00FA03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5D163E"/>
    <w:multiLevelType w:val="multilevel"/>
    <w:tmpl w:val="FC201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8D61ED"/>
    <w:multiLevelType w:val="multilevel"/>
    <w:tmpl w:val="06E03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8132738"/>
    <w:multiLevelType w:val="hybridMultilevel"/>
    <w:tmpl w:val="75FA7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672DD3"/>
    <w:multiLevelType w:val="multilevel"/>
    <w:tmpl w:val="59F22F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3D3AE5"/>
    <w:multiLevelType w:val="hybridMultilevel"/>
    <w:tmpl w:val="EC96C90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683E5D77"/>
    <w:multiLevelType w:val="multilevel"/>
    <w:tmpl w:val="ED047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93A6D68"/>
    <w:multiLevelType w:val="hybridMultilevel"/>
    <w:tmpl w:val="04A8F9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3406661">
    <w:abstractNumId w:val="3"/>
  </w:num>
  <w:num w:numId="2" w16cid:durableId="575866730">
    <w:abstractNumId w:val="5"/>
  </w:num>
  <w:num w:numId="3" w16cid:durableId="1341352034">
    <w:abstractNumId w:val="2"/>
  </w:num>
  <w:num w:numId="4" w16cid:durableId="1751464542">
    <w:abstractNumId w:val="6"/>
  </w:num>
  <w:num w:numId="5" w16cid:durableId="812331759">
    <w:abstractNumId w:val="4"/>
  </w:num>
  <w:num w:numId="6" w16cid:durableId="556208887">
    <w:abstractNumId w:val="1"/>
  </w:num>
  <w:num w:numId="7" w16cid:durableId="1991269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7D429B33-AB30-475B-A8CE-2AA6B0A9FD02}"/>
    <w:docVar w:name="dgnword-eventsink" w:val="1920080548240"/>
  </w:docVars>
  <w:rsids>
    <w:rsidRoot w:val="003E0576"/>
    <w:rsid w:val="00000785"/>
    <w:rsid w:val="000008BA"/>
    <w:rsid w:val="00001E22"/>
    <w:rsid w:val="00002990"/>
    <w:rsid w:val="00002D0F"/>
    <w:rsid w:val="000039BC"/>
    <w:rsid w:val="00003CF3"/>
    <w:rsid w:val="0000406D"/>
    <w:rsid w:val="00004A8C"/>
    <w:rsid w:val="000051FE"/>
    <w:rsid w:val="00005625"/>
    <w:rsid w:val="00006C3C"/>
    <w:rsid w:val="0000733F"/>
    <w:rsid w:val="0001019D"/>
    <w:rsid w:val="00010F69"/>
    <w:rsid w:val="000126D8"/>
    <w:rsid w:val="00012B4C"/>
    <w:rsid w:val="00012E88"/>
    <w:rsid w:val="00012FE4"/>
    <w:rsid w:val="00014234"/>
    <w:rsid w:val="00014491"/>
    <w:rsid w:val="00015B9E"/>
    <w:rsid w:val="00016E94"/>
    <w:rsid w:val="000177A4"/>
    <w:rsid w:val="00017C3D"/>
    <w:rsid w:val="00017E9E"/>
    <w:rsid w:val="000208AF"/>
    <w:rsid w:val="00022F72"/>
    <w:rsid w:val="00023061"/>
    <w:rsid w:val="00023C93"/>
    <w:rsid w:val="00023F7E"/>
    <w:rsid w:val="000247F0"/>
    <w:rsid w:val="00024815"/>
    <w:rsid w:val="00024E32"/>
    <w:rsid w:val="00026711"/>
    <w:rsid w:val="0003247C"/>
    <w:rsid w:val="00032790"/>
    <w:rsid w:val="00034A8C"/>
    <w:rsid w:val="000350CB"/>
    <w:rsid w:val="000353C1"/>
    <w:rsid w:val="00035893"/>
    <w:rsid w:val="000360D7"/>
    <w:rsid w:val="0003726D"/>
    <w:rsid w:val="0003776B"/>
    <w:rsid w:val="000406C8"/>
    <w:rsid w:val="00041987"/>
    <w:rsid w:val="00041A51"/>
    <w:rsid w:val="00041C57"/>
    <w:rsid w:val="00043263"/>
    <w:rsid w:val="00043A4C"/>
    <w:rsid w:val="00043F06"/>
    <w:rsid w:val="00044A10"/>
    <w:rsid w:val="0004541A"/>
    <w:rsid w:val="000454F8"/>
    <w:rsid w:val="000461E1"/>
    <w:rsid w:val="00046BAD"/>
    <w:rsid w:val="000474F9"/>
    <w:rsid w:val="00047FC5"/>
    <w:rsid w:val="00050422"/>
    <w:rsid w:val="00053655"/>
    <w:rsid w:val="000541D8"/>
    <w:rsid w:val="00054934"/>
    <w:rsid w:val="000565CD"/>
    <w:rsid w:val="00057009"/>
    <w:rsid w:val="00057014"/>
    <w:rsid w:val="00060CAF"/>
    <w:rsid w:val="0006146B"/>
    <w:rsid w:val="000618F1"/>
    <w:rsid w:val="00062ACC"/>
    <w:rsid w:val="000650ED"/>
    <w:rsid w:val="00065499"/>
    <w:rsid w:val="0006646B"/>
    <w:rsid w:val="000671AF"/>
    <w:rsid w:val="000701F0"/>
    <w:rsid w:val="00070314"/>
    <w:rsid w:val="00070EB7"/>
    <w:rsid w:val="000710D7"/>
    <w:rsid w:val="000711C3"/>
    <w:rsid w:val="0007122B"/>
    <w:rsid w:val="000719CB"/>
    <w:rsid w:val="00071D06"/>
    <w:rsid w:val="00074EC6"/>
    <w:rsid w:val="00074F46"/>
    <w:rsid w:val="00075010"/>
    <w:rsid w:val="00076D17"/>
    <w:rsid w:val="00077328"/>
    <w:rsid w:val="00080FD2"/>
    <w:rsid w:val="0008111F"/>
    <w:rsid w:val="000815C1"/>
    <w:rsid w:val="00082222"/>
    <w:rsid w:val="000831C6"/>
    <w:rsid w:val="00083F83"/>
    <w:rsid w:val="0008565E"/>
    <w:rsid w:val="00086120"/>
    <w:rsid w:val="00087BB1"/>
    <w:rsid w:val="0009040A"/>
    <w:rsid w:val="0009138A"/>
    <w:rsid w:val="000913E3"/>
    <w:rsid w:val="000922B7"/>
    <w:rsid w:val="000931E0"/>
    <w:rsid w:val="00093212"/>
    <w:rsid w:val="00094A30"/>
    <w:rsid w:val="00096290"/>
    <w:rsid w:val="00096628"/>
    <w:rsid w:val="0009710D"/>
    <w:rsid w:val="00097152"/>
    <w:rsid w:val="000A0444"/>
    <w:rsid w:val="000A0449"/>
    <w:rsid w:val="000A1438"/>
    <w:rsid w:val="000A1EBE"/>
    <w:rsid w:val="000A252A"/>
    <w:rsid w:val="000A395E"/>
    <w:rsid w:val="000A41CE"/>
    <w:rsid w:val="000A465F"/>
    <w:rsid w:val="000A4F51"/>
    <w:rsid w:val="000A52CE"/>
    <w:rsid w:val="000A5CA0"/>
    <w:rsid w:val="000A63D4"/>
    <w:rsid w:val="000A6E2F"/>
    <w:rsid w:val="000A76D9"/>
    <w:rsid w:val="000B00D4"/>
    <w:rsid w:val="000B028A"/>
    <w:rsid w:val="000B04CF"/>
    <w:rsid w:val="000B18DE"/>
    <w:rsid w:val="000B35F8"/>
    <w:rsid w:val="000B360C"/>
    <w:rsid w:val="000B4912"/>
    <w:rsid w:val="000B591A"/>
    <w:rsid w:val="000B5E37"/>
    <w:rsid w:val="000B6164"/>
    <w:rsid w:val="000B6786"/>
    <w:rsid w:val="000B772B"/>
    <w:rsid w:val="000B78AC"/>
    <w:rsid w:val="000C063F"/>
    <w:rsid w:val="000C141D"/>
    <w:rsid w:val="000C282B"/>
    <w:rsid w:val="000C29E8"/>
    <w:rsid w:val="000C2BDE"/>
    <w:rsid w:val="000C31E5"/>
    <w:rsid w:val="000C3A63"/>
    <w:rsid w:val="000D1173"/>
    <w:rsid w:val="000D1565"/>
    <w:rsid w:val="000D1D32"/>
    <w:rsid w:val="000D2A13"/>
    <w:rsid w:val="000D2B71"/>
    <w:rsid w:val="000D48E2"/>
    <w:rsid w:val="000D54AB"/>
    <w:rsid w:val="000D5CB3"/>
    <w:rsid w:val="000D6820"/>
    <w:rsid w:val="000D6F7E"/>
    <w:rsid w:val="000E1805"/>
    <w:rsid w:val="000E2453"/>
    <w:rsid w:val="000E2481"/>
    <w:rsid w:val="000E4192"/>
    <w:rsid w:val="000E47D9"/>
    <w:rsid w:val="000E47F2"/>
    <w:rsid w:val="000E540A"/>
    <w:rsid w:val="000E553D"/>
    <w:rsid w:val="000E5B43"/>
    <w:rsid w:val="000E696B"/>
    <w:rsid w:val="000E6F9E"/>
    <w:rsid w:val="000E7F09"/>
    <w:rsid w:val="000F00C9"/>
    <w:rsid w:val="000F08B7"/>
    <w:rsid w:val="000F0CA5"/>
    <w:rsid w:val="000F17B0"/>
    <w:rsid w:val="000F1E35"/>
    <w:rsid w:val="000F276F"/>
    <w:rsid w:val="000F35C2"/>
    <w:rsid w:val="000F4454"/>
    <w:rsid w:val="000F4C46"/>
    <w:rsid w:val="001000C8"/>
    <w:rsid w:val="00101637"/>
    <w:rsid w:val="00101D89"/>
    <w:rsid w:val="00101F57"/>
    <w:rsid w:val="00102CDC"/>
    <w:rsid w:val="001034A9"/>
    <w:rsid w:val="001063EC"/>
    <w:rsid w:val="001070B4"/>
    <w:rsid w:val="0011138C"/>
    <w:rsid w:val="001117AF"/>
    <w:rsid w:val="0011297A"/>
    <w:rsid w:val="00112A34"/>
    <w:rsid w:val="00113DFB"/>
    <w:rsid w:val="00114365"/>
    <w:rsid w:val="001148B9"/>
    <w:rsid w:val="00114D87"/>
    <w:rsid w:val="001152E5"/>
    <w:rsid w:val="00115569"/>
    <w:rsid w:val="00115EE3"/>
    <w:rsid w:val="00116384"/>
    <w:rsid w:val="00116886"/>
    <w:rsid w:val="00117068"/>
    <w:rsid w:val="00117A26"/>
    <w:rsid w:val="00117C2C"/>
    <w:rsid w:val="00117E27"/>
    <w:rsid w:val="00120763"/>
    <w:rsid w:val="00120D21"/>
    <w:rsid w:val="00121A8D"/>
    <w:rsid w:val="0012209A"/>
    <w:rsid w:val="0012224D"/>
    <w:rsid w:val="00123632"/>
    <w:rsid w:val="00123922"/>
    <w:rsid w:val="001247AC"/>
    <w:rsid w:val="00126C01"/>
    <w:rsid w:val="00127711"/>
    <w:rsid w:val="001304F9"/>
    <w:rsid w:val="00131465"/>
    <w:rsid w:val="001314A6"/>
    <w:rsid w:val="00131CD5"/>
    <w:rsid w:val="00132281"/>
    <w:rsid w:val="001323A1"/>
    <w:rsid w:val="00132BB5"/>
    <w:rsid w:val="001330BE"/>
    <w:rsid w:val="00133976"/>
    <w:rsid w:val="001348F5"/>
    <w:rsid w:val="00135B12"/>
    <w:rsid w:val="001361B3"/>
    <w:rsid w:val="00136EBB"/>
    <w:rsid w:val="00137E54"/>
    <w:rsid w:val="00140744"/>
    <w:rsid w:val="00141726"/>
    <w:rsid w:val="00141E02"/>
    <w:rsid w:val="001431B4"/>
    <w:rsid w:val="0014340D"/>
    <w:rsid w:val="00143672"/>
    <w:rsid w:val="001438F9"/>
    <w:rsid w:val="00143CEA"/>
    <w:rsid w:val="00144363"/>
    <w:rsid w:val="00145397"/>
    <w:rsid w:val="00145507"/>
    <w:rsid w:val="00145E64"/>
    <w:rsid w:val="0014640E"/>
    <w:rsid w:val="00146572"/>
    <w:rsid w:val="00146B6D"/>
    <w:rsid w:val="001477D6"/>
    <w:rsid w:val="00147814"/>
    <w:rsid w:val="00150D41"/>
    <w:rsid w:val="00150FD6"/>
    <w:rsid w:val="00152C63"/>
    <w:rsid w:val="00153B06"/>
    <w:rsid w:val="00154403"/>
    <w:rsid w:val="00154FF7"/>
    <w:rsid w:val="001557C1"/>
    <w:rsid w:val="00155D35"/>
    <w:rsid w:val="00156FFB"/>
    <w:rsid w:val="00157AFD"/>
    <w:rsid w:val="00160095"/>
    <w:rsid w:val="0016089E"/>
    <w:rsid w:val="00160DEF"/>
    <w:rsid w:val="00162B94"/>
    <w:rsid w:val="00162D17"/>
    <w:rsid w:val="001645D8"/>
    <w:rsid w:val="00164F0D"/>
    <w:rsid w:val="00165484"/>
    <w:rsid w:val="00167549"/>
    <w:rsid w:val="001676AB"/>
    <w:rsid w:val="00167A55"/>
    <w:rsid w:val="001702ED"/>
    <w:rsid w:val="001703E3"/>
    <w:rsid w:val="001707F8"/>
    <w:rsid w:val="00170C40"/>
    <w:rsid w:val="00170E37"/>
    <w:rsid w:val="0017559B"/>
    <w:rsid w:val="001767E3"/>
    <w:rsid w:val="001767F1"/>
    <w:rsid w:val="00176ACD"/>
    <w:rsid w:val="001772B8"/>
    <w:rsid w:val="00180074"/>
    <w:rsid w:val="001802B5"/>
    <w:rsid w:val="001818A6"/>
    <w:rsid w:val="00181EB4"/>
    <w:rsid w:val="001825E0"/>
    <w:rsid w:val="0018320E"/>
    <w:rsid w:val="00183288"/>
    <w:rsid w:val="00184296"/>
    <w:rsid w:val="0018486C"/>
    <w:rsid w:val="0018531F"/>
    <w:rsid w:val="00186781"/>
    <w:rsid w:val="001873EE"/>
    <w:rsid w:val="00190458"/>
    <w:rsid w:val="00190659"/>
    <w:rsid w:val="00190934"/>
    <w:rsid w:val="001912D7"/>
    <w:rsid w:val="001919A9"/>
    <w:rsid w:val="001922F8"/>
    <w:rsid w:val="0019266D"/>
    <w:rsid w:val="00192C9B"/>
    <w:rsid w:val="00193139"/>
    <w:rsid w:val="00194394"/>
    <w:rsid w:val="0019524D"/>
    <w:rsid w:val="00197DD9"/>
    <w:rsid w:val="001A00E3"/>
    <w:rsid w:val="001A0277"/>
    <w:rsid w:val="001A0730"/>
    <w:rsid w:val="001A2801"/>
    <w:rsid w:val="001A2A2D"/>
    <w:rsid w:val="001A433C"/>
    <w:rsid w:val="001A4AEC"/>
    <w:rsid w:val="001A4EBE"/>
    <w:rsid w:val="001A5838"/>
    <w:rsid w:val="001A6D7C"/>
    <w:rsid w:val="001B1547"/>
    <w:rsid w:val="001B3000"/>
    <w:rsid w:val="001B3A4F"/>
    <w:rsid w:val="001B4B35"/>
    <w:rsid w:val="001B4B91"/>
    <w:rsid w:val="001B6345"/>
    <w:rsid w:val="001B6597"/>
    <w:rsid w:val="001B67A1"/>
    <w:rsid w:val="001B7F25"/>
    <w:rsid w:val="001C16D5"/>
    <w:rsid w:val="001C254C"/>
    <w:rsid w:val="001C3BCD"/>
    <w:rsid w:val="001C4D5D"/>
    <w:rsid w:val="001C705C"/>
    <w:rsid w:val="001D0BA9"/>
    <w:rsid w:val="001D0E38"/>
    <w:rsid w:val="001D223B"/>
    <w:rsid w:val="001D2E13"/>
    <w:rsid w:val="001D350C"/>
    <w:rsid w:val="001D4BB7"/>
    <w:rsid w:val="001D4ECD"/>
    <w:rsid w:val="001D4EF3"/>
    <w:rsid w:val="001D5E35"/>
    <w:rsid w:val="001D6AC8"/>
    <w:rsid w:val="001E09C0"/>
    <w:rsid w:val="001E0A87"/>
    <w:rsid w:val="001E10EF"/>
    <w:rsid w:val="001E2B56"/>
    <w:rsid w:val="001E3F2B"/>
    <w:rsid w:val="001E4AEA"/>
    <w:rsid w:val="001E4E5B"/>
    <w:rsid w:val="001E5471"/>
    <w:rsid w:val="001E5FEF"/>
    <w:rsid w:val="001F05D1"/>
    <w:rsid w:val="001F1732"/>
    <w:rsid w:val="001F1E6D"/>
    <w:rsid w:val="001F28DF"/>
    <w:rsid w:val="001F2D30"/>
    <w:rsid w:val="001F3D6B"/>
    <w:rsid w:val="001F5BEC"/>
    <w:rsid w:val="001F6BB5"/>
    <w:rsid w:val="001F7177"/>
    <w:rsid w:val="001F7F15"/>
    <w:rsid w:val="00201681"/>
    <w:rsid w:val="00202466"/>
    <w:rsid w:val="00202AC5"/>
    <w:rsid w:val="002032CF"/>
    <w:rsid w:val="002035A4"/>
    <w:rsid w:val="002043A2"/>
    <w:rsid w:val="00205CDA"/>
    <w:rsid w:val="00205EA5"/>
    <w:rsid w:val="00207C52"/>
    <w:rsid w:val="00207F6C"/>
    <w:rsid w:val="002103BC"/>
    <w:rsid w:val="00211303"/>
    <w:rsid w:val="002123AD"/>
    <w:rsid w:val="00212FED"/>
    <w:rsid w:val="00213337"/>
    <w:rsid w:val="002142A9"/>
    <w:rsid w:val="002153DA"/>
    <w:rsid w:val="00215A91"/>
    <w:rsid w:val="00215B0E"/>
    <w:rsid w:val="00215CED"/>
    <w:rsid w:val="00215FA3"/>
    <w:rsid w:val="00217EF4"/>
    <w:rsid w:val="002210E9"/>
    <w:rsid w:val="00221E59"/>
    <w:rsid w:val="002222F8"/>
    <w:rsid w:val="00222630"/>
    <w:rsid w:val="00223661"/>
    <w:rsid w:val="00224CE9"/>
    <w:rsid w:val="00225AA2"/>
    <w:rsid w:val="002260DC"/>
    <w:rsid w:val="0022621E"/>
    <w:rsid w:val="00226AC2"/>
    <w:rsid w:val="00226E1F"/>
    <w:rsid w:val="0022748A"/>
    <w:rsid w:val="00227A48"/>
    <w:rsid w:val="00227F73"/>
    <w:rsid w:val="00230697"/>
    <w:rsid w:val="00231138"/>
    <w:rsid w:val="00231539"/>
    <w:rsid w:val="00231994"/>
    <w:rsid w:val="002324BD"/>
    <w:rsid w:val="0023516B"/>
    <w:rsid w:val="00235287"/>
    <w:rsid w:val="00236078"/>
    <w:rsid w:val="00236129"/>
    <w:rsid w:val="00236623"/>
    <w:rsid w:val="00236993"/>
    <w:rsid w:val="00236F79"/>
    <w:rsid w:val="00237116"/>
    <w:rsid w:val="00237C59"/>
    <w:rsid w:val="00240017"/>
    <w:rsid w:val="00240402"/>
    <w:rsid w:val="00240F88"/>
    <w:rsid w:val="00241358"/>
    <w:rsid w:val="002425D8"/>
    <w:rsid w:val="0024304A"/>
    <w:rsid w:val="0024348F"/>
    <w:rsid w:val="002443DD"/>
    <w:rsid w:val="002448CD"/>
    <w:rsid w:val="0024491B"/>
    <w:rsid w:val="00244D5F"/>
    <w:rsid w:val="0024590F"/>
    <w:rsid w:val="00246795"/>
    <w:rsid w:val="00247819"/>
    <w:rsid w:val="00251295"/>
    <w:rsid w:val="002522C2"/>
    <w:rsid w:val="002525E4"/>
    <w:rsid w:val="002526E7"/>
    <w:rsid w:val="00252C4C"/>
    <w:rsid w:val="002533B5"/>
    <w:rsid w:val="00253E58"/>
    <w:rsid w:val="00254905"/>
    <w:rsid w:val="002568A9"/>
    <w:rsid w:val="00256F04"/>
    <w:rsid w:val="002570AB"/>
    <w:rsid w:val="002573B8"/>
    <w:rsid w:val="0025756B"/>
    <w:rsid w:val="0026133B"/>
    <w:rsid w:val="00261953"/>
    <w:rsid w:val="002635A3"/>
    <w:rsid w:val="00263AB3"/>
    <w:rsid w:val="002643AE"/>
    <w:rsid w:val="002652D1"/>
    <w:rsid w:val="00265720"/>
    <w:rsid w:val="00265BA6"/>
    <w:rsid w:val="00265DC3"/>
    <w:rsid w:val="00266681"/>
    <w:rsid w:val="00266692"/>
    <w:rsid w:val="00266CCC"/>
    <w:rsid w:val="00266EC9"/>
    <w:rsid w:val="00267547"/>
    <w:rsid w:val="00270D96"/>
    <w:rsid w:val="002714CE"/>
    <w:rsid w:val="00271833"/>
    <w:rsid w:val="0027208D"/>
    <w:rsid w:val="00274296"/>
    <w:rsid w:val="00274AF1"/>
    <w:rsid w:val="00274CA0"/>
    <w:rsid w:val="00275188"/>
    <w:rsid w:val="00275DC7"/>
    <w:rsid w:val="00281734"/>
    <w:rsid w:val="0028332C"/>
    <w:rsid w:val="0028363A"/>
    <w:rsid w:val="002838AC"/>
    <w:rsid w:val="00284707"/>
    <w:rsid w:val="00284DEE"/>
    <w:rsid w:val="00284F14"/>
    <w:rsid w:val="00285288"/>
    <w:rsid w:val="00285C20"/>
    <w:rsid w:val="002861CF"/>
    <w:rsid w:val="00286E57"/>
    <w:rsid w:val="00291418"/>
    <w:rsid w:val="00291A36"/>
    <w:rsid w:val="00293961"/>
    <w:rsid w:val="00294530"/>
    <w:rsid w:val="002949ED"/>
    <w:rsid w:val="002967DF"/>
    <w:rsid w:val="00297F9A"/>
    <w:rsid w:val="002A1D43"/>
    <w:rsid w:val="002A1F7C"/>
    <w:rsid w:val="002A22E4"/>
    <w:rsid w:val="002A27AC"/>
    <w:rsid w:val="002A2A46"/>
    <w:rsid w:val="002A32B1"/>
    <w:rsid w:val="002A3D57"/>
    <w:rsid w:val="002A4C04"/>
    <w:rsid w:val="002A4FEA"/>
    <w:rsid w:val="002A53AC"/>
    <w:rsid w:val="002A5BDF"/>
    <w:rsid w:val="002A64AD"/>
    <w:rsid w:val="002A679B"/>
    <w:rsid w:val="002B0338"/>
    <w:rsid w:val="002B0A87"/>
    <w:rsid w:val="002B0B88"/>
    <w:rsid w:val="002B24E5"/>
    <w:rsid w:val="002B2B8F"/>
    <w:rsid w:val="002B5090"/>
    <w:rsid w:val="002B5EE7"/>
    <w:rsid w:val="002B6376"/>
    <w:rsid w:val="002B67D2"/>
    <w:rsid w:val="002C0206"/>
    <w:rsid w:val="002C0382"/>
    <w:rsid w:val="002C0541"/>
    <w:rsid w:val="002C0E93"/>
    <w:rsid w:val="002C1FC4"/>
    <w:rsid w:val="002C2A2C"/>
    <w:rsid w:val="002C3345"/>
    <w:rsid w:val="002C3F7F"/>
    <w:rsid w:val="002C48B9"/>
    <w:rsid w:val="002C4E78"/>
    <w:rsid w:val="002C5190"/>
    <w:rsid w:val="002C72CF"/>
    <w:rsid w:val="002D087B"/>
    <w:rsid w:val="002D3521"/>
    <w:rsid w:val="002D3F23"/>
    <w:rsid w:val="002D4571"/>
    <w:rsid w:val="002D4A32"/>
    <w:rsid w:val="002D51D8"/>
    <w:rsid w:val="002D5264"/>
    <w:rsid w:val="002D6904"/>
    <w:rsid w:val="002D6EE4"/>
    <w:rsid w:val="002D7531"/>
    <w:rsid w:val="002D792A"/>
    <w:rsid w:val="002E03AB"/>
    <w:rsid w:val="002E21E8"/>
    <w:rsid w:val="002E27B0"/>
    <w:rsid w:val="002E2D63"/>
    <w:rsid w:val="002E4621"/>
    <w:rsid w:val="002E4BFA"/>
    <w:rsid w:val="002E54E1"/>
    <w:rsid w:val="002E6611"/>
    <w:rsid w:val="002E7370"/>
    <w:rsid w:val="002F056F"/>
    <w:rsid w:val="002F16F6"/>
    <w:rsid w:val="002F1D91"/>
    <w:rsid w:val="002F268C"/>
    <w:rsid w:val="002F4B2B"/>
    <w:rsid w:val="002F578D"/>
    <w:rsid w:val="002F6749"/>
    <w:rsid w:val="002F6F79"/>
    <w:rsid w:val="002F7A9A"/>
    <w:rsid w:val="00300ACF"/>
    <w:rsid w:val="00300FF9"/>
    <w:rsid w:val="00301900"/>
    <w:rsid w:val="003019E6"/>
    <w:rsid w:val="00302089"/>
    <w:rsid w:val="00303E5B"/>
    <w:rsid w:val="00304703"/>
    <w:rsid w:val="00304D4B"/>
    <w:rsid w:val="00306C8D"/>
    <w:rsid w:val="00310862"/>
    <w:rsid w:val="00311B35"/>
    <w:rsid w:val="003129BB"/>
    <w:rsid w:val="00312A57"/>
    <w:rsid w:val="0031372D"/>
    <w:rsid w:val="0031376B"/>
    <w:rsid w:val="003137DA"/>
    <w:rsid w:val="003168AD"/>
    <w:rsid w:val="003168B5"/>
    <w:rsid w:val="00317928"/>
    <w:rsid w:val="00321140"/>
    <w:rsid w:val="003213AD"/>
    <w:rsid w:val="00322372"/>
    <w:rsid w:val="003241E5"/>
    <w:rsid w:val="00326113"/>
    <w:rsid w:val="00327412"/>
    <w:rsid w:val="00327753"/>
    <w:rsid w:val="003300C9"/>
    <w:rsid w:val="00331406"/>
    <w:rsid w:val="00331C99"/>
    <w:rsid w:val="00332B1A"/>
    <w:rsid w:val="00332CF1"/>
    <w:rsid w:val="00332E9D"/>
    <w:rsid w:val="00333692"/>
    <w:rsid w:val="003355FE"/>
    <w:rsid w:val="00335632"/>
    <w:rsid w:val="003361E5"/>
    <w:rsid w:val="00336D2E"/>
    <w:rsid w:val="00340198"/>
    <w:rsid w:val="00343E20"/>
    <w:rsid w:val="00345710"/>
    <w:rsid w:val="00346A3C"/>
    <w:rsid w:val="00347CB3"/>
    <w:rsid w:val="003502EC"/>
    <w:rsid w:val="00350A9B"/>
    <w:rsid w:val="00351308"/>
    <w:rsid w:val="003515AC"/>
    <w:rsid w:val="00351660"/>
    <w:rsid w:val="00352178"/>
    <w:rsid w:val="00353417"/>
    <w:rsid w:val="00353A64"/>
    <w:rsid w:val="00354559"/>
    <w:rsid w:val="003548B8"/>
    <w:rsid w:val="003549DD"/>
    <w:rsid w:val="00354BB2"/>
    <w:rsid w:val="00356517"/>
    <w:rsid w:val="003567D3"/>
    <w:rsid w:val="0035732A"/>
    <w:rsid w:val="003603A2"/>
    <w:rsid w:val="0036080D"/>
    <w:rsid w:val="00360B1A"/>
    <w:rsid w:val="00360DB4"/>
    <w:rsid w:val="003665D8"/>
    <w:rsid w:val="00366D13"/>
    <w:rsid w:val="00367230"/>
    <w:rsid w:val="00367C99"/>
    <w:rsid w:val="00371482"/>
    <w:rsid w:val="00372C29"/>
    <w:rsid w:val="003737D7"/>
    <w:rsid w:val="00373E3F"/>
    <w:rsid w:val="00374023"/>
    <w:rsid w:val="0037506E"/>
    <w:rsid w:val="0037645D"/>
    <w:rsid w:val="003773F9"/>
    <w:rsid w:val="00377B1F"/>
    <w:rsid w:val="00380BA3"/>
    <w:rsid w:val="0038202E"/>
    <w:rsid w:val="003823F3"/>
    <w:rsid w:val="0038288B"/>
    <w:rsid w:val="00382E65"/>
    <w:rsid w:val="00382F72"/>
    <w:rsid w:val="00384774"/>
    <w:rsid w:val="00385F45"/>
    <w:rsid w:val="003862AE"/>
    <w:rsid w:val="00386529"/>
    <w:rsid w:val="00387097"/>
    <w:rsid w:val="0038758E"/>
    <w:rsid w:val="0039100E"/>
    <w:rsid w:val="0039103A"/>
    <w:rsid w:val="0039164C"/>
    <w:rsid w:val="003923FF"/>
    <w:rsid w:val="003927D0"/>
    <w:rsid w:val="00393A9F"/>
    <w:rsid w:val="00394A3F"/>
    <w:rsid w:val="00395AF4"/>
    <w:rsid w:val="00395FE7"/>
    <w:rsid w:val="00396266"/>
    <w:rsid w:val="00396482"/>
    <w:rsid w:val="00396D92"/>
    <w:rsid w:val="00397604"/>
    <w:rsid w:val="003A0237"/>
    <w:rsid w:val="003A062B"/>
    <w:rsid w:val="003A0C8F"/>
    <w:rsid w:val="003A0E2C"/>
    <w:rsid w:val="003A0E68"/>
    <w:rsid w:val="003A29A2"/>
    <w:rsid w:val="003A2B2F"/>
    <w:rsid w:val="003A2EE2"/>
    <w:rsid w:val="003A37A7"/>
    <w:rsid w:val="003A38A9"/>
    <w:rsid w:val="003A470D"/>
    <w:rsid w:val="003A471D"/>
    <w:rsid w:val="003A4CD1"/>
    <w:rsid w:val="003A5405"/>
    <w:rsid w:val="003A5CF5"/>
    <w:rsid w:val="003A60AF"/>
    <w:rsid w:val="003A660F"/>
    <w:rsid w:val="003A66F4"/>
    <w:rsid w:val="003A7181"/>
    <w:rsid w:val="003B12B7"/>
    <w:rsid w:val="003B2B59"/>
    <w:rsid w:val="003B32AA"/>
    <w:rsid w:val="003B3333"/>
    <w:rsid w:val="003B4142"/>
    <w:rsid w:val="003B4918"/>
    <w:rsid w:val="003B50ED"/>
    <w:rsid w:val="003B52F2"/>
    <w:rsid w:val="003B53B4"/>
    <w:rsid w:val="003B6883"/>
    <w:rsid w:val="003B69AE"/>
    <w:rsid w:val="003B6B10"/>
    <w:rsid w:val="003B6BF0"/>
    <w:rsid w:val="003B6CC8"/>
    <w:rsid w:val="003B6CF4"/>
    <w:rsid w:val="003B6D51"/>
    <w:rsid w:val="003B7E9E"/>
    <w:rsid w:val="003C05C3"/>
    <w:rsid w:val="003C0CE9"/>
    <w:rsid w:val="003C0DA8"/>
    <w:rsid w:val="003C1FB1"/>
    <w:rsid w:val="003C2098"/>
    <w:rsid w:val="003C23F2"/>
    <w:rsid w:val="003C3755"/>
    <w:rsid w:val="003C3922"/>
    <w:rsid w:val="003C4753"/>
    <w:rsid w:val="003C4A26"/>
    <w:rsid w:val="003C53D4"/>
    <w:rsid w:val="003C5AD4"/>
    <w:rsid w:val="003C74A1"/>
    <w:rsid w:val="003D065E"/>
    <w:rsid w:val="003D25C2"/>
    <w:rsid w:val="003D27C8"/>
    <w:rsid w:val="003D5115"/>
    <w:rsid w:val="003D7C16"/>
    <w:rsid w:val="003E02B1"/>
    <w:rsid w:val="003E0576"/>
    <w:rsid w:val="003E0C1C"/>
    <w:rsid w:val="003E1405"/>
    <w:rsid w:val="003E179F"/>
    <w:rsid w:val="003E3A25"/>
    <w:rsid w:val="003E428A"/>
    <w:rsid w:val="003E49D7"/>
    <w:rsid w:val="003E5857"/>
    <w:rsid w:val="003E62D5"/>
    <w:rsid w:val="003E761A"/>
    <w:rsid w:val="003E7CC5"/>
    <w:rsid w:val="003F0395"/>
    <w:rsid w:val="003F0F8C"/>
    <w:rsid w:val="003F1099"/>
    <w:rsid w:val="003F1B1F"/>
    <w:rsid w:val="003F24B2"/>
    <w:rsid w:val="003F3155"/>
    <w:rsid w:val="003F4241"/>
    <w:rsid w:val="003F582A"/>
    <w:rsid w:val="003F5BDC"/>
    <w:rsid w:val="003F5D05"/>
    <w:rsid w:val="003F69B0"/>
    <w:rsid w:val="003F6D9F"/>
    <w:rsid w:val="003F75CC"/>
    <w:rsid w:val="00401EA8"/>
    <w:rsid w:val="004030D3"/>
    <w:rsid w:val="004040B6"/>
    <w:rsid w:val="00405C2F"/>
    <w:rsid w:val="00406DD0"/>
    <w:rsid w:val="004078B5"/>
    <w:rsid w:val="0041010D"/>
    <w:rsid w:val="00412E8B"/>
    <w:rsid w:val="00413761"/>
    <w:rsid w:val="004139BA"/>
    <w:rsid w:val="004143F6"/>
    <w:rsid w:val="00414410"/>
    <w:rsid w:val="00414931"/>
    <w:rsid w:val="004154DB"/>
    <w:rsid w:val="004162C1"/>
    <w:rsid w:val="00420261"/>
    <w:rsid w:val="00421830"/>
    <w:rsid w:val="004223A0"/>
    <w:rsid w:val="004241CD"/>
    <w:rsid w:val="00424892"/>
    <w:rsid w:val="00425578"/>
    <w:rsid w:val="00425FFF"/>
    <w:rsid w:val="00426CB5"/>
    <w:rsid w:val="0043099A"/>
    <w:rsid w:val="00430A56"/>
    <w:rsid w:val="0043172E"/>
    <w:rsid w:val="00431912"/>
    <w:rsid w:val="00431F00"/>
    <w:rsid w:val="004322B4"/>
    <w:rsid w:val="00432F54"/>
    <w:rsid w:val="00433130"/>
    <w:rsid w:val="00433C57"/>
    <w:rsid w:val="00434030"/>
    <w:rsid w:val="0043406C"/>
    <w:rsid w:val="00436140"/>
    <w:rsid w:val="00436D31"/>
    <w:rsid w:val="00436FBE"/>
    <w:rsid w:val="004373DD"/>
    <w:rsid w:val="00441567"/>
    <w:rsid w:val="0044196A"/>
    <w:rsid w:val="004420ED"/>
    <w:rsid w:val="00442A43"/>
    <w:rsid w:val="004439ED"/>
    <w:rsid w:val="00443D09"/>
    <w:rsid w:val="004445EA"/>
    <w:rsid w:val="0044544D"/>
    <w:rsid w:val="004463F6"/>
    <w:rsid w:val="0044718F"/>
    <w:rsid w:val="00447D3A"/>
    <w:rsid w:val="00447D5F"/>
    <w:rsid w:val="0045118C"/>
    <w:rsid w:val="00452F8D"/>
    <w:rsid w:val="00453BF7"/>
    <w:rsid w:val="00455016"/>
    <w:rsid w:val="00455967"/>
    <w:rsid w:val="00460A78"/>
    <w:rsid w:val="0046194D"/>
    <w:rsid w:val="00463097"/>
    <w:rsid w:val="004638AD"/>
    <w:rsid w:val="0046444B"/>
    <w:rsid w:val="00465F2D"/>
    <w:rsid w:val="004670F0"/>
    <w:rsid w:val="00467A2F"/>
    <w:rsid w:val="00472025"/>
    <w:rsid w:val="00472476"/>
    <w:rsid w:val="00472BEF"/>
    <w:rsid w:val="00474D13"/>
    <w:rsid w:val="00475469"/>
    <w:rsid w:val="004756EF"/>
    <w:rsid w:val="00475A18"/>
    <w:rsid w:val="00475BB0"/>
    <w:rsid w:val="0047669B"/>
    <w:rsid w:val="0047672E"/>
    <w:rsid w:val="00476B93"/>
    <w:rsid w:val="00476DCD"/>
    <w:rsid w:val="0047700E"/>
    <w:rsid w:val="00477C98"/>
    <w:rsid w:val="0048083E"/>
    <w:rsid w:val="0048091B"/>
    <w:rsid w:val="004831CF"/>
    <w:rsid w:val="004831D8"/>
    <w:rsid w:val="004834F2"/>
    <w:rsid w:val="004837BF"/>
    <w:rsid w:val="00484571"/>
    <w:rsid w:val="004848C6"/>
    <w:rsid w:val="00485B04"/>
    <w:rsid w:val="00486618"/>
    <w:rsid w:val="004867B4"/>
    <w:rsid w:val="00486AAB"/>
    <w:rsid w:val="00487C67"/>
    <w:rsid w:val="00491A8E"/>
    <w:rsid w:val="00492801"/>
    <w:rsid w:val="00493563"/>
    <w:rsid w:val="004948F2"/>
    <w:rsid w:val="004952E3"/>
    <w:rsid w:val="004955D5"/>
    <w:rsid w:val="00497B86"/>
    <w:rsid w:val="00497E5E"/>
    <w:rsid w:val="00497EC7"/>
    <w:rsid w:val="004A1E1A"/>
    <w:rsid w:val="004A1FC3"/>
    <w:rsid w:val="004A2C07"/>
    <w:rsid w:val="004A368A"/>
    <w:rsid w:val="004A448A"/>
    <w:rsid w:val="004A465E"/>
    <w:rsid w:val="004A4887"/>
    <w:rsid w:val="004A48EC"/>
    <w:rsid w:val="004A4D64"/>
    <w:rsid w:val="004A5421"/>
    <w:rsid w:val="004A549F"/>
    <w:rsid w:val="004A615C"/>
    <w:rsid w:val="004A7A54"/>
    <w:rsid w:val="004A7EF4"/>
    <w:rsid w:val="004B168C"/>
    <w:rsid w:val="004B2DC0"/>
    <w:rsid w:val="004B2ECD"/>
    <w:rsid w:val="004B4E94"/>
    <w:rsid w:val="004B551D"/>
    <w:rsid w:val="004B5BCD"/>
    <w:rsid w:val="004B71A4"/>
    <w:rsid w:val="004B77DC"/>
    <w:rsid w:val="004B7D5A"/>
    <w:rsid w:val="004C039A"/>
    <w:rsid w:val="004C0E58"/>
    <w:rsid w:val="004C30D6"/>
    <w:rsid w:val="004C580F"/>
    <w:rsid w:val="004C5E93"/>
    <w:rsid w:val="004C61E1"/>
    <w:rsid w:val="004C70C4"/>
    <w:rsid w:val="004C7371"/>
    <w:rsid w:val="004C7451"/>
    <w:rsid w:val="004C7B58"/>
    <w:rsid w:val="004C7C59"/>
    <w:rsid w:val="004C7F2B"/>
    <w:rsid w:val="004D1713"/>
    <w:rsid w:val="004D1AA5"/>
    <w:rsid w:val="004D20F3"/>
    <w:rsid w:val="004D2AE5"/>
    <w:rsid w:val="004D363B"/>
    <w:rsid w:val="004D3681"/>
    <w:rsid w:val="004D3D94"/>
    <w:rsid w:val="004D462A"/>
    <w:rsid w:val="004D4C1A"/>
    <w:rsid w:val="004D57D9"/>
    <w:rsid w:val="004D7973"/>
    <w:rsid w:val="004D7EF0"/>
    <w:rsid w:val="004E2039"/>
    <w:rsid w:val="004E4AF7"/>
    <w:rsid w:val="004E5D5F"/>
    <w:rsid w:val="004E5E2D"/>
    <w:rsid w:val="004E69D9"/>
    <w:rsid w:val="004E6F49"/>
    <w:rsid w:val="004E77AA"/>
    <w:rsid w:val="004F0E6F"/>
    <w:rsid w:val="004F1DB7"/>
    <w:rsid w:val="004F2605"/>
    <w:rsid w:val="004F5007"/>
    <w:rsid w:val="004F53A3"/>
    <w:rsid w:val="004F6395"/>
    <w:rsid w:val="004F7373"/>
    <w:rsid w:val="004F76F1"/>
    <w:rsid w:val="004F79AF"/>
    <w:rsid w:val="00500845"/>
    <w:rsid w:val="0050289C"/>
    <w:rsid w:val="005029B4"/>
    <w:rsid w:val="00503035"/>
    <w:rsid w:val="00503E6B"/>
    <w:rsid w:val="00504697"/>
    <w:rsid w:val="0050535F"/>
    <w:rsid w:val="0050619E"/>
    <w:rsid w:val="00507251"/>
    <w:rsid w:val="00507D95"/>
    <w:rsid w:val="00511E0B"/>
    <w:rsid w:val="00511F34"/>
    <w:rsid w:val="005122B9"/>
    <w:rsid w:val="005123B2"/>
    <w:rsid w:val="0051380D"/>
    <w:rsid w:val="00514DC8"/>
    <w:rsid w:val="00517DBA"/>
    <w:rsid w:val="00517FF4"/>
    <w:rsid w:val="00520815"/>
    <w:rsid w:val="005208E4"/>
    <w:rsid w:val="00522237"/>
    <w:rsid w:val="00522AEF"/>
    <w:rsid w:val="005237B7"/>
    <w:rsid w:val="0052419C"/>
    <w:rsid w:val="00524571"/>
    <w:rsid w:val="0052486B"/>
    <w:rsid w:val="00524994"/>
    <w:rsid w:val="00524A47"/>
    <w:rsid w:val="00524B5B"/>
    <w:rsid w:val="00526661"/>
    <w:rsid w:val="00526B82"/>
    <w:rsid w:val="005272AA"/>
    <w:rsid w:val="00527865"/>
    <w:rsid w:val="00530A44"/>
    <w:rsid w:val="00530B34"/>
    <w:rsid w:val="005362E1"/>
    <w:rsid w:val="005370B3"/>
    <w:rsid w:val="005412C4"/>
    <w:rsid w:val="00541EDC"/>
    <w:rsid w:val="005424E7"/>
    <w:rsid w:val="005428A1"/>
    <w:rsid w:val="00543409"/>
    <w:rsid w:val="00543B24"/>
    <w:rsid w:val="00544729"/>
    <w:rsid w:val="00546864"/>
    <w:rsid w:val="0054760F"/>
    <w:rsid w:val="00547AAE"/>
    <w:rsid w:val="0055172C"/>
    <w:rsid w:val="00551DF2"/>
    <w:rsid w:val="00552605"/>
    <w:rsid w:val="00552F4B"/>
    <w:rsid w:val="00553126"/>
    <w:rsid w:val="005533CC"/>
    <w:rsid w:val="00554095"/>
    <w:rsid w:val="00555C11"/>
    <w:rsid w:val="00556813"/>
    <w:rsid w:val="00557499"/>
    <w:rsid w:val="00557504"/>
    <w:rsid w:val="00557FB3"/>
    <w:rsid w:val="005606B6"/>
    <w:rsid w:val="005610D8"/>
    <w:rsid w:val="00561F18"/>
    <w:rsid w:val="0056220C"/>
    <w:rsid w:val="0056327D"/>
    <w:rsid w:val="0056364F"/>
    <w:rsid w:val="00563AAE"/>
    <w:rsid w:val="0056422F"/>
    <w:rsid w:val="00564B55"/>
    <w:rsid w:val="00566997"/>
    <w:rsid w:val="0057007A"/>
    <w:rsid w:val="005701DF"/>
    <w:rsid w:val="00570E85"/>
    <w:rsid w:val="00571BE8"/>
    <w:rsid w:val="005725BF"/>
    <w:rsid w:val="00572B57"/>
    <w:rsid w:val="005745D0"/>
    <w:rsid w:val="00574AC9"/>
    <w:rsid w:val="00574BA5"/>
    <w:rsid w:val="00575170"/>
    <w:rsid w:val="0057530E"/>
    <w:rsid w:val="0057674F"/>
    <w:rsid w:val="00576D36"/>
    <w:rsid w:val="00577843"/>
    <w:rsid w:val="005779DE"/>
    <w:rsid w:val="00577C82"/>
    <w:rsid w:val="00580FDD"/>
    <w:rsid w:val="00582A72"/>
    <w:rsid w:val="00582ACD"/>
    <w:rsid w:val="00582D4A"/>
    <w:rsid w:val="005833E9"/>
    <w:rsid w:val="005852D4"/>
    <w:rsid w:val="00586B37"/>
    <w:rsid w:val="005872AB"/>
    <w:rsid w:val="00587845"/>
    <w:rsid w:val="005902BF"/>
    <w:rsid w:val="00590717"/>
    <w:rsid w:val="00591D00"/>
    <w:rsid w:val="00592928"/>
    <w:rsid w:val="00593FB3"/>
    <w:rsid w:val="0059536F"/>
    <w:rsid w:val="00595516"/>
    <w:rsid w:val="00595568"/>
    <w:rsid w:val="00595676"/>
    <w:rsid w:val="00595D57"/>
    <w:rsid w:val="00596085"/>
    <w:rsid w:val="00596506"/>
    <w:rsid w:val="00596FD7"/>
    <w:rsid w:val="00597294"/>
    <w:rsid w:val="00597561"/>
    <w:rsid w:val="005A00BA"/>
    <w:rsid w:val="005A1843"/>
    <w:rsid w:val="005A1D34"/>
    <w:rsid w:val="005A1DB0"/>
    <w:rsid w:val="005A2EFD"/>
    <w:rsid w:val="005A45E3"/>
    <w:rsid w:val="005A5594"/>
    <w:rsid w:val="005A5C94"/>
    <w:rsid w:val="005A622B"/>
    <w:rsid w:val="005A6FF5"/>
    <w:rsid w:val="005A78B9"/>
    <w:rsid w:val="005A7D2D"/>
    <w:rsid w:val="005B0193"/>
    <w:rsid w:val="005B061A"/>
    <w:rsid w:val="005B0C73"/>
    <w:rsid w:val="005B19E8"/>
    <w:rsid w:val="005B24D3"/>
    <w:rsid w:val="005B25C5"/>
    <w:rsid w:val="005B3284"/>
    <w:rsid w:val="005B3837"/>
    <w:rsid w:val="005B3BFA"/>
    <w:rsid w:val="005B5120"/>
    <w:rsid w:val="005B599B"/>
    <w:rsid w:val="005B5EA3"/>
    <w:rsid w:val="005B6DC8"/>
    <w:rsid w:val="005B76AC"/>
    <w:rsid w:val="005C045C"/>
    <w:rsid w:val="005C1E89"/>
    <w:rsid w:val="005C2422"/>
    <w:rsid w:val="005C4F19"/>
    <w:rsid w:val="005C5E25"/>
    <w:rsid w:val="005C61EF"/>
    <w:rsid w:val="005C71A5"/>
    <w:rsid w:val="005D0AD4"/>
    <w:rsid w:val="005D0D4F"/>
    <w:rsid w:val="005D1561"/>
    <w:rsid w:val="005D1729"/>
    <w:rsid w:val="005D1A4F"/>
    <w:rsid w:val="005D308A"/>
    <w:rsid w:val="005D402C"/>
    <w:rsid w:val="005D418F"/>
    <w:rsid w:val="005D4CE8"/>
    <w:rsid w:val="005D6FE8"/>
    <w:rsid w:val="005D730A"/>
    <w:rsid w:val="005D7B9B"/>
    <w:rsid w:val="005E031E"/>
    <w:rsid w:val="005E1236"/>
    <w:rsid w:val="005E227B"/>
    <w:rsid w:val="005E27C5"/>
    <w:rsid w:val="005E32B6"/>
    <w:rsid w:val="005E3A9E"/>
    <w:rsid w:val="005E3E2F"/>
    <w:rsid w:val="005E74BC"/>
    <w:rsid w:val="005E765E"/>
    <w:rsid w:val="005F0374"/>
    <w:rsid w:val="005F059C"/>
    <w:rsid w:val="005F20C7"/>
    <w:rsid w:val="005F39C0"/>
    <w:rsid w:val="005F45D8"/>
    <w:rsid w:val="005F57A2"/>
    <w:rsid w:val="005F5F0C"/>
    <w:rsid w:val="005F6ECA"/>
    <w:rsid w:val="005F7B64"/>
    <w:rsid w:val="00601714"/>
    <w:rsid w:val="006028B5"/>
    <w:rsid w:val="0060381D"/>
    <w:rsid w:val="00604195"/>
    <w:rsid w:val="00604C98"/>
    <w:rsid w:val="00604EF3"/>
    <w:rsid w:val="00605218"/>
    <w:rsid w:val="00605C61"/>
    <w:rsid w:val="00606BD8"/>
    <w:rsid w:val="00607998"/>
    <w:rsid w:val="0061141A"/>
    <w:rsid w:val="00611859"/>
    <w:rsid w:val="00611D30"/>
    <w:rsid w:val="00612AA5"/>
    <w:rsid w:val="006139D4"/>
    <w:rsid w:val="00614FFD"/>
    <w:rsid w:val="006153EA"/>
    <w:rsid w:val="0061548B"/>
    <w:rsid w:val="0061566E"/>
    <w:rsid w:val="0061637D"/>
    <w:rsid w:val="006167BB"/>
    <w:rsid w:val="006170E9"/>
    <w:rsid w:val="006204C3"/>
    <w:rsid w:val="006213A8"/>
    <w:rsid w:val="00621CC7"/>
    <w:rsid w:val="00621D76"/>
    <w:rsid w:val="006221C1"/>
    <w:rsid w:val="006235F6"/>
    <w:rsid w:val="006239AC"/>
    <w:rsid w:val="006239B7"/>
    <w:rsid w:val="006244F8"/>
    <w:rsid w:val="00624824"/>
    <w:rsid w:val="006255CB"/>
    <w:rsid w:val="00625C7D"/>
    <w:rsid w:val="00625CA5"/>
    <w:rsid w:val="00626036"/>
    <w:rsid w:val="0062640E"/>
    <w:rsid w:val="006268CE"/>
    <w:rsid w:val="0063050D"/>
    <w:rsid w:val="0063067C"/>
    <w:rsid w:val="00630BA7"/>
    <w:rsid w:val="00631352"/>
    <w:rsid w:val="006313B0"/>
    <w:rsid w:val="0063219F"/>
    <w:rsid w:val="00633DEB"/>
    <w:rsid w:val="0063434F"/>
    <w:rsid w:val="0063521A"/>
    <w:rsid w:val="00635371"/>
    <w:rsid w:val="0063541A"/>
    <w:rsid w:val="006365E6"/>
    <w:rsid w:val="006369E9"/>
    <w:rsid w:val="0064028E"/>
    <w:rsid w:val="00640301"/>
    <w:rsid w:val="00641C0A"/>
    <w:rsid w:val="006426C4"/>
    <w:rsid w:val="00643769"/>
    <w:rsid w:val="00643B45"/>
    <w:rsid w:val="006442CB"/>
    <w:rsid w:val="00644C05"/>
    <w:rsid w:val="0064539C"/>
    <w:rsid w:val="00645B5E"/>
    <w:rsid w:val="00645B8D"/>
    <w:rsid w:val="00646758"/>
    <w:rsid w:val="0064763A"/>
    <w:rsid w:val="00647B04"/>
    <w:rsid w:val="00647EC1"/>
    <w:rsid w:val="006518D4"/>
    <w:rsid w:val="00651C6B"/>
    <w:rsid w:val="006529C4"/>
    <w:rsid w:val="006533FA"/>
    <w:rsid w:val="00653448"/>
    <w:rsid w:val="0065554B"/>
    <w:rsid w:val="00655B75"/>
    <w:rsid w:val="00655D40"/>
    <w:rsid w:val="00656C39"/>
    <w:rsid w:val="00656F9C"/>
    <w:rsid w:val="0065721F"/>
    <w:rsid w:val="006601DA"/>
    <w:rsid w:val="00661157"/>
    <w:rsid w:val="006614E6"/>
    <w:rsid w:val="00661FE5"/>
    <w:rsid w:val="006625F0"/>
    <w:rsid w:val="00662EF7"/>
    <w:rsid w:val="006630E5"/>
    <w:rsid w:val="00664241"/>
    <w:rsid w:val="0066433C"/>
    <w:rsid w:val="00664454"/>
    <w:rsid w:val="0066502F"/>
    <w:rsid w:val="006655CB"/>
    <w:rsid w:val="006658FB"/>
    <w:rsid w:val="00665C02"/>
    <w:rsid w:val="0066614B"/>
    <w:rsid w:val="00670F52"/>
    <w:rsid w:val="00671499"/>
    <w:rsid w:val="00673F48"/>
    <w:rsid w:val="006753D1"/>
    <w:rsid w:val="0067578A"/>
    <w:rsid w:val="00676969"/>
    <w:rsid w:val="00676E3D"/>
    <w:rsid w:val="00680992"/>
    <w:rsid w:val="006809AE"/>
    <w:rsid w:val="00680AC9"/>
    <w:rsid w:val="00680F07"/>
    <w:rsid w:val="006823F1"/>
    <w:rsid w:val="006830D5"/>
    <w:rsid w:val="006847AE"/>
    <w:rsid w:val="0068795E"/>
    <w:rsid w:val="00687BB3"/>
    <w:rsid w:val="00693233"/>
    <w:rsid w:val="0069344D"/>
    <w:rsid w:val="00693609"/>
    <w:rsid w:val="00695946"/>
    <w:rsid w:val="00695D79"/>
    <w:rsid w:val="00696371"/>
    <w:rsid w:val="006964D9"/>
    <w:rsid w:val="006969CF"/>
    <w:rsid w:val="0069700A"/>
    <w:rsid w:val="006971B1"/>
    <w:rsid w:val="00697673"/>
    <w:rsid w:val="00697B21"/>
    <w:rsid w:val="006A04F1"/>
    <w:rsid w:val="006A0B66"/>
    <w:rsid w:val="006A12AB"/>
    <w:rsid w:val="006A1DA1"/>
    <w:rsid w:val="006A1E09"/>
    <w:rsid w:val="006A3542"/>
    <w:rsid w:val="006A511B"/>
    <w:rsid w:val="006A5955"/>
    <w:rsid w:val="006A622A"/>
    <w:rsid w:val="006A6237"/>
    <w:rsid w:val="006A6546"/>
    <w:rsid w:val="006B0B75"/>
    <w:rsid w:val="006B0D25"/>
    <w:rsid w:val="006B1B36"/>
    <w:rsid w:val="006B26F6"/>
    <w:rsid w:val="006B33FB"/>
    <w:rsid w:val="006B41C4"/>
    <w:rsid w:val="006B58AB"/>
    <w:rsid w:val="006B58F2"/>
    <w:rsid w:val="006B70E5"/>
    <w:rsid w:val="006B790D"/>
    <w:rsid w:val="006C05EF"/>
    <w:rsid w:val="006C0FD2"/>
    <w:rsid w:val="006C1EA5"/>
    <w:rsid w:val="006C2016"/>
    <w:rsid w:val="006C25D0"/>
    <w:rsid w:val="006C5839"/>
    <w:rsid w:val="006C5C7D"/>
    <w:rsid w:val="006C5CA6"/>
    <w:rsid w:val="006C5E7B"/>
    <w:rsid w:val="006C632D"/>
    <w:rsid w:val="006C65E8"/>
    <w:rsid w:val="006C721C"/>
    <w:rsid w:val="006C7645"/>
    <w:rsid w:val="006C78C8"/>
    <w:rsid w:val="006D05CE"/>
    <w:rsid w:val="006D065E"/>
    <w:rsid w:val="006D166A"/>
    <w:rsid w:val="006D1E26"/>
    <w:rsid w:val="006D1E7E"/>
    <w:rsid w:val="006D1EF6"/>
    <w:rsid w:val="006D2C32"/>
    <w:rsid w:val="006D499D"/>
    <w:rsid w:val="006D6393"/>
    <w:rsid w:val="006D7B77"/>
    <w:rsid w:val="006E009B"/>
    <w:rsid w:val="006E044F"/>
    <w:rsid w:val="006E066E"/>
    <w:rsid w:val="006E187C"/>
    <w:rsid w:val="006E428A"/>
    <w:rsid w:val="006E4754"/>
    <w:rsid w:val="006E4DAD"/>
    <w:rsid w:val="006E5C19"/>
    <w:rsid w:val="006E7310"/>
    <w:rsid w:val="006E7368"/>
    <w:rsid w:val="006E7AD6"/>
    <w:rsid w:val="006E7B49"/>
    <w:rsid w:val="006E7F15"/>
    <w:rsid w:val="006F0455"/>
    <w:rsid w:val="006F0D3C"/>
    <w:rsid w:val="006F1460"/>
    <w:rsid w:val="006F22C8"/>
    <w:rsid w:val="006F2516"/>
    <w:rsid w:val="006F3EFB"/>
    <w:rsid w:val="006F408A"/>
    <w:rsid w:val="006F46C7"/>
    <w:rsid w:val="006F504F"/>
    <w:rsid w:val="006F559C"/>
    <w:rsid w:val="006F5CD0"/>
    <w:rsid w:val="006F6291"/>
    <w:rsid w:val="006F761B"/>
    <w:rsid w:val="0070005E"/>
    <w:rsid w:val="00700ADF"/>
    <w:rsid w:val="00700E5D"/>
    <w:rsid w:val="007015B4"/>
    <w:rsid w:val="00703617"/>
    <w:rsid w:val="007037D9"/>
    <w:rsid w:val="00703887"/>
    <w:rsid w:val="0070422B"/>
    <w:rsid w:val="00704DA6"/>
    <w:rsid w:val="0070509F"/>
    <w:rsid w:val="00705CAB"/>
    <w:rsid w:val="00705FBF"/>
    <w:rsid w:val="00707144"/>
    <w:rsid w:val="0070720C"/>
    <w:rsid w:val="007074C9"/>
    <w:rsid w:val="0071075B"/>
    <w:rsid w:val="00710825"/>
    <w:rsid w:val="00713B1A"/>
    <w:rsid w:val="007149F9"/>
    <w:rsid w:val="00716A8C"/>
    <w:rsid w:val="007171CF"/>
    <w:rsid w:val="0072020D"/>
    <w:rsid w:val="00720578"/>
    <w:rsid w:val="00720582"/>
    <w:rsid w:val="0072085C"/>
    <w:rsid w:val="007208B3"/>
    <w:rsid w:val="00720AF0"/>
    <w:rsid w:val="00721B3D"/>
    <w:rsid w:val="00721BAB"/>
    <w:rsid w:val="0072297C"/>
    <w:rsid w:val="00723894"/>
    <w:rsid w:val="0072413C"/>
    <w:rsid w:val="00725344"/>
    <w:rsid w:val="00725BAD"/>
    <w:rsid w:val="00725C52"/>
    <w:rsid w:val="00725F78"/>
    <w:rsid w:val="00726523"/>
    <w:rsid w:val="0072686A"/>
    <w:rsid w:val="00726935"/>
    <w:rsid w:val="00727262"/>
    <w:rsid w:val="007306B9"/>
    <w:rsid w:val="0073111F"/>
    <w:rsid w:val="00732601"/>
    <w:rsid w:val="0073352C"/>
    <w:rsid w:val="00733900"/>
    <w:rsid w:val="00735120"/>
    <w:rsid w:val="0073572E"/>
    <w:rsid w:val="00736D6D"/>
    <w:rsid w:val="00736EAD"/>
    <w:rsid w:val="00737FEA"/>
    <w:rsid w:val="0074062A"/>
    <w:rsid w:val="00741C70"/>
    <w:rsid w:val="00741CDE"/>
    <w:rsid w:val="00741F72"/>
    <w:rsid w:val="0074233E"/>
    <w:rsid w:val="007432C4"/>
    <w:rsid w:val="007434AB"/>
    <w:rsid w:val="00743753"/>
    <w:rsid w:val="00743A9C"/>
    <w:rsid w:val="007444FB"/>
    <w:rsid w:val="00744EB0"/>
    <w:rsid w:val="00746869"/>
    <w:rsid w:val="007468CC"/>
    <w:rsid w:val="00750093"/>
    <w:rsid w:val="007502BD"/>
    <w:rsid w:val="007509E5"/>
    <w:rsid w:val="00750DDE"/>
    <w:rsid w:val="00750E99"/>
    <w:rsid w:val="00751505"/>
    <w:rsid w:val="0075260E"/>
    <w:rsid w:val="00752BF4"/>
    <w:rsid w:val="00753F1C"/>
    <w:rsid w:val="00754086"/>
    <w:rsid w:val="0075427B"/>
    <w:rsid w:val="00755536"/>
    <w:rsid w:val="007555E2"/>
    <w:rsid w:val="00755F23"/>
    <w:rsid w:val="00757E98"/>
    <w:rsid w:val="007618B4"/>
    <w:rsid w:val="00762633"/>
    <w:rsid w:val="00762C5E"/>
    <w:rsid w:val="00763519"/>
    <w:rsid w:val="00763EE0"/>
    <w:rsid w:val="00766490"/>
    <w:rsid w:val="00770120"/>
    <w:rsid w:val="0077234B"/>
    <w:rsid w:val="007729D4"/>
    <w:rsid w:val="00773D96"/>
    <w:rsid w:val="007751D9"/>
    <w:rsid w:val="007753BB"/>
    <w:rsid w:val="007755F6"/>
    <w:rsid w:val="007758CF"/>
    <w:rsid w:val="00776374"/>
    <w:rsid w:val="00777152"/>
    <w:rsid w:val="00777200"/>
    <w:rsid w:val="00777D90"/>
    <w:rsid w:val="00777F34"/>
    <w:rsid w:val="00780499"/>
    <w:rsid w:val="007806A0"/>
    <w:rsid w:val="0078079B"/>
    <w:rsid w:val="007809F4"/>
    <w:rsid w:val="00780C35"/>
    <w:rsid w:val="00781121"/>
    <w:rsid w:val="0078126D"/>
    <w:rsid w:val="007815C2"/>
    <w:rsid w:val="00781775"/>
    <w:rsid w:val="00783420"/>
    <w:rsid w:val="007838CD"/>
    <w:rsid w:val="0078455B"/>
    <w:rsid w:val="00784CF7"/>
    <w:rsid w:val="00784FD2"/>
    <w:rsid w:val="007854CF"/>
    <w:rsid w:val="007868D8"/>
    <w:rsid w:val="00786A99"/>
    <w:rsid w:val="00786DDF"/>
    <w:rsid w:val="00787F95"/>
    <w:rsid w:val="00791122"/>
    <w:rsid w:val="0079136C"/>
    <w:rsid w:val="00791BEF"/>
    <w:rsid w:val="00791DF0"/>
    <w:rsid w:val="0079302B"/>
    <w:rsid w:val="00793183"/>
    <w:rsid w:val="0079339B"/>
    <w:rsid w:val="00793F65"/>
    <w:rsid w:val="007950B7"/>
    <w:rsid w:val="00795BCE"/>
    <w:rsid w:val="00795EC6"/>
    <w:rsid w:val="007969C5"/>
    <w:rsid w:val="00796FD8"/>
    <w:rsid w:val="00797170"/>
    <w:rsid w:val="00797498"/>
    <w:rsid w:val="007A08DB"/>
    <w:rsid w:val="007A1F88"/>
    <w:rsid w:val="007A1F8D"/>
    <w:rsid w:val="007A23C6"/>
    <w:rsid w:val="007A3556"/>
    <w:rsid w:val="007A4BC6"/>
    <w:rsid w:val="007A5379"/>
    <w:rsid w:val="007A6074"/>
    <w:rsid w:val="007A6234"/>
    <w:rsid w:val="007B0707"/>
    <w:rsid w:val="007B0F7B"/>
    <w:rsid w:val="007B1955"/>
    <w:rsid w:val="007B1AC5"/>
    <w:rsid w:val="007B1F1B"/>
    <w:rsid w:val="007B1F49"/>
    <w:rsid w:val="007B26F6"/>
    <w:rsid w:val="007B2CCA"/>
    <w:rsid w:val="007B3035"/>
    <w:rsid w:val="007B3D04"/>
    <w:rsid w:val="007B4113"/>
    <w:rsid w:val="007B4746"/>
    <w:rsid w:val="007B5C6F"/>
    <w:rsid w:val="007B5F37"/>
    <w:rsid w:val="007B69EF"/>
    <w:rsid w:val="007B6E6F"/>
    <w:rsid w:val="007C0640"/>
    <w:rsid w:val="007C48E8"/>
    <w:rsid w:val="007C4E46"/>
    <w:rsid w:val="007C5538"/>
    <w:rsid w:val="007C66D8"/>
    <w:rsid w:val="007C698B"/>
    <w:rsid w:val="007C6E78"/>
    <w:rsid w:val="007C769E"/>
    <w:rsid w:val="007D01B0"/>
    <w:rsid w:val="007D033D"/>
    <w:rsid w:val="007D086A"/>
    <w:rsid w:val="007D0E77"/>
    <w:rsid w:val="007D177E"/>
    <w:rsid w:val="007D1F88"/>
    <w:rsid w:val="007D31D5"/>
    <w:rsid w:val="007D3A88"/>
    <w:rsid w:val="007D4024"/>
    <w:rsid w:val="007D5CE1"/>
    <w:rsid w:val="007D671E"/>
    <w:rsid w:val="007D7710"/>
    <w:rsid w:val="007D7739"/>
    <w:rsid w:val="007D796D"/>
    <w:rsid w:val="007E0452"/>
    <w:rsid w:val="007E16FE"/>
    <w:rsid w:val="007E1710"/>
    <w:rsid w:val="007E24B2"/>
    <w:rsid w:val="007E4C84"/>
    <w:rsid w:val="007E5CF0"/>
    <w:rsid w:val="007E6997"/>
    <w:rsid w:val="007E6AC9"/>
    <w:rsid w:val="007E7598"/>
    <w:rsid w:val="007E7B35"/>
    <w:rsid w:val="007F196F"/>
    <w:rsid w:val="007F2014"/>
    <w:rsid w:val="007F20D0"/>
    <w:rsid w:val="007F22D0"/>
    <w:rsid w:val="007F2403"/>
    <w:rsid w:val="007F3061"/>
    <w:rsid w:val="007F50C8"/>
    <w:rsid w:val="00800B2C"/>
    <w:rsid w:val="00807D65"/>
    <w:rsid w:val="00810034"/>
    <w:rsid w:val="008103CD"/>
    <w:rsid w:val="00810B8B"/>
    <w:rsid w:val="008124FC"/>
    <w:rsid w:val="00812CFE"/>
    <w:rsid w:val="00812F7A"/>
    <w:rsid w:val="00814860"/>
    <w:rsid w:val="00816EDD"/>
    <w:rsid w:val="00817B17"/>
    <w:rsid w:val="00820B1D"/>
    <w:rsid w:val="00820B51"/>
    <w:rsid w:val="00820B6C"/>
    <w:rsid w:val="00821431"/>
    <w:rsid w:val="00822C32"/>
    <w:rsid w:val="00823781"/>
    <w:rsid w:val="00823CE8"/>
    <w:rsid w:val="00824788"/>
    <w:rsid w:val="00824B2F"/>
    <w:rsid w:val="00824D4F"/>
    <w:rsid w:val="00825742"/>
    <w:rsid w:val="008265C2"/>
    <w:rsid w:val="00826778"/>
    <w:rsid w:val="00826F70"/>
    <w:rsid w:val="00827095"/>
    <w:rsid w:val="008277BB"/>
    <w:rsid w:val="00827AE4"/>
    <w:rsid w:val="00827E73"/>
    <w:rsid w:val="00831B19"/>
    <w:rsid w:val="008327A0"/>
    <w:rsid w:val="0083310D"/>
    <w:rsid w:val="0083362F"/>
    <w:rsid w:val="00833B28"/>
    <w:rsid w:val="00833EEF"/>
    <w:rsid w:val="008346AB"/>
    <w:rsid w:val="00835FFD"/>
    <w:rsid w:val="008371A3"/>
    <w:rsid w:val="008377D4"/>
    <w:rsid w:val="00837DF9"/>
    <w:rsid w:val="00840BA4"/>
    <w:rsid w:val="00840BC4"/>
    <w:rsid w:val="00841472"/>
    <w:rsid w:val="00841D07"/>
    <w:rsid w:val="00841F01"/>
    <w:rsid w:val="0084277D"/>
    <w:rsid w:val="00842D67"/>
    <w:rsid w:val="0084444F"/>
    <w:rsid w:val="0084592B"/>
    <w:rsid w:val="00845F2E"/>
    <w:rsid w:val="00847727"/>
    <w:rsid w:val="008503D3"/>
    <w:rsid w:val="008503E3"/>
    <w:rsid w:val="00850703"/>
    <w:rsid w:val="0085138E"/>
    <w:rsid w:val="00851728"/>
    <w:rsid w:val="008524B1"/>
    <w:rsid w:val="00854326"/>
    <w:rsid w:val="008543A5"/>
    <w:rsid w:val="0085496F"/>
    <w:rsid w:val="0085570B"/>
    <w:rsid w:val="00855951"/>
    <w:rsid w:val="00855F77"/>
    <w:rsid w:val="00857C59"/>
    <w:rsid w:val="008600FB"/>
    <w:rsid w:val="00860339"/>
    <w:rsid w:val="00860571"/>
    <w:rsid w:val="0086059C"/>
    <w:rsid w:val="008605B9"/>
    <w:rsid w:val="00860C28"/>
    <w:rsid w:val="008623EF"/>
    <w:rsid w:val="00863AC7"/>
    <w:rsid w:val="00864DD3"/>
    <w:rsid w:val="00865124"/>
    <w:rsid w:val="0086620F"/>
    <w:rsid w:val="0086745C"/>
    <w:rsid w:val="00867CDC"/>
    <w:rsid w:val="00867D31"/>
    <w:rsid w:val="00867E47"/>
    <w:rsid w:val="00867F20"/>
    <w:rsid w:val="00871C7D"/>
    <w:rsid w:val="00872D04"/>
    <w:rsid w:val="0087311E"/>
    <w:rsid w:val="008746E3"/>
    <w:rsid w:val="00874D62"/>
    <w:rsid w:val="00874F5D"/>
    <w:rsid w:val="00874F97"/>
    <w:rsid w:val="00875115"/>
    <w:rsid w:val="00875D54"/>
    <w:rsid w:val="008763DC"/>
    <w:rsid w:val="00876C71"/>
    <w:rsid w:val="00876DCE"/>
    <w:rsid w:val="00876E14"/>
    <w:rsid w:val="00876EDA"/>
    <w:rsid w:val="00877202"/>
    <w:rsid w:val="008773F2"/>
    <w:rsid w:val="00880142"/>
    <w:rsid w:val="00880703"/>
    <w:rsid w:val="00880BF3"/>
    <w:rsid w:val="008813B3"/>
    <w:rsid w:val="00881C42"/>
    <w:rsid w:val="00881D28"/>
    <w:rsid w:val="00881E41"/>
    <w:rsid w:val="00882140"/>
    <w:rsid w:val="00883789"/>
    <w:rsid w:val="00883F1F"/>
    <w:rsid w:val="0088475A"/>
    <w:rsid w:val="00886199"/>
    <w:rsid w:val="0088680A"/>
    <w:rsid w:val="00886A85"/>
    <w:rsid w:val="00886D73"/>
    <w:rsid w:val="0089166E"/>
    <w:rsid w:val="00891999"/>
    <w:rsid w:val="00892D40"/>
    <w:rsid w:val="00893C92"/>
    <w:rsid w:val="008943A4"/>
    <w:rsid w:val="00895338"/>
    <w:rsid w:val="0089677F"/>
    <w:rsid w:val="008A0305"/>
    <w:rsid w:val="008A03A6"/>
    <w:rsid w:val="008A2B40"/>
    <w:rsid w:val="008A2C3E"/>
    <w:rsid w:val="008A2F6B"/>
    <w:rsid w:val="008A30EB"/>
    <w:rsid w:val="008A41E0"/>
    <w:rsid w:val="008A4CF9"/>
    <w:rsid w:val="008A6308"/>
    <w:rsid w:val="008A6C84"/>
    <w:rsid w:val="008A6E0B"/>
    <w:rsid w:val="008A7F02"/>
    <w:rsid w:val="008B2BDD"/>
    <w:rsid w:val="008B47F6"/>
    <w:rsid w:val="008B6E34"/>
    <w:rsid w:val="008B6FBA"/>
    <w:rsid w:val="008B71B5"/>
    <w:rsid w:val="008C0D05"/>
    <w:rsid w:val="008C24EF"/>
    <w:rsid w:val="008C2F0A"/>
    <w:rsid w:val="008C368B"/>
    <w:rsid w:val="008C3C64"/>
    <w:rsid w:val="008C44D7"/>
    <w:rsid w:val="008C5EA3"/>
    <w:rsid w:val="008C6859"/>
    <w:rsid w:val="008D12F5"/>
    <w:rsid w:val="008D1322"/>
    <w:rsid w:val="008D15E5"/>
    <w:rsid w:val="008D1942"/>
    <w:rsid w:val="008D2850"/>
    <w:rsid w:val="008D3794"/>
    <w:rsid w:val="008D3AD7"/>
    <w:rsid w:val="008D498C"/>
    <w:rsid w:val="008D65CB"/>
    <w:rsid w:val="008D66FB"/>
    <w:rsid w:val="008D6A13"/>
    <w:rsid w:val="008D6B54"/>
    <w:rsid w:val="008D7CC1"/>
    <w:rsid w:val="008E037C"/>
    <w:rsid w:val="008E1498"/>
    <w:rsid w:val="008E19AA"/>
    <w:rsid w:val="008E34AA"/>
    <w:rsid w:val="008E35F5"/>
    <w:rsid w:val="008E412E"/>
    <w:rsid w:val="008E5241"/>
    <w:rsid w:val="008E574D"/>
    <w:rsid w:val="008E6254"/>
    <w:rsid w:val="008E71E4"/>
    <w:rsid w:val="008E7677"/>
    <w:rsid w:val="008E791B"/>
    <w:rsid w:val="008F04FD"/>
    <w:rsid w:val="008F18C5"/>
    <w:rsid w:val="008F24E9"/>
    <w:rsid w:val="008F302E"/>
    <w:rsid w:val="008F3348"/>
    <w:rsid w:val="008F5076"/>
    <w:rsid w:val="008F5338"/>
    <w:rsid w:val="008F7334"/>
    <w:rsid w:val="008F7F62"/>
    <w:rsid w:val="009005F4"/>
    <w:rsid w:val="00900F8F"/>
    <w:rsid w:val="00901269"/>
    <w:rsid w:val="00901877"/>
    <w:rsid w:val="00901F83"/>
    <w:rsid w:val="0090248A"/>
    <w:rsid w:val="0090309D"/>
    <w:rsid w:val="00903A56"/>
    <w:rsid w:val="00905516"/>
    <w:rsid w:val="00905BC5"/>
    <w:rsid w:val="009066B1"/>
    <w:rsid w:val="00907D7D"/>
    <w:rsid w:val="00907E7B"/>
    <w:rsid w:val="009107C7"/>
    <w:rsid w:val="009125F5"/>
    <w:rsid w:val="009132D3"/>
    <w:rsid w:val="00914DB1"/>
    <w:rsid w:val="00915B4D"/>
    <w:rsid w:val="00916404"/>
    <w:rsid w:val="00916673"/>
    <w:rsid w:val="00916874"/>
    <w:rsid w:val="00916D3D"/>
    <w:rsid w:val="00916E2E"/>
    <w:rsid w:val="00917317"/>
    <w:rsid w:val="00917516"/>
    <w:rsid w:val="00920A10"/>
    <w:rsid w:val="009212E6"/>
    <w:rsid w:val="009213C2"/>
    <w:rsid w:val="0092170F"/>
    <w:rsid w:val="009219A1"/>
    <w:rsid w:val="00921F34"/>
    <w:rsid w:val="00923259"/>
    <w:rsid w:val="00924E62"/>
    <w:rsid w:val="009252DD"/>
    <w:rsid w:val="0092596A"/>
    <w:rsid w:val="009265B3"/>
    <w:rsid w:val="009270EA"/>
    <w:rsid w:val="009301DD"/>
    <w:rsid w:val="009309FF"/>
    <w:rsid w:val="00932360"/>
    <w:rsid w:val="00932A3E"/>
    <w:rsid w:val="00932B0E"/>
    <w:rsid w:val="00933689"/>
    <w:rsid w:val="00933AEE"/>
    <w:rsid w:val="00933B76"/>
    <w:rsid w:val="00933B7A"/>
    <w:rsid w:val="00933CD2"/>
    <w:rsid w:val="00933CE2"/>
    <w:rsid w:val="00934115"/>
    <w:rsid w:val="009358A2"/>
    <w:rsid w:val="00936411"/>
    <w:rsid w:val="0093666B"/>
    <w:rsid w:val="0093726E"/>
    <w:rsid w:val="009374FD"/>
    <w:rsid w:val="00937F7F"/>
    <w:rsid w:val="00940075"/>
    <w:rsid w:val="00940B0D"/>
    <w:rsid w:val="00942A9B"/>
    <w:rsid w:val="009437C0"/>
    <w:rsid w:val="00944D6A"/>
    <w:rsid w:val="00947367"/>
    <w:rsid w:val="00947B48"/>
    <w:rsid w:val="009506DF"/>
    <w:rsid w:val="0095142A"/>
    <w:rsid w:val="00951E8C"/>
    <w:rsid w:val="00952C0C"/>
    <w:rsid w:val="009545E9"/>
    <w:rsid w:val="009549B0"/>
    <w:rsid w:val="00954F62"/>
    <w:rsid w:val="00955B7C"/>
    <w:rsid w:val="00955D80"/>
    <w:rsid w:val="00956723"/>
    <w:rsid w:val="00956D98"/>
    <w:rsid w:val="009578D2"/>
    <w:rsid w:val="00960E92"/>
    <w:rsid w:val="009618CF"/>
    <w:rsid w:val="0096205D"/>
    <w:rsid w:val="009627E9"/>
    <w:rsid w:val="00964850"/>
    <w:rsid w:val="00964A98"/>
    <w:rsid w:val="009663B3"/>
    <w:rsid w:val="009673D9"/>
    <w:rsid w:val="00970346"/>
    <w:rsid w:val="00970CEB"/>
    <w:rsid w:val="0097281C"/>
    <w:rsid w:val="009728A6"/>
    <w:rsid w:val="00972DE7"/>
    <w:rsid w:val="00973051"/>
    <w:rsid w:val="009736E1"/>
    <w:rsid w:val="00973A95"/>
    <w:rsid w:val="00973B07"/>
    <w:rsid w:val="00974DFE"/>
    <w:rsid w:val="0097772F"/>
    <w:rsid w:val="00977C2D"/>
    <w:rsid w:val="00981721"/>
    <w:rsid w:val="00984698"/>
    <w:rsid w:val="00986258"/>
    <w:rsid w:val="0098684E"/>
    <w:rsid w:val="00986C2D"/>
    <w:rsid w:val="00987A6D"/>
    <w:rsid w:val="00987B40"/>
    <w:rsid w:val="0099087A"/>
    <w:rsid w:val="00991A90"/>
    <w:rsid w:val="00991D56"/>
    <w:rsid w:val="00992219"/>
    <w:rsid w:val="00992356"/>
    <w:rsid w:val="0099247E"/>
    <w:rsid w:val="00992730"/>
    <w:rsid w:val="00992C77"/>
    <w:rsid w:val="009936FE"/>
    <w:rsid w:val="009937CC"/>
    <w:rsid w:val="00993A69"/>
    <w:rsid w:val="0099489B"/>
    <w:rsid w:val="00994C5E"/>
    <w:rsid w:val="009951F0"/>
    <w:rsid w:val="00996024"/>
    <w:rsid w:val="00996B86"/>
    <w:rsid w:val="009970B9"/>
    <w:rsid w:val="009A2623"/>
    <w:rsid w:val="009A28C0"/>
    <w:rsid w:val="009A2C87"/>
    <w:rsid w:val="009A2D40"/>
    <w:rsid w:val="009A385D"/>
    <w:rsid w:val="009A407F"/>
    <w:rsid w:val="009A563C"/>
    <w:rsid w:val="009A5B3C"/>
    <w:rsid w:val="009A720B"/>
    <w:rsid w:val="009A75D4"/>
    <w:rsid w:val="009A7F96"/>
    <w:rsid w:val="009B05F2"/>
    <w:rsid w:val="009B1C77"/>
    <w:rsid w:val="009B1DBB"/>
    <w:rsid w:val="009B240A"/>
    <w:rsid w:val="009B28E2"/>
    <w:rsid w:val="009B2B0D"/>
    <w:rsid w:val="009B2E48"/>
    <w:rsid w:val="009B37E9"/>
    <w:rsid w:val="009B48B6"/>
    <w:rsid w:val="009B5203"/>
    <w:rsid w:val="009B631B"/>
    <w:rsid w:val="009B6FBA"/>
    <w:rsid w:val="009C00CB"/>
    <w:rsid w:val="009C05B5"/>
    <w:rsid w:val="009C08F4"/>
    <w:rsid w:val="009C095A"/>
    <w:rsid w:val="009C1557"/>
    <w:rsid w:val="009C1879"/>
    <w:rsid w:val="009C209D"/>
    <w:rsid w:val="009C2DE6"/>
    <w:rsid w:val="009C2ED8"/>
    <w:rsid w:val="009C476B"/>
    <w:rsid w:val="009C57A2"/>
    <w:rsid w:val="009C5C3F"/>
    <w:rsid w:val="009C66B4"/>
    <w:rsid w:val="009C6A38"/>
    <w:rsid w:val="009C71F8"/>
    <w:rsid w:val="009C786D"/>
    <w:rsid w:val="009C7B87"/>
    <w:rsid w:val="009D04AE"/>
    <w:rsid w:val="009D066F"/>
    <w:rsid w:val="009D19C0"/>
    <w:rsid w:val="009D2F41"/>
    <w:rsid w:val="009D3502"/>
    <w:rsid w:val="009D3AC1"/>
    <w:rsid w:val="009D4BDB"/>
    <w:rsid w:val="009D4CF8"/>
    <w:rsid w:val="009D5C3B"/>
    <w:rsid w:val="009E02B7"/>
    <w:rsid w:val="009E05EF"/>
    <w:rsid w:val="009E06DF"/>
    <w:rsid w:val="009E2E46"/>
    <w:rsid w:val="009E3E8E"/>
    <w:rsid w:val="009E48DA"/>
    <w:rsid w:val="009E4979"/>
    <w:rsid w:val="009E56D0"/>
    <w:rsid w:val="009E7108"/>
    <w:rsid w:val="009E7346"/>
    <w:rsid w:val="009E7714"/>
    <w:rsid w:val="009E7A04"/>
    <w:rsid w:val="009F00B7"/>
    <w:rsid w:val="009F0E16"/>
    <w:rsid w:val="009F0EB8"/>
    <w:rsid w:val="009F10FB"/>
    <w:rsid w:val="009F15A7"/>
    <w:rsid w:val="009F174B"/>
    <w:rsid w:val="009F1E27"/>
    <w:rsid w:val="009F2876"/>
    <w:rsid w:val="009F2B6A"/>
    <w:rsid w:val="009F3097"/>
    <w:rsid w:val="009F4648"/>
    <w:rsid w:val="009F480C"/>
    <w:rsid w:val="009F766D"/>
    <w:rsid w:val="009F7E0B"/>
    <w:rsid w:val="00A007B5"/>
    <w:rsid w:val="00A00CCF"/>
    <w:rsid w:val="00A0116F"/>
    <w:rsid w:val="00A012DA"/>
    <w:rsid w:val="00A01F0D"/>
    <w:rsid w:val="00A036A7"/>
    <w:rsid w:val="00A03954"/>
    <w:rsid w:val="00A041E6"/>
    <w:rsid w:val="00A04426"/>
    <w:rsid w:val="00A056F6"/>
    <w:rsid w:val="00A0686D"/>
    <w:rsid w:val="00A06C7D"/>
    <w:rsid w:val="00A06D09"/>
    <w:rsid w:val="00A06F95"/>
    <w:rsid w:val="00A07982"/>
    <w:rsid w:val="00A07B57"/>
    <w:rsid w:val="00A10ABF"/>
    <w:rsid w:val="00A10F35"/>
    <w:rsid w:val="00A11ED8"/>
    <w:rsid w:val="00A1226E"/>
    <w:rsid w:val="00A12F43"/>
    <w:rsid w:val="00A130C9"/>
    <w:rsid w:val="00A13C61"/>
    <w:rsid w:val="00A13E5B"/>
    <w:rsid w:val="00A16ED4"/>
    <w:rsid w:val="00A16EEE"/>
    <w:rsid w:val="00A1756E"/>
    <w:rsid w:val="00A17E64"/>
    <w:rsid w:val="00A21D2E"/>
    <w:rsid w:val="00A22838"/>
    <w:rsid w:val="00A23044"/>
    <w:rsid w:val="00A23585"/>
    <w:rsid w:val="00A236E8"/>
    <w:rsid w:val="00A255DA"/>
    <w:rsid w:val="00A2609A"/>
    <w:rsid w:val="00A2612C"/>
    <w:rsid w:val="00A270D1"/>
    <w:rsid w:val="00A3013B"/>
    <w:rsid w:val="00A30A8B"/>
    <w:rsid w:val="00A31EBD"/>
    <w:rsid w:val="00A3216E"/>
    <w:rsid w:val="00A32FE8"/>
    <w:rsid w:val="00A33E5C"/>
    <w:rsid w:val="00A35747"/>
    <w:rsid w:val="00A358FE"/>
    <w:rsid w:val="00A35B6B"/>
    <w:rsid w:val="00A36853"/>
    <w:rsid w:val="00A3764C"/>
    <w:rsid w:val="00A40E31"/>
    <w:rsid w:val="00A41C5B"/>
    <w:rsid w:val="00A4238E"/>
    <w:rsid w:val="00A44487"/>
    <w:rsid w:val="00A4484E"/>
    <w:rsid w:val="00A45947"/>
    <w:rsid w:val="00A45BB6"/>
    <w:rsid w:val="00A46273"/>
    <w:rsid w:val="00A46520"/>
    <w:rsid w:val="00A4746F"/>
    <w:rsid w:val="00A475BA"/>
    <w:rsid w:val="00A4790E"/>
    <w:rsid w:val="00A47BC9"/>
    <w:rsid w:val="00A50670"/>
    <w:rsid w:val="00A50954"/>
    <w:rsid w:val="00A50B74"/>
    <w:rsid w:val="00A51B5A"/>
    <w:rsid w:val="00A53738"/>
    <w:rsid w:val="00A53780"/>
    <w:rsid w:val="00A55243"/>
    <w:rsid w:val="00A562E0"/>
    <w:rsid w:val="00A566CC"/>
    <w:rsid w:val="00A56A64"/>
    <w:rsid w:val="00A57956"/>
    <w:rsid w:val="00A605D3"/>
    <w:rsid w:val="00A60912"/>
    <w:rsid w:val="00A61D0B"/>
    <w:rsid w:val="00A61FAA"/>
    <w:rsid w:val="00A65A80"/>
    <w:rsid w:val="00A65E2B"/>
    <w:rsid w:val="00A661D0"/>
    <w:rsid w:val="00A662E2"/>
    <w:rsid w:val="00A666BF"/>
    <w:rsid w:val="00A67674"/>
    <w:rsid w:val="00A70344"/>
    <w:rsid w:val="00A71249"/>
    <w:rsid w:val="00A7257B"/>
    <w:rsid w:val="00A72A22"/>
    <w:rsid w:val="00A72D7A"/>
    <w:rsid w:val="00A749C8"/>
    <w:rsid w:val="00A75311"/>
    <w:rsid w:val="00A75620"/>
    <w:rsid w:val="00A75D1E"/>
    <w:rsid w:val="00A76042"/>
    <w:rsid w:val="00A76430"/>
    <w:rsid w:val="00A76D35"/>
    <w:rsid w:val="00A8142D"/>
    <w:rsid w:val="00A81D2C"/>
    <w:rsid w:val="00A81D3B"/>
    <w:rsid w:val="00A82B3C"/>
    <w:rsid w:val="00A83242"/>
    <w:rsid w:val="00A83849"/>
    <w:rsid w:val="00A843CD"/>
    <w:rsid w:val="00A84605"/>
    <w:rsid w:val="00A862B1"/>
    <w:rsid w:val="00A868D6"/>
    <w:rsid w:val="00A87E46"/>
    <w:rsid w:val="00A900C6"/>
    <w:rsid w:val="00A91770"/>
    <w:rsid w:val="00A92426"/>
    <w:rsid w:val="00A92CD8"/>
    <w:rsid w:val="00A93AC3"/>
    <w:rsid w:val="00A9418B"/>
    <w:rsid w:val="00A94244"/>
    <w:rsid w:val="00A94FB2"/>
    <w:rsid w:val="00A957CD"/>
    <w:rsid w:val="00A95DDA"/>
    <w:rsid w:val="00A966ED"/>
    <w:rsid w:val="00A96720"/>
    <w:rsid w:val="00AA0922"/>
    <w:rsid w:val="00AA165C"/>
    <w:rsid w:val="00AA38F8"/>
    <w:rsid w:val="00AA5634"/>
    <w:rsid w:val="00AA58F6"/>
    <w:rsid w:val="00AA5F17"/>
    <w:rsid w:val="00AA61D5"/>
    <w:rsid w:val="00AA649C"/>
    <w:rsid w:val="00AA6C56"/>
    <w:rsid w:val="00AB0A31"/>
    <w:rsid w:val="00AB10B5"/>
    <w:rsid w:val="00AB1B62"/>
    <w:rsid w:val="00AB1B81"/>
    <w:rsid w:val="00AB398F"/>
    <w:rsid w:val="00AB4263"/>
    <w:rsid w:val="00AB4FE9"/>
    <w:rsid w:val="00AB51AE"/>
    <w:rsid w:val="00AB5837"/>
    <w:rsid w:val="00AB5854"/>
    <w:rsid w:val="00AB5885"/>
    <w:rsid w:val="00AB677F"/>
    <w:rsid w:val="00AB7843"/>
    <w:rsid w:val="00AB7F1A"/>
    <w:rsid w:val="00AC006A"/>
    <w:rsid w:val="00AC15B6"/>
    <w:rsid w:val="00AC16FE"/>
    <w:rsid w:val="00AC1981"/>
    <w:rsid w:val="00AC32FB"/>
    <w:rsid w:val="00AC3D22"/>
    <w:rsid w:val="00AC3FA6"/>
    <w:rsid w:val="00AC48F9"/>
    <w:rsid w:val="00AC4E57"/>
    <w:rsid w:val="00AC4EFF"/>
    <w:rsid w:val="00AC4FF4"/>
    <w:rsid w:val="00AC5F9C"/>
    <w:rsid w:val="00AC71CD"/>
    <w:rsid w:val="00AC7D64"/>
    <w:rsid w:val="00AD0752"/>
    <w:rsid w:val="00AD161D"/>
    <w:rsid w:val="00AD48D1"/>
    <w:rsid w:val="00AD52F3"/>
    <w:rsid w:val="00AD5DB5"/>
    <w:rsid w:val="00AD5DBA"/>
    <w:rsid w:val="00AD69B1"/>
    <w:rsid w:val="00AD7516"/>
    <w:rsid w:val="00AE08BB"/>
    <w:rsid w:val="00AE0E0C"/>
    <w:rsid w:val="00AE1D28"/>
    <w:rsid w:val="00AE21C6"/>
    <w:rsid w:val="00AE2707"/>
    <w:rsid w:val="00AE2C2A"/>
    <w:rsid w:val="00AE3901"/>
    <w:rsid w:val="00AE3A73"/>
    <w:rsid w:val="00AE4E01"/>
    <w:rsid w:val="00AE585A"/>
    <w:rsid w:val="00AE6B77"/>
    <w:rsid w:val="00AE7592"/>
    <w:rsid w:val="00AE7807"/>
    <w:rsid w:val="00AE7A23"/>
    <w:rsid w:val="00AF0126"/>
    <w:rsid w:val="00AF06FE"/>
    <w:rsid w:val="00AF0C2F"/>
    <w:rsid w:val="00AF16B9"/>
    <w:rsid w:val="00AF1BD7"/>
    <w:rsid w:val="00AF1ECE"/>
    <w:rsid w:val="00AF30F9"/>
    <w:rsid w:val="00AF37B0"/>
    <w:rsid w:val="00AF3A50"/>
    <w:rsid w:val="00AF42B6"/>
    <w:rsid w:val="00AF4FFD"/>
    <w:rsid w:val="00AF5BEA"/>
    <w:rsid w:val="00AF6779"/>
    <w:rsid w:val="00B002AA"/>
    <w:rsid w:val="00B00888"/>
    <w:rsid w:val="00B014B4"/>
    <w:rsid w:val="00B0242F"/>
    <w:rsid w:val="00B038D0"/>
    <w:rsid w:val="00B06093"/>
    <w:rsid w:val="00B06272"/>
    <w:rsid w:val="00B06BE2"/>
    <w:rsid w:val="00B100A9"/>
    <w:rsid w:val="00B10321"/>
    <w:rsid w:val="00B10542"/>
    <w:rsid w:val="00B11581"/>
    <w:rsid w:val="00B1167D"/>
    <w:rsid w:val="00B1207A"/>
    <w:rsid w:val="00B1239D"/>
    <w:rsid w:val="00B12AD8"/>
    <w:rsid w:val="00B1374F"/>
    <w:rsid w:val="00B14106"/>
    <w:rsid w:val="00B14615"/>
    <w:rsid w:val="00B14B5E"/>
    <w:rsid w:val="00B15DCD"/>
    <w:rsid w:val="00B162A6"/>
    <w:rsid w:val="00B162F5"/>
    <w:rsid w:val="00B17548"/>
    <w:rsid w:val="00B17A3E"/>
    <w:rsid w:val="00B17C37"/>
    <w:rsid w:val="00B17D1D"/>
    <w:rsid w:val="00B17EAF"/>
    <w:rsid w:val="00B2031A"/>
    <w:rsid w:val="00B20B99"/>
    <w:rsid w:val="00B21E1F"/>
    <w:rsid w:val="00B227C6"/>
    <w:rsid w:val="00B22B74"/>
    <w:rsid w:val="00B23957"/>
    <w:rsid w:val="00B242C7"/>
    <w:rsid w:val="00B2493A"/>
    <w:rsid w:val="00B25823"/>
    <w:rsid w:val="00B26460"/>
    <w:rsid w:val="00B26652"/>
    <w:rsid w:val="00B274BF"/>
    <w:rsid w:val="00B275C3"/>
    <w:rsid w:val="00B3080D"/>
    <w:rsid w:val="00B30882"/>
    <w:rsid w:val="00B3117B"/>
    <w:rsid w:val="00B31910"/>
    <w:rsid w:val="00B32D38"/>
    <w:rsid w:val="00B33BCF"/>
    <w:rsid w:val="00B357FC"/>
    <w:rsid w:val="00B35DA4"/>
    <w:rsid w:val="00B36316"/>
    <w:rsid w:val="00B3637C"/>
    <w:rsid w:val="00B364BE"/>
    <w:rsid w:val="00B3684D"/>
    <w:rsid w:val="00B379E0"/>
    <w:rsid w:val="00B40108"/>
    <w:rsid w:val="00B41D68"/>
    <w:rsid w:val="00B41DBD"/>
    <w:rsid w:val="00B4307D"/>
    <w:rsid w:val="00B431E3"/>
    <w:rsid w:val="00B43694"/>
    <w:rsid w:val="00B43CDC"/>
    <w:rsid w:val="00B44C82"/>
    <w:rsid w:val="00B474CD"/>
    <w:rsid w:val="00B47791"/>
    <w:rsid w:val="00B47855"/>
    <w:rsid w:val="00B51C37"/>
    <w:rsid w:val="00B52916"/>
    <w:rsid w:val="00B52BC9"/>
    <w:rsid w:val="00B52D19"/>
    <w:rsid w:val="00B540B5"/>
    <w:rsid w:val="00B552C5"/>
    <w:rsid w:val="00B553C1"/>
    <w:rsid w:val="00B5622E"/>
    <w:rsid w:val="00B576C0"/>
    <w:rsid w:val="00B60B60"/>
    <w:rsid w:val="00B61882"/>
    <w:rsid w:val="00B61DF7"/>
    <w:rsid w:val="00B61F90"/>
    <w:rsid w:val="00B62BD0"/>
    <w:rsid w:val="00B638A2"/>
    <w:rsid w:val="00B63F30"/>
    <w:rsid w:val="00B6491A"/>
    <w:rsid w:val="00B650A5"/>
    <w:rsid w:val="00B669DC"/>
    <w:rsid w:val="00B66B02"/>
    <w:rsid w:val="00B67189"/>
    <w:rsid w:val="00B67838"/>
    <w:rsid w:val="00B6787A"/>
    <w:rsid w:val="00B7015B"/>
    <w:rsid w:val="00B70779"/>
    <w:rsid w:val="00B71419"/>
    <w:rsid w:val="00B719B9"/>
    <w:rsid w:val="00B74B99"/>
    <w:rsid w:val="00B764D5"/>
    <w:rsid w:val="00B76504"/>
    <w:rsid w:val="00B767B8"/>
    <w:rsid w:val="00B77517"/>
    <w:rsid w:val="00B77A62"/>
    <w:rsid w:val="00B80450"/>
    <w:rsid w:val="00B817A3"/>
    <w:rsid w:val="00B817F6"/>
    <w:rsid w:val="00B83CA7"/>
    <w:rsid w:val="00B8404E"/>
    <w:rsid w:val="00B86681"/>
    <w:rsid w:val="00B87007"/>
    <w:rsid w:val="00B87625"/>
    <w:rsid w:val="00B87AA2"/>
    <w:rsid w:val="00B90646"/>
    <w:rsid w:val="00B91F8F"/>
    <w:rsid w:val="00B9381C"/>
    <w:rsid w:val="00B93A9B"/>
    <w:rsid w:val="00B93F53"/>
    <w:rsid w:val="00B94202"/>
    <w:rsid w:val="00B97375"/>
    <w:rsid w:val="00B973A9"/>
    <w:rsid w:val="00B973AA"/>
    <w:rsid w:val="00B97C82"/>
    <w:rsid w:val="00BA0E2A"/>
    <w:rsid w:val="00BA16C2"/>
    <w:rsid w:val="00BA211F"/>
    <w:rsid w:val="00BA3102"/>
    <w:rsid w:val="00BA3A32"/>
    <w:rsid w:val="00BA6133"/>
    <w:rsid w:val="00BA7470"/>
    <w:rsid w:val="00BB00C3"/>
    <w:rsid w:val="00BB039D"/>
    <w:rsid w:val="00BB0BBC"/>
    <w:rsid w:val="00BB2276"/>
    <w:rsid w:val="00BB2CA7"/>
    <w:rsid w:val="00BB315D"/>
    <w:rsid w:val="00BB35B7"/>
    <w:rsid w:val="00BB48D5"/>
    <w:rsid w:val="00BB4AB4"/>
    <w:rsid w:val="00BB4D24"/>
    <w:rsid w:val="00BB69DF"/>
    <w:rsid w:val="00BB6A7A"/>
    <w:rsid w:val="00BB70AF"/>
    <w:rsid w:val="00BB785F"/>
    <w:rsid w:val="00BB7A50"/>
    <w:rsid w:val="00BC1CBD"/>
    <w:rsid w:val="00BC218D"/>
    <w:rsid w:val="00BC21F8"/>
    <w:rsid w:val="00BC2BC0"/>
    <w:rsid w:val="00BC2C60"/>
    <w:rsid w:val="00BC3564"/>
    <w:rsid w:val="00BC3C34"/>
    <w:rsid w:val="00BC549C"/>
    <w:rsid w:val="00BC743B"/>
    <w:rsid w:val="00BD0DF2"/>
    <w:rsid w:val="00BD1759"/>
    <w:rsid w:val="00BD1E5E"/>
    <w:rsid w:val="00BD2CD5"/>
    <w:rsid w:val="00BD3BC1"/>
    <w:rsid w:val="00BD4738"/>
    <w:rsid w:val="00BD5380"/>
    <w:rsid w:val="00BD53AE"/>
    <w:rsid w:val="00BD54FA"/>
    <w:rsid w:val="00BD674A"/>
    <w:rsid w:val="00BD7C3A"/>
    <w:rsid w:val="00BE0E4A"/>
    <w:rsid w:val="00BE1328"/>
    <w:rsid w:val="00BE1D0D"/>
    <w:rsid w:val="00BE2447"/>
    <w:rsid w:val="00BE2E76"/>
    <w:rsid w:val="00BE30D4"/>
    <w:rsid w:val="00BE3B04"/>
    <w:rsid w:val="00BE3E06"/>
    <w:rsid w:val="00BE4342"/>
    <w:rsid w:val="00BE44AE"/>
    <w:rsid w:val="00BE4AE3"/>
    <w:rsid w:val="00BE4B2C"/>
    <w:rsid w:val="00BE50FB"/>
    <w:rsid w:val="00BE54CD"/>
    <w:rsid w:val="00BE551A"/>
    <w:rsid w:val="00BE553D"/>
    <w:rsid w:val="00BE74E7"/>
    <w:rsid w:val="00BF01CF"/>
    <w:rsid w:val="00BF0EFE"/>
    <w:rsid w:val="00BF1148"/>
    <w:rsid w:val="00BF2100"/>
    <w:rsid w:val="00BF24D8"/>
    <w:rsid w:val="00BF26B0"/>
    <w:rsid w:val="00BF290A"/>
    <w:rsid w:val="00BF30F3"/>
    <w:rsid w:val="00BF32C7"/>
    <w:rsid w:val="00BF3AEE"/>
    <w:rsid w:val="00BF54F0"/>
    <w:rsid w:val="00BF62B6"/>
    <w:rsid w:val="00BF69E4"/>
    <w:rsid w:val="00BF735D"/>
    <w:rsid w:val="00C00318"/>
    <w:rsid w:val="00C01D2F"/>
    <w:rsid w:val="00C02BF5"/>
    <w:rsid w:val="00C03DB0"/>
    <w:rsid w:val="00C04170"/>
    <w:rsid w:val="00C04250"/>
    <w:rsid w:val="00C048B3"/>
    <w:rsid w:val="00C061D1"/>
    <w:rsid w:val="00C076D5"/>
    <w:rsid w:val="00C100BE"/>
    <w:rsid w:val="00C113F3"/>
    <w:rsid w:val="00C12543"/>
    <w:rsid w:val="00C126B8"/>
    <w:rsid w:val="00C12F22"/>
    <w:rsid w:val="00C135FD"/>
    <w:rsid w:val="00C1448D"/>
    <w:rsid w:val="00C149A4"/>
    <w:rsid w:val="00C16CEB"/>
    <w:rsid w:val="00C17613"/>
    <w:rsid w:val="00C17B67"/>
    <w:rsid w:val="00C206C6"/>
    <w:rsid w:val="00C20A9D"/>
    <w:rsid w:val="00C21923"/>
    <w:rsid w:val="00C21F72"/>
    <w:rsid w:val="00C22457"/>
    <w:rsid w:val="00C22610"/>
    <w:rsid w:val="00C22B02"/>
    <w:rsid w:val="00C232B8"/>
    <w:rsid w:val="00C23760"/>
    <w:rsid w:val="00C23E23"/>
    <w:rsid w:val="00C24180"/>
    <w:rsid w:val="00C25983"/>
    <w:rsid w:val="00C264CA"/>
    <w:rsid w:val="00C26817"/>
    <w:rsid w:val="00C26CF2"/>
    <w:rsid w:val="00C308F9"/>
    <w:rsid w:val="00C3194F"/>
    <w:rsid w:val="00C32438"/>
    <w:rsid w:val="00C32467"/>
    <w:rsid w:val="00C32FD7"/>
    <w:rsid w:val="00C3303C"/>
    <w:rsid w:val="00C332B3"/>
    <w:rsid w:val="00C33407"/>
    <w:rsid w:val="00C3350E"/>
    <w:rsid w:val="00C34397"/>
    <w:rsid w:val="00C344EE"/>
    <w:rsid w:val="00C359F0"/>
    <w:rsid w:val="00C35CE2"/>
    <w:rsid w:val="00C36C4E"/>
    <w:rsid w:val="00C4011D"/>
    <w:rsid w:val="00C402BF"/>
    <w:rsid w:val="00C4051E"/>
    <w:rsid w:val="00C41B62"/>
    <w:rsid w:val="00C42B0D"/>
    <w:rsid w:val="00C43498"/>
    <w:rsid w:val="00C436B5"/>
    <w:rsid w:val="00C43A2A"/>
    <w:rsid w:val="00C445BF"/>
    <w:rsid w:val="00C45A84"/>
    <w:rsid w:val="00C462CE"/>
    <w:rsid w:val="00C46BE2"/>
    <w:rsid w:val="00C50BCC"/>
    <w:rsid w:val="00C50CFD"/>
    <w:rsid w:val="00C52298"/>
    <w:rsid w:val="00C52796"/>
    <w:rsid w:val="00C53528"/>
    <w:rsid w:val="00C5454A"/>
    <w:rsid w:val="00C5492A"/>
    <w:rsid w:val="00C54DC9"/>
    <w:rsid w:val="00C54EFB"/>
    <w:rsid w:val="00C55D39"/>
    <w:rsid w:val="00C55DB1"/>
    <w:rsid w:val="00C5632B"/>
    <w:rsid w:val="00C578D1"/>
    <w:rsid w:val="00C6088E"/>
    <w:rsid w:val="00C60B14"/>
    <w:rsid w:val="00C62B13"/>
    <w:rsid w:val="00C631C1"/>
    <w:rsid w:val="00C64835"/>
    <w:rsid w:val="00C64BDB"/>
    <w:rsid w:val="00C656FC"/>
    <w:rsid w:val="00C66569"/>
    <w:rsid w:val="00C66953"/>
    <w:rsid w:val="00C66F5E"/>
    <w:rsid w:val="00C700AA"/>
    <w:rsid w:val="00C70489"/>
    <w:rsid w:val="00C711F3"/>
    <w:rsid w:val="00C7144A"/>
    <w:rsid w:val="00C72B1E"/>
    <w:rsid w:val="00C72BAC"/>
    <w:rsid w:val="00C72DB8"/>
    <w:rsid w:val="00C73213"/>
    <w:rsid w:val="00C740B3"/>
    <w:rsid w:val="00C7425D"/>
    <w:rsid w:val="00C748DD"/>
    <w:rsid w:val="00C7563F"/>
    <w:rsid w:val="00C76E3B"/>
    <w:rsid w:val="00C8106A"/>
    <w:rsid w:val="00C817E1"/>
    <w:rsid w:val="00C829EA"/>
    <w:rsid w:val="00C82CC5"/>
    <w:rsid w:val="00C8305E"/>
    <w:rsid w:val="00C83E1E"/>
    <w:rsid w:val="00C8485F"/>
    <w:rsid w:val="00C8489F"/>
    <w:rsid w:val="00C85E7D"/>
    <w:rsid w:val="00C8605F"/>
    <w:rsid w:val="00C8674E"/>
    <w:rsid w:val="00C87144"/>
    <w:rsid w:val="00C8767A"/>
    <w:rsid w:val="00C879DA"/>
    <w:rsid w:val="00C9061E"/>
    <w:rsid w:val="00C92738"/>
    <w:rsid w:val="00C93B73"/>
    <w:rsid w:val="00C93F0E"/>
    <w:rsid w:val="00C94557"/>
    <w:rsid w:val="00C94B02"/>
    <w:rsid w:val="00C94CA2"/>
    <w:rsid w:val="00C95F79"/>
    <w:rsid w:val="00C961C6"/>
    <w:rsid w:val="00C96650"/>
    <w:rsid w:val="00C96D82"/>
    <w:rsid w:val="00C9701B"/>
    <w:rsid w:val="00CA0CB8"/>
    <w:rsid w:val="00CA10AB"/>
    <w:rsid w:val="00CA1F5E"/>
    <w:rsid w:val="00CA1F8E"/>
    <w:rsid w:val="00CA1FDA"/>
    <w:rsid w:val="00CA233A"/>
    <w:rsid w:val="00CA284E"/>
    <w:rsid w:val="00CA3174"/>
    <w:rsid w:val="00CA34F6"/>
    <w:rsid w:val="00CA37DD"/>
    <w:rsid w:val="00CA46ED"/>
    <w:rsid w:val="00CA64FE"/>
    <w:rsid w:val="00CA7A0A"/>
    <w:rsid w:val="00CA7B64"/>
    <w:rsid w:val="00CA7D7C"/>
    <w:rsid w:val="00CB0D11"/>
    <w:rsid w:val="00CB1AB0"/>
    <w:rsid w:val="00CB1AB9"/>
    <w:rsid w:val="00CB1DDE"/>
    <w:rsid w:val="00CB38E7"/>
    <w:rsid w:val="00CB4013"/>
    <w:rsid w:val="00CB43CE"/>
    <w:rsid w:val="00CB532F"/>
    <w:rsid w:val="00CB5F4A"/>
    <w:rsid w:val="00CB7C1B"/>
    <w:rsid w:val="00CC0322"/>
    <w:rsid w:val="00CC1B87"/>
    <w:rsid w:val="00CC1E6D"/>
    <w:rsid w:val="00CC2CAF"/>
    <w:rsid w:val="00CC3562"/>
    <w:rsid w:val="00CC372B"/>
    <w:rsid w:val="00CC3EED"/>
    <w:rsid w:val="00CC4476"/>
    <w:rsid w:val="00CC5D2F"/>
    <w:rsid w:val="00CC5DAF"/>
    <w:rsid w:val="00CC74C4"/>
    <w:rsid w:val="00CD03FC"/>
    <w:rsid w:val="00CD0526"/>
    <w:rsid w:val="00CD05AC"/>
    <w:rsid w:val="00CD0944"/>
    <w:rsid w:val="00CD2419"/>
    <w:rsid w:val="00CD2AFA"/>
    <w:rsid w:val="00CD4D07"/>
    <w:rsid w:val="00CD5778"/>
    <w:rsid w:val="00CD65CF"/>
    <w:rsid w:val="00CD6ADC"/>
    <w:rsid w:val="00CD7063"/>
    <w:rsid w:val="00CD71F6"/>
    <w:rsid w:val="00CD7AA8"/>
    <w:rsid w:val="00CE01FE"/>
    <w:rsid w:val="00CE0A4C"/>
    <w:rsid w:val="00CE0C81"/>
    <w:rsid w:val="00CE0F6B"/>
    <w:rsid w:val="00CE1712"/>
    <w:rsid w:val="00CE1EE1"/>
    <w:rsid w:val="00CE42ED"/>
    <w:rsid w:val="00CE4B6A"/>
    <w:rsid w:val="00CE51EA"/>
    <w:rsid w:val="00CE59B9"/>
    <w:rsid w:val="00CE7238"/>
    <w:rsid w:val="00CE74C8"/>
    <w:rsid w:val="00CF07CE"/>
    <w:rsid w:val="00CF0980"/>
    <w:rsid w:val="00CF0B63"/>
    <w:rsid w:val="00CF0F59"/>
    <w:rsid w:val="00CF1479"/>
    <w:rsid w:val="00CF1607"/>
    <w:rsid w:val="00CF2DFA"/>
    <w:rsid w:val="00CF34A0"/>
    <w:rsid w:val="00CF3544"/>
    <w:rsid w:val="00CF3604"/>
    <w:rsid w:val="00CF5BB9"/>
    <w:rsid w:val="00CF5CA7"/>
    <w:rsid w:val="00CF64C0"/>
    <w:rsid w:val="00CF660B"/>
    <w:rsid w:val="00CF6667"/>
    <w:rsid w:val="00CF6BF8"/>
    <w:rsid w:val="00CF70CF"/>
    <w:rsid w:val="00CF72D0"/>
    <w:rsid w:val="00CF76BB"/>
    <w:rsid w:val="00CF76D7"/>
    <w:rsid w:val="00CF7B4B"/>
    <w:rsid w:val="00D00A03"/>
    <w:rsid w:val="00D0157F"/>
    <w:rsid w:val="00D038B9"/>
    <w:rsid w:val="00D03DCF"/>
    <w:rsid w:val="00D03DFD"/>
    <w:rsid w:val="00D04302"/>
    <w:rsid w:val="00D0449A"/>
    <w:rsid w:val="00D04A26"/>
    <w:rsid w:val="00D054D1"/>
    <w:rsid w:val="00D075F2"/>
    <w:rsid w:val="00D07AA1"/>
    <w:rsid w:val="00D104E3"/>
    <w:rsid w:val="00D10EB9"/>
    <w:rsid w:val="00D11245"/>
    <w:rsid w:val="00D1218E"/>
    <w:rsid w:val="00D12192"/>
    <w:rsid w:val="00D13CDD"/>
    <w:rsid w:val="00D1424D"/>
    <w:rsid w:val="00D14F30"/>
    <w:rsid w:val="00D15EC4"/>
    <w:rsid w:val="00D16C19"/>
    <w:rsid w:val="00D16E06"/>
    <w:rsid w:val="00D17458"/>
    <w:rsid w:val="00D17E51"/>
    <w:rsid w:val="00D202FF"/>
    <w:rsid w:val="00D208AE"/>
    <w:rsid w:val="00D2145C"/>
    <w:rsid w:val="00D2258A"/>
    <w:rsid w:val="00D2267B"/>
    <w:rsid w:val="00D22777"/>
    <w:rsid w:val="00D22B5B"/>
    <w:rsid w:val="00D22EB6"/>
    <w:rsid w:val="00D23072"/>
    <w:rsid w:val="00D25994"/>
    <w:rsid w:val="00D259CE"/>
    <w:rsid w:val="00D25FB2"/>
    <w:rsid w:val="00D269D7"/>
    <w:rsid w:val="00D2737F"/>
    <w:rsid w:val="00D31ECC"/>
    <w:rsid w:val="00D32ABE"/>
    <w:rsid w:val="00D32C35"/>
    <w:rsid w:val="00D331DC"/>
    <w:rsid w:val="00D3532C"/>
    <w:rsid w:val="00D35C14"/>
    <w:rsid w:val="00D360ED"/>
    <w:rsid w:val="00D363F4"/>
    <w:rsid w:val="00D36711"/>
    <w:rsid w:val="00D36760"/>
    <w:rsid w:val="00D368E7"/>
    <w:rsid w:val="00D37D92"/>
    <w:rsid w:val="00D400FB"/>
    <w:rsid w:val="00D40447"/>
    <w:rsid w:val="00D41324"/>
    <w:rsid w:val="00D427F7"/>
    <w:rsid w:val="00D42BAE"/>
    <w:rsid w:val="00D457F8"/>
    <w:rsid w:val="00D465AA"/>
    <w:rsid w:val="00D478EA"/>
    <w:rsid w:val="00D502D4"/>
    <w:rsid w:val="00D50F92"/>
    <w:rsid w:val="00D50FD8"/>
    <w:rsid w:val="00D51F13"/>
    <w:rsid w:val="00D52022"/>
    <w:rsid w:val="00D52501"/>
    <w:rsid w:val="00D535D8"/>
    <w:rsid w:val="00D537BC"/>
    <w:rsid w:val="00D53B00"/>
    <w:rsid w:val="00D547EB"/>
    <w:rsid w:val="00D57063"/>
    <w:rsid w:val="00D571E8"/>
    <w:rsid w:val="00D60BC9"/>
    <w:rsid w:val="00D60C19"/>
    <w:rsid w:val="00D61E23"/>
    <w:rsid w:val="00D621CA"/>
    <w:rsid w:val="00D62AD5"/>
    <w:rsid w:val="00D62C6D"/>
    <w:rsid w:val="00D62E3D"/>
    <w:rsid w:val="00D63632"/>
    <w:rsid w:val="00D64BD7"/>
    <w:rsid w:val="00D64E46"/>
    <w:rsid w:val="00D666B6"/>
    <w:rsid w:val="00D669EF"/>
    <w:rsid w:val="00D66EB6"/>
    <w:rsid w:val="00D679C6"/>
    <w:rsid w:val="00D70FCB"/>
    <w:rsid w:val="00D72CA6"/>
    <w:rsid w:val="00D73F0A"/>
    <w:rsid w:val="00D74656"/>
    <w:rsid w:val="00D7494C"/>
    <w:rsid w:val="00D74B4C"/>
    <w:rsid w:val="00D75CE1"/>
    <w:rsid w:val="00D77679"/>
    <w:rsid w:val="00D77A5C"/>
    <w:rsid w:val="00D80557"/>
    <w:rsid w:val="00D80DF7"/>
    <w:rsid w:val="00D815D7"/>
    <w:rsid w:val="00D81C4E"/>
    <w:rsid w:val="00D82941"/>
    <w:rsid w:val="00D833A2"/>
    <w:rsid w:val="00D86F48"/>
    <w:rsid w:val="00D90878"/>
    <w:rsid w:val="00D90AFE"/>
    <w:rsid w:val="00D91FBC"/>
    <w:rsid w:val="00D92D2B"/>
    <w:rsid w:val="00D92D3B"/>
    <w:rsid w:val="00D937D7"/>
    <w:rsid w:val="00D93886"/>
    <w:rsid w:val="00D94393"/>
    <w:rsid w:val="00D94E0D"/>
    <w:rsid w:val="00D95EDD"/>
    <w:rsid w:val="00D97132"/>
    <w:rsid w:val="00D97196"/>
    <w:rsid w:val="00D97291"/>
    <w:rsid w:val="00D97716"/>
    <w:rsid w:val="00D97B66"/>
    <w:rsid w:val="00D97D66"/>
    <w:rsid w:val="00DA0C92"/>
    <w:rsid w:val="00DA11A5"/>
    <w:rsid w:val="00DA1339"/>
    <w:rsid w:val="00DA1AA9"/>
    <w:rsid w:val="00DA220A"/>
    <w:rsid w:val="00DA2E52"/>
    <w:rsid w:val="00DA2F8B"/>
    <w:rsid w:val="00DA4D92"/>
    <w:rsid w:val="00DA65CE"/>
    <w:rsid w:val="00DB06FB"/>
    <w:rsid w:val="00DB0756"/>
    <w:rsid w:val="00DB244A"/>
    <w:rsid w:val="00DB3038"/>
    <w:rsid w:val="00DB315C"/>
    <w:rsid w:val="00DB31CE"/>
    <w:rsid w:val="00DB3228"/>
    <w:rsid w:val="00DB40FE"/>
    <w:rsid w:val="00DB48DA"/>
    <w:rsid w:val="00DB4C50"/>
    <w:rsid w:val="00DB4D40"/>
    <w:rsid w:val="00DB7021"/>
    <w:rsid w:val="00DB7851"/>
    <w:rsid w:val="00DB7ABA"/>
    <w:rsid w:val="00DC0E58"/>
    <w:rsid w:val="00DC0FC4"/>
    <w:rsid w:val="00DC1191"/>
    <w:rsid w:val="00DC1FEA"/>
    <w:rsid w:val="00DC2280"/>
    <w:rsid w:val="00DC2D25"/>
    <w:rsid w:val="00DC3D1D"/>
    <w:rsid w:val="00DC3FC5"/>
    <w:rsid w:val="00DC5450"/>
    <w:rsid w:val="00DC73BC"/>
    <w:rsid w:val="00DC7A39"/>
    <w:rsid w:val="00DD2692"/>
    <w:rsid w:val="00DD3033"/>
    <w:rsid w:val="00DD3548"/>
    <w:rsid w:val="00DD41C6"/>
    <w:rsid w:val="00DD4564"/>
    <w:rsid w:val="00DD523B"/>
    <w:rsid w:val="00DD5983"/>
    <w:rsid w:val="00DD609E"/>
    <w:rsid w:val="00DD654B"/>
    <w:rsid w:val="00DD6B7C"/>
    <w:rsid w:val="00DD7690"/>
    <w:rsid w:val="00DD79A5"/>
    <w:rsid w:val="00DE1D23"/>
    <w:rsid w:val="00DE1FB6"/>
    <w:rsid w:val="00DE22ED"/>
    <w:rsid w:val="00DE2613"/>
    <w:rsid w:val="00DE296D"/>
    <w:rsid w:val="00DE2FB0"/>
    <w:rsid w:val="00DE5025"/>
    <w:rsid w:val="00DE60E8"/>
    <w:rsid w:val="00DE7143"/>
    <w:rsid w:val="00DE75AD"/>
    <w:rsid w:val="00DF0A8D"/>
    <w:rsid w:val="00DF0E7B"/>
    <w:rsid w:val="00DF15DB"/>
    <w:rsid w:val="00DF1876"/>
    <w:rsid w:val="00DF2837"/>
    <w:rsid w:val="00DF2D08"/>
    <w:rsid w:val="00DF3097"/>
    <w:rsid w:val="00DF324A"/>
    <w:rsid w:val="00DF498C"/>
    <w:rsid w:val="00DF564C"/>
    <w:rsid w:val="00DF5A66"/>
    <w:rsid w:val="00DF65F7"/>
    <w:rsid w:val="00DF7156"/>
    <w:rsid w:val="00E005FB"/>
    <w:rsid w:val="00E01DC5"/>
    <w:rsid w:val="00E027F4"/>
    <w:rsid w:val="00E04068"/>
    <w:rsid w:val="00E04D26"/>
    <w:rsid w:val="00E05C52"/>
    <w:rsid w:val="00E064E6"/>
    <w:rsid w:val="00E06CFE"/>
    <w:rsid w:val="00E07640"/>
    <w:rsid w:val="00E10E4E"/>
    <w:rsid w:val="00E112C4"/>
    <w:rsid w:val="00E11BE4"/>
    <w:rsid w:val="00E13183"/>
    <w:rsid w:val="00E14220"/>
    <w:rsid w:val="00E14422"/>
    <w:rsid w:val="00E14C22"/>
    <w:rsid w:val="00E14FCE"/>
    <w:rsid w:val="00E1575B"/>
    <w:rsid w:val="00E15B4D"/>
    <w:rsid w:val="00E16531"/>
    <w:rsid w:val="00E20250"/>
    <w:rsid w:val="00E21146"/>
    <w:rsid w:val="00E227EA"/>
    <w:rsid w:val="00E22E22"/>
    <w:rsid w:val="00E22FB5"/>
    <w:rsid w:val="00E24CAE"/>
    <w:rsid w:val="00E272F6"/>
    <w:rsid w:val="00E27963"/>
    <w:rsid w:val="00E27CFB"/>
    <w:rsid w:val="00E27D7A"/>
    <w:rsid w:val="00E30BAB"/>
    <w:rsid w:val="00E31599"/>
    <w:rsid w:val="00E332A1"/>
    <w:rsid w:val="00E33BC8"/>
    <w:rsid w:val="00E34A8D"/>
    <w:rsid w:val="00E354B3"/>
    <w:rsid w:val="00E3579F"/>
    <w:rsid w:val="00E357CE"/>
    <w:rsid w:val="00E37137"/>
    <w:rsid w:val="00E37330"/>
    <w:rsid w:val="00E37B51"/>
    <w:rsid w:val="00E404BA"/>
    <w:rsid w:val="00E4083B"/>
    <w:rsid w:val="00E40A05"/>
    <w:rsid w:val="00E41539"/>
    <w:rsid w:val="00E41743"/>
    <w:rsid w:val="00E41CA1"/>
    <w:rsid w:val="00E42F6B"/>
    <w:rsid w:val="00E439AE"/>
    <w:rsid w:val="00E45B09"/>
    <w:rsid w:val="00E46C0B"/>
    <w:rsid w:val="00E47987"/>
    <w:rsid w:val="00E52C6C"/>
    <w:rsid w:val="00E5345C"/>
    <w:rsid w:val="00E53A81"/>
    <w:rsid w:val="00E5536F"/>
    <w:rsid w:val="00E55409"/>
    <w:rsid w:val="00E56A12"/>
    <w:rsid w:val="00E57286"/>
    <w:rsid w:val="00E57734"/>
    <w:rsid w:val="00E579B9"/>
    <w:rsid w:val="00E60015"/>
    <w:rsid w:val="00E610D7"/>
    <w:rsid w:val="00E61FB1"/>
    <w:rsid w:val="00E6243A"/>
    <w:rsid w:val="00E63759"/>
    <w:rsid w:val="00E63D96"/>
    <w:rsid w:val="00E64871"/>
    <w:rsid w:val="00E650F9"/>
    <w:rsid w:val="00E66D0B"/>
    <w:rsid w:val="00E66FC8"/>
    <w:rsid w:val="00E674CD"/>
    <w:rsid w:val="00E67A29"/>
    <w:rsid w:val="00E708C5"/>
    <w:rsid w:val="00E714BC"/>
    <w:rsid w:val="00E71635"/>
    <w:rsid w:val="00E71B03"/>
    <w:rsid w:val="00E71D72"/>
    <w:rsid w:val="00E71EFD"/>
    <w:rsid w:val="00E72220"/>
    <w:rsid w:val="00E72323"/>
    <w:rsid w:val="00E729AE"/>
    <w:rsid w:val="00E72A3F"/>
    <w:rsid w:val="00E72DB2"/>
    <w:rsid w:val="00E7316A"/>
    <w:rsid w:val="00E73B8F"/>
    <w:rsid w:val="00E74476"/>
    <w:rsid w:val="00E76030"/>
    <w:rsid w:val="00E7639D"/>
    <w:rsid w:val="00E768B6"/>
    <w:rsid w:val="00E7755A"/>
    <w:rsid w:val="00E77756"/>
    <w:rsid w:val="00E804EE"/>
    <w:rsid w:val="00E806E2"/>
    <w:rsid w:val="00E808CA"/>
    <w:rsid w:val="00E80CB2"/>
    <w:rsid w:val="00E811BE"/>
    <w:rsid w:val="00E81644"/>
    <w:rsid w:val="00E8258B"/>
    <w:rsid w:val="00E82782"/>
    <w:rsid w:val="00E831F1"/>
    <w:rsid w:val="00E84A23"/>
    <w:rsid w:val="00E85E4C"/>
    <w:rsid w:val="00E8645A"/>
    <w:rsid w:val="00E864DE"/>
    <w:rsid w:val="00E8653C"/>
    <w:rsid w:val="00E86687"/>
    <w:rsid w:val="00E8741B"/>
    <w:rsid w:val="00E87BB3"/>
    <w:rsid w:val="00E87E35"/>
    <w:rsid w:val="00E9327B"/>
    <w:rsid w:val="00E940A7"/>
    <w:rsid w:val="00E94891"/>
    <w:rsid w:val="00E9538F"/>
    <w:rsid w:val="00E955D9"/>
    <w:rsid w:val="00E957E7"/>
    <w:rsid w:val="00E95AF6"/>
    <w:rsid w:val="00E95F1F"/>
    <w:rsid w:val="00E96005"/>
    <w:rsid w:val="00EA14D1"/>
    <w:rsid w:val="00EA1F7C"/>
    <w:rsid w:val="00EA229C"/>
    <w:rsid w:val="00EA22DA"/>
    <w:rsid w:val="00EA36CA"/>
    <w:rsid w:val="00EB13B4"/>
    <w:rsid w:val="00EB25A8"/>
    <w:rsid w:val="00EB33BA"/>
    <w:rsid w:val="00EB3D8A"/>
    <w:rsid w:val="00EB3FD4"/>
    <w:rsid w:val="00EB4A42"/>
    <w:rsid w:val="00EB4F89"/>
    <w:rsid w:val="00EB56A9"/>
    <w:rsid w:val="00EB577C"/>
    <w:rsid w:val="00EB6890"/>
    <w:rsid w:val="00EB6AF9"/>
    <w:rsid w:val="00EB6D03"/>
    <w:rsid w:val="00EB70F9"/>
    <w:rsid w:val="00EB7417"/>
    <w:rsid w:val="00EC0021"/>
    <w:rsid w:val="00EC0FFB"/>
    <w:rsid w:val="00EC16E7"/>
    <w:rsid w:val="00EC1FC4"/>
    <w:rsid w:val="00EC2AB7"/>
    <w:rsid w:val="00EC3942"/>
    <w:rsid w:val="00EC4103"/>
    <w:rsid w:val="00EC430B"/>
    <w:rsid w:val="00EC44A4"/>
    <w:rsid w:val="00EC7803"/>
    <w:rsid w:val="00EC7F62"/>
    <w:rsid w:val="00ED0B7A"/>
    <w:rsid w:val="00ED2442"/>
    <w:rsid w:val="00ED2A3C"/>
    <w:rsid w:val="00ED42FA"/>
    <w:rsid w:val="00ED45C1"/>
    <w:rsid w:val="00ED4F6F"/>
    <w:rsid w:val="00ED592F"/>
    <w:rsid w:val="00ED5B6F"/>
    <w:rsid w:val="00ED6036"/>
    <w:rsid w:val="00ED6676"/>
    <w:rsid w:val="00ED6AC6"/>
    <w:rsid w:val="00EE0139"/>
    <w:rsid w:val="00EE0B36"/>
    <w:rsid w:val="00EE1EDE"/>
    <w:rsid w:val="00EE2C52"/>
    <w:rsid w:val="00EE36B0"/>
    <w:rsid w:val="00EE395B"/>
    <w:rsid w:val="00EE402B"/>
    <w:rsid w:val="00EE432B"/>
    <w:rsid w:val="00EE45D5"/>
    <w:rsid w:val="00EE4CF6"/>
    <w:rsid w:val="00EE554F"/>
    <w:rsid w:val="00EE563E"/>
    <w:rsid w:val="00EE5E34"/>
    <w:rsid w:val="00EF0477"/>
    <w:rsid w:val="00EF04F0"/>
    <w:rsid w:val="00EF1724"/>
    <w:rsid w:val="00EF196B"/>
    <w:rsid w:val="00EF1DAD"/>
    <w:rsid w:val="00EF2194"/>
    <w:rsid w:val="00EF2B98"/>
    <w:rsid w:val="00EF2FBC"/>
    <w:rsid w:val="00EF55CA"/>
    <w:rsid w:val="00EF56D7"/>
    <w:rsid w:val="00EF5B35"/>
    <w:rsid w:val="00EF5DB9"/>
    <w:rsid w:val="00EF6796"/>
    <w:rsid w:val="00EF6EC5"/>
    <w:rsid w:val="00EF7495"/>
    <w:rsid w:val="00EF76B0"/>
    <w:rsid w:val="00EF7CCE"/>
    <w:rsid w:val="00F0088C"/>
    <w:rsid w:val="00F00F90"/>
    <w:rsid w:val="00F00F9C"/>
    <w:rsid w:val="00F016C0"/>
    <w:rsid w:val="00F01AB2"/>
    <w:rsid w:val="00F02424"/>
    <w:rsid w:val="00F0350A"/>
    <w:rsid w:val="00F058A9"/>
    <w:rsid w:val="00F059CF"/>
    <w:rsid w:val="00F06687"/>
    <w:rsid w:val="00F072E6"/>
    <w:rsid w:val="00F10054"/>
    <w:rsid w:val="00F102F8"/>
    <w:rsid w:val="00F11173"/>
    <w:rsid w:val="00F12981"/>
    <w:rsid w:val="00F140A6"/>
    <w:rsid w:val="00F1414B"/>
    <w:rsid w:val="00F1508F"/>
    <w:rsid w:val="00F15A96"/>
    <w:rsid w:val="00F161AE"/>
    <w:rsid w:val="00F173F4"/>
    <w:rsid w:val="00F203D9"/>
    <w:rsid w:val="00F207AF"/>
    <w:rsid w:val="00F21D69"/>
    <w:rsid w:val="00F226DF"/>
    <w:rsid w:val="00F25783"/>
    <w:rsid w:val="00F30D95"/>
    <w:rsid w:val="00F32755"/>
    <w:rsid w:val="00F32E22"/>
    <w:rsid w:val="00F32E9B"/>
    <w:rsid w:val="00F33B7E"/>
    <w:rsid w:val="00F34784"/>
    <w:rsid w:val="00F34F28"/>
    <w:rsid w:val="00F35FBE"/>
    <w:rsid w:val="00F36B5B"/>
    <w:rsid w:val="00F36D2E"/>
    <w:rsid w:val="00F371B0"/>
    <w:rsid w:val="00F37D48"/>
    <w:rsid w:val="00F400E5"/>
    <w:rsid w:val="00F4080C"/>
    <w:rsid w:val="00F4275E"/>
    <w:rsid w:val="00F435B1"/>
    <w:rsid w:val="00F45A2F"/>
    <w:rsid w:val="00F4795F"/>
    <w:rsid w:val="00F50358"/>
    <w:rsid w:val="00F5037B"/>
    <w:rsid w:val="00F5064C"/>
    <w:rsid w:val="00F515A5"/>
    <w:rsid w:val="00F53FB7"/>
    <w:rsid w:val="00F540AF"/>
    <w:rsid w:val="00F54A57"/>
    <w:rsid w:val="00F55A64"/>
    <w:rsid w:val="00F55EBD"/>
    <w:rsid w:val="00F56420"/>
    <w:rsid w:val="00F57A23"/>
    <w:rsid w:val="00F602B6"/>
    <w:rsid w:val="00F615D9"/>
    <w:rsid w:val="00F6221F"/>
    <w:rsid w:val="00F62FAB"/>
    <w:rsid w:val="00F63080"/>
    <w:rsid w:val="00F639B5"/>
    <w:rsid w:val="00F63DCF"/>
    <w:rsid w:val="00F642D5"/>
    <w:rsid w:val="00F64F15"/>
    <w:rsid w:val="00F655F0"/>
    <w:rsid w:val="00F671CA"/>
    <w:rsid w:val="00F67AFF"/>
    <w:rsid w:val="00F67FD9"/>
    <w:rsid w:val="00F7054B"/>
    <w:rsid w:val="00F71DC4"/>
    <w:rsid w:val="00F72110"/>
    <w:rsid w:val="00F746DA"/>
    <w:rsid w:val="00F7515A"/>
    <w:rsid w:val="00F754EC"/>
    <w:rsid w:val="00F76B33"/>
    <w:rsid w:val="00F7741D"/>
    <w:rsid w:val="00F77E98"/>
    <w:rsid w:val="00F77FC6"/>
    <w:rsid w:val="00F811A3"/>
    <w:rsid w:val="00F82239"/>
    <w:rsid w:val="00F82890"/>
    <w:rsid w:val="00F83BE4"/>
    <w:rsid w:val="00F83E7E"/>
    <w:rsid w:val="00F83F29"/>
    <w:rsid w:val="00F8419A"/>
    <w:rsid w:val="00F8483F"/>
    <w:rsid w:val="00F852A0"/>
    <w:rsid w:val="00F86303"/>
    <w:rsid w:val="00F86F55"/>
    <w:rsid w:val="00F87028"/>
    <w:rsid w:val="00F9069D"/>
    <w:rsid w:val="00F90D0D"/>
    <w:rsid w:val="00F92F88"/>
    <w:rsid w:val="00F94768"/>
    <w:rsid w:val="00F94BCE"/>
    <w:rsid w:val="00F957F1"/>
    <w:rsid w:val="00F97D43"/>
    <w:rsid w:val="00FA0231"/>
    <w:rsid w:val="00FA038A"/>
    <w:rsid w:val="00FA51B5"/>
    <w:rsid w:val="00FA6695"/>
    <w:rsid w:val="00FA6DE6"/>
    <w:rsid w:val="00FB0C47"/>
    <w:rsid w:val="00FB1D49"/>
    <w:rsid w:val="00FB3321"/>
    <w:rsid w:val="00FB69B0"/>
    <w:rsid w:val="00FB6D88"/>
    <w:rsid w:val="00FB71C9"/>
    <w:rsid w:val="00FB7388"/>
    <w:rsid w:val="00FB7845"/>
    <w:rsid w:val="00FB7D00"/>
    <w:rsid w:val="00FB7F65"/>
    <w:rsid w:val="00FC021C"/>
    <w:rsid w:val="00FC2D38"/>
    <w:rsid w:val="00FC2F37"/>
    <w:rsid w:val="00FC5139"/>
    <w:rsid w:val="00FC5220"/>
    <w:rsid w:val="00FC5946"/>
    <w:rsid w:val="00FC7639"/>
    <w:rsid w:val="00FD0DA7"/>
    <w:rsid w:val="00FD28B8"/>
    <w:rsid w:val="00FD2FC8"/>
    <w:rsid w:val="00FD3C99"/>
    <w:rsid w:val="00FD50E4"/>
    <w:rsid w:val="00FD5ADD"/>
    <w:rsid w:val="00FE0378"/>
    <w:rsid w:val="00FE1981"/>
    <w:rsid w:val="00FE1EA4"/>
    <w:rsid w:val="00FE2079"/>
    <w:rsid w:val="00FE2E57"/>
    <w:rsid w:val="00FE3E06"/>
    <w:rsid w:val="00FE4843"/>
    <w:rsid w:val="00FE4CB3"/>
    <w:rsid w:val="00FE4F4A"/>
    <w:rsid w:val="00FE509E"/>
    <w:rsid w:val="00FE5B87"/>
    <w:rsid w:val="00FE5D4C"/>
    <w:rsid w:val="00FE63DB"/>
    <w:rsid w:val="00FE65BC"/>
    <w:rsid w:val="00FE66B4"/>
    <w:rsid w:val="00FE69F5"/>
    <w:rsid w:val="00FE7123"/>
    <w:rsid w:val="00FF0399"/>
    <w:rsid w:val="00FF1854"/>
    <w:rsid w:val="00FF28A7"/>
    <w:rsid w:val="00FF35CD"/>
    <w:rsid w:val="00FF35E2"/>
    <w:rsid w:val="00FF4374"/>
    <w:rsid w:val="00FF4D75"/>
    <w:rsid w:val="00FF50BE"/>
    <w:rsid w:val="00FF5B8E"/>
    <w:rsid w:val="00FF640F"/>
    <w:rsid w:val="00FF6F78"/>
    <w:rsid w:val="00FF7404"/>
    <w:rsid w:val="00FF7C6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C54238"/>
  <w15:chartTrackingRefBased/>
  <w15:docId w15:val="{7FABCC34-E087-445D-A63B-5C858EB4D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05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E05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E05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E05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05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05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05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05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05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05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E05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E05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E05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05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05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05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05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0576"/>
    <w:rPr>
      <w:rFonts w:eastAsiaTheme="majorEastAsia" w:cstheme="majorBidi"/>
      <w:color w:val="272727" w:themeColor="text1" w:themeTint="D8"/>
    </w:rPr>
  </w:style>
  <w:style w:type="paragraph" w:styleId="Title">
    <w:name w:val="Title"/>
    <w:basedOn w:val="Normal"/>
    <w:next w:val="Normal"/>
    <w:link w:val="TitleChar"/>
    <w:uiPriority w:val="10"/>
    <w:qFormat/>
    <w:rsid w:val="003E05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05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05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05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0576"/>
    <w:pPr>
      <w:spacing w:before="160"/>
      <w:jc w:val="center"/>
    </w:pPr>
    <w:rPr>
      <w:i/>
      <w:iCs/>
      <w:color w:val="404040" w:themeColor="text1" w:themeTint="BF"/>
    </w:rPr>
  </w:style>
  <w:style w:type="character" w:customStyle="1" w:styleId="QuoteChar">
    <w:name w:val="Quote Char"/>
    <w:basedOn w:val="DefaultParagraphFont"/>
    <w:link w:val="Quote"/>
    <w:uiPriority w:val="29"/>
    <w:rsid w:val="003E0576"/>
    <w:rPr>
      <w:i/>
      <w:iCs/>
      <w:color w:val="404040" w:themeColor="text1" w:themeTint="BF"/>
    </w:rPr>
  </w:style>
  <w:style w:type="paragraph" w:styleId="ListParagraph">
    <w:name w:val="List Paragraph"/>
    <w:basedOn w:val="Normal"/>
    <w:uiPriority w:val="34"/>
    <w:qFormat/>
    <w:rsid w:val="003E0576"/>
    <w:pPr>
      <w:ind w:left="720"/>
      <w:contextualSpacing/>
    </w:pPr>
  </w:style>
  <w:style w:type="character" w:styleId="IntenseEmphasis">
    <w:name w:val="Intense Emphasis"/>
    <w:basedOn w:val="DefaultParagraphFont"/>
    <w:uiPriority w:val="21"/>
    <w:qFormat/>
    <w:rsid w:val="003E0576"/>
    <w:rPr>
      <w:i/>
      <w:iCs/>
      <w:color w:val="0F4761" w:themeColor="accent1" w:themeShade="BF"/>
    </w:rPr>
  </w:style>
  <w:style w:type="paragraph" w:styleId="IntenseQuote">
    <w:name w:val="Intense Quote"/>
    <w:basedOn w:val="Normal"/>
    <w:next w:val="Normal"/>
    <w:link w:val="IntenseQuoteChar"/>
    <w:uiPriority w:val="30"/>
    <w:qFormat/>
    <w:rsid w:val="003E05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0576"/>
    <w:rPr>
      <w:i/>
      <w:iCs/>
      <w:color w:val="0F4761" w:themeColor="accent1" w:themeShade="BF"/>
    </w:rPr>
  </w:style>
  <w:style w:type="character" w:styleId="IntenseReference">
    <w:name w:val="Intense Reference"/>
    <w:basedOn w:val="DefaultParagraphFont"/>
    <w:uiPriority w:val="32"/>
    <w:qFormat/>
    <w:rsid w:val="003E0576"/>
    <w:rPr>
      <w:b/>
      <w:bCs/>
      <w:smallCaps/>
      <w:color w:val="0F4761" w:themeColor="accent1" w:themeShade="BF"/>
      <w:spacing w:val="5"/>
    </w:rPr>
  </w:style>
  <w:style w:type="paragraph" w:styleId="Header">
    <w:name w:val="header"/>
    <w:basedOn w:val="Normal"/>
    <w:link w:val="HeaderChar"/>
    <w:uiPriority w:val="99"/>
    <w:unhideWhenUsed/>
    <w:rsid w:val="00FA03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038A"/>
  </w:style>
  <w:style w:type="paragraph" w:styleId="Footer">
    <w:name w:val="footer"/>
    <w:basedOn w:val="Normal"/>
    <w:link w:val="FooterChar"/>
    <w:uiPriority w:val="99"/>
    <w:unhideWhenUsed/>
    <w:rsid w:val="00FA03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38A"/>
  </w:style>
  <w:style w:type="paragraph" w:styleId="NormalWeb">
    <w:name w:val="Normal (Web)"/>
    <w:basedOn w:val="Normal"/>
    <w:uiPriority w:val="99"/>
    <w:semiHidden/>
    <w:unhideWhenUsed/>
    <w:rsid w:val="00116384"/>
    <w:rPr>
      <w:rFonts w:ascii="Times New Roman" w:hAnsi="Times New Roman" w:cs="Times New Roman"/>
    </w:rPr>
  </w:style>
  <w:style w:type="character" w:styleId="Hyperlink">
    <w:name w:val="Hyperlink"/>
    <w:basedOn w:val="DefaultParagraphFont"/>
    <w:uiPriority w:val="99"/>
    <w:unhideWhenUsed/>
    <w:rsid w:val="009B05F2"/>
    <w:rPr>
      <w:color w:val="467886" w:themeColor="hyperlink"/>
      <w:u w:val="single"/>
    </w:rPr>
  </w:style>
  <w:style w:type="character" w:styleId="UnresolvedMention">
    <w:name w:val="Unresolved Mention"/>
    <w:basedOn w:val="DefaultParagraphFont"/>
    <w:uiPriority w:val="99"/>
    <w:semiHidden/>
    <w:unhideWhenUsed/>
    <w:rsid w:val="00EE402B"/>
    <w:rPr>
      <w:color w:val="605E5C"/>
      <w:shd w:val="clear" w:color="auto" w:fill="E1DFDD"/>
    </w:rPr>
  </w:style>
  <w:style w:type="paragraph" w:styleId="Bibliography">
    <w:name w:val="Bibliography"/>
    <w:basedOn w:val="Normal"/>
    <w:next w:val="Normal"/>
    <w:uiPriority w:val="37"/>
    <w:semiHidden/>
    <w:unhideWhenUsed/>
    <w:rsid w:val="00BD3BC1"/>
  </w:style>
  <w:style w:type="character" w:styleId="CommentReference">
    <w:name w:val="annotation reference"/>
    <w:basedOn w:val="DefaultParagraphFont"/>
    <w:uiPriority w:val="99"/>
    <w:semiHidden/>
    <w:unhideWhenUsed/>
    <w:rsid w:val="00D038B9"/>
    <w:rPr>
      <w:sz w:val="16"/>
      <w:szCs w:val="16"/>
    </w:rPr>
  </w:style>
  <w:style w:type="paragraph" w:styleId="CommentText">
    <w:name w:val="annotation text"/>
    <w:basedOn w:val="Normal"/>
    <w:link w:val="CommentTextChar"/>
    <w:uiPriority w:val="99"/>
    <w:unhideWhenUsed/>
    <w:rsid w:val="00D038B9"/>
    <w:pPr>
      <w:spacing w:line="240" w:lineRule="auto"/>
    </w:pPr>
    <w:rPr>
      <w:sz w:val="20"/>
      <w:szCs w:val="20"/>
    </w:rPr>
  </w:style>
  <w:style w:type="character" w:customStyle="1" w:styleId="CommentTextChar">
    <w:name w:val="Comment Text Char"/>
    <w:basedOn w:val="DefaultParagraphFont"/>
    <w:link w:val="CommentText"/>
    <w:uiPriority w:val="99"/>
    <w:rsid w:val="00D038B9"/>
    <w:rPr>
      <w:sz w:val="20"/>
      <w:szCs w:val="20"/>
    </w:rPr>
  </w:style>
  <w:style w:type="paragraph" w:styleId="CommentSubject">
    <w:name w:val="annotation subject"/>
    <w:basedOn w:val="CommentText"/>
    <w:next w:val="CommentText"/>
    <w:link w:val="CommentSubjectChar"/>
    <w:uiPriority w:val="99"/>
    <w:semiHidden/>
    <w:unhideWhenUsed/>
    <w:rsid w:val="00D038B9"/>
    <w:rPr>
      <w:b/>
      <w:bCs/>
    </w:rPr>
  </w:style>
  <w:style w:type="character" w:customStyle="1" w:styleId="CommentSubjectChar">
    <w:name w:val="Comment Subject Char"/>
    <w:basedOn w:val="CommentTextChar"/>
    <w:link w:val="CommentSubject"/>
    <w:uiPriority w:val="99"/>
    <w:semiHidden/>
    <w:rsid w:val="00D038B9"/>
    <w:rPr>
      <w:b/>
      <w:bCs/>
      <w:sz w:val="20"/>
      <w:szCs w:val="20"/>
    </w:rPr>
  </w:style>
  <w:style w:type="paragraph" w:styleId="Revision">
    <w:name w:val="Revision"/>
    <w:hidden/>
    <w:uiPriority w:val="99"/>
    <w:semiHidden/>
    <w:rsid w:val="00467A2F"/>
    <w:pPr>
      <w:spacing w:after="0" w:line="240" w:lineRule="auto"/>
    </w:pPr>
  </w:style>
  <w:style w:type="character" w:styleId="SubtleEmphasis">
    <w:name w:val="Subtle Emphasis"/>
    <w:basedOn w:val="DefaultParagraphFont"/>
    <w:uiPriority w:val="19"/>
    <w:qFormat/>
    <w:rsid w:val="00BC2C60"/>
    <w:rPr>
      <w:i/>
      <w:iCs/>
      <w:color w:val="404040" w:themeColor="text1" w:themeTint="BF"/>
    </w:rPr>
  </w:style>
  <w:style w:type="character" w:styleId="Emphasis">
    <w:name w:val="Emphasis"/>
    <w:basedOn w:val="DefaultParagraphFont"/>
    <w:uiPriority w:val="20"/>
    <w:qFormat/>
    <w:rsid w:val="000126D8"/>
    <w:rPr>
      <w:i/>
      <w:iCs/>
    </w:rPr>
  </w:style>
  <w:style w:type="table" w:styleId="TableGrid">
    <w:name w:val="Table Grid"/>
    <w:basedOn w:val="TableNormal"/>
    <w:uiPriority w:val="39"/>
    <w:rsid w:val="00E227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E227E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4324/9781003167402" TargetMode="External"/><Relationship Id="rId21" Type="http://schemas.openxmlformats.org/officeDocument/2006/relationships/hyperlink" Target="https://iris.who.int/server/api/core/bitstreams/cdced85a-86ce-47b9-ae21-156fab9a96a0/content" TargetMode="External"/><Relationship Id="rId42" Type="http://schemas.openxmlformats.org/officeDocument/2006/relationships/hyperlink" Target="https://doi.org/10.1080/09687590903160118" TargetMode="External"/><Relationship Id="rId47" Type="http://schemas.openxmlformats.org/officeDocument/2006/relationships/hyperlink" Target="https://doi.org/10.1177/02632760122051805" TargetMode="External"/><Relationship Id="rId63" Type="http://schemas.openxmlformats.org/officeDocument/2006/relationships/hyperlink" Target="https://doi.org/10.4324/9781315577319" TargetMode="External"/><Relationship Id="rId68" Type="http://schemas.openxmlformats.org/officeDocument/2006/relationships/hyperlink" Target="https://assets.publishing.service.gov.uk/media/690215c7918e1f940b3cf7f6/timms-review-of-pip-terms-of-reference.pdf" TargetMode="External"/><Relationship Id="rId16" Type="http://schemas.openxmlformats.org/officeDocument/2006/relationships/hyperlink" Target="https://www.demos.co.uk/files/Rethinking_-_web_1_.pdf?1426175121" TargetMode="External"/><Relationship Id="rId11" Type="http://schemas.openxmlformats.org/officeDocument/2006/relationships/hyperlink" Target="https://doi.org/10.1111/jols.12170" TargetMode="External"/><Relationship Id="rId24" Type="http://schemas.openxmlformats.org/officeDocument/2006/relationships/hyperlink" Target="https://www.disabilityrightsuk.org/funding-justice" TargetMode="External"/><Relationship Id="rId32" Type="http://schemas.openxmlformats.org/officeDocument/2006/relationships/hyperlink" Target="https://www.legislation.gov.uk/ukpga/Geo5/1-2/55/pdfs/ukpga_19110055_en.pdf" TargetMode="External"/><Relationship Id="rId37" Type="http://schemas.openxmlformats.org/officeDocument/2006/relationships/hyperlink" Target="https://www.legislation.gov.uk/ukpga/2009/15/contents" TargetMode="External"/><Relationship Id="rId40" Type="http://schemas.openxmlformats.org/officeDocument/2006/relationships/hyperlink" Target="https://www.gov.uk/government/publications/wca50-form-capability-for-work-questionnaire" TargetMode="External"/><Relationship Id="rId45" Type="http://schemas.openxmlformats.org/officeDocument/2006/relationships/hyperlink" Target="https://www.lrd.org.uk/free-read/unions-urge-immediate-re-think-welfare-cuts" TargetMode="External"/><Relationship Id="rId53" Type="http://schemas.openxmlformats.org/officeDocument/2006/relationships/hyperlink" Target="https://doi.org/10.1017/S0047279422000800" TargetMode="External"/><Relationship Id="rId58" Type="http://schemas.openxmlformats.org/officeDocument/2006/relationships/hyperlink" Target="https://doi.org/10.1332/175982714X13875308002243" TargetMode="External"/><Relationship Id="rId66" Type="http://schemas.openxmlformats.org/officeDocument/2006/relationships/hyperlink" Target="https://www.bing.com/search?q=parliament%20uktimms%20review&amp;qs=n&amp;form=QBRE&amp;sp=-1&amp;lq=0&amp;pq=parliament%20uktimms%20review&amp;sc=0-25&amp;sk=&amp;cvid=BCDCF37D38344A46A6816C41DC3D6B4F&amp;ntref=1" TargetMode="External"/><Relationship Id="rId74" Type="http://schemas.openxmlformats.org/officeDocument/2006/relationships/hyperlink" Target="https://committees.parliament.uk/writtenevidence/82222/html/"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blackwells.co.uk/bookshop/product/A-Very-Capitalist-Condition-by-Roddy-Slorach/9781914143984" TargetMode="External"/><Relationship Id="rId19" Type="http://schemas.openxmlformats.org/officeDocument/2006/relationships/hyperlink" Target="https://doi.org/10.1017/S0003975600000412" TargetMode="External"/><Relationship Id="rId14" Type="http://schemas.openxmlformats.org/officeDocument/2006/relationships/hyperlink" Target="https://doi.org/10.1177/1746197907081259" TargetMode="External"/><Relationship Id="rId22" Type="http://schemas.openxmlformats.org/officeDocument/2006/relationships/hyperlink" Target="https://www.gov.uk/pip" TargetMode="External"/><Relationship Id="rId27" Type="http://schemas.openxmlformats.org/officeDocument/2006/relationships/hyperlink" Target="https://s3-ap-southeast-2.amazonaws.com/figshare-production-eu-latrobe-storage9079-ap-southeast-2/38763918/19719_SOURCE1_3_A.pdf?X-Amz-Algorithm=AWS4-HMAC-SHA256&amp;X-Amz-Credential=AKIARRFKZQ25KW2DIYRU/20251217/ap-southeast-2/s3/aws4_request&amp;X-Amz-Date=20251217T160933Z&amp;X-Amz-Expires=10&amp;X-Amz-SignedHeaders=host&amp;X-Amz-Signature=a0f9f1b0c0628cf0c2fd8dc90ec2be5631d01c8bd7edcedfe34b285ec0be9a00" TargetMode="External"/><Relationship Id="rId30" Type="http://schemas.openxmlformats.org/officeDocument/2006/relationships/hyperlink" Target="https://doi.org/10.31971/16401808.47.4.2019.6" TargetMode="External"/><Relationship Id="rId35" Type="http://schemas.openxmlformats.org/officeDocument/2006/relationships/hyperlink" Target="https://www.legislation.gov.uk/ukpga/1995/50/contents" TargetMode="External"/><Relationship Id="rId43" Type="http://schemas.openxmlformats.org/officeDocument/2006/relationships/hyperlink" Target="https://publications.parliament.uk/pa/bills/cbill/59-01/0267/240267.pdf" TargetMode="External"/><Relationship Id="rId48" Type="http://schemas.openxmlformats.org/officeDocument/2006/relationships/hyperlink" Target="https://doi.org/10.1332/policypress/9781861348562.003.0017" TargetMode="External"/><Relationship Id="rId56" Type="http://schemas.openxmlformats.org/officeDocument/2006/relationships/hyperlink" Target="https://doi.org/10.1332/policypress/9781447324560.003.0014" TargetMode="External"/><Relationship Id="rId64" Type="http://schemas.openxmlformats.org/officeDocument/2006/relationships/hyperlink" Target="https://committees.parliament.uk/writtenevidence/82222/html/" TargetMode="External"/><Relationship Id="rId69" Type="http://schemas.openxmlformats.org/officeDocument/2006/relationships/hyperlink" Target="https://www.ohchr.org/en/instruments-mechanisms/instruments/convention-rights-persons-disabilities" TargetMode="External"/><Relationship Id="rId77"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hyperlink" Target="https://doi.org/10.1007/978-1-349-20895-1_6" TargetMode="External"/><Relationship Id="rId72" Type="http://schemas.openxmlformats.org/officeDocument/2006/relationships/hyperlink" Target="https://doi.org/10.1080/1359432X.2017.1387536"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doi.org/10.1080/13603116.2011.602527" TargetMode="External"/><Relationship Id="rId17" Type="http://schemas.openxmlformats.org/officeDocument/2006/relationships/hyperlink" Target="https://www.parliament.uk/about/living-heritage/transformingsociety/livinglearning/coll-9-health1/coll-9-health/" TargetMode="External"/><Relationship Id="rId25" Type="http://schemas.openxmlformats.org/officeDocument/2006/relationships/hyperlink" Target="https://doi.org/10.1017/S0007123400003781" TargetMode="External"/><Relationship Id="rId33" Type="http://schemas.openxmlformats.org/officeDocument/2006/relationships/hyperlink" Target="https://www.legislation.gov.uk/ukpga/Geo5/1-2/55/pdfs/ukpga_19110055_en.pdf" TargetMode="External"/><Relationship Id="rId38" Type="http://schemas.openxmlformats.org/officeDocument/2006/relationships/hyperlink" Target="https://www.legislation.gov.uk/uksi/2013/377/contents" TargetMode="External"/><Relationship Id="rId46" Type="http://schemas.openxmlformats.org/officeDocument/2006/relationships/hyperlink" Target="https://hdl.handle.net/10419/81236" TargetMode="External"/><Relationship Id="rId59" Type="http://schemas.openxmlformats.org/officeDocument/2006/relationships/hyperlink" Target="https://www.wiley.com/en-au/Understanding+Social+Security%3A+Issues+for+Policy+and+Practice%2C+3rd+Edition-p-9781447339472" TargetMode="External"/><Relationship Id="rId67" Type="http://schemas.openxmlformats.org/officeDocument/2006/relationships/hyperlink" Target="https://data.parliament.uk/DepositedPapers/Files/DEP2025-0432/DCL-Welfare_Reform.pdf" TargetMode="External"/><Relationship Id="rId20" Type="http://schemas.openxmlformats.org/officeDocument/2006/relationships/hyperlink" Target="https://doi.org/10.5525/gla.thesis.81605" TargetMode="External"/><Relationship Id="rId41" Type="http://schemas.openxmlformats.org/officeDocument/2006/relationships/hyperlink" Target="https://doi.org/10.1503/cmaj.181008" TargetMode="External"/><Relationship Id="rId54" Type="http://schemas.openxmlformats.org/officeDocument/2006/relationships/hyperlink" Target="http://www.jstor.org/stable/40719895" TargetMode="External"/><Relationship Id="rId62" Type="http://schemas.openxmlformats.org/officeDocument/2006/relationships/hyperlink" Target="https://doi.org/10.1080/17496535.2012.671839" TargetMode="External"/><Relationship Id="rId70" Type="http://schemas.openxmlformats.org/officeDocument/2006/relationships/hyperlink" Target="http://www.ohchr.org/Documents/HRBodies/CRPD/CRPD.C.15.R.2.Rev.1-ENG.doc" TargetMode="External"/><Relationship Id="rId75" Type="http://schemas.openxmlformats.org/officeDocument/2006/relationships/hyperlink" Target="https://doi.org/10.1007/978-1-0716-0888-3_13"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7411/jacces.v1i1.81" TargetMode="External"/><Relationship Id="rId23" Type="http://schemas.openxmlformats.org/officeDocument/2006/relationships/hyperlink" Target="https://disability-studies.leeds.ac.uk/wp-content/uploads/sites/40/library/BCODP-workbook4.pdf" TargetMode="External"/><Relationship Id="rId28" Type="http://schemas.openxmlformats.org/officeDocument/2006/relationships/hyperlink" Target="https://doi.org/10.1080/13645570701621977" TargetMode="External"/><Relationship Id="rId36" Type="http://schemas.openxmlformats.org/officeDocument/2006/relationships/hyperlink" Target="https://www.legislation.gov.uk/ukpga/1991/21/data.pdf" TargetMode="External"/><Relationship Id="rId49" Type="http://schemas.openxmlformats.org/officeDocument/2006/relationships/hyperlink" Target="https://oro.open.ac.uk/86069/" TargetMode="External"/><Relationship Id="rId57" Type="http://schemas.openxmlformats.org/officeDocument/2006/relationships/hyperlink" Target="https://doi.org/10.1093/esr/jcq055" TargetMode="External"/><Relationship Id="rId10" Type="http://schemas.openxmlformats.org/officeDocument/2006/relationships/hyperlink" Target="https://www.igi-global.com/chapter/political-ideology-and-individual-values-as-key-determinants-of-fiscal-awareness/376894" TargetMode="External"/><Relationship Id="rId31" Type="http://schemas.openxmlformats.org/officeDocument/2006/relationships/hyperlink" Target="https://doi.org/10.1111/1468-2230.12096" TargetMode="External"/><Relationship Id="rId44" Type="http://schemas.openxmlformats.org/officeDocument/2006/relationships/hyperlink" Target="https://questions-statements.parliament.uk/written-statements/detail/2025-06-30/hcws755" TargetMode="External"/><Relationship Id="rId52" Type="http://schemas.openxmlformats.org/officeDocument/2006/relationships/hyperlink" Target="https://doi.org/10.1111/j.1467-9248.1971.tb00669.x" TargetMode="External"/><Relationship Id="rId60" Type="http://schemas.openxmlformats.org/officeDocument/2006/relationships/hyperlink" Target="https://www-jstor-org.ezproxy.uwtsd.ac.uk/stable/3054594" TargetMode="External"/><Relationship Id="rId65" Type="http://schemas.openxmlformats.org/officeDocument/2006/relationships/hyperlink" Target="https://doi.org/10.1007/978-3-319-75783-4_2" TargetMode="External"/><Relationship Id="rId73" Type="http://schemas.openxmlformats.org/officeDocument/2006/relationships/hyperlink" Target="https://cdn.who.int/media/docs/default-source/classification/icf/icfbeginnersguide.pdf?sfvrsn=eead63d3_4&amp;download=true" TargetMode="External"/><Relationship Id="rId78"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080/095851998341062" TargetMode="External"/><Relationship Id="rId13" Type="http://schemas.openxmlformats.org/officeDocument/2006/relationships/hyperlink" Target="https://doi.org/10.1332/030557302760094685" TargetMode="External"/><Relationship Id="rId18" Type="http://schemas.openxmlformats.org/officeDocument/2006/relationships/hyperlink" Target="https://doi.org/10.1163/17455243-00904002" TargetMode="External"/><Relationship Id="rId39" Type="http://schemas.openxmlformats.org/officeDocument/2006/relationships/hyperlink" Target="https://hansard.parliament.uk/commons/2025-07-01/debates/56F2EF7B-404B-44D4-865E-EA09FCD92EA4/UniversalCreditAndPersonalIndependencePaymentBill" TargetMode="External"/><Relationship Id="rId34" Type="http://schemas.openxmlformats.org/officeDocument/2006/relationships/hyperlink" Target="https://www.gov.uk/employment-support-allowance" TargetMode="External"/><Relationship Id="rId50" Type="http://schemas.openxmlformats.org/officeDocument/2006/relationships/hyperlink" Target="https://www.mdpi.com/2071-1050/5/7/2976" TargetMode="External"/><Relationship Id="rId55" Type="http://schemas.openxmlformats.org/officeDocument/2006/relationships/hyperlink" Target="https://doi.org/10.1080/09687599.2015.1021759" TargetMode="External"/><Relationship Id="rId76" Type="http://schemas.openxmlformats.org/officeDocument/2006/relationships/hyperlink" Target="https://discovery.dundee.ac.uk/ws/portalfiles/portal/155455600/Michelle_Young_170023034_Redacted.pdf" TargetMode="External"/><Relationship Id="rId7" Type="http://schemas.openxmlformats.org/officeDocument/2006/relationships/endnotes" Target="endnotes.xml"/><Relationship Id="rId71" Type="http://schemas.openxmlformats.org/officeDocument/2006/relationships/hyperlink" Target="https://doi.org/10.1017/S014754791500037X" TargetMode="External"/><Relationship Id="rId2" Type="http://schemas.openxmlformats.org/officeDocument/2006/relationships/numbering" Target="numbering.xml"/><Relationship Id="rId29" Type="http://schemas.openxmlformats.org/officeDocument/2006/relationships/hyperlink" Target="https://doi.org/10.1080/09687599.2016.12181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BA4A10-6775-4AD3-B1B0-CBA14A4F8A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31</Pages>
  <Words>7440</Words>
  <Characters>62534</Characters>
  <Application>Microsoft Office Word</Application>
  <DocSecurity>0</DocSecurity>
  <Lines>1116</Lines>
  <Paragraphs>244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Colin Larkworthy</dc:creator>
  <cp:lastModifiedBy>Colin Larkworthy</cp:lastModifiedBy>
  <cp:revision>11</cp:revision>
  <cp:lastPrinted>2026-02-19T15:36:00Z</cp:lastPrinted>
  <dcterms:created xsi:type="dcterms:W3CDTF">2026-02-27T17:06:00Z</dcterms:created>
  <dcterms:modified xsi:type="dcterms:W3CDTF">2026-02-27T17:20:00Z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c4702d18-11db-4fb8-9ab4-f4fe5d6e8ef7</vt:lpwstr>
  </property>
  <property fmtid="{D5CDD505-2E9C-101B-9397-08002B2CF9AE}" pid="3" name="ZOTERO_PREF_1">
    <vt:lpwstr>&lt;data data-version="3" zotero-version="7.0.30"&gt;&lt;session id="rgIttoPV"/&gt;&lt;style id="http://www.zotero.org/styles/harvard-cite-them-right" locale="en-GB" hasBibliography="1" bibliographyStyleHasBeenSet="1"/&gt;&lt;prefs&gt;&lt;pref name="fieldType" value="Field"/&gt;&lt;pref </vt:lpwstr>
  </property>
  <property fmtid="{D5CDD505-2E9C-101B-9397-08002B2CF9AE}" pid="4" name="ZOTERO_PREF_2">
    <vt:lpwstr>name="automaticJournalAbbreviations" value="true"/&gt;&lt;/prefs&gt;&lt;/data&gt;</vt:lpwstr>
  </property>
</Properties>
</file>