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246DB" w:rsidRDefault="00B246DB" w14:paraId="34565213" w14:textId="77777777">
      <w:pPr>
        <w:spacing w:after="280" w:line="240" w:lineRule="auto"/>
        <w:jc w:val="both"/>
        <w:rPr>
          <w:rFonts w:ascii="Arial" w:hAnsi="Arial" w:eastAsia="Arial" w:cs="Arial"/>
          <w:b/>
          <w:bCs/>
          <w:color w:val="000000"/>
          <w:sz w:val="28"/>
          <w:szCs w:val="28"/>
          <w:lang w:val="en-US"/>
        </w:rPr>
      </w:pPr>
    </w:p>
    <w:p w:rsidR="00B246DB" w:rsidRDefault="00B246DB" w14:paraId="6E976C8E" w14:textId="77777777">
      <w:pPr>
        <w:spacing w:before="280" w:after="280" w:line="240" w:lineRule="auto"/>
        <w:jc w:val="both"/>
        <w:rPr>
          <w:rFonts w:ascii="Arial" w:hAnsi="Arial" w:eastAsia="Arial" w:cs="Arial"/>
          <w:b/>
          <w:bCs/>
          <w:color w:val="000000"/>
          <w:sz w:val="28"/>
          <w:szCs w:val="28"/>
          <w:lang w:val="en-US"/>
        </w:rPr>
      </w:pPr>
    </w:p>
    <w:p w:rsidR="00B246DB" w:rsidRDefault="00B246DB" w14:paraId="422C72A1" w14:textId="77777777">
      <w:pPr>
        <w:spacing w:before="280" w:after="280" w:line="240" w:lineRule="auto"/>
        <w:jc w:val="both"/>
        <w:rPr>
          <w:rFonts w:ascii="Arial" w:hAnsi="Arial" w:eastAsia="Arial" w:cs="Arial"/>
          <w:b/>
          <w:bCs/>
          <w:color w:val="000000"/>
          <w:sz w:val="28"/>
          <w:szCs w:val="28"/>
          <w:lang w:val="en-US"/>
        </w:rPr>
      </w:pPr>
    </w:p>
    <w:p w:rsidR="00B246DB" w:rsidRDefault="00B246DB" w14:paraId="3E366BD2" w14:textId="77777777">
      <w:pPr>
        <w:spacing w:before="280" w:after="280" w:line="240" w:lineRule="auto"/>
        <w:jc w:val="both"/>
        <w:rPr>
          <w:rFonts w:ascii="Arial" w:hAnsi="Arial" w:eastAsia="Arial" w:cs="Arial"/>
          <w:b/>
          <w:bCs/>
          <w:color w:val="000000"/>
          <w:sz w:val="28"/>
          <w:szCs w:val="28"/>
          <w:lang w:val="en-US"/>
        </w:rPr>
      </w:pPr>
    </w:p>
    <w:p w:rsidR="00B246DB" w:rsidRDefault="00B246DB" w14:paraId="48D32F41" w14:textId="77777777">
      <w:pPr>
        <w:spacing w:before="280" w:after="280" w:line="240" w:lineRule="auto"/>
        <w:jc w:val="both"/>
        <w:rPr>
          <w:rFonts w:ascii="Arial" w:hAnsi="Arial" w:eastAsia="Arial" w:cs="Arial"/>
          <w:b/>
          <w:bCs/>
          <w:color w:val="000000"/>
          <w:sz w:val="28"/>
          <w:szCs w:val="28"/>
          <w:lang w:val="en-US"/>
        </w:rPr>
      </w:pPr>
    </w:p>
    <w:p w:rsidR="00B246DB" w:rsidP="1E3599DF" w:rsidRDefault="00B246DB" w14:paraId="146903D8" w14:textId="65B491F0">
      <w:pPr>
        <w:pStyle w:val="Normal"/>
        <w:spacing w:before="280" w:after="280" w:line="240" w:lineRule="auto"/>
        <w:jc w:val="center"/>
        <w:rPr>
          <w:rFonts w:ascii="Times New Roman" w:hAnsi="Times New Roman" w:eastAsia="Times New Roman" w:cs="Times New Roman"/>
          <w:b w:val="1"/>
          <w:bCs w:val="1"/>
          <w:color w:val="000000" w:themeColor="text1" w:themeTint="FF" w:themeShade="FF"/>
          <w:sz w:val="36"/>
          <w:szCs w:val="36"/>
          <w:lang w:val="en-US"/>
        </w:rPr>
      </w:pPr>
      <w:r w:rsidRPr="1E3599DF" w:rsidR="00B246DB">
        <w:rPr>
          <w:rFonts w:ascii="Times New Roman" w:hAnsi="Times New Roman" w:eastAsia="Times New Roman" w:cs="Times New Roman"/>
          <w:b w:val="1"/>
          <w:bCs w:val="1"/>
          <w:color w:val="000000" w:themeColor="text1" w:themeTint="FF" w:themeShade="FF"/>
          <w:sz w:val="36"/>
          <w:szCs w:val="36"/>
          <w:lang w:val="en-US"/>
        </w:rPr>
        <w:t>PSYCHOLOGY IN HEALTH AND SOCIAL CARE</w:t>
      </w:r>
    </w:p>
    <w:p w:rsidR="00B246DB" w:rsidRDefault="00B246DB" w14:paraId="1BC52A5F" w14:textId="77777777">
      <w:pPr>
        <w:spacing w:before="280" w:after="280" w:line="240" w:lineRule="auto"/>
        <w:jc w:val="center"/>
        <w:rPr>
          <w:rFonts w:ascii="Arial" w:hAnsi="Arial" w:eastAsia="Arial" w:cs="Arial"/>
          <w:b/>
          <w:bCs/>
          <w:color w:val="000000"/>
          <w:sz w:val="28"/>
          <w:szCs w:val="28"/>
          <w:lang w:val="en-US"/>
        </w:rPr>
      </w:pPr>
    </w:p>
    <w:p w:rsidR="00B246DB" w:rsidRDefault="00B246DB" w14:paraId="75F73B20" w14:textId="77777777">
      <w:pPr>
        <w:spacing w:after="0" w:line="240" w:lineRule="auto"/>
        <w:jc w:val="center"/>
      </w:pPr>
      <w:r>
        <w:rPr>
          <w:rFonts w:ascii="Calibri" w:hAnsi="Calibri" w:eastAsia="Calibri" w:cs="Calibri"/>
          <w:b/>
          <w:bCs/>
          <w:color w:val="000000"/>
          <w:lang w:val="en-US"/>
        </w:rPr>
        <w:t xml:space="preserve">  Module Code: LCHS4010 </w:t>
      </w:r>
      <w:r>
        <w:rPr>
          <w:rFonts w:ascii="Arial" w:hAnsi="Arial" w:eastAsia="Arial" w:cs="Arial"/>
          <w:lang w:val="en-US"/>
        </w:rPr>
        <w:t xml:space="preserve"> </w:t>
      </w:r>
    </w:p>
    <w:p w:rsidR="00B246DB" w:rsidP="1E3599DF" w:rsidRDefault="00B246DB" w14:paraId="3F240C2E" w14:textId="316F91E2">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r w:rsidRPr="1E3599DF" w:rsidR="00B246DB">
        <w:rPr>
          <w:rFonts w:ascii="Calibri" w:hAnsi="Calibri" w:eastAsia="Calibri" w:cs="Calibri"/>
          <w:b w:val="1"/>
          <w:bCs w:val="1"/>
          <w:color w:val="000000" w:themeColor="text1" w:themeTint="FF" w:themeShade="FF"/>
          <w:lang w:val="en-US"/>
        </w:rPr>
        <w:t>Student name: Ghazala Hussain</w:t>
      </w:r>
    </w:p>
    <w:p w:rsidR="00B246DB" w:rsidP="1E3599DF" w:rsidRDefault="00B246DB" w14:paraId="03078C45" w14:textId="020E9BFF">
      <w:pPr>
        <w:pStyle w:val="Normal"/>
        <w:spacing w:before="280" w:after="280" w:line="240" w:lineRule="auto"/>
        <w:jc w:val="center"/>
        <w:rPr>
          <w:rFonts w:ascii="Calibri" w:hAnsi="Calibri" w:eastAsia="Calibri" w:cs="Calibri"/>
          <w:b w:val="1"/>
          <w:bCs w:val="1"/>
          <w:color w:val="000000" w:themeColor="text1" w:themeTint="FF" w:themeShade="FF"/>
          <w:lang w:val="en-US"/>
        </w:rPr>
      </w:pPr>
      <w:r w:rsidRPr="1E3599DF" w:rsidR="00B246DB">
        <w:rPr>
          <w:rFonts w:ascii="Calibri" w:hAnsi="Calibri" w:eastAsia="Calibri" w:cs="Calibri"/>
          <w:b w:val="1"/>
          <w:bCs w:val="1"/>
          <w:color w:val="000000" w:themeColor="text1" w:themeTint="FF" w:themeShade="FF"/>
          <w:lang w:val="en-US"/>
        </w:rPr>
        <w:t>Student number: 2408113</w:t>
      </w:r>
    </w:p>
    <w:p w:rsidR="00B246DB" w:rsidP="1E3599DF" w:rsidRDefault="00B246DB" w14:paraId="45E90CCC" w14:textId="1A1E4795">
      <w:pPr>
        <w:pStyle w:val="Normal"/>
        <w:spacing w:before="280" w:after="280" w:line="240" w:lineRule="auto"/>
        <w:jc w:val="center"/>
        <w:rPr>
          <w:rFonts w:ascii="Calibri" w:hAnsi="Calibri" w:eastAsia="Calibri" w:cs="Calibri"/>
          <w:b w:val="1"/>
          <w:bCs w:val="1"/>
          <w:color w:val="000000" w:themeColor="text1" w:themeTint="FF" w:themeShade="FF"/>
          <w:lang w:val="en-US"/>
        </w:rPr>
      </w:pPr>
      <w:r w:rsidRPr="1E3599DF" w:rsidR="00B246DB">
        <w:rPr>
          <w:rFonts w:ascii="Calibri" w:hAnsi="Calibri" w:eastAsia="Calibri" w:cs="Calibri"/>
          <w:b w:val="1"/>
          <w:bCs w:val="1"/>
          <w:color w:val="000000" w:themeColor="text1" w:themeTint="FF" w:themeShade="FF"/>
          <w:lang w:val="en-US"/>
        </w:rPr>
        <w:t>Lecturers name: Samuel Assan</w:t>
      </w:r>
    </w:p>
    <w:p w:rsidR="00B246DB" w:rsidP="1E3599DF" w:rsidRDefault="00B246DB" w14:paraId="545BA82B" w14:textId="4DA739CE">
      <w:pPr>
        <w:pStyle w:val="Normal"/>
        <w:spacing w:before="280" w:after="280" w:line="240" w:lineRule="auto"/>
        <w:jc w:val="center"/>
        <w:rPr>
          <w:rFonts w:ascii="Calibri" w:hAnsi="Calibri" w:eastAsia="Calibri" w:cs="Calibri"/>
          <w:b w:val="1"/>
          <w:bCs w:val="1"/>
          <w:color w:val="000000" w:themeColor="text1" w:themeTint="FF" w:themeShade="FF"/>
          <w:lang w:val="en-US"/>
        </w:rPr>
      </w:pPr>
      <w:r w:rsidRPr="1E3599DF" w:rsidR="00B246DB">
        <w:rPr>
          <w:rFonts w:ascii="Calibri" w:hAnsi="Calibri" w:eastAsia="Calibri" w:cs="Calibri"/>
          <w:b w:val="1"/>
          <w:bCs w:val="1"/>
          <w:color w:val="000000" w:themeColor="text1" w:themeTint="FF" w:themeShade="FF"/>
          <w:lang w:val="en-US"/>
        </w:rPr>
        <w:t xml:space="preserve">Assignment title: </w:t>
      </w:r>
      <w:r w:rsidRPr="1E3599DF" w:rsidR="000820B8">
        <w:rPr>
          <w:rFonts w:ascii="Calibri" w:hAnsi="Calibri" w:eastAsia="Calibri" w:cs="Calibri"/>
          <w:b w:val="1"/>
          <w:bCs w:val="1"/>
          <w:color w:val="000000" w:themeColor="text1" w:themeTint="FF" w:themeShade="FF"/>
          <w:lang w:val="en-US"/>
        </w:rPr>
        <w:t>Written task</w:t>
      </w:r>
    </w:p>
    <w:p w:rsidR="00B246DB" w:rsidP="1E3599DF" w:rsidRDefault="00B246DB" w14:paraId="7A3883AC" w14:textId="76BCBC86">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p>
    <w:p w:rsidR="00B246DB" w:rsidP="1E3599DF" w:rsidRDefault="00B246DB" w14:paraId="2D381531" w14:textId="5BC92E90">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p>
    <w:p w:rsidR="00B246DB" w:rsidP="1E3599DF" w:rsidRDefault="00B246DB" w14:paraId="3978DA1B" w14:textId="4B66AB67">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p>
    <w:p w:rsidR="00B246DB" w:rsidP="1E3599DF" w:rsidRDefault="00B246DB" w14:paraId="095987AB" w14:textId="52AE3006">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p>
    <w:p w:rsidR="00B246DB" w:rsidP="1E3599DF" w:rsidRDefault="00B246DB" w14:paraId="0496E893" w14:textId="7C2B9A40">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p>
    <w:p w:rsidR="00B246DB" w:rsidP="1E3599DF" w:rsidRDefault="00B246DB" w14:paraId="362E8AE8" w14:textId="6807018B">
      <w:pPr>
        <w:pStyle w:val="Normal"/>
        <w:spacing w:before="280" w:after="280" w:line="240" w:lineRule="auto"/>
        <w:jc w:val="center"/>
        <w:rPr>
          <w:rFonts w:ascii="Arial" w:hAnsi="Arial" w:eastAsia="Arial" w:cs="Arial"/>
          <w:b w:val="1"/>
          <w:bCs w:val="1"/>
          <w:color w:val="000000" w:themeColor="text1" w:themeTint="FF" w:themeShade="FF"/>
          <w:sz w:val="28"/>
          <w:szCs w:val="28"/>
          <w:lang w:val="en-US"/>
        </w:rPr>
      </w:pPr>
      <w:r w:rsidRPr="1E3599DF" w:rsidR="00B246DB">
        <w:rPr>
          <w:rFonts w:ascii="Arial" w:hAnsi="Arial" w:eastAsia="Arial" w:cs="Arial"/>
          <w:b w:val="1"/>
          <w:bCs w:val="1"/>
          <w:color w:val="000000" w:themeColor="text1" w:themeTint="FF" w:themeShade="FF"/>
          <w:sz w:val="28"/>
          <w:szCs w:val="28"/>
          <w:lang w:val="en-US"/>
        </w:rPr>
        <w:t>LCHS4010: Using Psychological Theories to Support Older Adults with Dementia in Care Homes</w:t>
      </w:r>
    </w:p>
    <w:p w:rsidR="00B246DB" w:rsidRDefault="00B246DB" w14:paraId="3293B8B4" w14:textId="77777777">
      <w:pPr>
        <w:spacing w:before="280" w:after="280" w:line="240" w:lineRule="auto"/>
        <w:jc w:val="both"/>
        <w:rPr>
          <w:rFonts w:ascii="Arial" w:hAnsi="Arial" w:eastAsia="Arial" w:cs="Arial"/>
          <w:b/>
          <w:bCs/>
          <w:color w:val="000000"/>
          <w:sz w:val="22"/>
          <w:szCs w:val="22"/>
          <w:lang w:val="en-US"/>
        </w:rPr>
      </w:pPr>
    </w:p>
    <w:p w:rsidR="00B246DB" w:rsidRDefault="00B246DB" w14:paraId="6821A3BC" w14:textId="77777777">
      <w:pPr>
        <w:spacing w:before="280" w:after="280" w:line="240" w:lineRule="auto"/>
        <w:jc w:val="both"/>
      </w:pPr>
      <w:r>
        <w:rPr>
          <w:rFonts w:ascii="Arial" w:hAnsi="Arial" w:eastAsia="Arial" w:cs="Arial"/>
          <w:b/>
          <w:bCs/>
          <w:color w:val="000000"/>
          <w:sz w:val="22"/>
          <w:szCs w:val="22"/>
          <w:lang w:val="en-US"/>
        </w:rPr>
        <w:t>1. Introduction</w:t>
      </w:r>
    </w:p>
    <w:p w:rsidR="00B246DB" w:rsidRDefault="00B246DB" w14:paraId="6D935509" w14:textId="77777777">
      <w:pPr>
        <w:spacing w:before="280" w:after="280" w:line="360" w:lineRule="auto"/>
        <w:jc w:val="both"/>
      </w:pPr>
      <w:r>
        <w:rPr>
          <w:rFonts w:ascii="Arial" w:hAnsi="Arial" w:eastAsia="Arial" w:cs="Arial"/>
          <w:color w:val="000000"/>
          <w:sz w:val="22"/>
          <w:szCs w:val="22"/>
          <w:lang w:val="en-US"/>
        </w:rPr>
        <w:t>The issue of an aging population has made more people focus on the mental health care of the elderly, especially those afflicted with dementia. The problem of dementia is observed in millions of people all over the world, and it is one of the most widespread psychological and neurocognitive disorders in people aged 65 or more (World Health Organization, 2023). This condition causes slow development of memory, personality changes, and behavioral difficulties which can cause daily life to be hard for both the person and his/her caregivers.</w:t>
      </w:r>
    </w:p>
    <w:p w:rsidR="00B246DB" w:rsidRDefault="00B246DB" w14:paraId="48323022" w14:textId="77777777">
      <w:pPr>
        <w:spacing w:before="280" w:after="280" w:line="360" w:lineRule="auto"/>
        <w:jc w:val="both"/>
      </w:pPr>
      <w:r>
        <w:rPr>
          <w:rFonts w:ascii="Arial" w:hAnsi="Arial" w:eastAsia="Arial" w:cs="Arial"/>
          <w:color w:val="000000"/>
          <w:sz w:val="22"/>
          <w:szCs w:val="22"/>
          <w:lang w:val="en-US"/>
        </w:rPr>
        <w:t xml:space="preserve">Psychological theories are imperative in the delivery of compassionate and effective services to health and social care professionals. The theories assist the practitioners to understand the relationship between ageing, memory loss, and emotional well-being. The two significant psychological theories that are considered in this report include Psycho-social Theory of Development and the Person-Centered Theory developed by Erik Erikson and Carl Rogers respectively that may be used to assist older adults with dementia in residential care facilities. </w:t>
      </w:r>
    </w:p>
    <w:p w:rsidR="00B246DB" w:rsidRDefault="00B246DB" w14:paraId="486D578D" w14:textId="77777777">
      <w:pPr>
        <w:spacing w:before="280" w:after="280" w:line="240" w:lineRule="auto"/>
        <w:jc w:val="both"/>
        <w:rPr>
          <w:rFonts w:ascii="Arial" w:hAnsi="Arial" w:eastAsia="Arial" w:cs="Arial"/>
          <w:b/>
          <w:bCs/>
          <w:color w:val="000000"/>
          <w:sz w:val="22"/>
          <w:szCs w:val="22"/>
          <w:lang w:val="en-US"/>
        </w:rPr>
      </w:pPr>
    </w:p>
    <w:p w:rsidR="00B246DB" w:rsidRDefault="00B246DB" w14:paraId="25C495D7" w14:textId="77777777">
      <w:pPr>
        <w:spacing w:before="280" w:after="280" w:line="240" w:lineRule="auto"/>
        <w:jc w:val="both"/>
      </w:pPr>
      <w:r>
        <w:rPr>
          <w:rFonts w:ascii="Arial" w:hAnsi="Arial" w:eastAsia="Arial" w:cs="Arial"/>
          <w:b/>
          <w:bCs/>
          <w:color w:val="000000"/>
          <w:sz w:val="22"/>
          <w:szCs w:val="22"/>
          <w:lang w:val="en-US"/>
        </w:rPr>
        <w:t>2. Overview of Psychological Theories</w:t>
      </w:r>
    </w:p>
    <w:p w:rsidR="00B246DB" w:rsidRDefault="00B246DB" w14:paraId="01B515E0" w14:textId="77777777">
      <w:pPr>
        <w:spacing w:before="280" w:after="280" w:line="240" w:lineRule="auto"/>
        <w:jc w:val="both"/>
      </w:pPr>
      <w:r>
        <w:rPr>
          <w:rFonts w:ascii="Arial" w:hAnsi="Arial" w:eastAsia="Arial" w:cs="Arial"/>
          <w:b/>
          <w:bCs/>
          <w:color w:val="000000"/>
          <w:sz w:val="22"/>
          <w:szCs w:val="22"/>
          <w:lang w:val="en-US"/>
        </w:rPr>
        <w:t>2.1 Erikson’s Psychosocial Theory of Development</w:t>
      </w:r>
    </w:p>
    <w:p w:rsidR="00B246DB" w:rsidRDefault="00B246DB" w14:paraId="1B14F1C4" w14:textId="77777777">
      <w:pPr>
        <w:spacing w:before="280" w:after="280" w:line="360" w:lineRule="auto"/>
        <w:jc w:val="both"/>
      </w:pPr>
      <w:r>
        <w:rPr>
          <w:rFonts w:ascii="Arial" w:hAnsi="Arial" w:eastAsia="Arial" w:cs="Arial"/>
          <w:color w:val="000000"/>
          <w:sz w:val="22"/>
          <w:szCs w:val="22"/>
          <w:lang w:val="en-US"/>
        </w:rPr>
        <w:t>One of the most impactful theories of psychosocial development in the lifespan of human beings was developed by Erikson (1950). At every stage, the main conflict is a part of personality and emotional development. The last phase that takes place in later adulthood is called Ego Integrity vs. Despair where older adults look back in their life and assess their accomplishments, regrets and meaning. The way through this stage is successful, it gives a person a sense of ego integrity of peace and acceptance and failure may cause someone to experience despair, guilt, or dread of death (Erikson, 1982).</w:t>
      </w:r>
    </w:p>
    <w:p w:rsidR="00B246DB" w:rsidRDefault="00B246DB" w14:paraId="0D8BB94F" w14:textId="77777777">
      <w:pPr>
        <w:spacing w:before="280" w:after="280" w:line="360" w:lineRule="auto"/>
        <w:jc w:val="both"/>
      </w:pPr>
      <w:r>
        <w:rPr>
          <w:rFonts w:ascii="Arial" w:hAnsi="Arial" w:eastAsia="Arial" w:cs="Arial"/>
          <w:color w:val="000000"/>
          <w:sz w:val="22"/>
          <w:szCs w:val="22"/>
          <w:lang w:val="en-US"/>
        </w:rPr>
        <w:t>The ability to reflect is complicated by memory loss and confusion in those with dementia. Nevertheless, emotional and sensory experiences can bring comfort and identity to many of them. The theory by Erikson aids the professionals in care to be aware that despite the passage of time, the desire to have a purpose, validation, and connection is still high</w:t>
      </w:r>
      <w:r w:rsidRPr="001C36FF">
        <w:rPr>
          <w:rFonts w:ascii="Arial" w:hAnsi="Arial" w:eastAsia="Arial" w:cs="Arial"/>
          <w:color w:val="000000"/>
          <w:sz w:val="22"/>
          <w:szCs w:val="22"/>
          <w:lang w:val="en-US"/>
        </w:rPr>
        <w:t xml:space="preserve"> (</w:t>
      </w:r>
      <w:r w:rsidRPr="001C36FF" w:rsidR="001C36FF">
        <w:rPr>
          <w:rFonts w:ascii="Arial" w:hAnsi="Arial" w:eastAsia="Arial" w:cs="Arial"/>
          <w:color w:val="000000"/>
          <w:sz w:val="22"/>
          <w:szCs w:val="22"/>
          <w:lang w:val="en-US"/>
        </w:rPr>
        <w:t>Brooker and Latham, 2016</w:t>
      </w:r>
      <w:r w:rsidRPr="001C36FF">
        <w:rPr>
          <w:rFonts w:ascii="Arial" w:hAnsi="Arial" w:eastAsia="Arial" w:cs="Arial"/>
          <w:color w:val="000000"/>
          <w:sz w:val="22"/>
          <w:szCs w:val="22"/>
          <w:lang w:val="en-US"/>
        </w:rPr>
        <w:t>).</w:t>
      </w:r>
      <w:r>
        <w:rPr>
          <w:rFonts w:ascii="Arial" w:hAnsi="Arial" w:eastAsia="Arial" w:cs="Arial"/>
          <w:color w:val="000000"/>
          <w:sz w:val="22"/>
          <w:szCs w:val="22"/>
          <w:lang w:val="en-US"/>
        </w:rPr>
        <w:t xml:space="preserve"> Reminiscence and emotive activities enable residents to feel </w:t>
      </w:r>
      <w:r>
        <w:rPr>
          <w:rFonts w:ascii="Arial" w:hAnsi="Arial" w:eastAsia="Arial" w:cs="Arial"/>
          <w:color w:val="000000"/>
          <w:sz w:val="22"/>
          <w:szCs w:val="22"/>
          <w:lang w:val="en-US"/>
        </w:rPr>
        <w:t>continuity and fulfilment and enable them to feel dignified in an environment of decline (Knight and Laidlaw, 2020).</w:t>
      </w:r>
    </w:p>
    <w:p w:rsidR="00B246DB" w:rsidRDefault="00B246DB" w14:paraId="4450D2A8" w14:textId="77777777">
      <w:pPr>
        <w:spacing w:before="280" w:after="280" w:line="240" w:lineRule="auto"/>
        <w:jc w:val="both"/>
        <w:rPr>
          <w:rFonts w:ascii="Arial" w:hAnsi="Arial" w:eastAsia="Arial" w:cs="Arial"/>
          <w:b/>
          <w:bCs/>
          <w:color w:val="000000"/>
          <w:sz w:val="22"/>
          <w:szCs w:val="22"/>
          <w:lang w:val="en-US"/>
        </w:rPr>
      </w:pPr>
    </w:p>
    <w:p w:rsidR="00B246DB" w:rsidRDefault="00B246DB" w14:paraId="6BAE5164" w14:textId="77777777">
      <w:pPr>
        <w:spacing w:before="280" w:after="280" w:line="240" w:lineRule="auto"/>
        <w:jc w:val="both"/>
      </w:pPr>
      <w:r>
        <w:rPr>
          <w:rFonts w:ascii="Arial" w:hAnsi="Arial" w:eastAsia="Arial" w:cs="Arial"/>
          <w:b/>
          <w:bCs/>
          <w:color w:val="000000"/>
          <w:sz w:val="22"/>
          <w:szCs w:val="22"/>
          <w:lang w:val="en-US"/>
        </w:rPr>
        <w:t>2.2 Rogers’ Person-Centered Theory</w:t>
      </w:r>
    </w:p>
    <w:p w:rsidR="00B246DB" w:rsidRDefault="00B246DB" w14:paraId="19756BC8" w14:textId="77777777">
      <w:pPr>
        <w:spacing w:before="280" w:after="280" w:line="360" w:lineRule="auto"/>
        <w:jc w:val="both"/>
      </w:pPr>
      <w:r>
        <w:rPr>
          <w:rFonts w:ascii="Arial" w:hAnsi="Arial" w:eastAsia="Arial" w:cs="Arial"/>
          <w:color w:val="000000"/>
          <w:sz w:val="22"/>
          <w:szCs w:val="22"/>
          <w:lang w:val="en-US"/>
        </w:rPr>
        <w:t>The Person-Centered Theory was the work by Carl Rogers (1951), which is self-centered and concerned with the significance of empathy, acceptance, and unconditional positive regard in relationships. Rogers (1959) argues that human beings have a natural desire to grow and self-actualize when they are made to feel understood and appreciated.</w:t>
      </w:r>
    </w:p>
    <w:p w:rsidR="00B246DB" w:rsidRDefault="00B246DB" w14:paraId="48B49446" w14:textId="77777777">
      <w:pPr>
        <w:spacing w:before="280" w:after="280" w:line="360" w:lineRule="auto"/>
        <w:jc w:val="both"/>
      </w:pPr>
      <w:r>
        <w:rPr>
          <w:rFonts w:ascii="Arial" w:hAnsi="Arial" w:eastAsia="Arial" w:cs="Arial"/>
          <w:color w:val="000000"/>
          <w:sz w:val="22"/>
          <w:szCs w:val="22"/>
          <w:lang w:val="en-US"/>
        </w:rPr>
        <w:t xml:space="preserve">The Person-Centered approach offers a model of viewing the person behind the illness in dementia care in which people tend to lose autonomy and confidence. It focuses on the personality and the emotional world of each resident. Dementia care Tom Kit Wood (1997), who developed the thoughts of Rogers to include dementia, maintained that people with dementia retain their personality despite the loss of cognition. This implies that respect, empathy, and personal choice are not merely optional; it is part and parcel of their well-being </w:t>
      </w:r>
      <w:r w:rsidR="00CD2EA7">
        <w:rPr>
          <w:rFonts w:ascii="Arial" w:hAnsi="Arial" w:eastAsia="Arial" w:cs="Arial"/>
          <w:color w:val="000000"/>
          <w:sz w:val="22"/>
          <w:szCs w:val="22"/>
          <w:lang w:val="en-US"/>
        </w:rPr>
        <w:t>(</w:t>
      </w:r>
      <w:r w:rsidR="00CD2EA7">
        <w:t>Rogers, 1980).</w:t>
      </w:r>
    </w:p>
    <w:p w:rsidR="00B246DB" w:rsidRDefault="00B246DB" w14:paraId="52A9193F" w14:textId="77777777">
      <w:pPr>
        <w:spacing w:before="280" w:after="280" w:line="240" w:lineRule="auto"/>
        <w:jc w:val="both"/>
        <w:rPr>
          <w:rFonts w:ascii="Arial" w:hAnsi="Arial" w:eastAsia="Arial" w:cs="Arial"/>
          <w:b/>
          <w:bCs/>
          <w:color w:val="000000"/>
          <w:sz w:val="22"/>
          <w:szCs w:val="22"/>
          <w:lang w:val="en-US"/>
        </w:rPr>
      </w:pPr>
    </w:p>
    <w:p w:rsidR="00B246DB" w:rsidRDefault="00B246DB" w14:paraId="3C3A5B3B" w14:textId="77777777">
      <w:pPr>
        <w:spacing w:before="280" w:after="280" w:line="240" w:lineRule="auto"/>
        <w:jc w:val="both"/>
      </w:pPr>
      <w:r>
        <w:rPr>
          <w:rFonts w:ascii="Arial" w:hAnsi="Arial" w:eastAsia="Arial" w:cs="Arial"/>
          <w:b/>
          <w:bCs/>
          <w:color w:val="000000"/>
          <w:sz w:val="22"/>
          <w:szCs w:val="22"/>
          <w:lang w:val="en-US"/>
        </w:rPr>
        <w:t>3. Application of Theories in Dementia Care Homes</w:t>
      </w:r>
    </w:p>
    <w:p w:rsidR="00B246DB" w:rsidRDefault="00B246DB" w14:paraId="45C54A6D" w14:textId="3FD9BB26">
      <w:pPr>
        <w:spacing w:before="280" w:after="280" w:line="240" w:lineRule="auto"/>
        <w:jc w:val="both"/>
      </w:pPr>
      <w:r w:rsidRPr="1E3599DF" w:rsidR="00B246DB">
        <w:rPr>
          <w:rFonts w:ascii="Arial" w:hAnsi="Arial" w:eastAsia="Arial" w:cs="Arial"/>
          <w:b w:val="1"/>
          <w:bCs w:val="1"/>
          <w:color w:val="000000" w:themeColor="text1" w:themeTint="FF" w:themeShade="FF"/>
          <w:sz w:val="22"/>
          <w:szCs w:val="22"/>
          <w:lang w:val="en-US"/>
        </w:rPr>
        <w:t>3.1 Applying Erikson’s Psychosocial Theory</w:t>
      </w:r>
    </w:p>
    <w:p w:rsidR="00B246DB" w:rsidRDefault="00B246DB" w14:paraId="6D9B3678" w14:textId="68FAC7E0">
      <w:pPr>
        <w:spacing w:before="280" w:after="280" w:line="240" w:lineRule="auto"/>
        <w:jc w:val="both"/>
      </w:pPr>
      <w:r w:rsidRPr="1E3599DF" w:rsidR="00B246DB">
        <w:rPr>
          <w:rFonts w:ascii="Arial" w:hAnsi="Arial" w:eastAsia="Arial" w:cs="Arial"/>
          <w:b w:val="1"/>
          <w:bCs w:val="1"/>
          <w:color w:val="000000" w:themeColor="text1" w:themeTint="FF" w:themeShade="FF"/>
          <w:sz w:val="22"/>
          <w:szCs w:val="22"/>
          <w:lang w:val="en-US"/>
        </w:rPr>
        <w:t>Life Review and Reminiscence</w:t>
      </w:r>
    </w:p>
    <w:p w:rsidR="00B246DB" w:rsidRDefault="00B246DB" w14:paraId="76859E10" w14:textId="77777777">
      <w:pPr>
        <w:spacing w:before="280" w:after="280" w:line="360" w:lineRule="auto"/>
        <w:jc w:val="both"/>
      </w:pPr>
      <w:r>
        <w:rPr>
          <w:rFonts w:ascii="Arial" w:hAnsi="Arial" w:eastAsia="Arial" w:cs="Arial"/>
          <w:color w:val="000000"/>
          <w:sz w:val="22"/>
          <w:szCs w:val="22"/>
          <w:lang w:val="en-US"/>
        </w:rPr>
        <w:t>According to the theory, Erikson emphasizes life reflection as a key to integrating into life. This may be facilitated in dementia care by life review and reminiscence therapy where the residents can be reminded about meaningful experiences using photos, music or personal items. As an illustration, a care assistant could sit and go through a photo album with a resident, questioning him/her softly about family, work, or childhood experiences. This type of communication can bring positive emotions and identity even in situations where there is limited verbal communication (Woods et al., 2018).</w:t>
      </w:r>
    </w:p>
    <w:p w:rsidR="00B246DB" w:rsidRDefault="00B246DB" w14:paraId="7F0DD168" w14:textId="77777777">
      <w:pPr>
        <w:spacing w:before="280" w:after="280" w:line="240" w:lineRule="auto"/>
        <w:jc w:val="both"/>
        <w:rPr>
          <w:rFonts w:ascii="Arial" w:hAnsi="Arial" w:eastAsia="Arial" w:cs="Arial"/>
          <w:b/>
          <w:bCs/>
          <w:color w:val="000000"/>
          <w:sz w:val="22"/>
          <w:szCs w:val="22"/>
          <w:lang w:val="en-US"/>
        </w:rPr>
      </w:pPr>
    </w:p>
    <w:p w:rsidR="00B246DB" w:rsidRDefault="00B246DB" w14:paraId="50277DE3" w14:textId="77777777">
      <w:pPr>
        <w:spacing w:before="280" w:after="280" w:line="240" w:lineRule="auto"/>
        <w:jc w:val="both"/>
      </w:pPr>
      <w:r>
        <w:rPr>
          <w:rFonts w:ascii="Arial" w:hAnsi="Arial" w:eastAsia="Arial" w:cs="Arial"/>
          <w:b/>
          <w:bCs/>
          <w:color w:val="000000"/>
          <w:sz w:val="22"/>
          <w:szCs w:val="22"/>
          <w:lang w:val="en-US"/>
        </w:rPr>
        <w:t>Promoting Belonging and Purpose</w:t>
      </w:r>
    </w:p>
    <w:p w:rsidR="00B246DB" w:rsidRDefault="00B246DB" w14:paraId="16155817" w14:textId="77777777">
      <w:pPr>
        <w:spacing w:before="280" w:after="280" w:line="360" w:lineRule="auto"/>
        <w:jc w:val="both"/>
      </w:pPr>
      <w:r>
        <w:rPr>
          <w:rFonts w:ascii="Arial" w:hAnsi="Arial" w:eastAsia="Arial" w:cs="Arial"/>
          <w:color w:val="000000"/>
          <w:sz w:val="22"/>
          <w:szCs w:val="22"/>
          <w:lang w:val="en-US"/>
        </w:rPr>
        <w:t xml:space="preserve">According to Erikson, social connection aids in the solution of psychosocial conflicts. Group activities like music sessions, communal meals, or joint crafts can be encouraged in care </w:t>
      </w:r>
      <w:r>
        <w:rPr>
          <w:rFonts w:ascii="Arial" w:hAnsi="Arial" w:eastAsia="Arial" w:cs="Arial"/>
          <w:color w:val="000000"/>
          <w:sz w:val="22"/>
          <w:szCs w:val="22"/>
          <w:lang w:val="en-US"/>
        </w:rPr>
        <w:t>homes to make the residents feel that they are part of a community. Group activities will also encourage talking and laughing, which will help to overcome anxiety and loneliness (Clare et al., 2019).</w:t>
      </w:r>
    </w:p>
    <w:p w:rsidR="00B246DB" w:rsidRDefault="00B246DB" w14:paraId="4BE1300A" w14:textId="77777777">
      <w:pPr>
        <w:spacing w:before="280" w:after="280" w:line="240" w:lineRule="auto"/>
        <w:jc w:val="both"/>
        <w:rPr>
          <w:rFonts w:ascii="Arial" w:hAnsi="Arial" w:eastAsia="Arial" w:cs="Arial"/>
          <w:b/>
          <w:bCs/>
          <w:color w:val="000000"/>
          <w:sz w:val="22"/>
          <w:szCs w:val="22"/>
          <w:lang w:val="en-US"/>
        </w:rPr>
      </w:pPr>
    </w:p>
    <w:p w:rsidR="00B246DB" w:rsidRDefault="00B246DB" w14:paraId="18FCC6A1" w14:textId="77777777">
      <w:pPr>
        <w:spacing w:before="280" w:after="280" w:line="240" w:lineRule="auto"/>
        <w:jc w:val="both"/>
      </w:pPr>
      <w:r>
        <w:rPr>
          <w:rFonts w:ascii="Arial" w:hAnsi="Arial" w:eastAsia="Arial" w:cs="Arial"/>
          <w:b/>
          <w:bCs/>
          <w:color w:val="000000"/>
          <w:sz w:val="22"/>
          <w:szCs w:val="22"/>
          <w:lang w:val="en-US"/>
        </w:rPr>
        <w:t>Managing Despair and Depression</w:t>
      </w:r>
    </w:p>
    <w:p w:rsidR="00B246DB" w:rsidRDefault="00B246DB" w14:paraId="345CBD8B" w14:textId="77777777">
      <w:pPr>
        <w:spacing w:before="280" w:after="280" w:line="360" w:lineRule="auto"/>
        <w:jc w:val="both"/>
      </w:pPr>
      <w:r>
        <w:rPr>
          <w:rFonts w:ascii="Arial" w:hAnsi="Arial" w:eastAsia="Arial" w:cs="Arial"/>
          <w:color w:val="000000"/>
          <w:sz w:val="22"/>
          <w:szCs w:val="22"/>
          <w:lang w:val="en-US"/>
        </w:rPr>
        <w:t xml:space="preserve">Elderly persons with dementia can also be despondent because of confusion, loss, or loss of control. The model developed by Erikson will assist the staff in realizing that these feelings are normal aspects of natural psychological ageing. They can also apply the method of Validation Therapy, where emotions are considered instead of facts, instead of refuting their erroneous beliefs (Feil and De Klerk-Rubin, 2020). </w:t>
      </w:r>
    </w:p>
    <w:p w:rsidR="00B246DB" w:rsidRDefault="00B246DB" w14:paraId="64E05A08" w14:textId="77777777">
      <w:pPr>
        <w:spacing w:before="280" w:after="280" w:line="240" w:lineRule="auto"/>
        <w:jc w:val="both"/>
        <w:rPr>
          <w:rFonts w:ascii="Arial" w:hAnsi="Arial" w:eastAsia="Arial" w:cs="Arial"/>
          <w:b/>
          <w:bCs/>
          <w:color w:val="000000"/>
          <w:sz w:val="22"/>
          <w:szCs w:val="22"/>
          <w:lang w:val="en-US"/>
        </w:rPr>
      </w:pPr>
    </w:p>
    <w:p w:rsidR="00B246DB" w:rsidRDefault="00B246DB" w14:paraId="0DEACB43" w14:textId="77777777">
      <w:pPr>
        <w:spacing w:before="280" w:after="280" w:line="240" w:lineRule="auto"/>
        <w:jc w:val="both"/>
      </w:pPr>
      <w:r>
        <w:rPr>
          <w:rFonts w:ascii="Arial" w:hAnsi="Arial" w:eastAsia="Arial" w:cs="Arial"/>
          <w:b/>
          <w:bCs/>
          <w:color w:val="000000"/>
          <w:sz w:val="22"/>
          <w:szCs w:val="22"/>
          <w:lang w:val="en-US"/>
        </w:rPr>
        <w:t>Challenges and Strategies</w:t>
      </w:r>
    </w:p>
    <w:p w:rsidR="00B246DB" w:rsidRDefault="00B246DB" w14:paraId="03848177" w14:textId="77777777">
      <w:pPr>
        <w:spacing w:before="280" w:after="280" w:line="360" w:lineRule="auto"/>
        <w:jc w:val="both"/>
      </w:pPr>
      <w:r>
        <w:rPr>
          <w:rFonts w:ascii="Arial" w:hAnsi="Arial" w:eastAsia="Arial" w:cs="Arial"/>
          <w:color w:val="000000"/>
          <w:sz w:val="22"/>
          <w:szCs w:val="22"/>
          <w:lang w:val="en-US"/>
        </w:rPr>
        <w:t xml:space="preserve">Using the Erikson theory in managing dementia might be tricky since the most advanced dementia patients might not be able to communicate verbally and have coherent thought. The employees might be forced to be more dependent on non-verbal signals like voice, facial expressions, or light touch. Communication and emotional validation skills can be developed at the professional level to make care of workers sensitive to the psychological needs of residents </w:t>
      </w:r>
      <w:r w:rsidR="00184803">
        <w:rPr>
          <w:rFonts w:ascii="Arial" w:hAnsi="Arial" w:eastAsia="Arial" w:cs="Arial"/>
          <w:color w:val="000000"/>
          <w:sz w:val="22"/>
          <w:szCs w:val="22"/>
          <w:lang w:val="en-US"/>
        </w:rPr>
        <w:t>(</w:t>
      </w:r>
      <w:r w:rsidR="00184803">
        <w:t>Knight and Laidlaw, 2020).</w:t>
      </w:r>
    </w:p>
    <w:p w:rsidR="00B246DB" w:rsidRDefault="00B246DB" w14:paraId="0D676795" w14:textId="77777777">
      <w:pPr>
        <w:spacing w:before="280" w:after="280" w:line="240" w:lineRule="auto"/>
        <w:jc w:val="both"/>
        <w:rPr>
          <w:rFonts w:ascii="Arial" w:hAnsi="Arial" w:eastAsia="Arial" w:cs="Arial"/>
          <w:b/>
          <w:bCs/>
          <w:color w:val="000000"/>
          <w:sz w:val="22"/>
          <w:szCs w:val="22"/>
          <w:lang w:val="en-US"/>
        </w:rPr>
      </w:pPr>
    </w:p>
    <w:p w:rsidR="00B246DB" w:rsidRDefault="00B246DB" w14:paraId="52FD7F31" w14:textId="77777777">
      <w:pPr>
        <w:spacing w:before="280" w:after="280" w:line="240" w:lineRule="auto"/>
        <w:jc w:val="both"/>
      </w:pPr>
      <w:r>
        <w:rPr>
          <w:rFonts w:ascii="Arial" w:hAnsi="Arial" w:eastAsia="Arial" w:cs="Arial"/>
          <w:b/>
          <w:bCs/>
          <w:color w:val="000000"/>
          <w:sz w:val="22"/>
          <w:szCs w:val="22"/>
          <w:lang w:val="en-US"/>
        </w:rPr>
        <w:t>3.2 Applying Rogers’ Person-Centered Theory</w:t>
      </w:r>
    </w:p>
    <w:p w:rsidR="00B246DB" w:rsidRDefault="00B246DB" w14:paraId="62056040" w14:textId="77777777">
      <w:pPr>
        <w:spacing w:before="280" w:after="280" w:line="240" w:lineRule="auto"/>
        <w:jc w:val="both"/>
      </w:pPr>
      <w:r>
        <w:rPr>
          <w:rFonts w:ascii="Arial" w:hAnsi="Arial" w:eastAsia="Arial" w:cs="Arial"/>
          <w:b/>
          <w:bCs/>
          <w:color w:val="000000"/>
          <w:sz w:val="22"/>
          <w:szCs w:val="22"/>
          <w:lang w:val="en-US"/>
        </w:rPr>
        <w:t>Individualized Care and Choice</w:t>
      </w:r>
    </w:p>
    <w:p w:rsidR="00B246DB" w:rsidRDefault="00B246DB" w14:paraId="034A7535" w14:textId="77777777">
      <w:pPr>
        <w:spacing w:before="280" w:after="280" w:line="360" w:lineRule="auto"/>
        <w:jc w:val="both"/>
      </w:pPr>
      <w:r>
        <w:rPr>
          <w:rFonts w:ascii="Arial" w:hAnsi="Arial" w:eastAsia="Arial" w:cs="Arial"/>
          <w:color w:val="000000"/>
          <w:sz w:val="22"/>
          <w:szCs w:val="22"/>
          <w:lang w:val="en-US"/>
        </w:rPr>
        <w:t>The Person-Centered approach according to Rogers places an individual in the center of care. This is done in dementia homes by acknowledging that each of the residents has preferences, routines, and histories. The care planning must be adaptive, and thus, the residents must make decisions whenever possible. Examples include the fact that letting residents pick outfits or have a choice between tea and coffee gives residents a feeling of control. These little choices can be a significant boost in self-esteem and collaboration in everyday life (Brooker, 2007).</w:t>
      </w:r>
    </w:p>
    <w:p w:rsidR="00B246DB" w:rsidRDefault="00B246DB" w14:paraId="5A7F32B1" w14:textId="77777777">
      <w:pPr>
        <w:spacing w:before="280" w:after="280" w:line="240" w:lineRule="auto"/>
        <w:jc w:val="both"/>
        <w:rPr>
          <w:rFonts w:ascii="Arial" w:hAnsi="Arial" w:eastAsia="Arial" w:cs="Arial"/>
          <w:b/>
          <w:bCs/>
          <w:color w:val="000000"/>
          <w:sz w:val="22"/>
          <w:szCs w:val="22"/>
          <w:lang w:val="en-US"/>
        </w:rPr>
      </w:pPr>
    </w:p>
    <w:p w:rsidR="00B246DB" w:rsidRDefault="00B246DB" w14:paraId="5CC8923C" w14:textId="77777777">
      <w:pPr>
        <w:spacing w:before="280" w:after="280" w:line="240" w:lineRule="auto"/>
        <w:jc w:val="both"/>
      </w:pPr>
    </w:p>
    <w:p w:rsidR="00B246DB" w:rsidRDefault="00B246DB" w14:paraId="159EE1CA" w14:textId="77777777">
      <w:pPr>
        <w:spacing w:before="280" w:after="280" w:line="240" w:lineRule="auto"/>
        <w:jc w:val="both"/>
      </w:pPr>
      <w:r>
        <w:rPr>
          <w:rFonts w:ascii="Arial" w:hAnsi="Arial" w:eastAsia="Arial" w:cs="Arial"/>
          <w:b/>
          <w:bCs/>
          <w:color w:val="000000"/>
          <w:sz w:val="22"/>
          <w:szCs w:val="22"/>
          <w:lang w:val="en-US"/>
        </w:rPr>
        <w:t>Building Trust Through Empathy</w:t>
      </w:r>
    </w:p>
    <w:p w:rsidR="00B246DB" w:rsidRDefault="00B246DB" w14:paraId="0B48BBA2" w14:textId="77777777">
      <w:pPr>
        <w:spacing w:before="280" w:after="280" w:line="360" w:lineRule="auto"/>
        <w:jc w:val="both"/>
      </w:pPr>
      <w:r>
        <w:rPr>
          <w:rFonts w:ascii="Arial" w:hAnsi="Arial" w:eastAsia="Arial" w:cs="Arial"/>
          <w:color w:val="000000"/>
          <w:sz w:val="22"/>
          <w:szCs w:val="22"/>
          <w:lang w:val="en-US"/>
        </w:rPr>
        <w:t>According to Rogers (1959), empathy, congruence, and unconditional positive regard are the pillars of supportive relationships. Dementia is a form of care that involves a lot of non-verbal communication and therefore care staff should be keen on body language, tone, and emotional expression. As an example, a smile, eye contact at a soft level, and a moderate tone can convey the message of reassurance even when the words spoken are not comprehended.</w:t>
      </w:r>
    </w:p>
    <w:p w:rsidR="00B246DB" w:rsidRDefault="00B246DB" w14:paraId="0052E0A4" w14:textId="77777777">
      <w:pPr>
        <w:spacing w:before="280" w:after="280" w:line="360" w:lineRule="auto"/>
        <w:jc w:val="both"/>
      </w:pPr>
      <w:r>
        <w:rPr>
          <w:rFonts w:ascii="Arial" w:hAnsi="Arial" w:eastAsia="Arial" w:cs="Arial"/>
          <w:color w:val="000000"/>
          <w:sz w:val="22"/>
          <w:szCs w:val="22"/>
          <w:lang w:val="en-US"/>
        </w:rPr>
        <w:t xml:space="preserve">When residents become anxious or agitated, responding with patience and empathy rather than correction can help calm them and strengthen trust. This person-centered interaction reduces behavioral challenges and promotes emotional security </w:t>
      </w:r>
      <w:r w:rsidRPr="00C719C4">
        <w:rPr>
          <w:rFonts w:ascii="Arial" w:hAnsi="Arial" w:eastAsia="Arial" w:cs="Arial"/>
          <w:color w:val="000000"/>
          <w:sz w:val="22"/>
          <w:szCs w:val="22"/>
          <w:lang w:val="en-US"/>
        </w:rPr>
        <w:t>(</w:t>
      </w:r>
      <w:r w:rsidRPr="00C719C4" w:rsidR="00C719C4">
        <w:rPr>
          <w:rFonts w:ascii="Arial" w:hAnsi="Arial" w:eastAsia="Arial" w:cs="Arial"/>
          <w:color w:val="000000"/>
          <w:sz w:val="22"/>
          <w:szCs w:val="22"/>
          <w:lang w:val="en-US"/>
        </w:rPr>
        <w:t>Rogers, 1980</w:t>
      </w:r>
      <w:r w:rsidRPr="00C719C4">
        <w:rPr>
          <w:rFonts w:ascii="Arial" w:hAnsi="Arial" w:eastAsia="Arial" w:cs="Arial"/>
          <w:color w:val="000000"/>
          <w:sz w:val="22"/>
          <w:szCs w:val="22"/>
          <w:lang w:val="en-US"/>
        </w:rPr>
        <w:t>).</w:t>
      </w:r>
    </w:p>
    <w:p w:rsidR="00B246DB" w:rsidRDefault="00B246DB" w14:paraId="06809C31" w14:textId="77777777">
      <w:pPr>
        <w:spacing w:before="280" w:after="280" w:line="240" w:lineRule="auto"/>
        <w:jc w:val="both"/>
        <w:rPr>
          <w:rFonts w:ascii="Arial" w:hAnsi="Arial" w:eastAsia="Arial" w:cs="Arial"/>
          <w:color w:val="000000"/>
          <w:sz w:val="22"/>
          <w:szCs w:val="22"/>
        </w:rPr>
      </w:pPr>
    </w:p>
    <w:p w:rsidR="00B246DB" w:rsidRDefault="00B246DB" w14:paraId="0EF4C884" w14:textId="77777777">
      <w:pPr>
        <w:spacing w:before="280" w:after="280" w:line="240" w:lineRule="auto"/>
        <w:jc w:val="both"/>
      </w:pPr>
      <w:r>
        <w:rPr>
          <w:rFonts w:ascii="Arial" w:hAnsi="Arial" w:eastAsia="Arial" w:cs="Arial"/>
          <w:b/>
          <w:bCs/>
          <w:color w:val="000000"/>
          <w:sz w:val="22"/>
          <w:szCs w:val="22"/>
          <w:lang w:val="en-US"/>
        </w:rPr>
        <w:t>Supporting Dignity and Self-Worth</w:t>
      </w:r>
    </w:p>
    <w:p w:rsidR="00B246DB" w:rsidRDefault="00B246DB" w14:paraId="5FBD2117" w14:textId="393AA485">
      <w:pPr>
        <w:spacing w:before="280" w:after="280" w:line="360" w:lineRule="auto"/>
        <w:jc w:val="both"/>
      </w:pPr>
      <w:r w:rsidRPr="1E3599DF" w:rsidR="00B246DB">
        <w:rPr>
          <w:rFonts w:ascii="Arial" w:hAnsi="Arial" w:eastAsia="Arial" w:cs="Arial"/>
          <w:color w:val="000000" w:themeColor="text1" w:themeTint="FF" w:themeShade="FF"/>
          <w:sz w:val="22"/>
          <w:szCs w:val="22"/>
          <w:lang w:val="en-US"/>
        </w:rPr>
        <w:t xml:space="preserve">The loss of independence may seriously affect the </w:t>
      </w:r>
      <w:r w:rsidRPr="1E3599DF" w:rsidR="452A571B">
        <w:rPr>
          <w:rFonts w:ascii="Arial" w:hAnsi="Arial" w:eastAsia="Arial" w:cs="Arial"/>
          <w:color w:val="000000" w:themeColor="text1" w:themeTint="FF" w:themeShade="FF"/>
          <w:sz w:val="22"/>
          <w:szCs w:val="22"/>
          <w:lang w:val="en-US"/>
        </w:rPr>
        <w:t>identity of</w:t>
      </w:r>
      <w:r w:rsidRPr="1E3599DF" w:rsidR="00B246DB">
        <w:rPr>
          <w:rFonts w:ascii="Arial" w:hAnsi="Arial" w:eastAsia="Arial" w:cs="Arial"/>
          <w:color w:val="000000" w:themeColor="text1" w:themeTint="FF" w:themeShade="FF"/>
          <w:sz w:val="22"/>
          <w:szCs w:val="22"/>
          <w:lang w:val="en-US"/>
        </w:rPr>
        <w:t xml:space="preserve"> older adults. A person-centered environment </w:t>
      </w:r>
      <w:r w:rsidRPr="1E3599DF" w:rsidR="00B246DB">
        <w:rPr>
          <w:rFonts w:ascii="Arial" w:hAnsi="Arial" w:eastAsia="Arial" w:cs="Arial"/>
          <w:color w:val="000000" w:themeColor="text1" w:themeTint="FF" w:themeShade="FF"/>
          <w:sz w:val="22"/>
          <w:szCs w:val="22"/>
          <w:lang w:val="en-US"/>
        </w:rPr>
        <w:t>assists</w:t>
      </w:r>
      <w:r w:rsidRPr="1E3599DF" w:rsidR="00B246DB">
        <w:rPr>
          <w:rFonts w:ascii="Arial" w:hAnsi="Arial" w:eastAsia="Arial" w:cs="Arial"/>
          <w:color w:val="000000" w:themeColor="text1" w:themeTint="FF" w:themeShade="FF"/>
          <w:sz w:val="22"/>
          <w:szCs w:val="22"/>
          <w:lang w:val="en-US"/>
        </w:rPr>
        <w:t xml:space="preserve"> the residents to stay dignified, making them concentrate on what they can do and not on what they cannot. Finding a reason to engage in more basic tasks like laundry folding, painting, or singing may help regain purpose and self-worth </w:t>
      </w:r>
      <w:r w:rsidRPr="1E3599DF" w:rsidR="00B246DB">
        <w:rPr>
          <w:rFonts w:ascii="Arial" w:hAnsi="Arial" w:eastAsia="Arial" w:cs="Arial"/>
          <w:color w:val="000000" w:themeColor="text1" w:themeTint="FF" w:themeShade="FF"/>
          <w:sz w:val="22"/>
          <w:szCs w:val="22"/>
          <w:lang w:val="en-US"/>
        </w:rPr>
        <w:t>(</w:t>
      </w:r>
      <w:r w:rsidRPr="1E3599DF" w:rsidR="00C719C4">
        <w:rPr>
          <w:rFonts w:ascii="Arial" w:hAnsi="Arial" w:eastAsia="Arial" w:cs="Arial"/>
          <w:color w:val="000000" w:themeColor="text1" w:themeTint="FF" w:themeShade="FF"/>
          <w:sz w:val="22"/>
          <w:szCs w:val="22"/>
          <w:lang w:val="en-US"/>
        </w:rPr>
        <w:t>Brooker and Latham, 2016</w:t>
      </w:r>
      <w:r w:rsidRPr="1E3599DF" w:rsidR="00B246DB">
        <w:rPr>
          <w:rFonts w:ascii="Arial" w:hAnsi="Arial" w:eastAsia="Arial" w:cs="Arial"/>
          <w:color w:val="000000" w:themeColor="text1" w:themeTint="FF" w:themeShade="FF"/>
          <w:sz w:val="22"/>
          <w:szCs w:val="22"/>
          <w:lang w:val="en-US"/>
        </w:rPr>
        <w:t>).</w:t>
      </w:r>
    </w:p>
    <w:p w:rsidR="00B246DB" w:rsidRDefault="00B246DB" w14:paraId="75AB5EA9" w14:textId="77777777">
      <w:pPr>
        <w:spacing w:before="280" w:after="280" w:line="240" w:lineRule="auto"/>
        <w:jc w:val="both"/>
        <w:rPr>
          <w:rFonts w:ascii="Arial" w:hAnsi="Arial" w:eastAsia="Arial" w:cs="Arial"/>
          <w:b/>
          <w:bCs/>
          <w:color w:val="000000"/>
          <w:sz w:val="22"/>
          <w:szCs w:val="22"/>
          <w:lang w:val="en-US"/>
        </w:rPr>
      </w:pPr>
    </w:p>
    <w:p w:rsidR="00B246DB" w:rsidRDefault="00B246DB" w14:paraId="4A5B5FBF" w14:textId="77777777">
      <w:pPr>
        <w:spacing w:before="280" w:after="280" w:line="240" w:lineRule="auto"/>
        <w:jc w:val="both"/>
      </w:pPr>
      <w:r>
        <w:rPr>
          <w:rFonts w:ascii="Arial" w:hAnsi="Arial" w:eastAsia="Arial" w:cs="Arial"/>
          <w:b/>
          <w:bCs/>
          <w:color w:val="000000"/>
          <w:sz w:val="22"/>
          <w:szCs w:val="22"/>
          <w:lang w:val="en-US"/>
        </w:rPr>
        <w:t>Challenges and Strategies</w:t>
      </w:r>
    </w:p>
    <w:p w:rsidR="00B246DB" w:rsidRDefault="00B246DB" w14:paraId="2E750106" w14:textId="77777777">
      <w:pPr>
        <w:spacing w:before="280" w:after="280" w:line="360" w:lineRule="auto"/>
        <w:jc w:val="both"/>
      </w:pPr>
      <w:r>
        <w:rPr>
          <w:rFonts w:ascii="Arial" w:hAnsi="Arial" w:eastAsia="Arial" w:cs="Arial"/>
          <w:color w:val="000000"/>
          <w:sz w:val="22"/>
          <w:szCs w:val="22"/>
          <w:lang w:val="en-US"/>
        </w:rPr>
        <w:t xml:space="preserve">Institutional pressure constrained by limited staff, strict schedules, and time are the key obstacles to applying the theory of Rogers in care homes since truly personalized care may become a challenge (McCormack &amp; McCance, 2017). To cope with this, they ought to train and assist with leadership that ensures promotion of person-centered culture. Promoting staff reflection, success stories, and appreciation of relational care is equally important as efficiency can maintain motivation </w:t>
      </w:r>
      <w:r w:rsidR="00C719C4">
        <w:rPr>
          <w:rFonts w:ascii="Arial" w:hAnsi="Arial" w:eastAsia="Arial" w:cs="Arial"/>
          <w:color w:val="000000"/>
          <w:sz w:val="22"/>
          <w:szCs w:val="22"/>
          <w:lang w:val="en-US"/>
        </w:rPr>
        <w:t>(</w:t>
      </w:r>
      <w:r w:rsidR="00C719C4">
        <w:t>McCormack and McCance, 2017).</w:t>
      </w:r>
    </w:p>
    <w:p w:rsidR="00B246DB" w:rsidRDefault="00B246DB" w14:paraId="59B50677" w14:textId="77777777">
      <w:pPr>
        <w:spacing w:before="280" w:after="280" w:line="240" w:lineRule="auto"/>
        <w:jc w:val="both"/>
        <w:rPr>
          <w:rFonts w:ascii="Arial" w:hAnsi="Arial" w:eastAsia="Arial" w:cs="Arial"/>
          <w:b/>
          <w:bCs/>
          <w:color w:val="000000"/>
          <w:sz w:val="22"/>
          <w:szCs w:val="22"/>
          <w:lang w:val="en-US"/>
        </w:rPr>
      </w:pPr>
    </w:p>
    <w:p w:rsidR="00B246DB" w:rsidRDefault="00B246DB" w14:paraId="10C5E16B" w14:textId="77777777">
      <w:pPr>
        <w:spacing w:before="280" w:after="280" w:line="240" w:lineRule="auto"/>
        <w:jc w:val="both"/>
      </w:pPr>
      <w:r>
        <w:rPr>
          <w:rFonts w:ascii="Arial" w:hAnsi="Arial" w:eastAsia="Arial" w:cs="Arial"/>
          <w:b/>
          <w:bCs/>
          <w:color w:val="000000"/>
          <w:sz w:val="22"/>
          <w:szCs w:val="22"/>
          <w:lang w:val="en-US"/>
        </w:rPr>
        <w:t>4. Comparative Discussion</w:t>
      </w:r>
      <w:r>
        <w:rPr>
          <w:rFonts w:ascii="Arial" w:hAnsi="Arial" w:eastAsia="Arial" w:cs="Arial"/>
          <w:color w:val="000000"/>
          <w:sz w:val="22"/>
          <w:szCs w:val="22"/>
        </w:rPr>
        <w:t xml:space="preserve"> </w:t>
      </w:r>
    </w:p>
    <w:p w:rsidR="00B246DB" w:rsidRDefault="00B246DB" w14:paraId="126585B7" w14:textId="77777777">
      <w:pPr>
        <w:spacing w:before="280" w:after="280" w:line="360" w:lineRule="auto"/>
        <w:jc w:val="both"/>
      </w:pPr>
      <w:r>
        <w:rPr>
          <w:rFonts w:ascii="Arial" w:hAnsi="Arial" w:eastAsia="Arial" w:cs="Arial"/>
          <w:color w:val="000000"/>
          <w:sz w:val="22"/>
          <w:szCs w:val="22"/>
          <w:lang w:val="en-US"/>
        </w:rPr>
        <w:t xml:space="preserve">The two theories are very insightful when it comes to assisting older adults, but their emphasis varies. The model provided by Erikson describes the continuation of emotional and psychological development even in old age and makes the staff realize the need to be reflective and acceptant. The theory of Rogers, on the other hand, is concerned with the </w:t>
      </w:r>
      <w:r>
        <w:rPr>
          <w:rFonts w:ascii="Arial" w:hAnsi="Arial" w:eastAsia="Arial" w:cs="Arial"/>
          <w:color w:val="000000"/>
          <w:sz w:val="22"/>
          <w:szCs w:val="22"/>
          <w:lang w:val="en-US"/>
        </w:rPr>
        <w:t xml:space="preserve">support of well-being in the current situation through relationships and empathy </w:t>
      </w:r>
      <w:r w:rsidRPr="005704A9">
        <w:rPr>
          <w:rFonts w:ascii="Arial" w:hAnsi="Arial" w:eastAsia="Arial" w:cs="Arial"/>
          <w:color w:val="000000"/>
          <w:sz w:val="22"/>
          <w:szCs w:val="22"/>
          <w:lang w:val="en-US"/>
        </w:rPr>
        <w:t>(</w:t>
      </w:r>
      <w:r w:rsidRPr="005704A9" w:rsidR="005704A9">
        <w:rPr>
          <w:rFonts w:ascii="Arial" w:hAnsi="Arial" w:eastAsia="Arial" w:cs="Arial"/>
          <w:color w:val="000000"/>
          <w:sz w:val="22"/>
          <w:szCs w:val="22"/>
          <w:lang w:val="en-US"/>
        </w:rPr>
        <w:t>McCormack and McCance, 2017).</w:t>
      </w:r>
    </w:p>
    <w:tbl>
      <w:tblPr>
        <w:tblW w:w="0" w:type="auto"/>
        <w:tblInd w:w="115" w:type="dxa"/>
        <w:tblLayout w:type="fixed"/>
        <w:tblLook w:val="0000" w:firstRow="0" w:lastRow="0" w:firstColumn="0" w:lastColumn="0" w:noHBand="0" w:noVBand="0"/>
      </w:tblPr>
      <w:tblGrid>
        <w:gridCol w:w="2265"/>
        <w:gridCol w:w="3359"/>
        <w:gridCol w:w="3361"/>
      </w:tblGrid>
      <w:tr w:rsidR="00B246DB" w14:paraId="6E49FF3D" w14:textId="77777777">
        <w:trPr>
          <w:trHeight w:val="300"/>
        </w:trPr>
        <w:tc>
          <w:tcPr>
            <w:tcW w:w="2265"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5BC767AA" w14:textId="77777777">
            <w:pPr>
              <w:spacing w:after="0" w:line="240" w:lineRule="auto"/>
              <w:jc w:val="both"/>
            </w:pPr>
            <w:r>
              <w:rPr>
                <w:rFonts w:ascii="Arial" w:hAnsi="Arial" w:eastAsia="Arial" w:cs="Arial"/>
                <w:b/>
                <w:bCs/>
                <w:sz w:val="22"/>
                <w:szCs w:val="22"/>
                <w:lang w:val="en-US"/>
              </w:rPr>
              <w:t>Aspect</w:t>
            </w:r>
          </w:p>
        </w:tc>
        <w:tc>
          <w:tcPr>
            <w:tcW w:w="3359"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0BE0C8B7" w14:textId="77777777">
            <w:pPr>
              <w:spacing w:after="0" w:line="240" w:lineRule="auto"/>
              <w:jc w:val="both"/>
            </w:pPr>
            <w:r>
              <w:rPr>
                <w:rFonts w:ascii="Arial" w:hAnsi="Arial" w:eastAsia="Arial" w:cs="Arial"/>
                <w:b/>
                <w:bCs/>
                <w:sz w:val="22"/>
                <w:szCs w:val="22"/>
                <w:lang w:val="en-US"/>
              </w:rPr>
              <w:t>Erikson’s Theory</w:t>
            </w:r>
          </w:p>
        </w:tc>
        <w:tc>
          <w:tcPr>
            <w:tcW w:w="3361"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4980D3CB" w14:textId="77777777">
            <w:pPr>
              <w:spacing w:after="0" w:line="240" w:lineRule="auto"/>
              <w:jc w:val="both"/>
            </w:pPr>
            <w:r>
              <w:rPr>
                <w:rFonts w:ascii="Arial" w:hAnsi="Arial" w:eastAsia="Arial" w:cs="Arial"/>
                <w:b/>
                <w:bCs/>
                <w:sz w:val="22"/>
                <w:szCs w:val="22"/>
                <w:lang w:val="en-US"/>
              </w:rPr>
              <w:t>Rogers’ Theory</w:t>
            </w:r>
          </w:p>
        </w:tc>
      </w:tr>
      <w:tr w:rsidR="00B246DB" w14:paraId="3756B3EE" w14:textId="77777777">
        <w:trPr>
          <w:trHeight w:val="300"/>
        </w:trPr>
        <w:tc>
          <w:tcPr>
            <w:tcW w:w="2265"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27D1C7F7" w14:textId="77777777">
            <w:pPr>
              <w:spacing w:after="0" w:line="240" w:lineRule="auto"/>
              <w:jc w:val="both"/>
            </w:pPr>
            <w:r>
              <w:rPr>
                <w:rFonts w:ascii="Arial" w:hAnsi="Arial" w:eastAsia="Arial" w:cs="Arial"/>
                <w:b/>
                <w:bCs/>
                <w:sz w:val="22"/>
                <w:szCs w:val="22"/>
                <w:lang w:val="en-US"/>
              </w:rPr>
              <w:t>Core Concept</w:t>
            </w:r>
          </w:p>
        </w:tc>
        <w:tc>
          <w:tcPr>
            <w:tcW w:w="3359"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35F10B80" w14:textId="77777777">
            <w:pPr>
              <w:spacing w:after="0" w:line="240" w:lineRule="auto"/>
              <w:jc w:val="both"/>
            </w:pPr>
            <w:r>
              <w:rPr>
                <w:rFonts w:ascii="Arial" w:hAnsi="Arial" w:eastAsia="Arial" w:cs="Arial"/>
                <w:sz w:val="22"/>
                <w:szCs w:val="22"/>
                <w:lang w:val="en-US"/>
              </w:rPr>
              <w:t>Life reflection and acceptance</w:t>
            </w:r>
          </w:p>
        </w:tc>
        <w:tc>
          <w:tcPr>
            <w:tcW w:w="3361"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7B52ECE3" w14:textId="77777777">
            <w:pPr>
              <w:spacing w:after="0" w:line="240" w:lineRule="auto"/>
              <w:jc w:val="both"/>
            </w:pPr>
            <w:r>
              <w:rPr>
                <w:rFonts w:ascii="Arial" w:hAnsi="Arial" w:eastAsia="Arial" w:cs="Arial"/>
                <w:sz w:val="22"/>
                <w:szCs w:val="22"/>
                <w:lang w:val="en-US"/>
              </w:rPr>
              <w:t>Empathy and individuality</w:t>
            </w:r>
          </w:p>
        </w:tc>
      </w:tr>
      <w:tr w:rsidR="00B246DB" w14:paraId="4509B2C7" w14:textId="77777777">
        <w:trPr>
          <w:trHeight w:val="300"/>
        </w:trPr>
        <w:tc>
          <w:tcPr>
            <w:tcW w:w="2265"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144187DB" w14:textId="77777777">
            <w:pPr>
              <w:spacing w:after="0" w:line="240" w:lineRule="auto"/>
              <w:jc w:val="both"/>
            </w:pPr>
            <w:r>
              <w:rPr>
                <w:rFonts w:ascii="Arial" w:hAnsi="Arial" w:eastAsia="Arial" w:cs="Arial"/>
                <w:b/>
                <w:bCs/>
                <w:sz w:val="22"/>
                <w:szCs w:val="22"/>
                <w:lang w:val="en-US"/>
              </w:rPr>
              <w:t>Primary Goal</w:t>
            </w:r>
          </w:p>
        </w:tc>
        <w:tc>
          <w:tcPr>
            <w:tcW w:w="3359"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3105A098" w14:textId="77777777">
            <w:pPr>
              <w:spacing w:after="0" w:line="240" w:lineRule="auto"/>
              <w:jc w:val="both"/>
            </w:pPr>
            <w:r>
              <w:rPr>
                <w:rFonts w:ascii="Arial" w:hAnsi="Arial" w:eastAsia="Arial" w:cs="Arial"/>
                <w:sz w:val="22"/>
                <w:szCs w:val="22"/>
                <w:lang w:val="en-US"/>
              </w:rPr>
              <w:t>Achieving ego integrity</w:t>
            </w:r>
          </w:p>
        </w:tc>
        <w:tc>
          <w:tcPr>
            <w:tcW w:w="3361"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3FEEBE5C" w14:textId="77777777">
            <w:pPr>
              <w:spacing w:after="0" w:line="240" w:lineRule="auto"/>
              <w:jc w:val="both"/>
            </w:pPr>
            <w:r>
              <w:rPr>
                <w:rFonts w:ascii="Arial" w:hAnsi="Arial" w:eastAsia="Arial" w:cs="Arial"/>
                <w:sz w:val="22"/>
                <w:szCs w:val="22"/>
                <w:lang w:val="en-US"/>
              </w:rPr>
              <w:t>Maintaining self-worth</w:t>
            </w:r>
          </w:p>
        </w:tc>
      </w:tr>
      <w:tr w:rsidR="00B246DB" w14:paraId="3BFC4B56" w14:textId="77777777">
        <w:trPr>
          <w:trHeight w:val="300"/>
        </w:trPr>
        <w:tc>
          <w:tcPr>
            <w:tcW w:w="2265"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201C5097" w14:textId="77777777">
            <w:pPr>
              <w:spacing w:after="0" w:line="240" w:lineRule="auto"/>
              <w:jc w:val="both"/>
            </w:pPr>
            <w:r>
              <w:rPr>
                <w:rFonts w:ascii="Arial" w:hAnsi="Arial" w:eastAsia="Arial" w:cs="Arial"/>
                <w:b/>
                <w:bCs/>
                <w:sz w:val="22"/>
                <w:szCs w:val="22"/>
                <w:lang w:val="en-US"/>
              </w:rPr>
              <w:t>Practical Application</w:t>
            </w:r>
          </w:p>
        </w:tc>
        <w:tc>
          <w:tcPr>
            <w:tcW w:w="3359"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794C7197" w14:textId="77777777">
            <w:pPr>
              <w:spacing w:after="0" w:line="240" w:lineRule="auto"/>
              <w:jc w:val="both"/>
            </w:pPr>
            <w:r>
              <w:rPr>
                <w:rFonts w:ascii="Arial" w:hAnsi="Arial" w:eastAsia="Arial" w:cs="Arial"/>
                <w:sz w:val="22"/>
                <w:szCs w:val="22"/>
                <w:lang w:val="en-US"/>
              </w:rPr>
              <w:t>Reminiscence and life review</w:t>
            </w:r>
          </w:p>
        </w:tc>
        <w:tc>
          <w:tcPr>
            <w:tcW w:w="3361"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04AEABAA" w14:textId="77777777">
            <w:pPr>
              <w:spacing w:after="0" w:line="240" w:lineRule="auto"/>
              <w:jc w:val="both"/>
            </w:pPr>
            <w:r>
              <w:rPr>
                <w:rFonts w:ascii="Arial" w:hAnsi="Arial" w:eastAsia="Arial" w:cs="Arial"/>
                <w:sz w:val="22"/>
                <w:szCs w:val="22"/>
                <w:lang w:val="en-US"/>
              </w:rPr>
              <w:t>Empathic, flexible communication</w:t>
            </w:r>
          </w:p>
        </w:tc>
      </w:tr>
      <w:tr w:rsidR="00B246DB" w14:paraId="11F09742" w14:textId="77777777">
        <w:trPr>
          <w:trHeight w:val="300"/>
        </w:trPr>
        <w:tc>
          <w:tcPr>
            <w:tcW w:w="2265"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58E2ED05" w14:textId="77777777">
            <w:pPr>
              <w:spacing w:after="0" w:line="240" w:lineRule="auto"/>
              <w:jc w:val="both"/>
            </w:pPr>
            <w:r>
              <w:rPr>
                <w:rFonts w:ascii="Arial" w:hAnsi="Arial" w:eastAsia="Arial" w:cs="Arial"/>
                <w:b/>
                <w:bCs/>
                <w:sz w:val="22"/>
                <w:szCs w:val="22"/>
                <w:lang w:val="en-US"/>
              </w:rPr>
              <w:t>Main Challenge</w:t>
            </w:r>
          </w:p>
        </w:tc>
        <w:tc>
          <w:tcPr>
            <w:tcW w:w="3359"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14ABBD4C" w14:textId="77777777">
            <w:pPr>
              <w:spacing w:after="0" w:line="240" w:lineRule="auto"/>
              <w:jc w:val="both"/>
            </w:pPr>
            <w:r>
              <w:rPr>
                <w:rFonts w:ascii="Arial" w:hAnsi="Arial" w:eastAsia="Arial" w:cs="Arial"/>
                <w:sz w:val="22"/>
                <w:szCs w:val="22"/>
                <w:lang w:val="en-US"/>
              </w:rPr>
              <w:t>Cognitive decline limits reflection</w:t>
            </w:r>
          </w:p>
        </w:tc>
        <w:tc>
          <w:tcPr>
            <w:tcW w:w="3361"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1B89D657" w14:textId="77777777">
            <w:pPr>
              <w:spacing w:after="0" w:line="240" w:lineRule="auto"/>
              <w:jc w:val="both"/>
            </w:pPr>
            <w:r>
              <w:rPr>
                <w:rFonts w:ascii="Arial" w:hAnsi="Arial" w:eastAsia="Arial" w:cs="Arial"/>
                <w:sz w:val="22"/>
                <w:szCs w:val="22"/>
                <w:lang w:val="en-US"/>
              </w:rPr>
              <w:t>Institutional constraints</w:t>
            </w:r>
          </w:p>
        </w:tc>
      </w:tr>
      <w:tr w:rsidR="00B246DB" w14:paraId="288A9096" w14:textId="77777777">
        <w:trPr>
          <w:trHeight w:val="300"/>
        </w:trPr>
        <w:tc>
          <w:tcPr>
            <w:tcW w:w="2265"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55E775AC" w14:textId="77777777">
            <w:pPr>
              <w:spacing w:after="0" w:line="240" w:lineRule="auto"/>
              <w:jc w:val="both"/>
            </w:pPr>
            <w:r>
              <w:rPr>
                <w:rFonts w:ascii="Arial" w:hAnsi="Arial" w:eastAsia="Arial" w:cs="Arial"/>
                <w:b/>
                <w:bCs/>
                <w:sz w:val="22"/>
                <w:szCs w:val="22"/>
                <w:lang w:val="en-US"/>
              </w:rPr>
              <w:t>Professional Strategy</w:t>
            </w:r>
          </w:p>
        </w:tc>
        <w:tc>
          <w:tcPr>
            <w:tcW w:w="3359"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2B9A3841" w14:textId="77777777">
            <w:pPr>
              <w:spacing w:after="0" w:line="240" w:lineRule="auto"/>
              <w:jc w:val="both"/>
            </w:pPr>
            <w:r>
              <w:rPr>
                <w:rFonts w:ascii="Arial" w:hAnsi="Arial" w:eastAsia="Arial" w:cs="Arial"/>
                <w:sz w:val="22"/>
                <w:szCs w:val="22"/>
                <w:lang w:val="en-US"/>
              </w:rPr>
              <w:t>Use sensory cues and validation</w:t>
            </w:r>
          </w:p>
        </w:tc>
        <w:tc>
          <w:tcPr>
            <w:tcW w:w="3361" w:type="dxa"/>
            <w:tcBorders>
              <w:top w:val="single" w:color="000000" w:sz="6" w:space="0"/>
              <w:left w:val="single" w:color="000000" w:sz="6" w:space="0"/>
              <w:bottom w:val="single" w:color="000000" w:sz="6" w:space="0"/>
              <w:right w:val="single" w:color="000000" w:sz="6" w:space="0"/>
            </w:tcBorders>
            <w:vAlign w:val="center"/>
          </w:tcPr>
          <w:p w:rsidR="00B246DB" w:rsidRDefault="00B246DB" w14:paraId="566CD740" w14:textId="77777777">
            <w:pPr>
              <w:spacing w:after="0" w:line="240" w:lineRule="auto"/>
              <w:jc w:val="both"/>
            </w:pPr>
            <w:r>
              <w:rPr>
                <w:rFonts w:ascii="Arial" w:hAnsi="Arial" w:eastAsia="Arial" w:cs="Arial"/>
                <w:sz w:val="22"/>
                <w:szCs w:val="22"/>
                <w:lang w:val="en-US"/>
              </w:rPr>
              <w:t>Staff training and empowerment</w:t>
            </w:r>
          </w:p>
        </w:tc>
      </w:tr>
    </w:tbl>
    <w:p w:rsidR="00B246DB" w:rsidRDefault="00B246DB" w14:paraId="66D99844" w14:textId="77777777">
      <w:pPr>
        <w:spacing w:before="280" w:after="280" w:line="360" w:lineRule="auto"/>
        <w:jc w:val="both"/>
      </w:pPr>
      <w:r>
        <w:rPr>
          <w:rFonts w:ascii="Arial" w:hAnsi="Arial" w:eastAsia="Arial" w:cs="Arial"/>
          <w:color w:val="000000"/>
          <w:sz w:val="22"/>
          <w:szCs w:val="22"/>
          <w:lang w:val="en-US"/>
        </w:rPr>
        <w:t>The combination of both theories would make the approach more comprehensive: the framework by Erikson can assist the professionals in learning the emotional needs throughout the ages, whereas the model by Rogers can assist in the interaction on a daily basis. They both promote a sympathetic, moderate relationship between mental acumen and functional compassion</w:t>
      </w:r>
      <w:r w:rsidRPr="00C719C4">
        <w:rPr>
          <w:rFonts w:ascii="Arial" w:hAnsi="Arial" w:eastAsia="Arial" w:cs="Arial"/>
          <w:color w:val="000000"/>
          <w:sz w:val="22"/>
          <w:szCs w:val="22"/>
          <w:lang w:val="en-US"/>
        </w:rPr>
        <w:t xml:space="preserve"> (</w:t>
      </w:r>
      <w:r w:rsidRPr="00C719C4" w:rsidR="00C719C4">
        <w:rPr>
          <w:rFonts w:ascii="Arial" w:hAnsi="Arial" w:eastAsia="Arial" w:cs="Arial"/>
          <w:color w:val="000000"/>
          <w:sz w:val="22"/>
          <w:szCs w:val="22"/>
          <w:lang w:val="en-US"/>
        </w:rPr>
        <w:t>Erikson, 1997</w:t>
      </w:r>
      <w:r w:rsidRPr="00C719C4">
        <w:rPr>
          <w:rFonts w:ascii="Arial" w:hAnsi="Arial" w:eastAsia="Arial" w:cs="Arial"/>
          <w:color w:val="000000"/>
          <w:sz w:val="22"/>
          <w:szCs w:val="22"/>
          <w:lang w:val="en-US"/>
        </w:rPr>
        <w:t>).</w:t>
      </w:r>
    </w:p>
    <w:p w:rsidR="00B246DB" w:rsidRDefault="00B246DB" w14:paraId="44B3575F" w14:textId="77777777">
      <w:pPr>
        <w:spacing w:before="280" w:after="280" w:line="240" w:lineRule="auto"/>
        <w:jc w:val="both"/>
        <w:rPr>
          <w:rFonts w:ascii="Arial" w:hAnsi="Arial" w:eastAsia="Arial" w:cs="Arial"/>
          <w:color w:val="000000"/>
          <w:sz w:val="22"/>
          <w:szCs w:val="22"/>
        </w:rPr>
      </w:pPr>
    </w:p>
    <w:p w:rsidRPr="00F42CE8" w:rsidR="00B246DB" w:rsidRDefault="00B246DB" w14:paraId="2F2BBC37" w14:textId="77777777">
      <w:pPr>
        <w:spacing w:before="280" w:after="280" w:line="240" w:lineRule="auto"/>
        <w:jc w:val="both"/>
      </w:pPr>
      <w:r w:rsidRPr="00F42CE8">
        <w:rPr>
          <w:rFonts w:ascii="Arial" w:hAnsi="Arial" w:eastAsia="Arial" w:cs="Arial"/>
          <w:b/>
          <w:bCs/>
          <w:color w:val="000000"/>
          <w:sz w:val="22"/>
          <w:szCs w:val="22"/>
          <w:lang w:val="en-US"/>
        </w:rPr>
        <w:t>5. Recommendations for Practice</w:t>
      </w:r>
    </w:p>
    <w:p w:rsidRPr="00C719C4" w:rsidR="00C719C4" w:rsidP="00C719C4" w:rsidRDefault="00C719C4" w14:paraId="3BE0689E" w14:textId="77777777">
      <w:pPr>
        <w:numPr>
          <w:ilvl w:val="0"/>
          <w:numId w:val="5"/>
        </w:numPr>
        <w:spacing w:before="280" w:after="280" w:line="360" w:lineRule="auto"/>
        <w:jc w:val="both"/>
        <w:rPr>
          <w:rFonts w:ascii="Arial" w:hAnsi="Arial" w:eastAsia="Arial" w:cs="Arial"/>
          <w:color w:val="000000"/>
          <w:sz w:val="22"/>
          <w:szCs w:val="22"/>
          <w:lang w:val="en-US"/>
        </w:rPr>
      </w:pPr>
      <w:r w:rsidRPr="00C719C4">
        <w:rPr>
          <w:rFonts w:ascii="Arial" w:hAnsi="Arial" w:eastAsia="Arial" w:cs="Arial"/>
          <w:b/>
          <w:bCs/>
          <w:color w:val="000000"/>
          <w:sz w:val="22"/>
          <w:szCs w:val="22"/>
          <w:lang w:val="en-US"/>
        </w:rPr>
        <w:t>Integrate Theories in Care Practice</w:t>
      </w:r>
      <w:r w:rsidRPr="00C719C4">
        <w:rPr>
          <w:rFonts w:ascii="Arial" w:hAnsi="Arial" w:eastAsia="Arial" w:cs="Arial"/>
          <w:color w:val="000000"/>
          <w:sz w:val="22"/>
          <w:szCs w:val="22"/>
          <w:lang w:val="en-US"/>
        </w:rPr>
        <w:t xml:space="preserve"> – Integrate Erikson on the meaning of life and Rogers on empathy and choice to develop comprehensive care plans (Erikson, 1997; Rogers, 1980; Knight and Laidlaw, 2020).</w:t>
      </w:r>
    </w:p>
    <w:p w:rsidRPr="00C719C4" w:rsidR="00C719C4" w:rsidP="00C719C4" w:rsidRDefault="00C719C4" w14:paraId="2B1A38B0" w14:textId="77777777">
      <w:pPr>
        <w:numPr>
          <w:ilvl w:val="0"/>
          <w:numId w:val="5"/>
        </w:numPr>
        <w:spacing w:before="280" w:after="280" w:line="360" w:lineRule="auto"/>
        <w:jc w:val="both"/>
        <w:rPr>
          <w:rFonts w:ascii="Arial" w:hAnsi="Arial" w:eastAsia="Arial" w:cs="Arial"/>
          <w:color w:val="000000"/>
          <w:sz w:val="22"/>
          <w:szCs w:val="22"/>
          <w:lang w:val="en-US"/>
        </w:rPr>
      </w:pPr>
      <w:r w:rsidRPr="00C719C4">
        <w:rPr>
          <w:rFonts w:ascii="Arial" w:hAnsi="Arial" w:eastAsia="Arial" w:cs="Arial"/>
          <w:b/>
          <w:bCs/>
          <w:color w:val="000000"/>
          <w:sz w:val="22"/>
          <w:szCs w:val="22"/>
          <w:lang w:val="en-US"/>
        </w:rPr>
        <w:t>Families should be encouraged</w:t>
      </w:r>
      <w:r w:rsidRPr="00C719C4">
        <w:rPr>
          <w:rFonts w:ascii="Arial" w:hAnsi="Arial" w:eastAsia="Arial" w:cs="Arial"/>
          <w:color w:val="000000"/>
          <w:sz w:val="22"/>
          <w:szCs w:val="22"/>
          <w:lang w:val="en-US"/>
        </w:rPr>
        <w:t xml:space="preserve"> to contribute to reminiscence and identity-building by providing life history, photos, and stories (McCormack and McCance, 2017).</w:t>
      </w:r>
    </w:p>
    <w:p w:rsidRPr="00C719C4" w:rsidR="00C719C4" w:rsidP="00C719C4" w:rsidRDefault="00C719C4" w14:paraId="27FD6FC3" w14:textId="77777777">
      <w:pPr>
        <w:numPr>
          <w:ilvl w:val="0"/>
          <w:numId w:val="5"/>
        </w:numPr>
        <w:spacing w:before="280" w:after="280" w:line="360" w:lineRule="auto"/>
        <w:jc w:val="both"/>
        <w:rPr>
          <w:rFonts w:ascii="Arial" w:hAnsi="Arial" w:eastAsia="Arial" w:cs="Arial"/>
          <w:color w:val="000000"/>
          <w:sz w:val="22"/>
          <w:szCs w:val="22"/>
          <w:lang w:val="en-US"/>
        </w:rPr>
      </w:pPr>
      <w:r w:rsidRPr="00C719C4">
        <w:rPr>
          <w:rFonts w:ascii="Arial" w:hAnsi="Arial" w:eastAsia="Arial" w:cs="Arial"/>
          <w:b/>
          <w:bCs/>
          <w:color w:val="000000"/>
          <w:sz w:val="22"/>
          <w:szCs w:val="22"/>
          <w:lang w:val="en-US"/>
        </w:rPr>
        <w:t>Invest in Personnel Training</w:t>
      </w:r>
      <w:r w:rsidRPr="00C719C4">
        <w:rPr>
          <w:rFonts w:ascii="Arial" w:hAnsi="Arial" w:eastAsia="Arial" w:cs="Arial"/>
          <w:color w:val="000000"/>
          <w:sz w:val="22"/>
          <w:szCs w:val="22"/>
          <w:lang w:val="en-US"/>
        </w:rPr>
        <w:t xml:space="preserve"> – Have frequent workshops on communication, validation therapy and person-centered planning (Brooker and Latham, 2016).</w:t>
      </w:r>
    </w:p>
    <w:p w:rsidRPr="00C719C4" w:rsidR="00C719C4" w:rsidP="00C719C4" w:rsidRDefault="00C719C4" w14:paraId="40B54BAE" w14:textId="77777777">
      <w:pPr>
        <w:numPr>
          <w:ilvl w:val="0"/>
          <w:numId w:val="5"/>
        </w:numPr>
        <w:spacing w:before="280" w:after="280" w:line="360" w:lineRule="auto"/>
        <w:jc w:val="both"/>
        <w:rPr>
          <w:rFonts w:ascii="Arial" w:hAnsi="Arial" w:eastAsia="Arial" w:cs="Arial"/>
          <w:color w:val="000000"/>
          <w:sz w:val="22"/>
          <w:szCs w:val="22"/>
          <w:lang w:val="en-US"/>
        </w:rPr>
      </w:pPr>
      <w:r w:rsidRPr="00C719C4">
        <w:rPr>
          <w:rFonts w:ascii="Arial" w:hAnsi="Arial" w:eastAsia="Arial" w:cs="Arial"/>
          <w:b/>
          <w:bCs/>
          <w:color w:val="000000"/>
          <w:sz w:val="22"/>
          <w:szCs w:val="22"/>
          <w:lang w:val="en-US"/>
        </w:rPr>
        <w:t>Encourage the Reflection on Practice</w:t>
      </w:r>
      <w:r w:rsidRPr="00C719C4">
        <w:rPr>
          <w:rFonts w:ascii="Arial" w:hAnsi="Arial" w:eastAsia="Arial" w:cs="Arial"/>
          <w:color w:val="000000"/>
          <w:sz w:val="22"/>
          <w:szCs w:val="22"/>
          <w:lang w:val="en-US"/>
        </w:rPr>
        <w:t xml:space="preserve"> – Give care workers a chance to ponder their emotional reactions and exchange their learning experience with coworkers (Schön, 1983).</w:t>
      </w:r>
    </w:p>
    <w:p w:rsidRPr="00C719C4" w:rsidR="00C719C4" w:rsidP="00C719C4" w:rsidRDefault="00C719C4" w14:paraId="062522C3" w14:textId="77777777">
      <w:pPr>
        <w:numPr>
          <w:ilvl w:val="0"/>
          <w:numId w:val="5"/>
        </w:numPr>
        <w:spacing w:before="280" w:after="280" w:line="360" w:lineRule="auto"/>
        <w:jc w:val="both"/>
        <w:rPr>
          <w:rFonts w:ascii="Arial" w:hAnsi="Arial" w:eastAsia="Arial" w:cs="Arial"/>
          <w:color w:val="000000"/>
          <w:sz w:val="22"/>
          <w:szCs w:val="22"/>
          <w:lang w:val="en-US"/>
        </w:rPr>
      </w:pPr>
      <w:r w:rsidRPr="00C719C4">
        <w:rPr>
          <w:rFonts w:ascii="Arial" w:hAnsi="Arial" w:eastAsia="Arial" w:cs="Arial"/>
          <w:b/>
          <w:bCs/>
          <w:color w:val="000000"/>
          <w:sz w:val="22"/>
          <w:szCs w:val="22"/>
          <w:lang w:val="en-US"/>
        </w:rPr>
        <w:t>Design Supportive Environments</w:t>
      </w:r>
      <w:r w:rsidRPr="00C719C4">
        <w:rPr>
          <w:rFonts w:ascii="Arial" w:hAnsi="Arial" w:eastAsia="Arial" w:cs="Arial"/>
          <w:color w:val="000000"/>
          <w:sz w:val="22"/>
          <w:szCs w:val="22"/>
          <w:lang w:val="en-US"/>
        </w:rPr>
        <w:t xml:space="preserve"> – Design familiar and relaxing areas with personal items, music, and colors that bring positive memories (Kitwood, 1997).</w:t>
      </w:r>
    </w:p>
    <w:p w:rsidR="00324E1B" w:rsidRDefault="00324E1B" w14:paraId="59B3506E" w14:textId="77777777">
      <w:pPr>
        <w:spacing w:before="280" w:after="280" w:line="240" w:lineRule="auto"/>
        <w:jc w:val="both"/>
        <w:rPr>
          <w:rFonts w:ascii="Arial" w:hAnsi="Arial" w:eastAsia="Arial" w:cs="Arial"/>
          <w:b/>
          <w:bCs/>
          <w:color w:val="000000"/>
          <w:sz w:val="22"/>
          <w:szCs w:val="22"/>
          <w:lang w:val="en-US"/>
        </w:rPr>
      </w:pPr>
    </w:p>
    <w:p w:rsidR="00324E1B" w:rsidRDefault="00324E1B" w14:paraId="4F2171A3" w14:textId="77777777">
      <w:pPr>
        <w:spacing w:before="280" w:after="280" w:line="240" w:lineRule="auto"/>
        <w:jc w:val="both"/>
        <w:rPr>
          <w:rFonts w:ascii="Arial" w:hAnsi="Arial" w:eastAsia="Arial" w:cs="Arial"/>
          <w:b/>
          <w:bCs/>
          <w:color w:val="000000"/>
          <w:sz w:val="22"/>
          <w:szCs w:val="22"/>
          <w:lang w:val="en-US"/>
        </w:rPr>
      </w:pPr>
    </w:p>
    <w:p w:rsidR="00B246DB" w:rsidRDefault="00B246DB" w14:paraId="511166B6" w14:textId="77777777">
      <w:pPr>
        <w:spacing w:before="280" w:after="280" w:line="240" w:lineRule="auto"/>
        <w:jc w:val="both"/>
      </w:pPr>
      <w:r>
        <w:rPr>
          <w:rFonts w:ascii="Arial" w:hAnsi="Arial" w:eastAsia="Arial" w:cs="Arial"/>
          <w:b/>
          <w:bCs/>
          <w:color w:val="000000"/>
          <w:sz w:val="22"/>
          <w:szCs w:val="22"/>
          <w:lang w:val="en-US"/>
        </w:rPr>
        <w:t>6. Conclusion</w:t>
      </w:r>
    </w:p>
    <w:p w:rsidR="00B246DB" w:rsidRDefault="00B246DB" w14:paraId="239E2E8F" w14:textId="77777777">
      <w:pPr>
        <w:spacing w:before="280" w:after="280" w:line="360" w:lineRule="auto"/>
        <w:jc w:val="both"/>
      </w:pPr>
      <w:r>
        <w:rPr>
          <w:rFonts w:ascii="Arial" w:hAnsi="Arial" w:eastAsia="Arial" w:cs="Arial"/>
          <w:color w:val="000000"/>
          <w:sz w:val="22"/>
          <w:szCs w:val="22"/>
          <w:lang w:val="en-US"/>
        </w:rPr>
        <w:t>Practically, these theories promote an individual, caring stance, one that cherishes empathy, dignity, and self-perpetuation. With health and social care professionals consistently implementing such ideas, they do not only enhance the quality of life of residents but also create a more meaningful and humane care environment.</w:t>
      </w:r>
    </w:p>
    <w:p w:rsidR="00B246DB" w:rsidRDefault="00B246DB" w14:paraId="066CE0A5" w14:textId="77777777">
      <w:pPr>
        <w:spacing w:before="280" w:after="280" w:line="360" w:lineRule="auto"/>
        <w:jc w:val="both"/>
      </w:pPr>
      <w:r>
        <w:rPr>
          <w:rFonts w:ascii="Arial" w:hAnsi="Arial" w:eastAsia="Arial" w:cs="Arial"/>
          <w:color w:val="000000"/>
          <w:sz w:val="22"/>
          <w:szCs w:val="22"/>
          <w:lang w:val="en-US"/>
        </w:rPr>
        <w:t>Loss of independence can deeply affect older adults’ sense of self. A person-centered environment helps residents maintain dignity by focusing on what they can do rather than what they cannot. Encouraging participation in simple activities such as folding laundry, painting, or singing can restore a sense of purpose and self-worth.</w:t>
      </w:r>
      <w:r>
        <w:rPr>
          <w:rFonts w:ascii="Arial" w:hAnsi="Arial" w:eastAsia="Arial" w:cs="Arial"/>
          <w:color w:val="000000"/>
          <w:sz w:val="22"/>
          <w:szCs w:val="22"/>
        </w:rPr>
        <w:t xml:space="preserve"> </w:t>
      </w:r>
    </w:p>
    <w:p w:rsidR="00B246DB" w:rsidRDefault="00B246DB" w14:paraId="19F2D25D" w14:textId="77777777">
      <w:pPr>
        <w:rPr>
          <w:rFonts w:ascii="Times New Roman" w:hAnsi="Times New Roman" w:eastAsia="Times New Roman" w:cs="Times New Roman"/>
          <w:color w:val="000000"/>
          <w:sz w:val="28"/>
          <w:szCs w:val="28"/>
        </w:rPr>
      </w:pPr>
    </w:p>
    <w:p w:rsidR="00B246DB" w:rsidRDefault="00E43DB0" w14:paraId="137D0B03" w14:textId="77777777">
      <w:pPr>
        <w:spacing w:before="280" w:after="280" w:line="240" w:lineRule="auto"/>
        <w:jc w:val="both"/>
      </w:pPr>
      <w:r>
        <w:rPr>
          <w:rFonts w:ascii="Arial" w:hAnsi="Arial" w:eastAsia="Arial" w:cs="Arial"/>
          <w:b/>
          <w:bCs/>
          <w:color w:val="000000"/>
          <w:lang w:val="en-US"/>
        </w:rPr>
        <w:br w:type="page"/>
      </w:r>
      <w:r w:rsidR="00B246DB">
        <w:rPr>
          <w:rFonts w:ascii="Arial" w:hAnsi="Arial" w:eastAsia="Arial" w:cs="Arial"/>
          <w:b/>
          <w:bCs/>
          <w:color w:val="000000"/>
          <w:lang w:val="en-US"/>
        </w:rPr>
        <w:t xml:space="preserve">References </w:t>
      </w:r>
    </w:p>
    <w:p w:rsidRPr="00E43DB0" w:rsidR="00E43DB0" w:rsidP="00E43DB0" w:rsidRDefault="00E43DB0" w14:paraId="3F1C21AB" w14:textId="77777777">
      <w:pPr>
        <w:spacing w:before="280" w:after="280" w:line="240" w:lineRule="auto"/>
        <w:jc w:val="both"/>
        <w:rPr>
          <w:rFonts w:ascii="Arial" w:hAnsi="Arial" w:eastAsia="Arial" w:cs="Arial"/>
          <w:color w:val="000000"/>
          <w:sz w:val="22"/>
          <w:szCs w:val="22"/>
          <w:lang w:val="en-US"/>
        </w:rPr>
      </w:pPr>
      <w:r w:rsidRPr="00E43DB0">
        <w:rPr>
          <w:rFonts w:ascii="Arial" w:hAnsi="Arial" w:eastAsia="Arial" w:cs="Arial"/>
          <w:color w:val="000000"/>
          <w:sz w:val="22"/>
          <w:szCs w:val="22"/>
          <w:lang w:val="en-US"/>
        </w:rPr>
        <w:t xml:space="preserve">Brooker, D. &amp; Latham, I. (2016) </w:t>
      </w:r>
      <w:r w:rsidRPr="00E43DB0">
        <w:rPr>
          <w:rFonts w:ascii="Arial" w:hAnsi="Arial" w:eastAsia="Arial" w:cs="Arial"/>
          <w:i/>
          <w:iCs/>
          <w:color w:val="000000"/>
          <w:sz w:val="22"/>
          <w:szCs w:val="22"/>
          <w:lang w:val="en-US"/>
        </w:rPr>
        <w:t>Person-Centred Dementia Care: Making Services Better.</w:t>
      </w:r>
      <w:r w:rsidRPr="00E43DB0">
        <w:rPr>
          <w:rFonts w:ascii="Arial" w:hAnsi="Arial" w:eastAsia="Arial" w:cs="Arial"/>
          <w:color w:val="000000"/>
          <w:sz w:val="22"/>
          <w:szCs w:val="22"/>
          <w:lang w:val="en-US"/>
        </w:rPr>
        <w:t xml:space="preserve"> 2nd edn. Jessica Kingsley Publishers.</w:t>
      </w:r>
    </w:p>
    <w:p w:rsidR="00E43DB0" w:rsidRDefault="00E43DB0" w14:paraId="35448413" w14:textId="77777777">
      <w:pPr>
        <w:spacing w:before="280" w:after="280" w:line="240" w:lineRule="auto"/>
        <w:jc w:val="both"/>
      </w:pPr>
      <w:r>
        <w:rPr>
          <w:rFonts w:ascii="Arial" w:hAnsi="Arial" w:eastAsia="Arial" w:cs="Arial"/>
          <w:color w:val="000000"/>
          <w:sz w:val="22"/>
          <w:szCs w:val="22"/>
          <w:lang w:val="en-US"/>
        </w:rPr>
        <w:t>Brooker, D. (2007). Person-Centered Dementia Care: Making Services Better. Jessica Kingsley Publishers.</w:t>
      </w:r>
    </w:p>
    <w:p w:rsidR="00E43DB0" w:rsidRDefault="00E43DB0" w14:paraId="208B9669" w14:textId="77777777">
      <w:pPr>
        <w:spacing w:before="280" w:after="280" w:line="240" w:lineRule="auto"/>
        <w:jc w:val="both"/>
      </w:pPr>
      <w:r>
        <w:rPr>
          <w:rFonts w:ascii="Arial" w:hAnsi="Arial" w:eastAsia="Arial" w:cs="Arial"/>
          <w:color w:val="000000"/>
          <w:sz w:val="22"/>
          <w:szCs w:val="22"/>
          <w:lang w:val="en-US"/>
        </w:rPr>
        <w:t>Clare, L., Nelis, S. M., Quinn, C. &amp; Martyr, A. (2019) ‘Improving the experience of dementia and enhancing active life – living well with dementia: IDEAL study’, Health and Quality of Life Outcomes, 17(1), pp. 121–130.</w:t>
      </w:r>
    </w:p>
    <w:p w:rsidR="00E43DB0" w:rsidRDefault="00E43DB0" w14:paraId="2615F4E4" w14:textId="77777777">
      <w:pPr>
        <w:spacing w:before="280" w:after="280" w:line="240" w:lineRule="auto"/>
        <w:jc w:val="both"/>
      </w:pPr>
      <w:r>
        <w:rPr>
          <w:rFonts w:ascii="Arial" w:hAnsi="Arial" w:eastAsia="Arial" w:cs="Arial"/>
          <w:color w:val="000000"/>
          <w:sz w:val="22"/>
          <w:szCs w:val="22"/>
          <w:lang w:val="en-US"/>
        </w:rPr>
        <w:t>Erikson, E. H. (1950)</w:t>
      </w:r>
      <w:bookmarkStart w:name="_Int_12z9oBC6" w:id="0"/>
      <w:r>
        <w:rPr>
          <w:rFonts w:ascii="Arial" w:hAnsi="Arial" w:eastAsia="Arial" w:cs="Arial"/>
          <w:color w:val="000000"/>
          <w:sz w:val="22"/>
          <w:szCs w:val="22"/>
          <w:lang w:val="en-US"/>
        </w:rPr>
        <w:t xml:space="preserve"> Childhood</w:t>
      </w:r>
      <w:bookmarkEnd w:id="0"/>
      <w:r>
        <w:rPr>
          <w:rFonts w:ascii="Arial" w:hAnsi="Arial" w:eastAsia="Arial" w:cs="Arial"/>
          <w:color w:val="000000"/>
          <w:sz w:val="22"/>
          <w:szCs w:val="22"/>
          <w:lang w:val="en-US"/>
        </w:rPr>
        <w:t xml:space="preserve"> and Society, W. W. Norton.</w:t>
      </w:r>
    </w:p>
    <w:p w:rsidR="00E43DB0" w:rsidRDefault="00E43DB0" w14:paraId="336091E4" w14:textId="77777777">
      <w:pPr>
        <w:spacing w:before="280" w:after="280" w:line="240" w:lineRule="auto"/>
        <w:jc w:val="both"/>
      </w:pPr>
      <w:r>
        <w:rPr>
          <w:rFonts w:ascii="Arial" w:hAnsi="Arial" w:eastAsia="Arial" w:cs="Arial"/>
          <w:color w:val="000000"/>
          <w:sz w:val="22"/>
          <w:szCs w:val="22"/>
          <w:lang w:val="en-US"/>
        </w:rPr>
        <w:t>Erikson, E. H. (1982) The Life Cycle Completed. W. W. Norton.</w:t>
      </w:r>
    </w:p>
    <w:p w:rsidRPr="00E43DB0" w:rsidR="00E43DB0" w:rsidP="00E43DB0" w:rsidRDefault="00E43DB0" w14:paraId="1AC9A11C" w14:textId="77777777">
      <w:pPr>
        <w:spacing w:before="280" w:after="280" w:line="240" w:lineRule="auto"/>
        <w:jc w:val="both"/>
        <w:rPr>
          <w:rFonts w:ascii="Arial" w:hAnsi="Arial" w:eastAsia="Arial" w:cs="Arial"/>
          <w:color w:val="000000"/>
          <w:sz w:val="22"/>
          <w:szCs w:val="22"/>
          <w:lang w:val="en-US"/>
        </w:rPr>
      </w:pPr>
      <w:r w:rsidRPr="00E43DB0">
        <w:rPr>
          <w:rFonts w:ascii="Arial" w:hAnsi="Arial" w:eastAsia="Arial" w:cs="Arial"/>
          <w:color w:val="000000"/>
          <w:sz w:val="22"/>
          <w:szCs w:val="22"/>
          <w:lang w:val="en-US"/>
        </w:rPr>
        <w:t xml:space="preserve">Erikson, E.H. (1997) </w:t>
      </w:r>
      <w:r w:rsidRPr="00E43DB0">
        <w:rPr>
          <w:rFonts w:ascii="Arial" w:hAnsi="Arial" w:eastAsia="Arial" w:cs="Arial"/>
          <w:i/>
          <w:iCs/>
          <w:color w:val="000000"/>
          <w:sz w:val="22"/>
          <w:szCs w:val="22"/>
          <w:lang w:val="en-US"/>
        </w:rPr>
        <w:t>The Life Cycle Completed: Extended Version.</w:t>
      </w:r>
      <w:r w:rsidRPr="00E43DB0">
        <w:rPr>
          <w:rFonts w:ascii="Arial" w:hAnsi="Arial" w:eastAsia="Arial" w:cs="Arial"/>
          <w:color w:val="000000"/>
          <w:sz w:val="22"/>
          <w:szCs w:val="22"/>
          <w:lang w:val="en-US"/>
        </w:rPr>
        <w:t xml:space="preserve"> W. W. Norton &amp; Company.</w:t>
      </w:r>
    </w:p>
    <w:p w:rsidR="00E43DB0" w:rsidRDefault="00E43DB0" w14:paraId="44367B60" w14:textId="77777777">
      <w:pPr>
        <w:spacing w:before="280" w:after="280" w:line="240" w:lineRule="auto"/>
        <w:jc w:val="both"/>
      </w:pPr>
      <w:r>
        <w:rPr>
          <w:rFonts w:ascii="Arial" w:hAnsi="Arial" w:eastAsia="Arial" w:cs="Arial"/>
          <w:color w:val="000000"/>
          <w:sz w:val="22"/>
          <w:szCs w:val="22"/>
          <w:lang w:val="en-US"/>
        </w:rPr>
        <w:t>Feil, N. &amp; De Klerk-Rubin, V. (2020) The Validation Breakthrough: Simple Techniques for Communicating with People with Alzheimer’s-Type Dementia. 3rd edn.</w:t>
      </w:r>
      <w:r>
        <w:rPr>
          <w:rFonts w:ascii="Arial" w:hAnsi="Arial" w:eastAsia="Arial" w:cs="Arial"/>
          <w:color w:val="C9211E"/>
          <w:sz w:val="22"/>
          <w:szCs w:val="22"/>
          <w:lang w:val="en-US"/>
        </w:rPr>
        <w:t xml:space="preserve"> </w:t>
      </w:r>
      <w:r>
        <w:rPr>
          <w:rFonts w:ascii="Arial" w:hAnsi="Arial" w:eastAsia="Arial" w:cs="Arial"/>
          <w:color w:val="000000"/>
          <w:sz w:val="22"/>
          <w:szCs w:val="22"/>
          <w:lang w:val="en-US"/>
        </w:rPr>
        <w:t>Health Professions Press.</w:t>
      </w:r>
    </w:p>
    <w:p w:rsidR="00E43DB0" w:rsidRDefault="00E43DB0" w14:paraId="7927E14C" w14:textId="77777777">
      <w:pPr>
        <w:spacing w:before="280" w:after="280" w:line="240" w:lineRule="auto"/>
        <w:jc w:val="both"/>
      </w:pPr>
      <w:r>
        <w:rPr>
          <w:rFonts w:ascii="Arial" w:hAnsi="Arial" w:eastAsia="Arial" w:cs="Arial"/>
          <w:color w:val="000000"/>
          <w:sz w:val="22"/>
          <w:szCs w:val="22"/>
          <w:lang w:val="en-US"/>
        </w:rPr>
        <w:t>Kitwood, T. (1997) Dementia Reconsidered: The Person Comes First. Open University Press.</w:t>
      </w:r>
    </w:p>
    <w:p w:rsidR="00E43DB0" w:rsidRDefault="00E43DB0" w14:paraId="09FB0F22" w14:textId="77777777">
      <w:pPr>
        <w:spacing w:before="280" w:after="280" w:line="240" w:lineRule="auto"/>
        <w:jc w:val="both"/>
      </w:pPr>
      <w:r>
        <w:rPr>
          <w:rFonts w:ascii="Arial" w:hAnsi="Arial" w:eastAsia="Arial" w:cs="Arial"/>
          <w:color w:val="000000"/>
          <w:sz w:val="22"/>
          <w:szCs w:val="22"/>
          <w:lang w:val="en-US"/>
        </w:rPr>
        <w:t>Knight, B. G. &amp; Laidlaw, K. (2020) Translational Theory in Clinical Psychology: Application to Dementia Care. Routledge.</w:t>
      </w:r>
    </w:p>
    <w:p w:rsidR="00E43DB0" w:rsidRDefault="00E43DB0" w14:paraId="7F803BD4" w14:textId="77777777">
      <w:pPr>
        <w:spacing w:before="280" w:after="280" w:line="240" w:lineRule="auto"/>
        <w:jc w:val="both"/>
      </w:pPr>
      <w:r>
        <w:rPr>
          <w:rFonts w:ascii="Arial" w:hAnsi="Arial" w:eastAsia="Arial" w:cs="Arial"/>
          <w:color w:val="000000"/>
          <w:sz w:val="22"/>
          <w:szCs w:val="22"/>
          <w:lang w:val="en-US"/>
        </w:rPr>
        <w:t>McCormack, B. &amp; McCance, T. (2017) Person-Centred Practice in Nursing and Health Care: Theory and Practice. 2nd edn. Wiley-Blackwell.</w:t>
      </w:r>
    </w:p>
    <w:p w:rsidR="00E43DB0" w:rsidRDefault="00E43DB0" w14:paraId="758421DC" w14:textId="77777777">
      <w:pPr>
        <w:spacing w:before="280" w:after="280" w:line="240" w:lineRule="auto"/>
        <w:jc w:val="both"/>
      </w:pPr>
      <w:r>
        <w:rPr>
          <w:rFonts w:ascii="Arial" w:hAnsi="Arial" w:eastAsia="Arial" w:cs="Arial"/>
          <w:color w:val="000000"/>
          <w:sz w:val="22"/>
          <w:szCs w:val="22"/>
          <w:lang w:val="en-US"/>
        </w:rPr>
        <w:t>Rogers, C. R. (1959) ‘A Theory of Therapy, Personality, and Interpersonal Relationships’, in Koch, S. (ed.) Psychology: A Study of a Science. McGraw-Hill.</w:t>
      </w:r>
    </w:p>
    <w:p w:rsidRPr="00E43DB0" w:rsidR="00E43DB0" w:rsidP="00E43DB0" w:rsidRDefault="00E43DB0" w14:paraId="6913D9D9" w14:textId="77777777">
      <w:pPr>
        <w:spacing w:before="280" w:after="280" w:line="240" w:lineRule="auto"/>
        <w:jc w:val="both"/>
        <w:rPr>
          <w:rFonts w:ascii="Arial" w:hAnsi="Arial" w:eastAsia="Arial" w:cs="Arial"/>
          <w:color w:val="000000"/>
          <w:sz w:val="22"/>
          <w:szCs w:val="22"/>
          <w:lang w:val="en-US"/>
        </w:rPr>
      </w:pPr>
      <w:r w:rsidRPr="00E43DB0">
        <w:rPr>
          <w:rFonts w:ascii="Arial" w:hAnsi="Arial" w:eastAsia="Arial" w:cs="Arial"/>
          <w:color w:val="000000"/>
          <w:sz w:val="22"/>
          <w:szCs w:val="22"/>
          <w:lang w:val="en-US"/>
        </w:rPr>
        <w:t xml:space="preserve">Rogers, C.R. (1980) </w:t>
      </w:r>
      <w:r w:rsidRPr="00E43DB0">
        <w:rPr>
          <w:rFonts w:ascii="Arial" w:hAnsi="Arial" w:eastAsia="Arial" w:cs="Arial"/>
          <w:i/>
          <w:iCs/>
          <w:color w:val="000000"/>
          <w:sz w:val="22"/>
          <w:szCs w:val="22"/>
          <w:lang w:val="en-US"/>
        </w:rPr>
        <w:t>A Way of Being.</w:t>
      </w:r>
      <w:r w:rsidRPr="00E43DB0">
        <w:rPr>
          <w:rFonts w:ascii="Arial" w:hAnsi="Arial" w:eastAsia="Arial" w:cs="Arial"/>
          <w:color w:val="000000"/>
          <w:sz w:val="22"/>
          <w:szCs w:val="22"/>
          <w:lang w:val="en-US"/>
        </w:rPr>
        <w:t xml:space="preserve"> Houghton Mifflin.</w:t>
      </w:r>
    </w:p>
    <w:p w:rsidRPr="00E43DB0" w:rsidR="00E43DB0" w:rsidP="00E43DB0" w:rsidRDefault="00E43DB0" w14:paraId="39994D72" w14:textId="77777777">
      <w:pPr>
        <w:spacing w:before="280" w:after="280" w:line="240" w:lineRule="auto"/>
        <w:jc w:val="both"/>
        <w:rPr>
          <w:rFonts w:ascii="Arial" w:hAnsi="Arial" w:eastAsia="Arial" w:cs="Arial"/>
          <w:color w:val="000000"/>
          <w:sz w:val="22"/>
          <w:szCs w:val="22"/>
          <w:lang w:val="en-US"/>
        </w:rPr>
      </w:pPr>
      <w:r w:rsidRPr="00E43DB0">
        <w:rPr>
          <w:rFonts w:ascii="Arial" w:hAnsi="Arial" w:eastAsia="Arial" w:cs="Arial"/>
          <w:color w:val="000000"/>
          <w:sz w:val="22"/>
          <w:szCs w:val="22"/>
          <w:lang w:val="en-US"/>
        </w:rPr>
        <w:t xml:space="preserve">Schön, D.A. (1983) </w:t>
      </w:r>
      <w:r w:rsidRPr="00E43DB0">
        <w:rPr>
          <w:rFonts w:ascii="Arial" w:hAnsi="Arial" w:eastAsia="Arial" w:cs="Arial"/>
          <w:i/>
          <w:iCs/>
          <w:color w:val="000000"/>
          <w:sz w:val="22"/>
          <w:szCs w:val="22"/>
          <w:lang w:val="en-US"/>
        </w:rPr>
        <w:t>The Reflective Practitioner: How Professionals Think in Action.</w:t>
      </w:r>
      <w:r w:rsidRPr="00E43DB0">
        <w:rPr>
          <w:rFonts w:ascii="Arial" w:hAnsi="Arial" w:eastAsia="Arial" w:cs="Arial"/>
          <w:color w:val="000000"/>
          <w:sz w:val="22"/>
          <w:szCs w:val="22"/>
          <w:lang w:val="en-US"/>
        </w:rPr>
        <w:t xml:space="preserve"> Basic Books.</w:t>
      </w:r>
    </w:p>
    <w:p w:rsidR="00E43DB0" w:rsidRDefault="00E43DB0" w14:paraId="493CF2AB" w14:textId="77777777">
      <w:pPr>
        <w:spacing w:before="280" w:after="280" w:line="240" w:lineRule="auto"/>
        <w:jc w:val="both"/>
      </w:pPr>
      <w:r>
        <w:rPr>
          <w:rFonts w:ascii="Arial" w:hAnsi="Arial" w:eastAsia="Arial" w:cs="Arial"/>
          <w:color w:val="000000"/>
          <w:sz w:val="22"/>
          <w:szCs w:val="22"/>
          <w:lang w:val="en-US"/>
        </w:rPr>
        <w:t>Woods, B., O’Philbin, L., Farrell, E. M., Spector, A. E. &amp; Orrell, M. (2018) ‘Reminiscence therapy for dementia’, Cochrane Database of Systematic Reviews, 3, CD001120.</w:t>
      </w:r>
    </w:p>
    <w:p w:rsidR="00E43DB0" w:rsidRDefault="00E43DB0" w14:paraId="4236654F" w14:textId="77777777">
      <w:pPr>
        <w:spacing w:before="280" w:after="280" w:line="240" w:lineRule="auto"/>
        <w:jc w:val="both"/>
      </w:pPr>
      <w:r>
        <w:rPr>
          <w:rFonts w:ascii="Arial" w:hAnsi="Arial" w:eastAsia="Arial" w:cs="Arial"/>
          <w:color w:val="000000"/>
          <w:sz w:val="22"/>
          <w:szCs w:val="22"/>
          <w:lang w:val="en-US"/>
        </w:rPr>
        <w:t xml:space="preserve">World Health Organization (2023) Dementia Fact Sheet. Available at: </w:t>
      </w:r>
      <w:hyperlink w:history="1" r:id="rId8">
        <w:r>
          <w:rPr>
            <w:rStyle w:val="Hyperlink"/>
            <w:rFonts w:ascii="Arial" w:hAnsi="Arial" w:eastAsia="Arial" w:cs="Arial"/>
            <w:color w:val="000000"/>
            <w:sz w:val="22"/>
            <w:szCs w:val="22"/>
            <w:lang w:val="en-US"/>
          </w:rPr>
          <w:t>https://www.who.int/news-room/fact-sheets/detail/dementia</w:t>
        </w:r>
      </w:hyperlink>
      <w:r>
        <w:rPr>
          <w:rFonts w:ascii="Arial" w:hAnsi="Arial" w:eastAsia="Arial" w:cs="Arial"/>
          <w:color w:val="000000"/>
          <w:sz w:val="22"/>
          <w:szCs w:val="22"/>
          <w:lang w:val="en-US"/>
        </w:rPr>
        <w:t xml:space="preserve"> (Accessed: 20 October 2025).</w:t>
      </w:r>
    </w:p>
    <w:p w:rsidR="00B246DB" w:rsidRDefault="00B246DB" w14:paraId="3BD963B6" w14:textId="77777777"/>
    <w:sectPr w:rsidR="00B246D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font1312">
    <w:altName w:val="Times New Roman"/>
    <w:charset w:val="00"/>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D877B4C"/>
    <w:multiLevelType w:val="hybridMultilevel"/>
    <w:tmpl w:val="A754ED22"/>
    <w:lvl w:ilvl="0" w:tplc="B8DEA580">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582B21D3"/>
    <w:multiLevelType w:val="hybridMultilevel"/>
    <w:tmpl w:val="A85442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B9F7159"/>
    <w:multiLevelType w:val="hybridMultilevel"/>
    <w:tmpl w:val="79321752"/>
    <w:lvl w:ilvl="0" w:tplc="B8DEA580">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54590600">
    <w:abstractNumId w:val="0"/>
  </w:num>
  <w:num w:numId="2" w16cid:durableId="1281958409">
    <w:abstractNumId w:val="1"/>
  </w:num>
  <w:num w:numId="3" w16cid:durableId="1537572847">
    <w:abstractNumId w:val="3"/>
  </w:num>
  <w:num w:numId="4" w16cid:durableId="1044720231">
    <w:abstractNumId w:val="2"/>
  </w:num>
  <w:num w:numId="5" w16cid:durableId="182966272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19C4"/>
    <w:rsid w:val="000820B8"/>
    <w:rsid w:val="000C0DD8"/>
    <w:rsid w:val="00157051"/>
    <w:rsid w:val="00184803"/>
    <w:rsid w:val="001C36FF"/>
    <w:rsid w:val="00324E1B"/>
    <w:rsid w:val="0049076C"/>
    <w:rsid w:val="005704A9"/>
    <w:rsid w:val="008D77DE"/>
    <w:rsid w:val="00915072"/>
    <w:rsid w:val="00984526"/>
    <w:rsid w:val="00B246DB"/>
    <w:rsid w:val="00B64ACE"/>
    <w:rsid w:val="00B94200"/>
    <w:rsid w:val="00BB008B"/>
    <w:rsid w:val="00C719C4"/>
    <w:rsid w:val="00CD2EA7"/>
    <w:rsid w:val="00E23D4C"/>
    <w:rsid w:val="00E43DB0"/>
    <w:rsid w:val="00F42CE8"/>
    <w:rsid w:val="03C152AB"/>
    <w:rsid w:val="1E3599DF"/>
    <w:rsid w:val="452A5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983DC11"/>
  <w15:chartTrackingRefBased/>
  <w15:docId w15:val="{D8EC8C3E-DFE9-4CE7-AE5D-51E6277F65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160" w:line="278" w:lineRule="auto"/>
    </w:pPr>
    <w:rPr>
      <w:rFonts w:ascii="Aptos" w:hAnsi="Aptos" w:eastAsia="font1312" w:cs="font1312"/>
      <w:sz w:val="24"/>
      <w:szCs w:val="24"/>
      <w:lang w:eastAsia="ja-JP"/>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DefaultParagraphFont0">
    <w:name w:val="Default Paragraph Font0"/>
  </w:style>
  <w:style w:type="character" w:styleId="Hyperlink">
    <w:name w:val="Hyperlink"/>
    <w:rPr>
      <w:color w:val="467886"/>
      <w:u w:val="single"/>
    </w:rPr>
  </w:style>
  <w:style w:type="paragraph" w:styleId="Heading" w:customStyle="1">
    <w:name w:val="Heading"/>
    <w:basedOn w:val="Normal"/>
    <w:next w:val="BodyText"/>
    <w:pPr>
      <w:keepNext/>
      <w:spacing w:before="240" w:after="120"/>
    </w:pPr>
    <w:rPr>
      <w:rFonts w:ascii="Liberation Sans" w:hAnsi="Liberation Sans" w:eastAsia="Microsoft YaHei"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styleId="Index" w:customStyle="1">
    <w:name w:val="Index"/>
    <w:basedOn w:val="Normal"/>
    <w:pPr>
      <w:suppressLineNumbers/>
    </w:pPr>
    <w:rPr>
      <w:rFonts w:cs="Arial"/>
    </w:rPr>
  </w:style>
  <w:style w:type="paragraph" w:styleId="ListParagraph">
    <w:name w:val="List Paragraph"/>
    <w:basedOn w:val="Normal"/>
    <w:qFormat/>
    <w:pPr>
      <w:ind w:left="720"/>
      <w:contextualSpacing/>
    </w:pPr>
  </w:style>
  <w:style w:type="paragraph" w:styleId="NormalWeb">
    <w:name w:val="Normal (Web)"/>
    <w:basedOn w:val="Normal"/>
    <w:uiPriority w:val="99"/>
    <w:semiHidden/>
    <w:unhideWhenUsed/>
    <w:rsid w:val="00C719C4"/>
    <w:pPr>
      <w:suppressAutoHyphens w:val="0"/>
      <w:spacing w:before="100" w:beforeAutospacing="1" w:after="100" w:afterAutospacing="1" w:line="240" w:lineRule="auto"/>
    </w:pPr>
    <w:rPr>
      <w:rFonts w:ascii="Times New Roman" w:hAnsi="Times New Roman" w:eastAsia="Times New Roman" w:cs="Times New Roman"/>
      <w:lang w:val="en-US" w:eastAsia="en-US"/>
    </w:rPr>
  </w:style>
  <w:style w:type="character" w:styleId="Emphasis">
    <w:name w:val="Emphasis"/>
    <w:uiPriority w:val="20"/>
    <w:qFormat/>
    <w:rsid w:val="00C719C4"/>
    <w:rPr>
      <w:i/>
      <w:iCs/>
    </w:rPr>
  </w:style>
  <w:style w:type="character" w:styleId="Strong">
    <w:name w:val="Strong"/>
    <w:uiPriority w:val="22"/>
    <w:qFormat/>
    <w:rsid w:val="00C719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289981">
      <w:bodyDiv w:val="1"/>
      <w:marLeft w:val="0"/>
      <w:marRight w:val="0"/>
      <w:marTop w:val="0"/>
      <w:marBottom w:val="0"/>
      <w:divBdr>
        <w:top w:val="none" w:sz="0" w:space="0" w:color="auto"/>
        <w:left w:val="none" w:sz="0" w:space="0" w:color="auto"/>
        <w:bottom w:val="none" w:sz="0" w:space="0" w:color="auto"/>
        <w:right w:val="none" w:sz="0" w:space="0" w:color="auto"/>
      </w:divBdr>
    </w:div>
    <w:div w:id="139285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ho.int/news-room/fact-sheets/detail/dementia"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04eaef7fbbfb81dbff120e74e3291999">
  <xsd:schema xmlns:xsd="http://www.w3.org/2001/XMLSchema" xmlns:xs="http://www.w3.org/2001/XMLSchema" xmlns:p="http://schemas.microsoft.com/office/2006/metadata/properties" xmlns:ns3="ccfc14db-0f45-423b-b2f5-752f8f8a0ada" targetNamespace="http://schemas.microsoft.com/office/2006/metadata/properties" ma:root="true" ma:fieldsID="2755884986ba46d594f9ad46c78dcb3f"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C9EB2953-A6A3-405A-973F-FFD436420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3D4FB7-335D-4305-988F-B2B40C9DD655}">
  <ds:schemaRefs>
    <ds:schemaRef ds:uri="http://schemas.microsoft.com/sharepoint/v3/contenttype/forms"/>
  </ds:schemaRefs>
</ds:datastoreItem>
</file>

<file path=customXml/itemProps3.xml><?xml version="1.0" encoding="utf-8"?>
<ds:datastoreItem xmlns:ds="http://schemas.openxmlformats.org/officeDocument/2006/customXml" ds:itemID="{5D1567D7-0FFF-47A7-AC14-576470861F30}">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Ghazala Hussain (2408113)</dc:creator>
  <keywords/>
  <lastModifiedBy>Ghazala Hussain (2408113)</lastModifiedBy>
  <revision>4</revision>
  <lastPrinted>1601-01-01T00:00:00.0000000Z</lastPrinted>
  <dcterms:created xsi:type="dcterms:W3CDTF">2025-11-18T00:32:00.0000000Z</dcterms:created>
  <dcterms:modified xsi:type="dcterms:W3CDTF">2025-11-18T00:34:58.2081413Z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0x0101007810DDF4EC27A54C9626255B384F637A</vt:lpwstr>
  </property>
</Properties>
</file>