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CBC5E" w14:textId="77777777" w:rsidR="00D50359" w:rsidRDefault="00D50359" w:rsidP="00DD46B4">
      <w:bookmarkStart w:id="0" w:name="_Toc70545363"/>
      <w:r w:rsidRPr="007A17AD">
        <w:rPr>
          <w:noProof/>
        </w:rPr>
        <w:drawing>
          <wp:inline distT="0" distB="0" distL="0" distR="0" wp14:anchorId="7B0BF390" wp14:editId="148BCD22">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C7347D3" w14:textId="77777777" w:rsidR="00D50359" w:rsidRPr="003154A1" w:rsidRDefault="00D50359" w:rsidP="00DD46B4"/>
    <w:p w14:paraId="7D975625" w14:textId="7BA6AA6B" w:rsidR="00D50359" w:rsidRPr="006420FB" w:rsidRDefault="00642FC6" w:rsidP="009646B7">
      <w:pPr>
        <w:pStyle w:val="Title"/>
      </w:pPr>
      <w:r>
        <w:t>The Barbican</w:t>
      </w:r>
      <w:r w:rsidR="00B62ACB">
        <w:t xml:space="preserve"> Estate</w:t>
      </w:r>
    </w:p>
    <w:p w14:paraId="31D0CA3F" w14:textId="77777777" w:rsidR="00D50359" w:rsidRPr="003154A1" w:rsidRDefault="00D50359" w:rsidP="00D50359">
      <w:pPr>
        <w:rPr>
          <w:rFonts w:cs="Arial"/>
        </w:rPr>
      </w:pPr>
    </w:p>
    <w:p w14:paraId="31EB8FA8" w14:textId="12EED35D" w:rsidR="00D50359" w:rsidRPr="003154A1" w:rsidRDefault="00642FC6" w:rsidP="009646B7">
      <w:pPr>
        <w:pStyle w:val="Subtitle"/>
      </w:pPr>
      <w:r>
        <w:t>Swansea School of Architecture</w:t>
      </w:r>
    </w:p>
    <w:p w14:paraId="34F2DF6C" w14:textId="03214AF3" w:rsidR="00D50359" w:rsidRDefault="00D50359" w:rsidP="009646B7">
      <w:pPr>
        <w:pStyle w:val="Subtitle"/>
      </w:pPr>
      <w:bookmarkStart w:id="1" w:name="_Toc148468004"/>
      <w:r w:rsidRPr="003154A1">
        <w:t xml:space="preserve">BSc Architecture </w:t>
      </w:r>
      <w:bookmarkEnd w:id="1"/>
    </w:p>
    <w:p w14:paraId="6471FF55" w14:textId="77777777" w:rsidR="00D50359" w:rsidRDefault="00D50359" w:rsidP="00D50359"/>
    <w:p w14:paraId="045D5C90" w14:textId="77777777" w:rsidR="00D50359" w:rsidRDefault="00D50359" w:rsidP="00D50359"/>
    <w:p w14:paraId="0CB4BD62" w14:textId="77777777" w:rsidR="00D50359" w:rsidRDefault="00D50359" w:rsidP="00D50359"/>
    <w:p w14:paraId="0CD20D81" w14:textId="77777777" w:rsidR="00D50359" w:rsidRDefault="00D50359" w:rsidP="00D50359"/>
    <w:p w14:paraId="715CCA7A" w14:textId="77777777" w:rsidR="00D50359" w:rsidRDefault="00D50359" w:rsidP="00D50359"/>
    <w:p w14:paraId="0FD0A881" w14:textId="77777777" w:rsidR="00D50359" w:rsidRDefault="00D50359" w:rsidP="00D50359"/>
    <w:p w14:paraId="52DD0BD8" w14:textId="77777777" w:rsidR="00D50359" w:rsidRDefault="00D50359" w:rsidP="00D50359"/>
    <w:p w14:paraId="051C330A" w14:textId="77777777" w:rsidR="00D50359" w:rsidRDefault="00D50359" w:rsidP="00D50359"/>
    <w:p w14:paraId="25DECABF" w14:textId="77777777" w:rsidR="00D50359" w:rsidRDefault="00D50359" w:rsidP="00D50359"/>
    <w:p w14:paraId="6F14B921" w14:textId="77777777" w:rsidR="00D50359" w:rsidRDefault="00D50359" w:rsidP="00D50359"/>
    <w:p w14:paraId="090F2C97" w14:textId="77777777" w:rsidR="00D50359" w:rsidRDefault="00D50359" w:rsidP="00D50359"/>
    <w:p w14:paraId="262E4B3D" w14:textId="77777777" w:rsidR="00D50359" w:rsidRDefault="00D50359" w:rsidP="00D50359"/>
    <w:p w14:paraId="59092758" w14:textId="77777777" w:rsidR="00D50359" w:rsidRDefault="00D50359" w:rsidP="00D50359"/>
    <w:p w14:paraId="4F37400C" w14:textId="377121F4" w:rsidR="00D50359" w:rsidRPr="008D6E4B" w:rsidRDefault="00D50359" w:rsidP="008D6E4B">
      <w:pPr>
        <w:rPr>
          <w:rStyle w:val="Strong"/>
          <w:b w:val="0"/>
          <w:bCs w:val="0"/>
        </w:rPr>
      </w:pPr>
      <w:r w:rsidRPr="008D6E4B">
        <w:rPr>
          <w:rStyle w:val="Strong"/>
          <w:b w:val="0"/>
          <w:bCs w:val="0"/>
        </w:rPr>
        <w:t xml:space="preserve">Name: </w:t>
      </w:r>
      <w:r w:rsidR="00D079DB">
        <w:rPr>
          <w:rStyle w:val="Strong"/>
          <w:b w:val="0"/>
          <w:bCs w:val="0"/>
        </w:rPr>
        <w:t>William Wilson</w:t>
      </w:r>
    </w:p>
    <w:p w14:paraId="15A0E77A" w14:textId="17B0EDB8" w:rsidR="00D50359" w:rsidRPr="008D6E4B" w:rsidRDefault="00D50359" w:rsidP="008D6E4B">
      <w:pPr>
        <w:rPr>
          <w:rStyle w:val="Strong"/>
          <w:b w:val="0"/>
          <w:bCs w:val="0"/>
        </w:rPr>
      </w:pPr>
      <w:r w:rsidRPr="008D6E4B">
        <w:rPr>
          <w:rStyle w:val="Strong"/>
          <w:b w:val="0"/>
          <w:bCs w:val="0"/>
        </w:rPr>
        <w:t xml:space="preserve">Student Number: </w:t>
      </w:r>
      <w:r w:rsidR="00D079DB">
        <w:rPr>
          <w:rStyle w:val="Strong"/>
          <w:b w:val="0"/>
          <w:bCs w:val="0"/>
        </w:rPr>
        <w:t>2219298</w:t>
      </w:r>
    </w:p>
    <w:p w14:paraId="58DCE200" w14:textId="2484FDB9" w:rsidR="00D50359" w:rsidRPr="008D6E4B" w:rsidRDefault="00D50359" w:rsidP="008D6E4B">
      <w:pPr>
        <w:rPr>
          <w:rStyle w:val="Strong"/>
          <w:b w:val="0"/>
          <w:bCs w:val="0"/>
        </w:rPr>
      </w:pPr>
      <w:r w:rsidRPr="008D6E4B">
        <w:rPr>
          <w:rStyle w:val="Strong"/>
          <w:b w:val="0"/>
          <w:bCs w:val="0"/>
        </w:rPr>
        <w:t xml:space="preserve">Module code: </w:t>
      </w:r>
      <w:r w:rsidR="00D079DB">
        <w:rPr>
          <w:rStyle w:val="Strong"/>
          <w:b w:val="0"/>
          <w:bCs w:val="0"/>
        </w:rPr>
        <w:t>ACAA</w:t>
      </w:r>
      <w:r w:rsidR="00AB7297">
        <w:rPr>
          <w:rStyle w:val="Strong"/>
          <w:b w:val="0"/>
          <w:bCs w:val="0"/>
        </w:rPr>
        <w:t>5003</w:t>
      </w:r>
    </w:p>
    <w:p w14:paraId="2CD6FA0F" w14:textId="49DD022F" w:rsidR="00D50359" w:rsidRPr="008D6E4B" w:rsidRDefault="00D50359" w:rsidP="008D6E4B">
      <w:pPr>
        <w:rPr>
          <w:rStyle w:val="Strong"/>
          <w:b w:val="0"/>
          <w:bCs w:val="0"/>
        </w:rPr>
      </w:pPr>
      <w:r w:rsidRPr="008D6E4B">
        <w:rPr>
          <w:rStyle w:val="Strong"/>
          <w:b w:val="0"/>
          <w:bCs w:val="0"/>
        </w:rPr>
        <w:t xml:space="preserve">Word count </w:t>
      </w:r>
      <w:proofErr w:type="spellStart"/>
      <w:r w:rsidR="00FA773B">
        <w:rPr>
          <w:rStyle w:val="Strong"/>
          <w:b w:val="0"/>
          <w:bCs w:val="0"/>
        </w:rPr>
        <w:t>Aprox</w:t>
      </w:r>
      <w:proofErr w:type="spellEnd"/>
      <w:r w:rsidR="00FA773B">
        <w:rPr>
          <w:rStyle w:val="Strong"/>
          <w:b w:val="0"/>
          <w:bCs w:val="0"/>
        </w:rPr>
        <w:t>. 2670</w:t>
      </w:r>
    </w:p>
    <w:p w14:paraId="4E43E60B" w14:textId="6EDAF761" w:rsidR="00492A4F" w:rsidRPr="008D6E4B" w:rsidRDefault="00D50359" w:rsidP="008D6E4B">
      <w:pPr>
        <w:rPr>
          <w:rStyle w:val="Strong"/>
          <w:b w:val="0"/>
          <w:bCs w:val="0"/>
        </w:rPr>
      </w:pPr>
      <w:r w:rsidRPr="008D6E4B">
        <w:rPr>
          <w:rStyle w:val="Strong"/>
          <w:b w:val="0"/>
          <w:bCs w:val="0"/>
        </w:rPr>
        <w:t xml:space="preserve">Date: </w:t>
      </w:r>
      <w:bookmarkEnd w:id="0"/>
      <w:r w:rsidR="000B53B9">
        <w:rPr>
          <w:rStyle w:val="Strong"/>
          <w:b w:val="0"/>
          <w:bCs w:val="0"/>
        </w:rPr>
        <w:t>22/03/2024</w:t>
      </w:r>
    </w:p>
    <w:p w14:paraId="1DDD109C" w14:textId="77777777" w:rsidR="00DD46B4" w:rsidRDefault="00DD46B4">
      <w:pPr>
        <w:sectPr w:rsidR="00DD46B4" w:rsidSect="000F0007">
          <w:headerReference w:type="default" r:id="rId12"/>
          <w:footerReference w:type="default" r:id="rId13"/>
          <w:pgSz w:w="11906" w:h="16838"/>
          <w:pgMar w:top="1440" w:right="1440" w:bottom="1440" w:left="1440" w:header="708" w:footer="708" w:gutter="0"/>
          <w:cols w:space="708"/>
          <w:docGrid w:linePitch="360"/>
        </w:sectPr>
      </w:pPr>
    </w:p>
    <w:sdt>
      <w:sdtPr>
        <w:rPr>
          <w:rFonts w:eastAsiaTheme="minorEastAsia" w:cs="Times New Roman"/>
          <w:b w:val="0"/>
          <w:bCs w:val="0"/>
          <w:kern w:val="0"/>
          <w:sz w:val="22"/>
          <w:szCs w:val="24"/>
        </w:rPr>
        <w:id w:val="-1655438272"/>
        <w:docPartObj>
          <w:docPartGallery w:val="Table of Contents"/>
          <w:docPartUnique/>
        </w:docPartObj>
      </w:sdtPr>
      <w:sdtEndPr>
        <w:rPr>
          <w:noProof/>
        </w:rPr>
      </w:sdtEndPr>
      <w:sdtContent>
        <w:p w14:paraId="44D2F7A1" w14:textId="77777777" w:rsidR="007669DB" w:rsidRDefault="007669DB">
          <w:pPr>
            <w:pStyle w:val="TOCHeading"/>
          </w:pPr>
          <w:r>
            <w:t>Contents</w:t>
          </w:r>
        </w:p>
        <w:p w14:paraId="6C72B5D9" w14:textId="224C2D6D" w:rsidR="007669DB" w:rsidRDefault="007669DB">
          <w:pPr>
            <w:pStyle w:val="TOC1"/>
            <w:tabs>
              <w:tab w:val="right" w:leader="dot" w:pos="9016"/>
            </w:tabs>
            <w:rPr>
              <w:rFonts w:asciiTheme="minorHAnsi" w:hAnsiTheme="minorHAnsi" w:cstheme="minorBidi"/>
              <w:noProof/>
              <w:kern w:val="2"/>
              <w:szCs w:val="22"/>
              <w:lang w:eastAsia="en-GB"/>
              <w14:ligatures w14:val="standardContextual"/>
            </w:rPr>
          </w:pPr>
          <w:r>
            <w:fldChar w:fldCharType="begin"/>
          </w:r>
          <w:r>
            <w:instrText xml:space="preserve"> TOC \o "1-3" \h \z \u </w:instrText>
          </w:r>
          <w:r>
            <w:fldChar w:fldCharType="separate"/>
          </w:r>
          <w:hyperlink w:anchor="_Toc148468002" w:history="1">
            <w:r w:rsidR="00AB7297">
              <w:rPr>
                <w:rStyle w:val="Hyperlink"/>
                <w:noProof/>
              </w:rPr>
              <w:t>The Barbican</w:t>
            </w:r>
            <w:r>
              <w:rPr>
                <w:noProof/>
                <w:webHidden/>
              </w:rPr>
              <w:tab/>
            </w:r>
            <w:r>
              <w:rPr>
                <w:noProof/>
                <w:webHidden/>
              </w:rPr>
              <w:fldChar w:fldCharType="begin"/>
            </w:r>
            <w:r>
              <w:rPr>
                <w:noProof/>
                <w:webHidden/>
              </w:rPr>
              <w:instrText xml:space="preserve"> PAGEREF _Toc148468002 \h </w:instrText>
            </w:r>
            <w:r>
              <w:rPr>
                <w:noProof/>
                <w:webHidden/>
              </w:rPr>
            </w:r>
            <w:r>
              <w:rPr>
                <w:noProof/>
                <w:webHidden/>
              </w:rPr>
              <w:fldChar w:fldCharType="separate"/>
            </w:r>
            <w:r>
              <w:rPr>
                <w:noProof/>
                <w:webHidden/>
              </w:rPr>
              <w:t>1</w:t>
            </w:r>
            <w:r>
              <w:rPr>
                <w:noProof/>
                <w:webHidden/>
              </w:rPr>
              <w:fldChar w:fldCharType="end"/>
            </w:r>
          </w:hyperlink>
        </w:p>
        <w:p w14:paraId="07B74849" w14:textId="5F77721B" w:rsidR="007669DB" w:rsidRDefault="00000000">
          <w:pPr>
            <w:pStyle w:val="TOC2"/>
            <w:tabs>
              <w:tab w:val="right" w:leader="dot" w:pos="9016"/>
            </w:tabs>
            <w:rPr>
              <w:rFonts w:asciiTheme="minorHAnsi" w:hAnsiTheme="minorHAnsi" w:cstheme="minorBidi"/>
              <w:noProof/>
              <w:kern w:val="2"/>
              <w:szCs w:val="22"/>
              <w:lang w:eastAsia="en-GB"/>
              <w14:ligatures w14:val="standardContextual"/>
            </w:rPr>
          </w:pPr>
          <w:hyperlink w:anchor="_Toc148468003" w:history="1">
            <w:r w:rsidR="007669DB" w:rsidRPr="00413236">
              <w:rPr>
                <w:rStyle w:val="Hyperlink"/>
                <w:noProof/>
              </w:rPr>
              <w:t>School of Architecture,</w:t>
            </w:r>
            <w:r w:rsidR="007669DB">
              <w:rPr>
                <w:noProof/>
                <w:webHidden/>
              </w:rPr>
              <w:tab/>
            </w:r>
            <w:r w:rsidR="007669DB">
              <w:rPr>
                <w:noProof/>
                <w:webHidden/>
              </w:rPr>
              <w:fldChar w:fldCharType="begin"/>
            </w:r>
            <w:r w:rsidR="007669DB">
              <w:rPr>
                <w:noProof/>
                <w:webHidden/>
              </w:rPr>
              <w:instrText xml:space="preserve"> PAGEREF _Toc148468003 \h </w:instrText>
            </w:r>
            <w:r w:rsidR="007669DB">
              <w:rPr>
                <w:noProof/>
                <w:webHidden/>
              </w:rPr>
            </w:r>
            <w:r w:rsidR="007669DB">
              <w:rPr>
                <w:noProof/>
                <w:webHidden/>
              </w:rPr>
              <w:fldChar w:fldCharType="separate"/>
            </w:r>
            <w:r w:rsidR="007669DB">
              <w:rPr>
                <w:noProof/>
                <w:webHidden/>
              </w:rPr>
              <w:t>1</w:t>
            </w:r>
            <w:r w:rsidR="007669DB">
              <w:rPr>
                <w:noProof/>
                <w:webHidden/>
              </w:rPr>
              <w:fldChar w:fldCharType="end"/>
            </w:r>
          </w:hyperlink>
        </w:p>
        <w:p w14:paraId="0D697789" w14:textId="2E58DB51"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05" w:history="1">
            <w:r w:rsidR="007669DB" w:rsidRPr="00413236">
              <w:rPr>
                <w:rStyle w:val="Hyperlink"/>
                <w:noProof/>
              </w:rPr>
              <w:t>Introduction</w:t>
            </w:r>
            <w:r w:rsidR="007669DB">
              <w:rPr>
                <w:noProof/>
                <w:webHidden/>
              </w:rPr>
              <w:tab/>
            </w:r>
            <w:r w:rsidR="00FA773B">
              <w:rPr>
                <w:noProof/>
                <w:webHidden/>
              </w:rPr>
              <w:t>3</w:t>
            </w:r>
          </w:hyperlink>
        </w:p>
        <w:p w14:paraId="7F3115E5" w14:textId="0799C781"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08" w:history="1">
            <w:r w:rsidR="007669DB" w:rsidRPr="00413236">
              <w:rPr>
                <w:rStyle w:val="Hyperlink"/>
                <w:noProof/>
              </w:rPr>
              <w:t xml:space="preserve">Chapter 1: </w:t>
            </w:r>
            <w:r w:rsidR="00FA773B">
              <w:rPr>
                <w:rStyle w:val="Hyperlink"/>
                <w:noProof/>
              </w:rPr>
              <w:t>Brutalism</w:t>
            </w:r>
            <w:r w:rsidR="007669DB">
              <w:rPr>
                <w:noProof/>
                <w:webHidden/>
              </w:rPr>
              <w:tab/>
            </w:r>
            <w:r w:rsidR="00FA773B">
              <w:rPr>
                <w:noProof/>
                <w:webHidden/>
              </w:rPr>
              <w:t>4</w:t>
            </w:r>
          </w:hyperlink>
        </w:p>
        <w:p w14:paraId="4700B6FE" w14:textId="004ACEC7"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10" w:history="1">
            <w:r w:rsidR="007669DB" w:rsidRPr="00413236">
              <w:rPr>
                <w:rStyle w:val="Hyperlink"/>
                <w:noProof/>
              </w:rPr>
              <w:t xml:space="preserve">Chapter 2: </w:t>
            </w:r>
            <w:r w:rsidR="00FA773B">
              <w:rPr>
                <w:rStyle w:val="Hyperlink"/>
                <w:noProof/>
              </w:rPr>
              <w:t>Context</w:t>
            </w:r>
            <w:r w:rsidR="007669DB">
              <w:rPr>
                <w:noProof/>
                <w:webHidden/>
              </w:rPr>
              <w:tab/>
            </w:r>
            <w:r w:rsidR="00FA773B">
              <w:rPr>
                <w:noProof/>
                <w:webHidden/>
              </w:rPr>
              <w:t>5</w:t>
            </w:r>
          </w:hyperlink>
        </w:p>
        <w:p w14:paraId="1A72BB22" w14:textId="71267AFC" w:rsidR="007669DB" w:rsidRDefault="00000000">
          <w:pPr>
            <w:pStyle w:val="TOC1"/>
            <w:tabs>
              <w:tab w:val="right" w:leader="dot" w:pos="9016"/>
            </w:tabs>
            <w:rPr>
              <w:noProof/>
            </w:rPr>
          </w:pPr>
          <w:hyperlink w:anchor="_Toc148468012" w:history="1">
            <w:r w:rsidR="007669DB" w:rsidRPr="00413236">
              <w:rPr>
                <w:rStyle w:val="Hyperlink"/>
                <w:noProof/>
              </w:rPr>
              <w:t xml:space="preserve">Chapter 3: </w:t>
            </w:r>
            <w:r w:rsidR="00FA773B">
              <w:rPr>
                <w:rStyle w:val="Hyperlink"/>
                <w:noProof/>
              </w:rPr>
              <w:t>Structures</w:t>
            </w:r>
            <w:r w:rsidR="007669DB">
              <w:rPr>
                <w:noProof/>
                <w:webHidden/>
              </w:rPr>
              <w:tab/>
            </w:r>
            <w:r w:rsidR="00FA773B">
              <w:rPr>
                <w:noProof/>
                <w:webHidden/>
              </w:rPr>
              <w:t>7</w:t>
            </w:r>
          </w:hyperlink>
        </w:p>
        <w:p w14:paraId="334621B7" w14:textId="4AEE1742" w:rsidR="00FA773B" w:rsidRDefault="00FA773B" w:rsidP="00FA773B">
          <w:pPr>
            <w:pStyle w:val="TOC2"/>
            <w:tabs>
              <w:tab w:val="right" w:leader="dot" w:pos="9016"/>
            </w:tabs>
            <w:rPr>
              <w:rFonts w:asciiTheme="minorHAnsi" w:hAnsiTheme="minorHAnsi" w:cstheme="minorBidi"/>
              <w:noProof/>
              <w:kern w:val="2"/>
              <w:szCs w:val="22"/>
              <w:lang w:eastAsia="en-GB"/>
              <w14:ligatures w14:val="standardContextual"/>
            </w:rPr>
          </w:pPr>
          <w:r>
            <w:t>3.1 Skywalks</w:t>
          </w:r>
          <w:hyperlink w:anchor="_Toc148468009" w:history="1">
            <w:r>
              <w:rPr>
                <w:noProof/>
                <w:webHidden/>
              </w:rPr>
              <w:tab/>
            </w:r>
            <w:r>
              <w:rPr>
                <w:noProof/>
                <w:webHidden/>
              </w:rPr>
              <w:t>8</w:t>
            </w:r>
          </w:hyperlink>
        </w:p>
        <w:p w14:paraId="24884532" w14:textId="178A5A0C" w:rsidR="00FA773B" w:rsidRDefault="00FA773B" w:rsidP="00FA773B">
          <w:pPr>
            <w:pStyle w:val="TOC2"/>
            <w:tabs>
              <w:tab w:val="right" w:leader="dot" w:pos="9016"/>
            </w:tabs>
            <w:rPr>
              <w:rFonts w:asciiTheme="minorHAnsi" w:hAnsiTheme="minorHAnsi" w:cstheme="minorBidi"/>
              <w:noProof/>
              <w:kern w:val="2"/>
              <w:szCs w:val="22"/>
              <w:lang w:eastAsia="en-GB"/>
              <w14:ligatures w14:val="standardContextual"/>
            </w:rPr>
          </w:pPr>
          <w:hyperlink w:anchor="_Toc148468009" w:history="1">
            <w:r>
              <w:rPr>
                <w:rStyle w:val="Hyperlink"/>
                <w:noProof/>
              </w:rPr>
              <w:t>3.2 Tower Blocks</w:t>
            </w:r>
            <w:r>
              <w:rPr>
                <w:noProof/>
                <w:webHidden/>
              </w:rPr>
              <w:tab/>
            </w:r>
            <w:r>
              <w:rPr>
                <w:noProof/>
                <w:webHidden/>
              </w:rPr>
              <w:t>8</w:t>
            </w:r>
          </w:hyperlink>
        </w:p>
        <w:p w14:paraId="1AD34F3B" w14:textId="6062C21D" w:rsidR="00FA773B" w:rsidRDefault="00FA773B" w:rsidP="00FA773B">
          <w:pPr>
            <w:pStyle w:val="TOC2"/>
            <w:tabs>
              <w:tab w:val="right" w:leader="dot" w:pos="9016"/>
            </w:tabs>
            <w:rPr>
              <w:rFonts w:asciiTheme="minorHAnsi" w:hAnsiTheme="minorHAnsi" w:cstheme="minorBidi"/>
              <w:noProof/>
              <w:kern w:val="2"/>
              <w:szCs w:val="22"/>
              <w:lang w:eastAsia="en-GB"/>
              <w14:ligatures w14:val="standardContextual"/>
            </w:rPr>
          </w:pPr>
          <w:hyperlink w:anchor="_Toc148468009" w:history="1">
            <w:r>
              <w:rPr>
                <w:rStyle w:val="Hyperlink"/>
                <w:noProof/>
              </w:rPr>
              <w:t>3.3 Terrace Blocks</w:t>
            </w:r>
            <w:r>
              <w:rPr>
                <w:noProof/>
                <w:webHidden/>
              </w:rPr>
              <w:tab/>
            </w:r>
            <w:r>
              <w:rPr>
                <w:noProof/>
                <w:webHidden/>
              </w:rPr>
              <w:t>9</w:t>
            </w:r>
          </w:hyperlink>
        </w:p>
        <w:p w14:paraId="56C5E1EC" w14:textId="55988D5F" w:rsidR="00FA773B" w:rsidRDefault="00FA773B" w:rsidP="00FA773B">
          <w:pPr>
            <w:pStyle w:val="TOC2"/>
            <w:tabs>
              <w:tab w:val="right" w:leader="dot" w:pos="9016"/>
            </w:tabs>
            <w:rPr>
              <w:rFonts w:asciiTheme="minorHAnsi" w:hAnsiTheme="minorHAnsi" w:cstheme="minorBidi"/>
              <w:noProof/>
              <w:kern w:val="2"/>
              <w:szCs w:val="22"/>
              <w:lang w:eastAsia="en-GB"/>
              <w14:ligatures w14:val="standardContextual"/>
            </w:rPr>
          </w:pPr>
          <w:hyperlink w:anchor="_Toc148468009" w:history="1">
            <w:r>
              <w:rPr>
                <w:rStyle w:val="Hyperlink"/>
                <w:noProof/>
              </w:rPr>
              <w:t>3.4 Barbican Centre</w:t>
            </w:r>
            <w:r>
              <w:rPr>
                <w:noProof/>
                <w:webHidden/>
              </w:rPr>
              <w:tab/>
            </w:r>
            <w:r>
              <w:rPr>
                <w:noProof/>
                <w:webHidden/>
              </w:rPr>
              <w:t>9</w:t>
            </w:r>
          </w:hyperlink>
        </w:p>
        <w:p w14:paraId="55B24677" w14:textId="496D7D70" w:rsidR="00FA773B" w:rsidRPr="00FA773B" w:rsidRDefault="00FA773B" w:rsidP="00FA773B">
          <w:pPr>
            <w:pStyle w:val="TOC2"/>
            <w:tabs>
              <w:tab w:val="right" w:leader="dot" w:pos="9016"/>
            </w:tabs>
            <w:rPr>
              <w:rFonts w:asciiTheme="minorHAnsi" w:hAnsiTheme="minorHAnsi" w:cstheme="minorBidi"/>
              <w:noProof/>
              <w:kern w:val="2"/>
              <w:szCs w:val="22"/>
              <w:lang w:eastAsia="en-GB"/>
              <w14:ligatures w14:val="standardContextual"/>
            </w:rPr>
          </w:pPr>
          <w:hyperlink w:anchor="_Toc148468009" w:history="1">
            <w:r>
              <w:rPr>
                <w:rStyle w:val="Hyperlink"/>
                <w:noProof/>
              </w:rPr>
              <w:t>3.5 St Giles’ Church</w:t>
            </w:r>
            <w:r>
              <w:rPr>
                <w:noProof/>
                <w:webHidden/>
              </w:rPr>
              <w:tab/>
            </w:r>
            <w:r>
              <w:rPr>
                <w:noProof/>
                <w:webHidden/>
              </w:rPr>
              <w:t>10</w:t>
            </w:r>
          </w:hyperlink>
        </w:p>
        <w:p w14:paraId="4C9CB29E" w14:textId="039F1642" w:rsidR="00FA773B" w:rsidRDefault="00FA773B" w:rsidP="00FA773B">
          <w:pPr>
            <w:pStyle w:val="TOC1"/>
            <w:tabs>
              <w:tab w:val="right" w:leader="dot" w:pos="9016"/>
            </w:tabs>
            <w:rPr>
              <w:rFonts w:asciiTheme="minorHAnsi" w:hAnsiTheme="minorHAnsi" w:cstheme="minorBidi"/>
              <w:noProof/>
              <w:kern w:val="2"/>
              <w:szCs w:val="22"/>
              <w:lang w:eastAsia="en-GB"/>
              <w14:ligatures w14:val="standardContextual"/>
            </w:rPr>
          </w:pPr>
          <w:hyperlink w:anchor="_Toc148468012" w:history="1">
            <w:r w:rsidRPr="00413236">
              <w:rPr>
                <w:rStyle w:val="Hyperlink"/>
                <w:noProof/>
              </w:rPr>
              <w:t xml:space="preserve">Chapter </w:t>
            </w:r>
            <w:r>
              <w:rPr>
                <w:rStyle w:val="Hyperlink"/>
                <w:noProof/>
              </w:rPr>
              <w:t>4</w:t>
            </w:r>
            <w:r w:rsidRPr="00413236">
              <w:rPr>
                <w:rStyle w:val="Hyperlink"/>
                <w:noProof/>
              </w:rPr>
              <w:t xml:space="preserve">: </w:t>
            </w:r>
            <w:r>
              <w:rPr>
                <w:rStyle w:val="Hyperlink"/>
                <w:noProof/>
              </w:rPr>
              <w:t>Material and Detail</w:t>
            </w:r>
            <w:r>
              <w:rPr>
                <w:noProof/>
                <w:webHidden/>
              </w:rPr>
              <w:tab/>
            </w:r>
            <w:r>
              <w:rPr>
                <w:noProof/>
                <w:webHidden/>
              </w:rPr>
              <w:t>11</w:t>
            </w:r>
          </w:hyperlink>
        </w:p>
        <w:p w14:paraId="61B18BBF" w14:textId="3C02F2CA" w:rsidR="00FA773B" w:rsidRPr="00FA773B" w:rsidRDefault="00FA773B" w:rsidP="00FA773B">
          <w:pPr>
            <w:pStyle w:val="TOC1"/>
            <w:tabs>
              <w:tab w:val="right" w:leader="dot" w:pos="9016"/>
            </w:tabs>
            <w:rPr>
              <w:rFonts w:asciiTheme="minorHAnsi" w:hAnsiTheme="minorHAnsi" w:cstheme="minorBidi"/>
              <w:noProof/>
              <w:kern w:val="2"/>
              <w:szCs w:val="22"/>
              <w:lang w:eastAsia="en-GB"/>
              <w14:ligatures w14:val="standardContextual"/>
            </w:rPr>
          </w:pPr>
          <w:hyperlink w:anchor="_Toc148468012" w:history="1">
            <w:r w:rsidRPr="00413236">
              <w:rPr>
                <w:rStyle w:val="Hyperlink"/>
                <w:noProof/>
              </w:rPr>
              <w:t xml:space="preserve">Chapter </w:t>
            </w:r>
            <w:r>
              <w:rPr>
                <w:rStyle w:val="Hyperlink"/>
                <w:noProof/>
              </w:rPr>
              <w:t>5</w:t>
            </w:r>
            <w:r w:rsidRPr="00413236">
              <w:rPr>
                <w:rStyle w:val="Hyperlink"/>
                <w:noProof/>
              </w:rPr>
              <w:t xml:space="preserve">: </w:t>
            </w:r>
            <w:r>
              <w:rPr>
                <w:rStyle w:val="Hyperlink"/>
                <w:noProof/>
              </w:rPr>
              <w:t>Reception and Legacy</w:t>
            </w:r>
            <w:r>
              <w:rPr>
                <w:noProof/>
                <w:webHidden/>
              </w:rPr>
              <w:tab/>
            </w:r>
            <w:r>
              <w:rPr>
                <w:noProof/>
                <w:webHidden/>
              </w:rPr>
              <w:t>13</w:t>
            </w:r>
          </w:hyperlink>
        </w:p>
        <w:p w14:paraId="143679AE" w14:textId="780843B7"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14" w:history="1">
            <w:r w:rsidR="007669DB" w:rsidRPr="00413236">
              <w:rPr>
                <w:rStyle w:val="Hyperlink"/>
                <w:noProof/>
              </w:rPr>
              <w:t>Conclusion</w:t>
            </w:r>
            <w:r w:rsidR="007669DB">
              <w:rPr>
                <w:noProof/>
                <w:webHidden/>
              </w:rPr>
              <w:tab/>
            </w:r>
            <w:r w:rsidR="00FA773B">
              <w:rPr>
                <w:noProof/>
                <w:webHidden/>
              </w:rPr>
              <w:t>15</w:t>
            </w:r>
          </w:hyperlink>
        </w:p>
        <w:p w14:paraId="18BDA976" w14:textId="6E53C383"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16" w:history="1">
            <w:r w:rsidR="007669DB" w:rsidRPr="00413236">
              <w:rPr>
                <w:rStyle w:val="Hyperlink"/>
                <w:noProof/>
              </w:rPr>
              <w:t>Bibliography:</w:t>
            </w:r>
            <w:r w:rsidR="007669DB">
              <w:rPr>
                <w:noProof/>
                <w:webHidden/>
              </w:rPr>
              <w:tab/>
            </w:r>
            <w:r w:rsidR="00FA773B">
              <w:rPr>
                <w:noProof/>
                <w:webHidden/>
              </w:rPr>
              <w:t>16</w:t>
            </w:r>
          </w:hyperlink>
        </w:p>
        <w:p w14:paraId="05BC7A56" w14:textId="77777777" w:rsidR="007669DB" w:rsidRDefault="007669DB">
          <w:r>
            <w:fldChar w:fldCharType="end"/>
          </w:r>
        </w:p>
      </w:sdtContent>
    </w:sdt>
    <w:p w14:paraId="0A10FB3A" w14:textId="77777777" w:rsidR="00FA773B" w:rsidRDefault="00FA773B"/>
    <w:p w14:paraId="568B1AB3" w14:textId="77777777" w:rsidR="00FA773B" w:rsidRDefault="00FA773B"/>
    <w:p w14:paraId="699FA443" w14:textId="77777777" w:rsidR="00FA773B" w:rsidRDefault="00FA773B"/>
    <w:p w14:paraId="04738BA8" w14:textId="77777777" w:rsidR="00FA773B" w:rsidRDefault="00FA773B"/>
    <w:p w14:paraId="15F02D21" w14:textId="77777777" w:rsidR="00FA773B" w:rsidRDefault="00FA773B"/>
    <w:p w14:paraId="2AADF070" w14:textId="5FC14E92" w:rsidR="00BA5755" w:rsidRDefault="00000000">
      <w:r>
        <w:fldChar w:fldCharType="begin"/>
      </w:r>
      <w:r>
        <w:instrText xml:space="preserve"> TOC \h \z \c "Figure" </w:instrText>
      </w:r>
      <w:r>
        <w:fldChar w:fldCharType="separate"/>
      </w:r>
      <w:r>
        <w:fldChar w:fldCharType="end"/>
      </w:r>
    </w:p>
    <w:p w14:paraId="4F8F7C1B" w14:textId="67B355C7" w:rsidR="001A4F0F" w:rsidRDefault="001A4F0F">
      <w:pPr>
        <w:rPr>
          <w:rFonts w:asciiTheme="majorHAnsi" w:eastAsiaTheme="majorEastAsia" w:hAnsiTheme="majorHAnsi" w:cstheme="majorBidi"/>
          <w:sz w:val="32"/>
          <w:szCs w:val="32"/>
        </w:rPr>
      </w:pPr>
      <w:bookmarkStart w:id="2" w:name="_Toc70545365"/>
    </w:p>
    <w:p w14:paraId="6AC3576C" w14:textId="77777777" w:rsidR="00FA773B" w:rsidRDefault="00FA773B">
      <w:pPr>
        <w:rPr>
          <w:rFonts w:asciiTheme="majorHAnsi" w:eastAsiaTheme="majorEastAsia" w:hAnsiTheme="majorHAnsi" w:cstheme="majorBidi"/>
          <w:sz w:val="32"/>
          <w:szCs w:val="32"/>
        </w:rPr>
      </w:pPr>
    </w:p>
    <w:p w14:paraId="6F4F1413" w14:textId="77777777" w:rsidR="00FA773B" w:rsidRDefault="00FA773B">
      <w:pPr>
        <w:rPr>
          <w:rFonts w:asciiTheme="majorHAnsi" w:eastAsiaTheme="majorEastAsia" w:hAnsiTheme="majorHAnsi" w:cstheme="majorBidi"/>
          <w:sz w:val="32"/>
          <w:szCs w:val="32"/>
        </w:rPr>
      </w:pPr>
    </w:p>
    <w:p w14:paraId="4E98F505" w14:textId="2140772C" w:rsidR="005D1BB2" w:rsidRPr="0029053D" w:rsidRDefault="0029053D" w:rsidP="008D6E4B">
      <w:pPr>
        <w:pStyle w:val="Heading1"/>
      </w:pPr>
      <w:bookmarkStart w:id="3" w:name="_Toc70545366"/>
      <w:bookmarkStart w:id="4" w:name="_Toc148468005"/>
      <w:bookmarkEnd w:id="2"/>
      <w:r w:rsidRPr="009646B7">
        <w:lastRenderedPageBreak/>
        <w:t>Introduction</w:t>
      </w:r>
      <w:bookmarkEnd w:id="3"/>
      <w:r w:rsidRPr="0029053D">
        <w:t xml:space="preserve"> </w:t>
      </w:r>
      <w:bookmarkEnd w:id="4"/>
    </w:p>
    <w:p w14:paraId="5CFC9928" w14:textId="77777777" w:rsidR="005D1BB2" w:rsidRPr="00E80B43" w:rsidRDefault="005D1BB2" w:rsidP="005D1BB2">
      <w:pPr>
        <w:rPr>
          <w:rFonts w:cs="Arial"/>
        </w:rPr>
      </w:pPr>
    </w:p>
    <w:p w14:paraId="6BCF1FCD" w14:textId="623CA34C" w:rsidR="00191733" w:rsidRPr="00A50516" w:rsidRDefault="00E03B9D" w:rsidP="008E58E0">
      <w:pPr>
        <w:jc w:val="left"/>
      </w:pPr>
      <w:r>
        <w:t xml:space="preserve">This essay will </w:t>
      </w:r>
      <w:r w:rsidR="004C670F">
        <w:t xml:space="preserve">consider the design of the Barbican, one of the most famous Brutalist buildings in the United </w:t>
      </w:r>
      <w:proofErr w:type="gramStart"/>
      <w:r w:rsidR="008E58E0">
        <w:t>Kingdom, and</w:t>
      </w:r>
      <w:proofErr w:type="gramEnd"/>
      <w:r w:rsidR="004C670F">
        <w:t xml:space="preserve"> examine its form and function. The Barbican </w:t>
      </w:r>
      <w:proofErr w:type="gramStart"/>
      <w:r w:rsidR="004C670F">
        <w:t>divides</w:t>
      </w:r>
      <w:proofErr w:type="gramEnd"/>
      <w:r w:rsidR="004C670F">
        <w:t xml:space="preserve"> opinion, considered by some to be a brutal and ugly insertion to the ancient City of London, </w:t>
      </w:r>
      <w:r w:rsidR="00A50516">
        <w:t>while others hail it as a triumph of post war planning. By analysing</w:t>
      </w:r>
      <w:r w:rsidR="008E58E0">
        <w:t xml:space="preserve"> the site through its contextual situation</w:t>
      </w:r>
      <w:r w:rsidR="00A50516">
        <w:t xml:space="preserve">, a better picture of how it has come to hold its place in the architectural landscape of Britain can be gained. </w:t>
      </w:r>
      <w:bookmarkStart w:id="5" w:name="_Hlk68865499"/>
      <w:bookmarkEnd w:id="5"/>
      <w:r w:rsidR="00191733" w:rsidRPr="00EA78F9">
        <w:rPr>
          <w:rFonts w:cstheme="minorHAnsi"/>
          <w:b/>
          <w:bCs/>
        </w:rPr>
        <w:br w:type="page"/>
      </w:r>
    </w:p>
    <w:p w14:paraId="0403F217" w14:textId="395185F1" w:rsidR="0029053D" w:rsidRPr="0029053D" w:rsidRDefault="0029053D" w:rsidP="009646B7">
      <w:pPr>
        <w:pStyle w:val="Heading1"/>
        <w:rPr>
          <w:b w:val="0"/>
          <w:bCs w:val="0"/>
        </w:rPr>
      </w:pPr>
      <w:bookmarkStart w:id="6" w:name="_Toc148468008"/>
      <w:r w:rsidRPr="0029053D">
        <w:lastRenderedPageBreak/>
        <w:t xml:space="preserve">Chapter </w:t>
      </w:r>
      <w:r w:rsidR="00EA4F76">
        <w:t>1</w:t>
      </w:r>
      <w:r w:rsidRPr="0029053D">
        <w:t xml:space="preserve">: </w:t>
      </w:r>
      <w:bookmarkEnd w:id="6"/>
      <w:r w:rsidR="0081233B">
        <w:t>Brutalism</w:t>
      </w:r>
    </w:p>
    <w:p w14:paraId="266AFE26" w14:textId="77777777" w:rsidR="0029053D" w:rsidRPr="00E80B43" w:rsidRDefault="0029053D" w:rsidP="0029053D">
      <w:pPr>
        <w:rPr>
          <w:rFonts w:cs="Arial"/>
        </w:rPr>
      </w:pPr>
    </w:p>
    <w:p w14:paraId="51F74361" w14:textId="398994D7" w:rsidR="00606095" w:rsidRDefault="00D44770" w:rsidP="00D44770">
      <w:pPr>
        <w:jc w:val="left"/>
        <w:rPr>
          <w:rFonts w:cs="Arial"/>
          <w:color w:val="000000"/>
          <w:szCs w:val="22"/>
          <w:shd w:val="clear" w:color="auto" w:fill="FFFFFF"/>
        </w:rPr>
      </w:pPr>
      <w:r>
        <w:rPr>
          <w:rFonts w:cs="Arial"/>
        </w:rPr>
        <w:t>The Barbican is an exemplar of its style</w:t>
      </w:r>
      <w:r w:rsidR="000E23CF">
        <w:rPr>
          <w:rFonts w:cs="Arial"/>
        </w:rPr>
        <w:t xml:space="preserve"> and therefore has</w:t>
      </w:r>
      <w:r>
        <w:rPr>
          <w:rFonts w:cs="Arial"/>
        </w:rPr>
        <w:t xml:space="preserve"> consequently become synonymous with the stylistic movement of Brutalism. </w:t>
      </w:r>
      <w:r w:rsidR="00514276">
        <w:rPr>
          <w:rFonts w:cs="Arial"/>
        </w:rPr>
        <w:t>The origins of Brutalism</w:t>
      </w:r>
      <w:r w:rsidR="00621A23">
        <w:rPr>
          <w:rFonts w:cs="Arial"/>
        </w:rPr>
        <w:t xml:space="preserve"> can be found in the late 1940s and early 1950, a post</w:t>
      </w:r>
      <w:r w:rsidR="00FC1D7E">
        <w:rPr>
          <w:rFonts w:cs="Arial"/>
        </w:rPr>
        <w:t>-</w:t>
      </w:r>
      <w:r w:rsidR="00621A23">
        <w:rPr>
          <w:rFonts w:cs="Arial"/>
        </w:rPr>
        <w:t>war world which intended to liberate itself from the weight of all that came before it. Traditional architecture</w:t>
      </w:r>
      <w:r w:rsidR="000C13B2">
        <w:rPr>
          <w:rFonts w:cs="Arial"/>
        </w:rPr>
        <w:t xml:space="preserve"> and its proportions, particularly classicism, had been tarnished by its veneration by the National Socialists in Germany who would define their power through stripped neoclassicism. </w:t>
      </w:r>
      <w:r w:rsidR="00E55999">
        <w:rPr>
          <w:rFonts w:cs="Arial"/>
        </w:rPr>
        <w:t xml:space="preserve">Eager to escape this, forward thinking architects attempted to develop new languages for architecture. </w:t>
      </w:r>
    </w:p>
    <w:p w14:paraId="664B8AC9" w14:textId="77777777" w:rsidR="00E83E09" w:rsidRDefault="00E83E09" w:rsidP="00D44770">
      <w:pPr>
        <w:jc w:val="left"/>
        <w:rPr>
          <w:rFonts w:cs="Arial"/>
          <w:color w:val="000000"/>
          <w:szCs w:val="22"/>
          <w:shd w:val="clear" w:color="auto" w:fill="FFFFFF"/>
        </w:rPr>
      </w:pPr>
    </w:p>
    <w:p w14:paraId="6929A781" w14:textId="06C8E433" w:rsidR="00606095" w:rsidRPr="00FC1D7E" w:rsidRDefault="0078439E" w:rsidP="00E83E09">
      <w:pPr>
        <w:jc w:val="left"/>
        <w:rPr>
          <w:rFonts w:cs="Arial"/>
          <w:szCs w:val="22"/>
        </w:rPr>
      </w:pPr>
      <w:r>
        <w:rPr>
          <w:rFonts w:cs="Arial"/>
          <w:color w:val="000000"/>
          <w:szCs w:val="22"/>
          <w:shd w:val="clear" w:color="auto" w:fill="FFFFFF"/>
        </w:rPr>
        <w:t xml:space="preserve">Villa Goth in Uppsala, Sweden, was completed in 1950 by </w:t>
      </w:r>
      <w:r w:rsidR="004A36D3">
        <w:rPr>
          <w:rFonts w:cs="Arial"/>
          <w:color w:val="000000"/>
          <w:szCs w:val="22"/>
          <w:shd w:val="clear" w:color="auto" w:fill="FFFFFF"/>
        </w:rPr>
        <w:t xml:space="preserve">the architects </w:t>
      </w:r>
      <w:r w:rsidR="004A36D3" w:rsidRPr="004A36D3">
        <w:rPr>
          <w:rFonts w:cs="Arial"/>
          <w:color w:val="202122"/>
          <w:szCs w:val="22"/>
          <w:shd w:val="clear" w:color="auto" w:fill="FFFFFF"/>
        </w:rPr>
        <w:t xml:space="preserve">Bengt Edman and Lennart </w:t>
      </w:r>
      <w:r w:rsidR="004A36D3" w:rsidRPr="00FC1D7E">
        <w:rPr>
          <w:rFonts w:cs="Arial"/>
          <w:color w:val="202122"/>
          <w:szCs w:val="22"/>
          <w:shd w:val="clear" w:color="auto" w:fill="FFFFFF"/>
        </w:rPr>
        <w:t>Holm and is often cited as the first use of brutalism</w:t>
      </w:r>
      <w:sdt>
        <w:sdtPr>
          <w:rPr>
            <w:rFonts w:cs="Arial"/>
            <w:color w:val="202122"/>
            <w:szCs w:val="22"/>
            <w:shd w:val="clear" w:color="auto" w:fill="FFFFFF"/>
          </w:rPr>
          <w:id w:val="-298683533"/>
          <w:citation/>
        </w:sdtPr>
        <w:sdtContent>
          <w:r w:rsidR="005E7E78" w:rsidRPr="00FC1D7E">
            <w:rPr>
              <w:rFonts w:cs="Arial"/>
              <w:color w:val="202122"/>
              <w:szCs w:val="22"/>
              <w:shd w:val="clear" w:color="auto" w:fill="FFFFFF"/>
            </w:rPr>
            <w:fldChar w:fldCharType="begin"/>
          </w:r>
          <w:r w:rsidR="005E7E78" w:rsidRPr="00FC1D7E">
            <w:rPr>
              <w:rFonts w:cs="Arial"/>
              <w:color w:val="202122"/>
              <w:szCs w:val="22"/>
              <w:shd w:val="clear" w:color="auto" w:fill="FFFFFF"/>
            </w:rPr>
            <w:instrText xml:space="preserve"> CITATION Ang24 \l 2057 </w:instrText>
          </w:r>
          <w:r w:rsidR="005E7E78" w:rsidRPr="00FC1D7E">
            <w:rPr>
              <w:rFonts w:cs="Arial"/>
              <w:color w:val="202122"/>
              <w:szCs w:val="22"/>
              <w:shd w:val="clear" w:color="auto" w:fill="FFFFFF"/>
            </w:rPr>
            <w:fldChar w:fldCharType="separate"/>
          </w:r>
          <w:r w:rsidR="005E7E78" w:rsidRPr="00FC1D7E">
            <w:rPr>
              <w:rFonts w:cs="Arial"/>
              <w:noProof/>
              <w:color w:val="202122"/>
              <w:szCs w:val="22"/>
              <w:shd w:val="clear" w:color="auto" w:fill="FFFFFF"/>
            </w:rPr>
            <w:t xml:space="preserve"> (Lucia, 2024)</w:t>
          </w:r>
          <w:r w:rsidR="005E7E78" w:rsidRPr="00FC1D7E">
            <w:rPr>
              <w:rFonts w:cs="Arial"/>
              <w:color w:val="202122"/>
              <w:szCs w:val="22"/>
              <w:shd w:val="clear" w:color="auto" w:fill="FFFFFF"/>
            </w:rPr>
            <w:fldChar w:fldCharType="end"/>
          </w:r>
        </w:sdtContent>
      </w:sdt>
      <w:r w:rsidR="00E34C79" w:rsidRPr="00FC1D7E">
        <w:rPr>
          <w:rFonts w:cs="Arial"/>
          <w:color w:val="202122"/>
          <w:szCs w:val="22"/>
          <w:shd w:val="clear" w:color="auto" w:fill="FFFFFF"/>
        </w:rPr>
        <w:t>. D</w:t>
      </w:r>
      <w:r w:rsidR="004A36D3" w:rsidRPr="00FC1D7E">
        <w:rPr>
          <w:rFonts w:cs="Arial"/>
          <w:color w:val="202122"/>
          <w:szCs w:val="22"/>
          <w:shd w:val="clear" w:color="auto" w:fill="FFFFFF"/>
        </w:rPr>
        <w:t xml:space="preserve">erided by </w:t>
      </w:r>
      <w:r w:rsidR="00E34C79" w:rsidRPr="00FC1D7E">
        <w:rPr>
          <w:rFonts w:cs="Arial"/>
          <w:color w:val="202122"/>
          <w:szCs w:val="22"/>
          <w:shd w:val="clear" w:color="auto" w:fill="FFFFFF"/>
        </w:rPr>
        <w:t xml:space="preserve">architect Hans Asplund as “neo-brutalism”, the term was taken up by visiting English architects and would become synonymous with this new type of architecture. Definitions of the term vary, with </w:t>
      </w:r>
      <w:r w:rsidR="001935DC" w:rsidRPr="00FC1D7E">
        <w:rPr>
          <w:rFonts w:cs="Arial"/>
          <w:color w:val="202122"/>
          <w:szCs w:val="22"/>
          <w:shd w:val="clear" w:color="auto" w:fill="FFFFFF"/>
        </w:rPr>
        <w:t>caveats</w:t>
      </w:r>
      <w:r w:rsidR="00E34C79" w:rsidRPr="00FC1D7E">
        <w:rPr>
          <w:rFonts w:cs="Arial"/>
          <w:color w:val="202122"/>
          <w:szCs w:val="22"/>
          <w:shd w:val="clear" w:color="auto" w:fill="FFFFFF"/>
        </w:rPr>
        <w:t xml:space="preserve"> added to include or exclude certain elements of buildings. Le </w:t>
      </w:r>
      <w:r w:rsidR="00A12298" w:rsidRPr="00FC1D7E">
        <w:rPr>
          <w:rFonts w:cs="Arial"/>
          <w:color w:val="202122"/>
          <w:szCs w:val="22"/>
          <w:shd w:val="clear" w:color="auto" w:fill="FFFFFF"/>
        </w:rPr>
        <w:t>Corbusier’s</w:t>
      </w:r>
      <w:r w:rsidR="00E34C79" w:rsidRPr="00FC1D7E">
        <w:rPr>
          <w:rFonts w:cs="Arial"/>
          <w:color w:val="202122"/>
          <w:szCs w:val="22"/>
          <w:shd w:val="clear" w:color="auto" w:fill="FFFFFF"/>
        </w:rPr>
        <w:t xml:space="preserve"> Unite </w:t>
      </w:r>
      <w:proofErr w:type="spellStart"/>
      <w:r w:rsidR="00E34C79" w:rsidRPr="00FC1D7E">
        <w:rPr>
          <w:rFonts w:cs="Arial"/>
          <w:color w:val="202122"/>
          <w:szCs w:val="22"/>
          <w:shd w:val="clear" w:color="auto" w:fill="FFFFFF"/>
        </w:rPr>
        <w:t>d’</w:t>
      </w:r>
      <w:r w:rsidR="00A12298" w:rsidRPr="00FC1D7E">
        <w:rPr>
          <w:rFonts w:cs="Arial"/>
          <w:color w:val="202122"/>
          <w:szCs w:val="22"/>
          <w:shd w:val="clear" w:color="auto" w:fill="FFFFFF"/>
        </w:rPr>
        <w:t>H</w:t>
      </w:r>
      <w:r w:rsidR="00E34C79" w:rsidRPr="00FC1D7E">
        <w:rPr>
          <w:rFonts w:cs="Arial"/>
          <w:color w:val="202122"/>
          <w:szCs w:val="22"/>
          <w:shd w:val="clear" w:color="auto" w:fill="FFFFFF"/>
        </w:rPr>
        <w:t>abitation</w:t>
      </w:r>
      <w:proofErr w:type="spellEnd"/>
      <w:r w:rsidR="00E34C79" w:rsidRPr="00FC1D7E">
        <w:rPr>
          <w:rFonts w:cs="Arial"/>
          <w:color w:val="202122"/>
          <w:szCs w:val="22"/>
          <w:shd w:val="clear" w:color="auto" w:fill="FFFFFF"/>
        </w:rPr>
        <w:t xml:space="preserve"> </w:t>
      </w:r>
      <w:r w:rsidR="00FC1D7E">
        <w:rPr>
          <w:rFonts w:cs="Arial"/>
          <w:color w:val="202122"/>
          <w:szCs w:val="22"/>
          <w:shd w:val="clear" w:color="auto" w:fill="FFFFFF"/>
        </w:rPr>
        <w:t xml:space="preserve">(fig. </w:t>
      </w:r>
      <w:proofErr w:type="gramStart"/>
      <w:r w:rsidR="00FC1D7E">
        <w:rPr>
          <w:rFonts w:cs="Arial"/>
          <w:color w:val="202122"/>
          <w:szCs w:val="22"/>
          <w:shd w:val="clear" w:color="auto" w:fill="FFFFFF"/>
        </w:rPr>
        <w:t>1 )</w:t>
      </w:r>
      <w:proofErr w:type="gramEnd"/>
      <w:r w:rsidR="00FC1D7E">
        <w:rPr>
          <w:rFonts w:cs="Arial"/>
          <w:color w:val="202122"/>
          <w:szCs w:val="22"/>
          <w:shd w:val="clear" w:color="auto" w:fill="FFFFFF"/>
        </w:rPr>
        <w:t xml:space="preserve"> </w:t>
      </w:r>
      <w:r w:rsidR="00E34C79" w:rsidRPr="00FC1D7E">
        <w:rPr>
          <w:rFonts w:cs="Arial"/>
          <w:color w:val="202122"/>
          <w:szCs w:val="22"/>
          <w:shd w:val="clear" w:color="auto" w:fill="FFFFFF"/>
        </w:rPr>
        <w:t xml:space="preserve">of 1952 in Marseille </w:t>
      </w:r>
      <w:r w:rsidR="001935DC" w:rsidRPr="00FC1D7E">
        <w:rPr>
          <w:rFonts w:cs="Arial"/>
          <w:color w:val="202122"/>
          <w:szCs w:val="22"/>
          <w:shd w:val="clear" w:color="auto" w:fill="FFFFFF"/>
        </w:rPr>
        <w:t>is often described as proto-brutalist, a transitional style between pre</w:t>
      </w:r>
      <w:r w:rsidR="00E83E09" w:rsidRPr="00FC1D7E">
        <w:rPr>
          <w:rFonts w:cs="Arial"/>
          <w:color w:val="202122"/>
          <w:szCs w:val="22"/>
          <w:shd w:val="clear" w:color="auto" w:fill="FFFFFF"/>
        </w:rPr>
        <w:t>-</w:t>
      </w:r>
      <w:r w:rsidR="001935DC" w:rsidRPr="00FC1D7E">
        <w:rPr>
          <w:rFonts w:cs="Arial"/>
          <w:color w:val="202122"/>
          <w:szCs w:val="22"/>
          <w:shd w:val="clear" w:color="auto" w:fill="FFFFFF"/>
        </w:rPr>
        <w:t xml:space="preserve">war </w:t>
      </w:r>
      <w:r w:rsidR="00FC1D7E">
        <w:rPr>
          <w:rFonts w:cs="Arial"/>
          <w:color w:val="202122"/>
          <w:szCs w:val="22"/>
          <w:shd w:val="clear" w:color="auto" w:fill="FFFFFF"/>
        </w:rPr>
        <w:t>M</w:t>
      </w:r>
      <w:r w:rsidR="001935DC" w:rsidRPr="00FC1D7E">
        <w:rPr>
          <w:rFonts w:cs="Arial"/>
          <w:color w:val="202122"/>
          <w:szCs w:val="22"/>
          <w:shd w:val="clear" w:color="auto" w:fill="FFFFFF"/>
        </w:rPr>
        <w:t xml:space="preserve">odernism and nascent </w:t>
      </w:r>
      <w:r w:rsidR="00FC1D7E">
        <w:rPr>
          <w:rFonts w:cs="Arial"/>
          <w:color w:val="202122"/>
          <w:szCs w:val="22"/>
          <w:shd w:val="clear" w:color="auto" w:fill="FFFFFF"/>
        </w:rPr>
        <w:t>B</w:t>
      </w:r>
      <w:r w:rsidR="001935DC" w:rsidRPr="00FC1D7E">
        <w:rPr>
          <w:rFonts w:cs="Arial"/>
          <w:color w:val="202122"/>
          <w:szCs w:val="22"/>
          <w:shd w:val="clear" w:color="auto" w:fill="FFFFFF"/>
        </w:rPr>
        <w:t>rutalism</w:t>
      </w:r>
      <w:r w:rsidR="00382E0D" w:rsidRPr="00FC1D7E">
        <w:rPr>
          <w:rFonts w:cs="Arial"/>
          <w:color w:val="202122"/>
          <w:szCs w:val="22"/>
          <w:shd w:val="clear" w:color="auto" w:fill="FFFFFF"/>
        </w:rPr>
        <w:t xml:space="preserve">. Importantly, the structure is formed of </w:t>
      </w:r>
      <w:r w:rsidR="001B2F2B" w:rsidRPr="00FC1D7E">
        <w:rPr>
          <w:rFonts w:cs="Arial"/>
          <w:color w:val="202122"/>
          <w:szCs w:val="22"/>
          <w:shd w:val="clear" w:color="auto" w:fill="FFFFFF"/>
        </w:rPr>
        <w:t xml:space="preserve">concrete, produced as </w:t>
      </w:r>
      <w:proofErr w:type="spellStart"/>
      <w:r w:rsidR="001B2F2B" w:rsidRPr="00FC1D7E">
        <w:rPr>
          <w:rFonts w:cs="Arial"/>
          <w:color w:val="202122"/>
          <w:szCs w:val="22"/>
          <w:shd w:val="clear" w:color="auto" w:fill="FFFFFF"/>
        </w:rPr>
        <w:t>beton</w:t>
      </w:r>
      <w:proofErr w:type="spellEnd"/>
      <w:r w:rsidR="001B2F2B" w:rsidRPr="00FC1D7E">
        <w:rPr>
          <w:rFonts w:cs="Arial"/>
          <w:color w:val="202122"/>
          <w:szCs w:val="22"/>
          <w:shd w:val="clear" w:color="auto" w:fill="FFFFFF"/>
        </w:rPr>
        <w:t xml:space="preserve"> brut, which allows the concrete to show the texture of the frames into which it is formed</w:t>
      </w:r>
      <w:sdt>
        <w:sdtPr>
          <w:rPr>
            <w:rFonts w:cs="Arial"/>
            <w:color w:val="202122"/>
            <w:szCs w:val="22"/>
            <w:shd w:val="clear" w:color="auto" w:fill="FFFFFF"/>
          </w:rPr>
          <w:id w:val="-1973351066"/>
          <w:citation/>
        </w:sdtPr>
        <w:sdtContent>
          <w:r w:rsidR="00E55999" w:rsidRPr="00FC1D7E">
            <w:rPr>
              <w:rFonts w:cs="Arial"/>
              <w:color w:val="202122"/>
              <w:szCs w:val="22"/>
              <w:shd w:val="clear" w:color="auto" w:fill="FFFFFF"/>
            </w:rPr>
            <w:fldChar w:fldCharType="begin"/>
          </w:r>
          <w:r w:rsidR="00E55999" w:rsidRPr="00FC1D7E">
            <w:rPr>
              <w:rFonts w:cs="Arial"/>
              <w:color w:val="202122"/>
              <w:szCs w:val="22"/>
              <w:shd w:val="clear" w:color="auto" w:fill="FFFFFF"/>
            </w:rPr>
            <w:instrText xml:space="preserve">CITATION Gri18 \p 19 \l 2057 </w:instrText>
          </w:r>
          <w:r w:rsidR="00E55999" w:rsidRPr="00FC1D7E">
            <w:rPr>
              <w:rFonts w:cs="Arial"/>
              <w:color w:val="202122"/>
              <w:szCs w:val="22"/>
              <w:shd w:val="clear" w:color="auto" w:fill="FFFFFF"/>
            </w:rPr>
            <w:fldChar w:fldCharType="separate"/>
          </w:r>
          <w:r w:rsidR="00E55999" w:rsidRPr="00FC1D7E">
            <w:rPr>
              <w:rFonts w:cs="Arial"/>
              <w:noProof/>
              <w:color w:val="202122"/>
              <w:szCs w:val="22"/>
              <w:shd w:val="clear" w:color="auto" w:fill="FFFFFF"/>
            </w:rPr>
            <w:t xml:space="preserve"> (Grindrod, 2018, p. 19)</w:t>
          </w:r>
          <w:r w:rsidR="00E55999" w:rsidRPr="00FC1D7E">
            <w:rPr>
              <w:rFonts w:cs="Arial"/>
              <w:color w:val="202122"/>
              <w:szCs w:val="22"/>
              <w:shd w:val="clear" w:color="auto" w:fill="FFFFFF"/>
            </w:rPr>
            <w:fldChar w:fldCharType="end"/>
          </w:r>
        </w:sdtContent>
      </w:sdt>
      <w:r w:rsidR="001B2F2B" w:rsidRPr="00FC1D7E">
        <w:rPr>
          <w:rFonts w:cs="Arial"/>
          <w:color w:val="202122"/>
          <w:szCs w:val="22"/>
          <w:shd w:val="clear" w:color="auto" w:fill="FFFFFF"/>
        </w:rPr>
        <w:t xml:space="preserve">. </w:t>
      </w:r>
      <w:r w:rsidR="00A12298" w:rsidRPr="00FC1D7E">
        <w:rPr>
          <w:rFonts w:cs="Arial"/>
          <w:color w:val="202122"/>
          <w:szCs w:val="22"/>
          <w:shd w:val="clear" w:color="auto" w:fill="FFFFFF"/>
        </w:rPr>
        <w:t xml:space="preserve">Beton brut, translated as “raw concrete”, would later become synonymous with brutalism after its reference in 1966 by Reyner Banham in his book </w:t>
      </w:r>
      <w:r w:rsidR="00FC1D7E">
        <w:rPr>
          <w:rFonts w:cs="Arial"/>
          <w:color w:val="202122"/>
          <w:szCs w:val="22"/>
          <w:shd w:val="clear" w:color="auto" w:fill="FFFFFF"/>
        </w:rPr>
        <w:t>“</w:t>
      </w:r>
      <w:r w:rsidR="00A12298" w:rsidRPr="00FC1D7E">
        <w:rPr>
          <w:rFonts w:cs="Arial"/>
          <w:i/>
          <w:iCs/>
          <w:color w:val="202122"/>
          <w:szCs w:val="22"/>
          <w:shd w:val="clear" w:color="auto" w:fill="FFFFFF"/>
        </w:rPr>
        <w:t>The New Brutalism: Ethic or Aesthetic?</w:t>
      </w:r>
      <w:r w:rsidR="00FC1D7E">
        <w:rPr>
          <w:rFonts w:cs="Arial"/>
          <w:i/>
          <w:iCs/>
          <w:color w:val="202122"/>
          <w:szCs w:val="22"/>
          <w:shd w:val="clear" w:color="auto" w:fill="FFFFFF"/>
        </w:rPr>
        <w:t>”.</w:t>
      </w:r>
    </w:p>
    <w:tbl>
      <w:tblPr>
        <w:tblStyle w:val="TableGrid"/>
        <w:tblW w:w="0" w:type="auto"/>
        <w:tblLook w:val="04A0" w:firstRow="1" w:lastRow="0" w:firstColumn="1" w:lastColumn="0" w:noHBand="0" w:noVBand="1"/>
      </w:tblPr>
      <w:tblGrid>
        <w:gridCol w:w="5130"/>
        <w:gridCol w:w="3886"/>
      </w:tblGrid>
      <w:tr w:rsidR="00263D66" w14:paraId="4CE2C444" w14:textId="77777777" w:rsidTr="00263D66">
        <w:trPr>
          <w:trHeight w:val="5781"/>
        </w:trPr>
        <w:tc>
          <w:tcPr>
            <w:tcW w:w="4508" w:type="dxa"/>
          </w:tcPr>
          <w:p w14:paraId="49749B4A" w14:textId="6E9A1001" w:rsidR="0006281E" w:rsidRDefault="0046564A" w:rsidP="00EA78F9">
            <w:pPr>
              <w:rPr>
                <w:noProof/>
              </w:rPr>
            </w:pPr>
            <w:r>
              <w:rPr>
                <w:noProof/>
              </w:rPr>
              <w:lastRenderedPageBreak/>
              <w:drawing>
                <wp:inline distT="0" distB="0" distL="0" distR="0" wp14:anchorId="2764F200" wp14:editId="66A4A950">
                  <wp:extent cx="3162300" cy="3162300"/>
                  <wp:effectExtent l="0" t="0" r="0" b="0"/>
                  <wp:docPr id="1521311831" name="Picture 19" descr="Unité d'Habitation of Berli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Unité d'Habitation of Berlin - Wikipe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62300" cy="3162300"/>
                          </a:xfrm>
                          <a:prstGeom prst="rect">
                            <a:avLst/>
                          </a:prstGeom>
                          <a:noFill/>
                          <a:ln>
                            <a:noFill/>
                          </a:ln>
                        </pic:spPr>
                      </pic:pic>
                    </a:graphicData>
                  </a:graphic>
                </wp:inline>
              </w:drawing>
            </w:r>
          </w:p>
          <w:p w14:paraId="71E1D4FB" w14:textId="42AA39C6" w:rsidR="00263D66" w:rsidRPr="00263D66" w:rsidRDefault="00AD542E" w:rsidP="00263D66">
            <w:pPr>
              <w:tabs>
                <w:tab w:val="left" w:pos="1440"/>
                <w:tab w:val="left" w:pos="2664"/>
              </w:tabs>
              <w:rPr>
                <w:rFonts w:cstheme="minorHAnsi"/>
              </w:rPr>
            </w:pPr>
            <w:r>
              <w:rPr>
                <w:rFonts w:cstheme="minorHAnsi"/>
              </w:rPr>
              <w:t>(fig.1)</w:t>
            </w:r>
            <w:r w:rsidR="0046564A">
              <w:rPr>
                <w:rFonts w:cstheme="minorHAnsi"/>
              </w:rPr>
              <w:t xml:space="preserve"> (Savin, 2017)</w:t>
            </w:r>
          </w:p>
        </w:tc>
        <w:tc>
          <w:tcPr>
            <w:tcW w:w="4508" w:type="dxa"/>
          </w:tcPr>
          <w:p w14:paraId="025FFC39" w14:textId="7E14A897" w:rsidR="0006281E" w:rsidRDefault="0046564A" w:rsidP="00EA78F9">
            <w:pPr>
              <w:rPr>
                <w:noProof/>
              </w:rPr>
            </w:pPr>
            <w:r>
              <w:rPr>
                <w:noProof/>
              </w:rPr>
              <w:drawing>
                <wp:inline distT="0" distB="0" distL="0" distR="0" wp14:anchorId="565E24FC" wp14:editId="74BDCB15">
                  <wp:extent cx="2362200" cy="3181878"/>
                  <wp:effectExtent l="0" t="0" r="0" b="0"/>
                  <wp:docPr id="439690177" name="Picture 20"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undefin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71189" cy="3193986"/>
                          </a:xfrm>
                          <a:prstGeom prst="rect">
                            <a:avLst/>
                          </a:prstGeom>
                          <a:noFill/>
                          <a:ln>
                            <a:noFill/>
                          </a:ln>
                        </pic:spPr>
                      </pic:pic>
                    </a:graphicData>
                  </a:graphic>
                </wp:inline>
              </w:drawing>
            </w:r>
            <w:r>
              <w:rPr>
                <w:noProof/>
              </w:rPr>
              <w:t xml:space="preserve"> </w:t>
            </w:r>
            <w:r w:rsidR="00AD542E">
              <w:rPr>
                <w:noProof/>
              </w:rPr>
              <w:t>(fig.2)</w:t>
            </w:r>
            <w:r>
              <w:rPr>
                <w:noProof/>
              </w:rPr>
              <w:t xml:space="preserve"> (Nunn, 2020)</w:t>
            </w:r>
          </w:p>
          <w:p w14:paraId="7FB48F1A" w14:textId="2EE0A87C" w:rsidR="00AD542E" w:rsidRPr="00AD542E" w:rsidRDefault="00AD542E" w:rsidP="00AD542E">
            <w:pPr>
              <w:ind w:firstLine="720"/>
              <w:rPr>
                <w:rFonts w:cstheme="minorHAnsi"/>
              </w:rPr>
            </w:pPr>
          </w:p>
        </w:tc>
      </w:tr>
    </w:tbl>
    <w:p w14:paraId="680D2D1B" w14:textId="77777777" w:rsidR="00E83E09" w:rsidRDefault="00E83E09" w:rsidP="00EA78F9">
      <w:pPr>
        <w:rPr>
          <w:rFonts w:cstheme="minorHAnsi"/>
        </w:rPr>
      </w:pPr>
    </w:p>
    <w:p w14:paraId="7E0C0190" w14:textId="0C57D610" w:rsidR="00191733" w:rsidRDefault="00E83E09" w:rsidP="00985B1C">
      <w:pPr>
        <w:jc w:val="left"/>
        <w:rPr>
          <w:rFonts w:cs="Arial"/>
          <w:szCs w:val="22"/>
          <w:shd w:val="clear" w:color="auto" w:fill="F8F9FA"/>
        </w:rPr>
      </w:pPr>
      <w:r>
        <w:rPr>
          <w:rFonts w:cstheme="minorHAnsi"/>
        </w:rPr>
        <w:t>From the 1950s to the 1970s, Brutalism would transform the landscape of urban and suburban Britia</w:t>
      </w:r>
      <w:r w:rsidR="00247184">
        <w:rPr>
          <w:rFonts w:cstheme="minorHAnsi"/>
        </w:rPr>
        <w:t xml:space="preserve">n, </w:t>
      </w:r>
      <w:r w:rsidR="002D4631">
        <w:rPr>
          <w:rFonts w:cstheme="minorHAnsi"/>
        </w:rPr>
        <w:t>particularly</w:t>
      </w:r>
      <w:r w:rsidR="00247184">
        <w:rPr>
          <w:rFonts w:cstheme="minorHAnsi"/>
        </w:rPr>
        <w:t xml:space="preserve"> flourishing in university campuses that were</w:t>
      </w:r>
      <w:r w:rsidR="002D4631">
        <w:rPr>
          <w:rFonts w:cstheme="minorHAnsi"/>
        </w:rPr>
        <w:t xml:space="preserve"> both rapidly growing and being produced in the early 1960s</w:t>
      </w:r>
      <w:sdt>
        <w:sdtPr>
          <w:rPr>
            <w:rFonts w:cstheme="minorHAnsi"/>
          </w:rPr>
          <w:id w:val="-927351251"/>
          <w:citation/>
        </w:sdtPr>
        <w:sdtContent>
          <w:r w:rsidR="005E7E78">
            <w:rPr>
              <w:rFonts w:cstheme="minorHAnsi"/>
            </w:rPr>
            <w:fldChar w:fldCharType="begin"/>
          </w:r>
          <w:r w:rsidR="005E7E78">
            <w:rPr>
              <w:rFonts w:cstheme="minorHAnsi"/>
            </w:rPr>
            <w:instrText xml:space="preserve"> CITATION Sim17 \l 2057 </w:instrText>
          </w:r>
          <w:r w:rsidR="005E7E78">
            <w:rPr>
              <w:rFonts w:cstheme="minorHAnsi"/>
            </w:rPr>
            <w:fldChar w:fldCharType="separate"/>
          </w:r>
          <w:r w:rsidR="005E7E78">
            <w:rPr>
              <w:rFonts w:cstheme="minorHAnsi"/>
              <w:noProof/>
            </w:rPr>
            <w:t xml:space="preserve"> </w:t>
          </w:r>
          <w:r w:rsidR="005E7E78" w:rsidRPr="005E7E78">
            <w:rPr>
              <w:rFonts w:cstheme="minorHAnsi"/>
              <w:noProof/>
            </w:rPr>
            <w:t>(Henley, 2017)</w:t>
          </w:r>
          <w:r w:rsidR="005E7E78">
            <w:rPr>
              <w:rFonts w:cstheme="minorHAnsi"/>
            </w:rPr>
            <w:fldChar w:fldCharType="end"/>
          </w:r>
        </w:sdtContent>
      </w:sdt>
      <w:r w:rsidR="002D4631">
        <w:rPr>
          <w:rFonts w:cstheme="minorHAnsi"/>
        </w:rPr>
        <w:t xml:space="preserve">. These include the new “Plate Glass Universities”, </w:t>
      </w:r>
      <w:r w:rsidR="00985B1C">
        <w:rPr>
          <w:rFonts w:cstheme="minorHAnsi"/>
        </w:rPr>
        <w:t xml:space="preserve">such </w:t>
      </w:r>
      <w:r w:rsidR="002D4631">
        <w:rPr>
          <w:rFonts w:cstheme="minorHAnsi"/>
        </w:rPr>
        <w:t>as Warwick, York and Lancaster</w:t>
      </w:r>
      <w:r w:rsidR="00985B1C">
        <w:rPr>
          <w:rFonts w:cstheme="minorHAnsi"/>
        </w:rPr>
        <w:t xml:space="preserve">. The challenge faced by these universities was </w:t>
      </w:r>
      <w:r w:rsidR="006756A4">
        <w:rPr>
          <w:rFonts w:cstheme="minorHAnsi"/>
        </w:rPr>
        <w:t xml:space="preserve">paralleled by the local authorities, the need to house large numbers of people. Brutalism’s uptake at a time of such demand allowed it to flourish throughout the nation, thus many architects either championed or experimented with the style, including </w:t>
      </w:r>
      <w:r w:rsidR="00612241">
        <w:rPr>
          <w:rFonts w:cstheme="minorHAnsi"/>
        </w:rPr>
        <w:t xml:space="preserve">Sir James </w:t>
      </w:r>
      <w:r w:rsidR="00612241" w:rsidRPr="00612241">
        <w:rPr>
          <w:rFonts w:cstheme="minorHAnsi"/>
          <w:szCs w:val="22"/>
        </w:rPr>
        <w:t>Stirling</w:t>
      </w:r>
      <w:r w:rsidR="00612241">
        <w:rPr>
          <w:rFonts w:cstheme="minorHAnsi"/>
          <w:szCs w:val="22"/>
        </w:rPr>
        <w:t xml:space="preserve"> who designed the</w:t>
      </w:r>
      <w:r w:rsidR="00612241" w:rsidRPr="00612241">
        <w:rPr>
          <w:szCs w:val="22"/>
        </w:rPr>
        <w:t xml:space="preserve"> </w:t>
      </w:r>
      <w:hyperlink r:id="rId16" w:tooltip="Seeley Historical Library" w:history="1">
        <w:r w:rsidR="00612241" w:rsidRPr="00612241">
          <w:rPr>
            <w:rStyle w:val="Hyperlink"/>
            <w:rFonts w:cs="Arial"/>
            <w:color w:val="auto"/>
            <w:szCs w:val="22"/>
            <w:u w:val="none"/>
          </w:rPr>
          <w:t>History Faculty Library</w:t>
        </w:r>
      </w:hyperlink>
      <w:r w:rsidR="00612241">
        <w:rPr>
          <w:rFonts w:cs="Arial"/>
          <w:szCs w:val="22"/>
          <w:shd w:val="clear" w:color="auto" w:fill="F8F9FA"/>
        </w:rPr>
        <w:t xml:space="preserve"> at the </w:t>
      </w:r>
      <w:hyperlink r:id="rId17" w:tooltip="University of Cambridge" w:history="1">
        <w:r w:rsidR="00612241" w:rsidRPr="00612241">
          <w:rPr>
            <w:rStyle w:val="Hyperlink"/>
            <w:rFonts w:cs="Arial"/>
            <w:color w:val="auto"/>
            <w:szCs w:val="22"/>
            <w:u w:val="none"/>
          </w:rPr>
          <w:t>University of Cambridge</w:t>
        </w:r>
      </w:hyperlink>
      <w:r w:rsidR="00612241" w:rsidRPr="00612241">
        <w:rPr>
          <w:rFonts w:cs="Arial"/>
          <w:szCs w:val="22"/>
          <w:shd w:val="clear" w:color="auto" w:fill="F8F9FA"/>
        </w:rPr>
        <w:t> </w:t>
      </w:r>
      <w:r w:rsidR="00612241">
        <w:rPr>
          <w:rFonts w:cs="Arial"/>
          <w:szCs w:val="22"/>
          <w:shd w:val="clear" w:color="auto" w:fill="F8F9FA"/>
        </w:rPr>
        <w:t xml:space="preserve">in </w:t>
      </w:r>
      <w:r w:rsidR="00612241" w:rsidRPr="00612241">
        <w:rPr>
          <w:rFonts w:cs="Arial"/>
          <w:szCs w:val="22"/>
          <w:shd w:val="clear" w:color="auto" w:fill="F8F9FA"/>
        </w:rPr>
        <w:t>1968</w:t>
      </w:r>
      <w:r w:rsidR="00612241">
        <w:rPr>
          <w:rFonts w:cs="Arial"/>
          <w:szCs w:val="22"/>
          <w:shd w:val="clear" w:color="auto" w:fill="F8F9FA"/>
        </w:rPr>
        <w:t xml:space="preserve">, Alison and Peter Smithson who designed Robin Hood Gardens in Tower Hamlets in 1972, and Erno Goldfinger who designed the </w:t>
      </w:r>
      <w:proofErr w:type="spellStart"/>
      <w:r w:rsidR="00612241">
        <w:rPr>
          <w:rFonts w:cs="Arial"/>
          <w:szCs w:val="22"/>
          <w:shd w:val="clear" w:color="auto" w:fill="F8F9FA"/>
        </w:rPr>
        <w:t>Trellick</w:t>
      </w:r>
      <w:proofErr w:type="spellEnd"/>
      <w:r w:rsidR="00612241">
        <w:rPr>
          <w:rFonts w:cs="Arial"/>
          <w:szCs w:val="22"/>
          <w:shd w:val="clear" w:color="auto" w:fill="F8F9FA"/>
        </w:rPr>
        <w:t xml:space="preserve"> Tower in Kensington in 1972</w:t>
      </w:r>
      <w:r w:rsidR="00FC1D7E">
        <w:rPr>
          <w:rFonts w:cs="Arial"/>
          <w:szCs w:val="22"/>
          <w:shd w:val="clear" w:color="auto" w:fill="F8F9FA"/>
        </w:rPr>
        <w:t xml:space="preserve"> (fig. 2)</w:t>
      </w:r>
      <w:r w:rsidR="00612241">
        <w:rPr>
          <w:rFonts w:cs="Arial"/>
          <w:szCs w:val="22"/>
          <w:shd w:val="clear" w:color="auto" w:fill="F8F9FA"/>
        </w:rPr>
        <w:t xml:space="preserve">. </w:t>
      </w:r>
    </w:p>
    <w:p w14:paraId="37318161" w14:textId="77777777" w:rsidR="00612241" w:rsidRPr="00EA78F9" w:rsidRDefault="00612241" w:rsidP="00985B1C">
      <w:pPr>
        <w:jc w:val="left"/>
        <w:rPr>
          <w:rFonts w:cstheme="minorHAnsi"/>
        </w:rPr>
      </w:pPr>
    </w:p>
    <w:p w14:paraId="2DA4DB43" w14:textId="57F48668" w:rsidR="00606095" w:rsidRPr="0029053D" w:rsidRDefault="00606095" w:rsidP="009646B7">
      <w:pPr>
        <w:pStyle w:val="Heading1"/>
        <w:rPr>
          <w:b w:val="0"/>
          <w:bCs w:val="0"/>
        </w:rPr>
      </w:pPr>
      <w:bookmarkStart w:id="7" w:name="_Toc148468010"/>
      <w:bookmarkStart w:id="8" w:name="_Hlk62472134"/>
      <w:r w:rsidRPr="0029053D">
        <w:t xml:space="preserve">Chapter </w:t>
      </w:r>
      <w:r w:rsidR="00EA4F76">
        <w:t>2</w:t>
      </w:r>
      <w:r w:rsidRPr="0029053D">
        <w:t xml:space="preserve">: </w:t>
      </w:r>
      <w:bookmarkEnd w:id="7"/>
      <w:r w:rsidR="0081233B">
        <w:t>Context</w:t>
      </w:r>
    </w:p>
    <w:p w14:paraId="287C6D30" w14:textId="77777777" w:rsidR="00606095" w:rsidRPr="00E80B43" w:rsidRDefault="00606095" w:rsidP="00F72567"/>
    <w:p w14:paraId="4201084F" w14:textId="30417116" w:rsidR="00606095" w:rsidRDefault="0075486F" w:rsidP="00F93476">
      <w:pPr>
        <w:jc w:val="left"/>
      </w:pPr>
      <w:r>
        <w:t xml:space="preserve">The Barbican </w:t>
      </w:r>
      <w:r w:rsidR="00F93476">
        <w:t xml:space="preserve">complex </w:t>
      </w:r>
      <w:proofErr w:type="gramStart"/>
      <w:r w:rsidR="00F93476">
        <w:t>is located in</w:t>
      </w:r>
      <w:proofErr w:type="gramEnd"/>
      <w:r w:rsidR="00F93476">
        <w:t xml:space="preserve"> </w:t>
      </w:r>
      <w:r w:rsidR="00B613D0">
        <w:t xml:space="preserve">the ward of </w:t>
      </w:r>
      <w:proofErr w:type="spellStart"/>
      <w:r w:rsidR="00B613D0">
        <w:t>Cripplegate</w:t>
      </w:r>
      <w:proofErr w:type="spellEnd"/>
      <w:r w:rsidR="00B613D0">
        <w:t xml:space="preserve"> in </w:t>
      </w:r>
      <w:r w:rsidR="00F93476">
        <w:t xml:space="preserve">the City of London, the historic </w:t>
      </w:r>
      <w:r w:rsidR="00FC1D7E">
        <w:t xml:space="preserve">heart </w:t>
      </w:r>
      <w:r w:rsidR="00F93476">
        <w:t>of London and an area that has served as the financial centre of the United Kingdom for centuries. It lies north-west of the Central Business District, one of the most expensive and widely recognised locations in the world</w:t>
      </w:r>
      <w:r w:rsidR="003D43E6">
        <w:t xml:space="preserve"> due to its financial architecture, such as the </w:t>
      </w:r>
      <w:r w:rsidR="003D43E6">
        <w:lastRenderedPageBreak/>
        <w:t xml:space="preserve">“Walkie </w:t>
      </w:r>
      <w:proofErr w:type="gramStart"/>
      <w:r w:rsidR="003D43E6">
        <w:t>Talkie”  (</w:t>
      </w:r>
      <w:proofErr w:type="gramEnd"/>
      <w:r w:rsidR="003D43E6">
        <w:t>20 Fenchurch Street) and the “Gherkin” (30 St Mary Axe).</w:t>
      </w:r>
      <w:r w:rsidR="00F93476">
        <w:t xml:space="preserve"> The site has a long and well recorded history, once being home to the original roman fort in London and later being a major gateway into the city. These gateways were known as </w:t>
      </w:r>
      <w:proofErr w:type="spellStart"/>
      <w:r w:rsidR="00F93476">
        <w:t>barbecana</w:t>
      </w:r>
      <w:proofErr w:type="spellEnd"/>
      <w:r w:rsidR="00F93476">
        <w:t>, and hence the anglicised name Barbican was chosen for the estate</w:t>
      </w:r>
      <w:sdt>
        <w:sdtPr>
          <w:id w:val="-1251650831"/>
          <w:citation/>
        </w:sdtPr>
        <w:sdtContent>
          <w:r w:rsidR="00334CB8">
            <w:fldChar w:fldCharType="begin"/>
          </w:r>
          <w:r w:rsidR="00334CB8">
            <w:instrText xml:space="preserve"> CITATION His22 \l 2057 </w:instrText>
          </w:r>
          <w:r w:rsidR="00334CB8">
            <w:fldChar w:fldCharType="separate"/>
          </w:r>
          <w:r w:rsidR="00334CB8">
            <w:rPr>
              <w:noProof/>
            </w:rPr>
            <w:t xml:space="preserve"> </w:t>
          </w:r>
          <w:r w:rsidR="00334CB8" w:rsidRPr="00334CB8">
            <w:rPr>
              <w:noProof/>
            </w:rPr>
            <w:t>(Historic England, 2022)</w:t>
          </w:r>
          <w:r w:rsidR="00334CB8">
            <w:fldChar w:fldCharType="end"/>
          </w:r>
        </w:sdtContent>
      </w:sdt>
      <w:r w:rsidR="00F93476">
        <w:t>.</w:t>
      </w:r>
    </w:p>
    <w:p w14:paraId="4CE03004" w14:textId="77777777" w:rsidR="006D721A" w:rsidRDefault="006D721A" w:rsidP="00F93476">
      <w:pPr>
        <w:jc w:val="left"/>
      </w:pPr>
    </w:p>
    <w:p w14:paraId="6F86E393" w14:textId="1E1481F5" w:rsidR="004474F6" w:rsidRDefault="004474F6" w:rsidP="00F93476">
      <w:pPr>
        <w:jc w:val="left"/>
      </w:pPr>
      <w:r>
        <w:t xml:space="preserve">During the Second World War, largely due the financial and organisational importance of the city of London, the area came under heavy bombing raids. By the end of the war, the site had been levelled to such a degree that there were hardly any buildings left </w:t>
      </w:r>
      <w:sdt>
        <w:sdtPr>
          <w:id w:val="-902361541"/>
          <w:citation/>
        </w:sdtPr>
        <w:sdtContent>
          <w:r w:rsidR="00505834">
            <w:fldChar w:fldCharType="begin"/>
          </w:r>
          <w:r w:rsidR="00505834">
            <w:instrText xml:space="preserve"> CITATION Hal12 \l 2057 </w:instrText>
          </w:r>
          <w:r w:rsidR="00505834">
            <w:fldChar w:fldCharType="separate"/>
          </w:r>
          <w:r w:rsidR="00505834" w:rsidRPr="00505834">
            <w:rPr>
              <w:noProof/>
            </w:rPr>
            <w:t>(Hall, 2012)</w:t>
          </w:r>
          <w:r w:rsidR="00505834">
            <w:fldChar w:fldCharType="end"/>
          </w:r>
        </w:sdtContent>
      </w:sdt>
      <w:r w:rsidR="00125530">
        <w:t xml:space="preserve"> </w:t>
      </w:r>
      <w:r>
        <w:t>(</w:t>
      </w:r>
      <w:r w:rsidR="00125530">
        <w:t>f</w:t>
      </w:r>
      <w:r>
        <w:t>ig</w:t>
      </w:r>
      <w:r w:rsidR="00125530">
        <w:t>. 3</w:t>
      </w:r>
      <w:r>
        <w:t>)</w:t>
      </w:r>
      <w:r w:rsidR="00B613D0">
        <w:t xml:space="preserve"> and the pre</w:t>
      </w:r>
      <w:r w:rsidR="00B21BF8">
        <w:t>-</w:t>
      </w:r>
      <w:r w:rsidR="00B613D0">
        <w:t xml:space="preserve">war population </w:t>
      </w:r>
      <w:r w:rsidR="00BF57F8">
        <w:t>in</w:t>
      </w:r>
      <w:r w:rsidR="00B613D0">
        <w:t xml:space="preserve"> </w:t>
      </w:r>
      <w:proofErr w:type="spellStart"/>
      <w:r w:rsidR="00B613D0">
        <w:t>Cripplegate</w:t>
      </w:r>
      <w:proofErr w:type="spellEnd"/>
      <w:r w:rsidR="00B613D0">
        <w:t xml:space="preserve"> </w:t>
      </w:r>
      <w:r w:rsidR="00BF57F8">
        <w:t>of 14,000 had been reduced to 48</w:t>
      </w:r>
      <w:sdt>
        <w:sdtPr>
          <w:id w:val="1805811611"/>
          <w:citation/>
        </w:sdtPr>
        <w:sdtContent>
          <w:r w:rsidR="00F57F58">
            <w:fldChar w:fldCharType="begin"/>
          </w:r>
          <w:r w:rsidR="00F57F58">
            <w:instrText xml:space="preserve"> CITATION Liv24 \l 2057 </w:instrText>
          </w:r>
          <w:r w:rsidR="00F57F58">
            <w:fldChar w:fldCharType="separate"/>
          </w:r>
          <w:r w:rsidR="00F57F58">
            <w:rPr>
              <w:noProof/>
            </w:rPr>
            <w:t xml:space="preserve"> </w:t>
          </w:r>
          <w:r w:rsidR="00F57F58" w:rsidRPr="00F57F58">
            <w:rPr>
              <w:noProof/>
            </w:rPr>
            <w:t>(Anon., 2024)</w:t>
          </w:r>
          <w:r w:rsidR="00F57F58">
            <w:fldChar w:fldCharType="end"/>
          </w:r>
        </w:sdtContent>
      </w:sdt>
      <w:r w:rsidR="00BF57F8">
        <w:t>.</w:t>
      </w:r>
      <w:r>
        <w:t xml:space="preserve">  </w:t>
      </w:r>
      <w:r w:rsidR="00B613D0">
        <w:t xml:space="preserve">Lack of demand for inner city living lead to the site </w:t>
      </w:r>
      <w:r w:rsidR="00334CB8">
        <w:t>remaining mostly</w:t>
      </w:r>
      <w:r w:rsidR="00B613D0">
        <w:t xml:space="preserve"> empty through the 40s and 50s, however by 1957 the City of London’s </w:t>
      </w:r>
      <w:r w:rsidR="00125530">
        <w:t>C</w:t>
      </w:r>
      <w:r w:rsidR="00B613D0">
        <w:t xml:space="preserve">ourt of Common Council designated </w:t>
      </w:r>
      <w:r w:rsidR="00F57F58">
        <w:t>an</w:t>
      </w:r>
      <w:r w:rsidR="00B613D0">
        <w:t xml:space="preserve"> area </w:t>
      </w:r>
      <w:r w:rsidR="00F57F58">
        <w:t xml:space="preserve">of 35 acres </w:t>
      </w:r>
      <w:r w:rsidR="00B613D0">
        <w:t>for mostly residential development</w:t>
      </w:r>
      <w:r w:rsidR="00B4441D">
        <w:t xml:space="preserve">, in the hope of reinvigorating the city. </w:t>
      </w:r>
    </w:p>
    <w:tbl>
      <w:tblPr>
        <w:tblStyle w:val="TableGrid"/>
        <w:tblW w:w="0" w:type="auto"/>
        <w:tblLook w:val="04A0" w:firstRow="1" w:lastRow="0" w:firstColumn="1" w:lastColumn="0" w:noHBand="0" w:noVBand="1"/>
      </w:tblPr>
      <w:tblGrid>
        <w:gridCol w:w="4411"/>
        <w:gridCol w:w="4605"/>
      </w:tblGrid>
      <w:tr w:rsidR="00AD542E" w14:paraId="012CD332" w14:textId="77777777" w:rsidTr="00AD542E">
        <w:trPr>
          <w:trHeight w:val="4236"/>
        </w:trPr>
        <w:tc>
          <w:tcPr>
            <w:tcW w:w="4508" w:type="dxa"/>
          </w:tcPr>
          <w:p w14:paraId="4F0CAA3F" w14:textId="052A520F" w:rsidR="00263D66" w:rsidRDefault="00263D66" w:rsidP="00F93476">
            <w:pPr>
              <w:jc w:val="left"/>
            </w:pPr>
            <w:r>
              <w:rPr>
                <w:noProof/>
              </w:rPr>
              <w:drawing>
                <wp:inline distT="0" distB="0" distL="0" distR="0" wp14:anchorId="77E67867" wp14:editId="2AA2D8CA">
                  <wp:extent cx="2712720" cy="2121248"/>
                  <wp:effectExtent l="0" t="0" r="0" b="0"/>
                  <wp:docPr id="63569019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23575" cy="2129736"/>
                          </a:xfrm>
                          <a:prstGeom prst="rect">
                            <a:avLst/>
                          </a:prstGeom>
                          <a:noFill/>
                          <a:ln>
                            <a:noFill/>
                          </a:ln>
                        </pic:spPr>
                      </pic:pic>
                    </a:graphicData>
                  </a:graphic>
                </wp:inline>
              </w:drawing>
            </w:r>
            <w:r w:rsidR="00AD542E">
              <w:t>(fig.3) Public Domain</w:t>
            </w:r>
          </w:p>
        </w:tc>
        <w:tc>
          <w:tcPr>
            <w:tcW w:w="4508" w:type="dxa"/>
          </w:tcPr>
          <w:p w14:paraId="20043C27" w14:textId="77777777" w:rsidR="00263D66" w:rsidRDefault="00AD542E" w:rsidP="00F93476">
            <w:pPr>
              <w:jc w:val="left"/>
              <w:rPr>
                <w:noProof/>
              </w:rPr>
            </w:pPr>
            <w:r>
              <w:rPr>
                <w:noProof/>
              </w:rPr>
              <w:drawing>
                <wp:inline distT="0" distB="0" distL="0" distR="0" wp14:anchorId="4C2A63E8" wp14:editId="531F819D">
                  <wp:extent cx="2834640" cy="2126138"/>
                  <wp:effectExtent l="0" t="0" r="3810" b="7620"/>
                  <wp:docPr id="1086802288" name="Picture 2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undefin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44043" cy="2133191"/>
                          </a:xfrm>
                          <a:prstGeom prst="rect">
                            <a:avLst/>
                          </a:prstGeom>
                          <a:noFill/>
                          <a:ln>
                            <a:noFill/>
                          </a:ln>
                        </pic:spPr>
                      </pic:pic>
                    </a:graphicData>
                  </a:graphic>
                </wp:inline>
              </w:drawing>
            </w:r>
          </w:p>
          <w:p w14:paraId="33EC0948" w14:textId="37B51168" w:rsidR="00AD542E" w:rsidRPr="00AD542E" w:rsidRDefault="00AD542E" w:rsidP="00AD542E">
            <w:r>
              <w:t>(fig.4)</w:t>
            </w:r>
            <w:r w:rsidR="0046564A">
              <w:t xml:space="preserve"> (Quinn, 2008)</w:t>
            </w:r>
          </w:p>
        </w:tc>
      </w:tr>
    </w:tbl>
    <w:p w14:paraId="1FD58B26" w14:textId="0273D3CD" w:rsidR="006D721A" w:rsidRDefault="006D721A" w:rsidP="00F93476">
      <w:pPr>
        <w:jc w:val="left"/>
      </w:pPr>
    </w:p>
    <w:p w14:paraId="3CA89C83" w14:textId="31D2C649" w:rsidR="00606095" w:rsidRDefault="00FB40DF" w:rsidP="008C2EB3">
      <w:pPr>
        <w:jc w:val="left"/>
      </w:pPr>
      <w:r>
        <w:t xml:space="preserve">In 1952, a site to the north of the Barbican had been chosen for development to form the Golden Lane </w:t>
      </w:r>
      <w:r w:rsidR="00125530">
        <w:t>E</w:t>
      </w:r>
      <w:r>
        <w:t>state</w:t>
      </w:r>
      <w:r w:rsidR="00125530">
        <w:t xml:space="preserve"> (fig. 4)</w:t>
      </w:r>
      <w:r>
        <w:t xml:space="preserve">. An architect and lecturer at Kingston </w:t>
      </w:r>
      <w:r w:rsidR="00125530">
        <w:t>U</w:t>
      </w:r>
      <w:r>
        <w:t>niversity, Geoffry Powell, had won a competition for the design, defeating a proposal by the upcoming architects Alison and Peter Smithson</w:t>
      </w:r>
      <w:sdt>
        <w:sdtPr>
          <w:id w:val="-609895386"/>
          <w:citation/>
        </w:sdtPr>
        <w:sdtContent>
          <w:r w:rsidR="004661C2">
            <w:fldChar w:fldCharType="begin"/>
          </w:r>
          <w:r w:rsidR="004661C2">
            <w:instrText xml:space="preserve">CITATION Arc16 \l 2057 </w:instrText>
          </w:r>
          <w:r w:rsidR="004661C2">
            <w:fldChar w:fldCharType="separate"/>
          </w:r>
          <w:r w:rsidR="004661C2">
            <w:rPr>
              <w:noProof/>
            </w:rPr>
            <w:t xml:space="preserve"> </w:t>
          </w:r>
          <w:r w:rsidR="004661C2" w:rsidRPr="004661C2">
            <w:rPr>
              <w:noProof/>
            </w:rPr>
            <w:t>(ArchDaily, 2016)</w:t>
          </w:r>
          <w:r w:rsidR="004661C2">
            <w:fldChar w:fldCharType="end"/>
          </w:r>
        </w:sdtContent>
      </w:sdt>
      <w:r>
        <w:t>.</w:t>
      </w:r>
      <w:r w:rsidR="006D721A">
        <w:t xml:space="preserve"> To complete the work, Powell formed a partnership with fellow Kingston lecturers Peter Chamberlin and Christoph Bon, creating Chamberlin, Powell and Bon. </w:t>
      </w:r>
      <w:proofErr w:type="gramStart"/>
      <w:r w:rsidR="006D721A">
        <w:t>Thus</w:t>
      </w:r>
      <w:proofErr w:type="gramEnd"/>
      <w:r w:rsidR="006D721A">
        <w:t xml:space="preserve"> when a competition was held for the Barbican site, Chamberlin, Powell and Bon were in a suitable position to successfully enter a design and carry it through. </w:t>
      </w:r>
      <w:r w:rsidR="00351CD5">
        <w:t>Throughout the project</w:t>
      </w:r>
      <w:r w:rsidR="00125530">
        <w:t xml:space="preserve"> </w:t>
      </w:r>
      <w:r w:rsidR="00351CD5">
        <w:t>industrial disputes</w:t>
      </w:r>
      <w:r w:rsidR="00125530">
        <w:t>,</w:t>
      </w:r>
      <w:r w:rsidR="00351CD5">
        <w:t xml:space="preserve"> common in the 19</w:t>
      </w:r>
      <w:r w:rsidR="004B3481">
        <w:t xml:space="preserve">60s and </w:t>
      </w:r>
      <w:r w:rsidR="00351CD5">
        <w:t>70s</w:t>
      </w:r>
      <w:r w:rsidR="00125530">
        <w:t xml:space="preserve">, </w:t>
      </w:r>
      <w:r w:rsidR="00351CD5">
        <w:t xml:space="preserve">delayed completion of what was intended to be a much quicker project. </w:t>
      </w:r>
      <w:r w:rsidR="004B3481">
        <w:t xml:space="preserve">In 1965 the band </w:t>
      </w:r>
      <w:r w:rsidR="004B3481">
        <w:lastRenderedPageBreak/>
        <w:t>Unit 4 + 2 performed on the cleared site their song “Concrete and Clay”, heralding the coming development</w:t>
      </w:r>
      <w:sdt>
        <w:sdtPr>
          <w:id w:val="1930845074"/>
          <w:citation/>
        </w:sdtPr>
        <w:sdtContent>
          <w:r w:rsidR="004661C2">
            <w:fldChar w:fldCharType="begin"/>
          </w:r>
          <w:r w:rsidR="004661C2">
            <w:instrText xml:space="preserve">CITATION Gri18 \p 132 \l 2057 </w:instrText>
          </w:r>
          <w:r w:rsidR="004661C2">
            <w:fldChar w:fldCharType="separate"/>
          </w:r>
          <w:r w:rsidR="004661C2">
            <w:rPr>
              <w:noProof/>
            </w:rPr>
            <w:t xml:space="preserve"> </w:t>
          </w:r>
          <w:r w:rsidR="004661C2" w:rsidRPr="004661C2">
            <w:rPr>
              <w:noProof/>
            </w:rPr>
            <w:t>(Grindrod, 2018, p. 132)</w:t>
          </w:r>
          <w:r w:rsidR="004661C2">
            <w:fldChar w:fldCharType="end"/>
          </w:r>
        </w:sdtContent>
      </w:sdt>
      <w:r w:rsidR="004B3481">
        <w:t xml:space="preserve">. </w:t>
      </w:r>
    </w:p>
    <w:p w14:paraId="2B8910F4" w14:textId="3E09535D" w:rsidR="00606095" w:rsidRPr="0029053D" w:rsidRDefault="00606095" w:rsidP="009646B7">
      <w:pPr>
        <w:pStyle w:val="Heading1"/>
        <w:rPr>
          <w:b w:val="0"/>
          <w:bCs w:val="0"/>
        </w:rPr>
      </w:pPr>
      <w:bookmarkStart w:id="9" w:name="_Toc148468012"/>
      <w:r w:rsidRPr="0029053D">
        <w:t xml:space="preserve">Chapter </w:t>
      </w:r>
      <w:r w:rsidR="00EA4F76">
        <w:t>3</w:t>
      </w:r>
      <w:r w:rsidRPr="0029053D">
        <w:t xml:space="preserve">: </w:t>
      </w:r>
      <w:bookmarkEnd w:id="9"/>
      <w:r w:rsidR="00EE19C4">
        <w:t>Structures</w:t>
      </w:r>
    </w:p>
    <w:p w14:paraId="445C1F6E" w14:textId="4E8FDE43" w:rsidR="00606095" w:rsidRPr="00E80B43" w:rsidRDefault="00606095" w:rsidP="00606095">
      <w:pPr>
        <w:rPr>
          <w:rFonts w:cs="Arial"/>
        </w:rPr>
      </w:pPr>
    </w:p>
    <w:p w14:paraId="576C8794" w14:textId="5BB6DDE5" w:rsidR="00476A1D" w:rsidRDefault="00560F0A" w:rsidP="00476A1D">
      <w:pPr>
        <w:jc w:val="left"/>
      </w:pPr>
      <w:r>
        <w:t>The landscape of the Barbican estate defies the traditional image of Brutalism, that of a large monotonous block such as</w:t>
      </w:r>
      <w:r w:rsidR="0003475F">
        <w:t xml:space="preserve"> Robin Hood Gardens, instead creating a varied collection of spaces framed by differing types of structures. </w:t>
      </w:r>
      <w:r w:rsidR="00476A1D">
        <w:t>At the very centre of the development exists the Water Gardens, a defining element of the scheme that amplifies the oasis-like feeling when emerging through the Barbican. While the aesthetic effects of this are undeniably positive, planning did not consider the necessary shallowness of the pool, a mere half a metre, necessitated by the London Underground running directly beneath. This is too shallow to allow a healthy ecosystem to develop meaning that the water must be frequently changed to prevent stagnation</w:t>
      </w:r>
      <w:sdt>
        <w:sdtPr>
          <w:id w:val="-524783802"/>
          <w:citation/>
        </w:sdtPr>
        <w:sdtContent>
          <w:r w:rsidR="00E55999">
            <w:fldChar w:fldCharType="begin"/>
          </w:r>
          <w:r w:rsidR="00E55999">
            <w:instrText xml:space="preserve"> CITATION Bar24 \l 2057 </w:instrText>
          </w:r>
          <w:r w:rsidR="00E55999">
            <w:fldChar w:fldCharType="separate"/>
          </w:r>
          <w:r w:rsidR="00E55999">
            <w:rPr>
              <w:noProof/>
            </w:rPr>
            <w:t xml:space="preserve"> </w:t>
          </w:r>
          <w:r w:rsidR="00E55999" w:rsidRPr="00E55999">
            <w:rPr>
              <w:noProof/>
            </w:rPr>
            <w:t>(Barbican Living, 2024)</w:t>
          </w:r>
          <w:r w:rsidR="00E55999">
            <w:fldChar w:fldCharType="end"/>
          </w:r>
        </w:sdtContent>
      </w:sdt>
      <w:r w:rsidR="00476A1D">
        <w:t xml:space="preserve">. </w:t>
      </w:r>
      <w:r w:rsidR="00AE2792">
        <w:t xml:space="preserve">Noticeably car-free, the </w:t>
      </w:r>
      <w:r w:rsidR="00AA4B40">
        <w:t>B</w:t>
      </w:r>
      <w:r w:rsidR="00AE2792">
        <w:t xml:space="preserve">arbican </w:t>
      </w:r>
      <w:r w:rsidR="00AA4B40">
        <w:t xml:space="preserve">sequester </w:t>
      </w:r>
      <w:r w:rsidR="000E1042">
        <w:t>almost</w:t>
      </w:r>
      <w:r w:rsidR="00AA4B40">
        <w:t xml:space="preserve"> </w:t>
      </w:r>
      <w:r w:rsidR="0068251D">
        <w:t>all</w:t>
      </w:r>
      <w:r w:rsidR="00AA4B40">
        <w:t xml:space="preserve"> the 2000 parking spaces in the two-story podium on which the terrace blocks sit, a concept which would have been radical in a time of motorway building that venerated car ownership.</w:t>
      </w:r>
    </w:p>
    <w:tbl>
      <w:tblPr>
        <w:tblStyle w:val="TableGrid"/>
        <w:tblW w:w="0" w:type="auto"/>
        <w:tblLook w:val="04A0" w:firstRow="1" w:lastRow="0" w:firstColumn="1" w:lastColumn="0" w:noHBand="0" w:noVBand="1"/>
      </w:tblPr>
      <w:tblGrid>
        <w:gridCol w:w="4523"/>
        <w:gridCol w:w="4493"/>
      </w:tblGrid>
      <w:tr w:rsidR="00C30520" w14:paraId="34F3443A" w14:textId="77777777" w:rsidTr="00BD27BB">
        <w:tc>
          <w:tcPr>
            <w:tcW w:w="4508" w:type="dxa"/>
          </w:tcPr>
          <w:p w14:paraId="551E35E3" w14:textId="6FDF9C9C" w:rsidR="0068251D" w:rsidRPr="0068251D" w:rsidRDefault="0068251D" w:rsidP="0068251D">
            <w:pPr>
              <w:spacing w:before="100" w:beforeAutospacing="1" w:after="100" w:afterAutospacing="1" w:line="240" w:lineRule="auto"/>
              <w:jc w:val="left"/>
              <w:rPr>
                <w:rFonts w:ascii="Times New Roman" w:eastAsia="Times New Roman" w:hAnsi="Times New Roman"/>
                <w:sz w:val="24"/>
                <w:lang w:eastAsia="en-GB"/>
              </w:rPr>
            </w:pPr>
            <w:r w:rsidRPr="0068251D">
              <w:rPr>
                <w:rFonts w:ascii="Times New Roman" w:eastAsia="Times New Roman" w:hAnsi="Times New Roman"/>
                <w:noProof/>
                <w:sz w:val="24"/>
                <w:lang w:eastAsia="en-GB"/>
              </w:rPr>
              <w:drawing>
                <wp:inline distT="0" distB="0" distL="0" distR="0" wp14:anchorId="3D6B36B3" wp14:editId="2956E91B">
                  <wp:extent cx="2754553" cy="3672840"/>
                  <wp:effectExtent l="0" t="0" r="8255" b="3810"/>
                  <wp:docPr id="155971378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60680" cy="3681010"/>
                          </a:xfrm>
                          <a:prstGeom prst="rect">
                            <a:avLst/>
                          </a:prstGeom>
                          <a:noFill/>
                          <a:ln>
                            <a:noFill/>
                          </a:ln>
                        </pic:spPr>
                      </pic:pic>
                    </a:graphicData>
                  </a:graphic>
                </wp:inline>
              </w:drawing>
            </w:r>
          </w:p>
          <w:p w14:paraId="5A70679B" w14:textId="19D41002" w:rsidR="0068251D" w:rsidRPr="0068251D" w:rsidRDefault="00AD542E" w:rsidP="0068251D">
            <w:pPr>
              <w:spacing w:before="100" w:beforeAutospacing="1" w:after="100" w:afterAutospacing="1" w:line="240" w:lineRule="auto"/>
              <w:jc w:val="left"/>
              <w:rPr>
                <w:rFonts w:eastAsia="Times New Roman" w:cs="Arial"/>
                <w:szCs w:val="22"/>
                <w:lang w:eastAsia="en-GB"/>
              </w:rPr>
            </w:pPr>
            <w:r w:rsidRPr="00AD542E">
              <w:rPr>
                <w:rFonts w:eastAsia="Times New Roman" w:cs="Arial"/>
                <w:szCs w:val="22"/>
                <w:lang w:eastAsia="en-GB"/>
              </w:rPr>
              <w:t>(fig.5)</w:t>
            </w:r>
            <w:r w:rsidR="008C2EB3">
              <w:rPr>
                <w:rFonts w:eastAsia="Times New Roman" w:cs="Arial"/>
                <w:szCs w:val="22"/>
                <w:lang w:eastAsia="en-GB"/>
              </w:rPr>
              <w:t xml:space="preserve"> (Wilson, 2024)</w:t>
            </w:r>
          </w:p>
          <w:p w14:paraId="2584B4B9" w14:textId="77777777" w:rsidR="00BD27BB" w:rsidRDefault="00BD27BB" w:rsidP="00EE19C4">
            <w:pPr>
              <w:jc w:val="left"/>
            </w:pPr>
          </w:p>
        </w:tc>
        <w:tc>
          <w:tcPr>
            <w:tcW w:w="4508" w:type="dxa"/>
          </w:tcPr>
          <w:p w14:paraId="041378E0" w14:textId="0A05DD5F" w:rsidR="00BD27BB" w:rsidRPr="00BD27BB" w:rsidRDefault="00BD27BB" w:rsidP="00BD27BB">
            <w:pPr>
              <w:spacing w:before="100" w:beforeAutospacing="1" w:after="100" w:afterAutospacing="1" w:line="240" w:lineRule="auto"/>
              <w:jc w:val="left"/>
              <w:rPr>
                <w:rFonts w:ascii="Times New Roman" w:eastAsia="Times New Roman" w:hAnsi="Times New Roman"/>
                <w:sz w:val="24"/>
                <w:lang w:eastAsia="en-GB"/>
              </w:rPr>
            </w:pPr>
            <w:r w:rsidRPr="00BD27BB">
              <w:rPr>
                <w:rFonts w:ascii="Times New Roman" w:eastAsia="Times New Roman" w:hAnsi="Times New Roman"/>
                <w:noProof/>
                <w:sz w:val="24"/>
                <w:lang w:eastAsia="en-GB"/>
              </w:rPr>
              <w:drawing>
                <wp:inline distT="0" distB="0" distL="0" distR="0" wp14:anchorId="6F9D6408" wp14:editId="0D9F12D9">
                  <wp:extent cx="2743124" cy="3657600"/>
                  <wp:effectExtent l="0" t="0" r="635" b="0"/>
                  <wp:docPr id="5553671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67952" cy="3690705"/>
                          </a:xfrm>
                          <a:prstGeom prst="rect">
                            <a:avLst/>
                          </a:prstGeom>
                          <a:noFill/>
                          <a:ln>
                            <a:noFill/>
                          </a:ln>
                        </pic:spPr>
                      </pic:pic>
                    </a:graphicData>
                  </a:graphic>
                </wp:inline>
              </w:drawing>
            </w:r>
          </w:p>
          <w:p w14:paraId="6F15DE04" w14:textId="6B2CC1FF" w:rsidR="00BD27BB" w:rsidRDefault="00AD542E" w:rsidP="00EE19C4">
            <w:pPr>
              <w:jc w:val="left"/>
            </w:pPr>
            <w:r>
              <w:t>(fig.6)</w:t>
            </w:r>
            <w:r w:rsidR="008C2EB3">
              <w:t xml:space="preserve"> </w:t>
            </w:r>
            <w:r w:rsidR="008C2EB3">
              <w:rPr>
                <w:rFonts w:eastAsia="Times New Roman" w:cs="Arial"/>
                <w:szCs w:val="22"/>
                <w:lang w:eastAsia="en-GB"/>
              </w:rPr>
              <w:t>(Wilson, 2024)</w:t>
            </w:r>
          </w:p>
        </w:tc>
      </w:tr>
    </w:tbl>
    <w:p w14:paraId="39C48B04" w14:textId="77777777" w:rsidR="006E332B" w:rsidRDefault="006E332B" w:rsidP="00EE19C4">
      <w:pPr>
        <w:jc w:val="left"/>
      </w:pPr>
    </w:p>
    <w:p w14:paraId="7C57268D" w14:textId="10F5399A" w:rsidR="00EE19C4" w:rsidRDefault="006E332B" w:rsidP="006E332B">
      <w:pPr>
        <w:pStyle w:val="Heading2"/>
      </w:pPr>
      <w:r>
        <w:t xml:space="preserve">3.1 </w:t>
      </w:r>
      <w:r w:rsidR="00505834">
        <w:t>Skywalks</w:t>
      </w:r>
    </w:p>
    <w:p w14:paraId="64291B20" w14:textId="20315ECE" w:rsidR="009D2738" w:rsidRDefault="0003475F" w:rsidP="00EE19C4">
      <w:pPr>
        <w:jc w:val="left"/>
      </w:pPr>
      <w:r>
        <w:t xml:space="preserve">The complex </w:t>
      </w:r>
      <w:r w:rsidR="00220B24">
        <w:t xml:space="preserve">layout </w:t>
      </w:r>
      <w:r w:rsidR="00EE19C4">
        <w:t xml:space="preserve">of the Barbican </w:t>
      </w:r>
      <w:r w:rsidR="00220B24">
        <w:t>exists</w:t>
      </w:r>
      <w:r>
        <w:t xml:space="preserve"> </w:t>
      </w:r>
      <w:r w:rsidR="002A0E5F">
        <w:t xml:space="preserve">on </w:t>
      </w:r>
      <w:r w:rsidR="00220B24">
        <w:t xml:space="preserve">a </w:t>
      </w:r>
      <w:r w:rsidR="002A0E5F">
        <w:t>rigid grid, essentially meaning that all buildings are in one of two possible orientations.</w:t>
      </w:r>
      <w:r w:rsidR="00425D3B" w:rsidRPr="00425D3B">
        <w:t xml:space="preserve"> </w:t>
      </w:r>
      <w:r w:rsidR="00425D3B">
        <w:t>Most routes through the Barbican are on what would conventionally be the third floor however it is essentially an elevated ground floor.</w:t>
      </w:r>
      <w:r w:rsidR="002A0E5F">
        <w:t xml:space="preserve"> All routes through the site are made via paths meeting at 90 degrees.</w:t>
      </w:r>
      <w:r w:rsidR="002F0A8D">
        <w:t xml:space="preserve"> A difficulty created by this is the unintuitive routes generated to travel what should be short distances.</w:t>
      </w:r>
      <w:r w:rsidR="00754DBE">
        <w:t xml:space="preserve"> </w:t>
      </w:r>
      <w:r w:rsidR="00425D3B">
        <w:t xml:space="preserve">It can also be said that the lack of intuitive paths through the building reduces footfall in the Barbican, highlighted by the fact that </w:t>
      </w:r>
      <w:r w:rsidR="00125530">
        <w:t xml:space="preserve">common routes are marked with </w:t>
      </w:r>
      <w:r w:rsidR="00425D3B">
        <w:t>yellow lines</w:t>
      </w:r>
      <w:r w:rsidR="00125530">
        <w:t xml:space="preserve"> (fig. 6)</w:t>
      </w:r>
      <w:r w:rsidR="00425D3B">
        <w:t xml:space="preserve">, indicating which paths to follow. </w:t>
      </w:r>
      <w:r w:rsidR="00AA4B40">
        <w:t xml:space="preserve">Nonetheless, the pedestrian walkways </w:t>
      </w:r>
      <w:r w:rsidR="00754DBE">
        <w:t xml:space="preserve">are a striking feature that </w:t>
      </w:r>
      <w:r w:rsidR="000E1042">
        <w:t xml:space="preserve">were key in the ethos of the project. </w:t>
      </w:r>
    </w:p>
    <w:p w14:paraId="2EF7CBDE" w14:textId="21BE27FC" w:rsidR="002F0A8D" w:rsidRDefault="00425D3B" w:rsidP="00EE19C4">
      <w:pPr>
        <w:jc w:val="left"/>
      </w:pPr>
      <w:r>
        <w:t xml:space="preserve">Part of a never realised scheme to unite London through high-level walkways, the paths have become iconic </w:t>
      </w:r>
      <w:proofErr w:type="gramStart"/>
      <w:r>
        <w:t>in their own right and</w:t>
      </w:r>
      <w:proofErr w:type="gramEnd"/>
      <w:r>
        <w:t xml:space="preserve"> serve as the embodiment of forward</w:t>
      </w:r>
      <w:r w:rsidR="009D2738">
        <w:t>-</w:t>
      </w:r>
      <w:r>
        <w:t xml:space="preserve">thinking urban design </w:t>
      </w:r>
      <w:r w:rsidR="009D2738">
        <w:t xml:space="preserve">that </w:t>
      </w:r>
      <w:r>
        <w:t>the Barbican was famed for</w:t>
      </w:r>
      <w:sdt>
        <w:sdtPr>
          <w:id w:val="1211923950"/>
          <w:citation/>
        </w:sdtPr>
        <w:sdtContent>
          <w:r w:rsidR="00505834">
            <w:fldChar w:fldCharType="begin"/>
          </w:r>
          <w:r w:rsidR="00505834">
            <w:instrText xml:space="preserve"> CITATION Sim17 \l 2057 </w:instrText>
          </w:r>
          <w:r w:rsidR="00505834">
            <w:fldChar w:fldCharType="separate"/>
          </w:r>
          <w:r w:rsidR="00505834">
            <w:rPr>
              <w:noProof/>
            </w:rPr>
            <w:t xml:space="preserve"> </w:t>
          </w:r>
          <w:r w:rsidR="00505834" w:rsidRPr="00505834">
            <w:rPr>
              <w:noProof/>
            </w:rPr>
            <w:t>(Henley, 2017)</w:t>
          </w:r>
          <w:r w:rsidR="00505834">
            <w:fldChar w:fldCharType="end"/>
          </w:r>
        </w:sdtContent>
      </w:sdt>
      <w:r>
        <w:t xml:space="preserve">. </w:t>
      </w:r>
    </w:p>
    <w:p w14:paraId="166E3997" w14:textId="77777777" w:rsidR="006E332B" w:rsidRDefault="006E332B" w:rsidP="00EE19C4">
      <w:pPr>
        <w:jc w:val="left"/>
      </w:pPr>
    </w:p>
    <w:p w14:paraId="6096D525" w14:textId="698AC170" w:rsidR="00852EF3" w:rsidRDefault="006E332B" w:rsidP="006E332B">
      <w:pPr>
        <w:pStyle w:val="Heading2"/>
      </w:pPr>
      <w:r>
        <w:t xml:space="preserve">3.2 </w:t>
      </w:r>
      <w:r w:rsidR="00852EF3">
        <w:t>Tower Blocks</w:t>
      </w:r>
      <w:r>
        <w:t xml:space="preserve"> </w:t>
      </w:r>
    </w:p>
    <w:p w14:paraId="278855F7" w14:textId="4F35B9A2" w:rsidR="00DB31F0" w:rsidRDefault="002F0A8D" w:rsidP="00EE19C4">
      <w:pPr>
        <w:jc w:val="left"/>
        <w:rPr>
          <w:rFonts w:cs="Arial"/>
          <w:sz w:val="21"/>
          <w:szCs w:val="21"/>
          <w:shd w:val="clear" w:color="auto" w:fill="FFFFFF"/>
        </w:rPr>
      </w:pPr>
      <w:r>
        <w:t xml:space="preserve">To the north of the site </w:t>
      </w:r>
      <w:r w:rsidR="002A0E5F">
        <w:t xml:space="preserve">are three towers blocks of 42 storeys that take the plan form of triangles, these are Lauderdale, </w:t>
      </w:r>
      <w:r w:rsidR="00220B24">
        <w:t>Shakespeare,</w:t>
      </w:r>
      <w:r w:rsidR="002A0E5F">
        <w:t xml:space="preserve"> and Cromwell towers.</w:t>
      </w:r>
      <w:r w:rsidR="00DB31F0">
        <w:t xml:space="preserve"> </w:t>
      </w:r>
      <w:r w:rsidR="00E87349">
        <w:t xml:space="preserve">The triangular shape was chosen to reduce resistance to wind, fearing that the conventional rectangular forms of the other barbican buildings would be unsuited to high-rise construction. </w:t>
      </w:r>
      <w:r w:rsidR="00DB31F0">
        <w:t>The towers bear a heavy appearance</w:t>
      </w:r>
      <w:r w:rsidR="00125530">
        <w:t>,</w:t>
      </w:r>
      <w:r w:rsidR="00DB31F0">
        <w:t xml:space="preserve"> in</w:t>
      </w:r>
      <w:r w:rsidR="00E87349">
        <w:t>-</w:t>
      </w:r>
      <w:r w:rsidR="00DB31F0">
        <w:t>keeping with the terraces</w:t>
      </w:r>
      <w:r w:rsidR="00125530">
        <w:t>,</w:t>
      </w:r>
      <w:r w:rsidR="00DB31F0">
        <w:t xml:space="preserve"> and when completed were the tallest residential structures in London. The exterior of the towers</w:t>
      </w:r>
      <w:r w:rsidR="00125530">
        <w:t xml:space="preserve"> (fig. 7) </w:t>
      </w:r>
      <w:proofErr w:type="gramStart"/>
      <w:r w:rsidR="00DB31F0">
        <w:t>are</w:t>
      </w:r>
      <w:proofErr w:type="gramEnd"/>
      <w:r w:rsidR="00DB31F0">
        <w:t xml:space="preserve"> mostly the work of Peter Chamberlin who had </w:t>
      </w:r>
      <w:r w:rsidR="00DB31F0" w:rsidRPr="00125530">
        <w:rPr>
          <w:rFonts w:cs="Arial"/>
        </w:rPr>
        <w:t>visited Frank Lloyd Wright’s Price Tower of 1955, influencing the design of the vertical concrete pillars that were not visible on the initial design</w:t>
      </w:r>
      <w:sdt>
        <w:sdtPr>
          <w:rPr>
            <w:rFonts w:cs="Arial"/>
          </w:rPr>
          <w:id w:val="32308353"/>
          <w:citation/>
        </w:sdtPr>
        <w:sdtContent>
          <w:r w:rsidR="00DB31F0" w:rsidRPr="00125530">
            <w:rPr>
              <w:rFonts w:cs="Arial"/>
            </w:rPr>
            <w:fldChar w:fldCharType="begin"/>
          </w:r>
          <w:r w:rsidR="00DB31F0" w:rsidRPr="00125530">
            <w:rPr>
              <w:rFonts w:cs="Arial"/>
            </w:rPr>
            <w:instrText xml:space="preserve"> CITATION Bar24 \l 2057 </w:instrText>
          </w:r>
          <w:r w:rsidR="00DB31F0" w:rsidRPr="00125530">
            <w:rPr>
              <w:rFonts w:cs="Arial"/>
            </w:rPr>
            <w:fldChar w:fldCharType="separate"/>
          </w:r>
          <w:r w:rsidR="00DB31F0" w:rsidRPr="00125530">
            <w:rPr>
              <w:rFonts w:cs="Arial"/>
              <w:noProof/>
            </w:rPr>
            <w:t xml:space="preserve"> (Barbican Living, 2024)</w:t>
          </w:r>
          <w:r w:rsidR="00DB31F0" w:rsidRPr="00125530">
            <w:rPr>
              <w:rFonts w:cs="Arial"/>
            </w:rPr>
            <w:fldChar w:fldCharType="end"/>
          </w:r>
        </w:sdtContent>
      </w:sdt>
      <w:r w:rsidR="00DB31F0" w:rsidRPr="00125530">
        <w:rPr>
          <w:rFonts w:cs="Arial"/>
        </w:rPr>
        <w:t xml:space="preserve">. </w:t>
      </w:r>
      <w:r w:rsidR="00E87349" w:rsidRPr="00125530">
        <w:rPr>
          <w:rFonts w:cs="Arial"/>
        </w:rPr>
        <w:t>Chamberlin, Powell, and Bon suggested that the to</w:t>
      </w:r>
      <w:r w:rsidR="00E87349" w:rsidRPr="00125530">
        <w:rPr>
          <w:rFonts w:cs="Arial"/>
          <w:szCs w:val="22"/>
        </w:rPr>
        <w:t>wers would “</w:t>
      </w:r>
      <w:r w:rsidR="00E87349" w:rsidRPr="00125530">
        <w:rPr>
          <w:rFonts w:cs="Arial"/>
          <w:szCs w:val="22"/>
          <w:shd w:val="clear" w:color="auto" w:fill="FFFFFF"/>
        </w:rPr>
        <w:t>give identity to the neighbourhood from afar.”</w:t>
      </w:r>
      <w:sdt>
        <w:sdtPr>
          <w:rPr>
            <w:rFonts w:cs="Arial"/>
            <w:szCs w:val="22"/>
            <w:shd w:val="clear" w:color="auto" w:fill="FFFFFF"/>
          </w:rPr>
          <w:id w:val="2106758920"/>
          <w:citation/>
        </w:sdtPr>
        <w:sdtContent>
          <w:r w:rsidR="00E87349" w:rsidRPr="00125530">
            <w:rPr>
              <w:rFonts w:cs="Arial"/>
              <w:szCs w:val="22"/>
              <w:shd w:val="clear" w:color="auto" w:fill="FFFFFF"/>
            </w:rPr>
            <w:fldChar w:fldCharType="begin"/>
          </w:r>
          <w:r w:rsidR="00E87349" w:rsidRPr="00125530">
            <w:rPr>
              <w:rFonts w:cs="Arial"/>
              <w:szCs w:val="22"/>
              <w:shd w:val="clear" w:color="auto" w:fill="FFFFFF"/>
            </w:rPr>
            <w:instrText xml:space="preserve"> CITATION Bar24 \l 2057 </w:instrText>
          </w:r>
          <w:r w:rsidR="00E87349" w:rsidRPr="00125530">
            <w:rPr>
              <w:rFonts w:cs="Arial"/>
              <w:szCs w:val="22"/>
              <w:shd w:val="clear" w:color="auto" w:fill="FFFFFF"/>
            </w:rPr>
            <w:fldChar w:fldCharType="separate"/>
          </w:r>
          <w:r w:rsidR="00E87349" w:rsidRPr="00125530">
            <w:rPr>
              <w:rFonts w:cs="Arial"/>
              <w:noProof/>
              <w:szCs w:val="22"/>
              <w:shd w:val="clear" w:color="auto" w:fill="FFFFFF"/>
            </w:rPr>
            <w:t xml:space="preserve"> (Barbican Living, 2024)</w:t>
          </w:r>
          <w:r w:rsidR="00E87349" w:rsidRPr="00125530">
            <w:rPr>
              <w:rFonts w:cs="Arial"/>
              <w:szCs w:val="22"/>
              <w:shd w:val="clear" w:color="auto" w:fill="FFFFFF"/>
            </w:rPr>
            <w:fldChar w:fldCharType="end"/>
          </w:r>
        </w:sdtContent>
      </w:sdt>
      <w:r w:rsidR="00E87349" w:rsidRPr="00125530">
        <w:rPr>
          <w:rFonts w:cs="Arial"/>
          <w:szCs w:val="22"/>
          <w:shd w:val="clear" w:color="auto" w:fill="FFFFFF"/>
        </w:rPr>
        <w:t xml:space="preserve">. </w:t>
      </w:r>
      <w:r w:rsidR="004E25B2" w:rsidRPr="00125530">
        <w:rPr>
          <w:rFonts w:cs="Arial"/>
          <w:szCs w:val="22"/>
          <w:shd w:val="clear" w:color="auto" w:fill="FFFFFF"/>
        </w:rPr>
        <w:t xml:space="preserve">Internally, the towers provide 3 flats per floor on average, each flat having a dedicated side of the triangular towers. They also accommodate a set of penthouses on the uppermost floors, aimed at the business elite of the City of London. </w:t>
      </w:r>
    </w:p>
    <w:tbl>
      <w:tblPr>
        <w:tblStyle w:val="TableGrid"/>
        <w:tblW w:w="0" w:type="auto"/>
        <w:tblLook w:val="04A0" w:firstRow="1" w:lastRow="0" w:firstColumn="1" w:lastColumn="0" w:noHBand="0" w:noVBand="1"/>
      </w:tblPr>
      <w:tblGrid>
        <w:gridCol w:w="3340"/>
        <w:gridCol w:w="5676"/>
      </w:tblGrid>
      <w:tr w:rsidR="00BD27BB" w14:paraId="51C5D10D" w14:textId="77777777" w:rsidTr="00BD27BB">
        <w:tc>
          <w:tcPr>
            <w:tcW w:w="4508" w:type="dxa"/>
          </w:tcPr>
          <w:p w14:paraId="3F4FD548" w14:textId="6291FB2C" w:rsidR="00BD27BB" w:rsidRPr="00BD27BB" w:rsidRDefault="00BD27BB" w:rsidP="00BD27BB">
            <w:pPr>
              <w:spacing w:before="100" w:beforeAutospacing="1" w:after="100" w:afterAutospacing="1" w:line="240" w:lineRule="auto"/>
              <w:jc w:val="left"/>
              <w:rPr>
                <w:rFonts w:ascii="Times New Roman" w:eastAsia="Times New Roman" w:hAnsi="Times New Roman"/>
                <w:sz w:val="24"/>
                <w:lang w:eastAsia="en-GB"/>
              </w:rPr>
            </w:pPr>
            <w:r w:rsidRPr="00BD27BB">
              <w:rPr>
                <w:rFonts w:ascii="Times New Roman" w:eastAsia="Times New Roman" w:hAnsi="Times New Roman"/>
                <w:noProof/>
                <w:sz w:val="24"/>
                <w:lang w:eastAsia="en-GB"/>
              </w:rPr>
              <w:lastRenderedPageBreak/>
              <w:drawing>
                <wp:inline distT="0" distB="0" distL="0" distR="0" wp14:anchorId="583689C3" wp14:editId="2AE8C019">
                  <wp:extent cx="1958340" cy="2611192"/>
                  <wp:effectExtent l="0" t="0" r="3810" b="0"/>
                  <wp:docPr id="17679085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967279" cy="2623111"/>
                          </a:xfrm>
                          <a:prstGeom prst="rect">
                            <a:avLst/>
                          </a:prstGeom>
                          <a:noFill/>
                          <a:ln>
                            <a:noFill/>
                          </a:ln>
                        </pic:spPr>
                      </pic:pic>
                    </a:graphicData>
                  </a:graphic>
                </wp:inline>
              </w:drawing>
            </w:r>
          </w:p>
          <w:p w14:paraId="142CD3E5" w14:textId="43CB8F1D" w:rsidR="00BD27BB" w:rsidRDefault="00AD542E" w:rsidP="00EE19C4">
            <w:pPr>
              <w:jc w:val="left"/>
            </w:pPr>
            <w:r>
              <w:t>(fig.7)</w:t>
            </w:r>
            <w:r w:rsidR="008C2EB3">
              <w:t xml:space="preserve"> </w:t>
            </w:r>
            <w:r w:rsidR="008C2EB3">
              <w:rPr>
                <w:rFonts w:eastAsia="Times New Roman" w:cs="Arial"/>
                <w:szCs w:val="22"/>
                <w:lang w:eastAsia="en-GB"/>
              </w:rPr>
              <w:t>(Wilson, 2024)</w:t>
            </w:r>
          </w:p>
        </w:tc>
        <w:tc>
          <w:tcPr>
            <w:tcW w:w="4508" w:type="dxa"/>
          </w:tcPr>
          <w:p w14:paraId="100632FE" w14:textId="32A0D932" w:rsidR="00BD27BB" w:rsidRPr="00BD27BB" w:rsidRDefault="00BD27BB" w:rsidP="00BD27BB">
            <w:pPr>
              <w:spacing w:before="100" w:beforeAutospacing="1" w:after="100" w:afterAutospacing="1" w:line="240" w:lineRule="auto"/>
              <w:jc w:val="left"/>
              <w:rPr>
                <w:rFonts w:ascii="Times New Roman" w:eastAsia="Times New Roman" w:hAnsi="Times New Roman"/>
                <w:sz w:val="24"/>
                <w:lang w:eastAsia="en-GB"/>
              </w:rPr>
            </w:pPr>
            <w:r w:rsidRPr="00BD27BB">
              <w:rPr>
                <w:rFonts w:ascii="Times New Roman" w:eastAsia="Times New Roman" w:hAnsi="Times New Roman"/>
                <w:noProof/>
                <w:sz w:val="24"/>
                <w:lang w:eastAsia="en-GB"/>
              </w:rPr>
              <w:drawing>
                <wp:inline distT="0" distB="0" distL="0" distR="0" wp14:anchorId="1385D341" wp14:editId="3C7D3861">
                  <wp:extent cx="3464303" cy="2598420"/>
                  <wp:effectExtent l="0" t="0" r="3175" b="0"/>
                  <wp:docPr id="2606317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82072" cy="2611748"/>
                          </a:xfrm>
                          <a:prstGeom prst="rect">
                            <a:avLst/>
                          </a:prstGeom>
                          <a:noFill/>
                          <a:ln>
                            <a:noFill/>
                          </a:ln>
                        </pic:spPr>
                      </pic:pic>
                    </a:graphicData>
                  </a:graphic>
                </wp:inline>
              </w:drawing>
            </w:r>
          </w:p>
          <w:p w14:paraId="7D23D3E9" w14:textId="33EFF13E" w:rsidR="00BD27BB" w:rsidRPr="00BD27BB" w:rsidRDefault="00AD542E" w:rsidP="00BD27BB">
            <w:pPr>
              <w:spacing w:before="100" w:beforeAutospacing="1" w:after="100" w:afterAutospacing="1" w:line="240" w:lineRule="auto"/>
              <w:jc w:val="left"/>
              <w:rPr>
                <w:rFonts w:ascii="Times New Roman" w:eastAsia="Times New Roman" w:hAnsi="Times New Roman"/>
                <w:sz w:val="24"/>
                <w:lang w:eastAsia="en-GB"/>
              </w:rPr>
            </w:pPr>
            <w:r>
              <w:rPr>
                <w:rFonts w:ascii="Times New Roman" w:eastAsia="Times New Roman" w:hAnsi="Times New Roman"/>
                <w:sz w:val="24"/>
                <w:lang w:eastAsia="en-GB"/>
              </w:rPr>
              <w:t>(fig.8)</w:t>
            </w:r>
            <w:r w:rsidR="008C2EB3">
              <w:rPr>
                <w:rFonts w:ascii="Times New Roman" w:eastAsia="Times New Roman" w:hAnsi="Times New Roman"/>
                <w:sz w:val="24"/>
                <w:lang w:eastAsia="en-GB"/>
              </w:rPr>
              <w:t xml:space="preserve"> </w:t>
            </w:r>
            <w:r w:rsidR="008C2EB3">
              <w:rPr>
                <w:rFonts w:eastAsia="Times New Roman" w:cs="Arial"/>
                <w:szCs w:val="22"/>
                <w:lang w:eastAsia="en-GB"/>
              </w:rPr>
              <w:t>(Wilson, 2024)</w:t>
            </w:r>
          </w:p>
          <w:p w14:paraId="16C9AB85" w14:textId="77777777" w:rsidR="00BD27BB" w:rsidRDefault="00BD27BB" w:rsidP="00EE19C4">
            <w:pPr>
              <w:jc w:val="left"/>
            </w:pPr>
          </w:p>
        </w:tc>
      </w:tr>
    </w:tbl>
    <w:p w14:paraId="69A7A56F" w14:textId="77777777" w:rsidR="00BD27BB" w:rsidRPr="00E87349" w:rsidRDefault="00BD27BB" w:rsidP="00EE19C4">
      <w:pPr>
        <w:jc w:val="left"/>
      </w:pPr>
    </w:p>
    <w:p w14:paraId="62A77981" w14:textId="07290497" w:rsidR="00852EF3" w:rsidRPr="00E87349" w:rsidRDefault="006E332B" w:rsidP="006E332B">
      <w:pPr>
        <w:pStyle w:val="Heading2"/>
      </w:pPr>
      <w:r w:rsidRPr="00E87349">
        <w:t xml:space="preserve">3.3 </w:t>
      </w:r>
      <w:r w:rsidR="00AE2792" w:rsidRPr="00E87349">
        <w:t>Terrace</w:t>
      </w:r>
      <w:r w:rsidR="00852EF3" w:rsidRPr="00E87349">
        <w:t xml:space="preserve"> Blocks</w:t>
      </w:r>
    </w:p>
    <w:p w14:paraId="5D28F201" w14:textId="1FE2271D" w:rsidR="00266292" w:rsidRDefault="00220B24" w:rsidP="00EE19C4">
      <w:pPr>
        <w:jc w:val="left"/>
      </w:pPr>
      <w:r>
        <w:t>Much of</w:t>
      </w:r>
      <w:r w:rsidR="006052DB">
        <w:t xml:space="preserve"> the complex is formed </w:t>
      </w:r>
      <w:r>
        <w:t>from housing blocks</w:t>
      </w:r>
      <w:r w:rsidR="006052DB">
        <w:t xml:space="preserve"> </w:t>
      </w:r>
      <w:r>
        <w:t xml:space="preserve">and </w:t>
      </w:r>
      <w:r w:rsidR="006052DB">
        <w:t>to the east and west they f</w:t>
      </w:r>
      <w:r w:rsidR="00A31266">
        <w:t>or</w:t>
      </w:r>
      <w:r w:rsidR="006052DB">
        <w:t xml:space="preserve">m broken quadrangles </w:t>
      </w:r>
      <w:r w:rsidR="00125530">
        <w:t xml:space="preserve">(fig. </w:t>
      </w:r>
      <w:r w:rsidR="00125530">
        <w:t>8</w:t>
      </w:r>
      <w:r w:rsidR="00125530">
        <w:t xml:space="preserve">) </w:t>
      </w:r>
      <w:r w:rsidR="006052DB">
        <w:t xml:space="preserve">with private </w:t>
      </w:r>
      <w:r>
        <w:t>residents’</w:t>
      </w:r>
      <w:r w:rsidR="006052DB">
        <w:t xml:space="preserve"> lawns at their centre. </w:t>
      </w:r>
      <w:r w:rsidR="00AE2792">
        <w:t xml:space="preserve">There are thirteen major terrace blocks </w:t>
      </w:r>
      <w:r w:rsidR="004E25B2">
        <w:t xml:space="preserve">containing a mixture of housing </w:t>
      </w:r>
      <w:r w:rsidR="00F6033C">
        <w:t>types. Unlike many estate developments,</w:t>
      </w:r>
      <w:r w:rsidR="004E25B2">
        <w:t xml:space="preserve"> </w:t>
      </w:r>
      <w:r w:rsidR="00F6033C">
        <w:t xml:space="preserve">a </w:t>
      </w:r>
      <w:r w:rsidR="004E25B2">
        <w:t xml:space="preserve">considered part of the design </w:t>
      </w:r>
      <w:r w:rsidR="00F6033C">
        <w:t xml:space="preserve">is the wide variation in these residences, providing for the </w:t>
      </w:r>
      <w:r w:rsidR="003D4311">
        <w:t>differing needs of people working in the City of London. The attempts to accommodate for all needs was to such an extent that over 100 different arrangements were created</w:t>
      </w:r>
      <w:sdt>
        <w:sdtPr>
          <w:id w:val="-1016069808"/>
          <w:citation/>
        </w:sdtPr>
        <w:sdtContent>
          <w:r w:rsidR="005E7E78">
            <w:fldChar w:fldCharType="begin"/>
          </w:r>
          <w:r w:rsidR="005E7E78">
            <w:instrText xml:space="preserve"> CITATION Sim17 \l 2057 </w:instrText>
          </w:r>
          <w:r w:rsidR="005E7E78">
            <w:fldChar w:fldCharType="separate"/>
          </w:r>
          <w:r w:rsidR="005E7E78">
            <w:rPr>
              <w:noProof/>
            </w:rPr>
            <w:t xml:space="preserve"> </w:t>
          </w:r>
          <w:r w:rsidR="005E7E78" w:rsidRPr="005E7E78">
            <w:rPr>
              <w:noProof/>
            </w:rPr>
            <w:t>(Henley, 2017)</w:t>
          </w:r>
          <w:r w:rsidR="005E7E78">
            <w:fldChar w:fldCharType="end"/>
          </w:r>
        </w:sdtContent>
      </w:sdt>
      <w:r w:rsidR="003D4311">
        <w:t xml:space="preserve">, consisting of studios, </w:t>
      </w:r>
      <w:proofErr w:type="gramStart"/>
      <w:r w:rsidR="003D4311">
        <w:t>1,2,3 and 4 bedroom</w:t>
      </w:r>
      <w:proofErr w:type="gramEnd"/>
      <w:r w:rsidR="003D4311">
        <w:t xml:space="preserve"> flats, maisonettes and penthouses. </w:t>
      </w:r>
      <w:r w:rsidR="00C06086">
        <w:t xml:space="preserve">An iconic element of the Barbican is the </w:t>
      </w:r>
      <w:proofErr w:type="gramStart"/>
      <w:r w:rsidR="00C06086">
        <w:t>high level</w:t>
      </w:r>
      <w:proofErr w:type="gramEnd"/>
      <w:r w:rsidR="00C06086">
        <w:t xml:space="preserve"> planting, and it’s “Eco-Brutalist” style, undoubtedly encouraging residents to grow plants on their own balconies.</w:t>
      </w:r>
      <w:r w:rsidR="00CF317D">
        <w:t xml:space="preserve"> </w:t>
      </w:r>
      <w:r w:rsidR="007454FA">
        <w:t>It is generally held that residents must maintain their window boxes, with regular events being held to show new residents how to look after plants</w:t>
      </w:r>
      <w:sdt>
        <w:sdtPr>
          <w:id w:val="-1553078117"/>
          <w:citation/>
        </w:sdtPr>
        <w:sdtContent>
          <w:r w:rsidR="007454FA">
            <w:fldChar w:fldCharType="begin"/>
          </w:r>
          <w:r w:rsidR="007454FA">
            <w:instrText xml:space="preserve"> CITATION Pas18 \l 2057 </w:instrText>
          </w:r>
          <w:r w:rsidR="007454FA">
            <w:fldChar w:fldCharType="separate"/>
          </w:r>
          <w:r w:rsidR="007454FA">
            <w:rPr>
              <w:noProof/>
            </w:rPr>
            <w:t xml:space="preserve"> </w:t>
          </w:r>
          <w:r w:rsidR="007454FA" w:rsidRPr="007454FA">
            <w:rPr>
              <w:noProof/>
            </w:rPr>
            <w:t>(Past in the Present, 2018)</w:t>
          </w:r>
          <w:r w:rsidR="007454FA">
            <w:fldChar w:fldCharType="end"/>
          </w:r>
        </w:sdtContent>
      </w:sdt>
      <w:r w:rsidR="007454FA">
        <w:t xml:space="preserve">. </w:t>
      </w:r>
      <w:r w:rsidR="00CF317D">
        <w:t xml:space="preserve">The quantity of plant-life within the confines of the Barbican highlights the amount of light that rakes across the various towers and blocks throughout the day, </w:t>
      </w:r>
      <w:r w:rsidR="00046CAC">
        <w:t>increasing</w:t>
      </w:r>
      <w:r w:rsidR="00CF317D">
        <w:t xml:space="preserve"> the openness already generated by the site plan. </w:t>
      </w:r>
    </w:p>
    <w:p w14:paraId="53EFE8C0" w14:textId="77777777" w:rsidR="006E332B" w:rsidRDefault="006E332B" w:rsidP="00EE19C4">
      <w:pPr>
        <w:jc w:val="left"/>
      </w:pPr>
    </w:p>
    <w:p w14:paraId="69126277" w14:textId="0388B5ED" w:rsidR="006E332B" w:rsidRPr="003334C4" w:rsidRDefault="006E332B" w:rsidP="006E332B">
      <w:pPr>
        <w:pStyle w:val="Heading2"/>
      </w:pPr>
      <w:r>
        <w:t>3.4 Barbican Centre</w:t>
      </w:r>
    </w:p>
    <w:p w14:paraId="659767D0" w14:textId="77777777" w:rsidR="00E72643" w:rsidRDefault="00315791" w:rsidP="00EE19C4">
      <w:pPr>
        <w:jc w:val="left"/>
      </w:pPr>
      <w:r>
        <w:t xml:space="preserve">The Barbican Centre was one of the last parts of the complex to be opened </w:t>
      </w:r>
      <w:r w:rsidR="00417D7B">
        <w:t>but unites the complex with amenitie</w:t>
      </w:r>
      <w:r w:rsidR="0064456C">
        <w:t xml:space="preserve">s that no other development of its kind had included. The Centre </w:t>
      </w:r>
      <w:r w:rsidR="0064456C">
        <w:lastRenderedPageBreak/>
        <w:t xml:space="preserve">includes the Barbican Hall, presently home to the BBC and London symphony orchestras, and the Barbican Theatre, </w:t>
      </w:r>
      <w:r w:rsidR="00CB1A8B">
        <w:t>designated for the</w:t>
      </w:r>
      <w:r w:rsidR="0064456C">
        <w:t xml:space="preserve"> Royal Shakespeare Company. Other art spaces include the Pit theatre, the Barbican Art Gallery, and Barbican Film – a cinema. </w:t>
      </w:r>
    </w:p>
    <w:p w14:paraId="57DB5261" w14:textId="7806E2B6" w:rsidR="006E332B" w:rsidRDefault="0064456C" w:rsidP="00EE19C4">
      <w:pPr>
        <w:jc w:val="left"/>
      </w:pPr>
      <w:r>
        <w:t>There are also three restaurants and the</w:t>
      </w:r>
      <w:r w:rsidR="00CB1A8B">
        <w:t xml:space="preserve"> acclaimed</w:t>
      </w:r>
      <w:r>
        <w:t xml:space="preserve"> Barbican Library</w:t>
      </w:r>
      <w:r w:rsidR="00CB1A8B">
        <w:t xml:space="preserve">, housing many rare arts books and operating as a public lending library. The library maintains a high level of use, testament to the aesthetic interiors where working spaces are in high demand. The form of the Centre </w:t>
      </w:r>
      <w:r w:rsidR="00B62E35">
        <w:t>is presented in a more typical Brutalist style than the housing blocks, which still retain a modernist</w:t>
      </w:r>
      <w:r w:rsidR="00DB630D">
        <w:t xml:space="preserve"> form, existing as large concrete planes on a horizontal and vertical axis</w:t>
      </w:r>
      <w:r w:rsidR="00046CAC">
        <w:t xml:space="preserve"> </w:t>
      </w:r>
      <w:r w:rsidR="00046CAC">
        <w:t xml:space="preserve">(fig. </w:t>
      </w:r>
      <w:r w:rsidR="00046CAC">
        <w:t>9</w:t>
      </w:r>
      <w:r w:rsidR="00046CAC">
        <w:t>)</w:t>
      </w:r>
      <w:r w:rsidR="00DB630D">
        <w:t xml:space="preserve">. </w:t>
      </w:r>
    </w:p>
    <w:tbl>
      <w:tblPr>
        <w:tblStyle w:val="TableGrid"/>
        <w:tblW w:w="0" w:type="auto"/>
        <w:tblLook w:val="04A0" w:firstRow="1" w:lastRow="0" w:firstColumn="1" w:lastColumn="0" w:noHBand="0" w:noVBand="1"/>
      </w:tblPr>
      <w:tblGrid>
        <w:gridCol w:w="4505"/>
        <w:gridCol w:w="4511"/>
      </w:tblGrid>
      <w:tr w:rsidR="00BD27BB" w14:paraId="33DA1B04" w14:textId="77777777" w:rsidTr="00BD27BB">
        <w:tc>
          <w:tcPr>
            <w:tcW w:w="4508" w:type="dxa"/>
          </w:tcPr>
          <w:p w14:paraId="1F6C283E" w14:textId="2F7AF9B6" w:rsidR="00BD27BB" w:rsidRPr="00BD27BB" w:rsidRDefault="00BD27BB" w:rsidP="00BD27BB">
            <w:pPr>
              <w:spacing w:before="100" w:beforeAutospacing="1" w:after="100" w:afterAutospacing="1" w:line="240" w:lineRule="auto"/>
              <w:jc w:val="left"/>
              <w:rPr>
                <w:rFonts w:ascii="Times New Roman" w:eastAsia="Times New Roman" w:hAnsi="Times New Roman"/>
                <w:sz w:val="24"/>
                <w:lang w:eastAsia="en-GB"/>
              </w:rPr>
            </w:pPr>
            <w:r w:rsidRPr="00BD27BB">
              <w:rPr>
                <w:rFonts w:ascii="Times New Roman" w:eastAsia="Times New Roman" w:hAnsi="Times New Roman"/>
                <w:noProof/>
                <w:sz w:val="24"/>
                <w:lang w:eastAsia="en-GB"/>
              </w:rPr>
              <w:drawing>
                <wp:inline distT="0" distB="0" distL="0" distR="0" wp14:anchorId="1BCA80A7" wp14:editId="0447405F">
                  <wp:extent cx="2793795" cy="2095500"/>
                  <wp:effectExtent l="0" t="0" r="6985" b="0"/>
                  <wp:docPr id="1790701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16785" cy="2112743"/>
                          </a:xfrm>
                          <a:prstGeom prst="rect">
                            <a:avLst/>
                          </a:prstGeom>
                          <a:noFill/>
                          <a:ln>
                            <a:noFill/>
                          </a:ln>
                        </pic:spPr>
                      </pic:pic>
                    </a:graphicData>
                  </a:graphic>
                </wp:inline>
              </w:drawing>
            </w:r>
          </w:p>
          <w:p w14:paraId="09427E17" w14:textId="7787062D" w:rsidR="00BD27BB" w:rsidRDefault="00AD542E" w:rsidP="00EE19C4">
            <w:pPr>
              <w:jc w:val="left"/>
            </w:pPr>
            <w:r>
              <w:t>(fig.9)</w:t>
            </w:r>
            <w:r w:rsidR="008C2EB3">
              <w:t xml:space="preserve"> </w:t>
            </w:r>
            <w:r w:rsidR="008C2EB3">
              <w:rPr>
                <w:rFonts w:eastAsia="Times New Roman" w:cs="Arial"/>
                <w:szCs w:val="22"/>
                <w:lang w:eastAsia="en-GB"/>
              </w:rPr>
              <w:t>(Wilson, 2024)</w:t>
            </w:r>
          </w:p>
        </w:tc>
        <w:tc>
          <w:tcPr>
            <w:tcW w:w="4508" w:type="dxa"/>
          </w:tcPr>
          <w:p w14:paraId="1832AFB1" w14:textId="189A471D" w:rsidR="00BD27BB" w:rsidRPr="00BD27BB" w:rsidRDefault="00BD27BB" w:rsidP="00BD27BB">
            <w:pPr>
              <w:spacing w:before="100" w:beforeAutospacing="1" w:after="100" w:afterAutospacing="1" w:line="240" w:lineRule="auto"/>
              <w:jc w:val="left"/>
              <w:rPr>
                <w:rFonts w:ascii="Times New Roman" w:eastAsia="Times New Roman" w:hAnsi="Times New Roman"/>
                <w:sz w:val="24"/>
                <w:lang w:eastAsia="en-GB"/>
              </w:rPr>
            </w:pPr>
            <w:r w:rsidRPr="00BD27BB">
              <w:rPr>
                <w:rFonts w:ascii="Times New Roman" w:eastAsia="Times New Roman" w:hAnsi="Times New Roman"/>
                <w:noProof/>
                <w:sz w:val="24"/>
                <w:lang w:eastAsia="en-GB"/>
              </w:rPr>
              <w:drawing>
                <wp:inline distT="0" distB="0" distL="0" distR="0" wp14:anchorId="2D91C3F7" wp14:editId="5C42A881">
                  <wp:extent cx="2804160" cy="2103276"/>
                  <wp:effectExtent l="0" t="0" r="0" b="0"/>
                  <wp:docPr id="2095227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14384" cy="2110945"/>
                          </a:xfrm>
                          <a:prstGeom prst="rect">
                            <a:avLst/>
                          </a:prstGeom>
                          <a:noFill/>
                          <a:ln>
                            <a:noFill/>
                          </a:ln>
                        </pic:spPr>
                      </pic:pic>
                    </a:graphicData>
                  </a:graphic>
                </wp:inline>
              </w:drawing>
            </w:r>
          </w:p>
          <w:p w14:paraId="56EBEC6E" w14:textId="629A6777" w:rsidR="00BD27BB" w:rsidRDefault="00AD542E" w:rsidP="00EE19C4">
            <w:pPr>
              <w:jc w:val="left"/>
            </w:pPr>
            <w:r>
              <w:t>(fig.10)</w:t>
            </w:r>
            <w:r w:rsidR="008C2EB3">
              <w:t xml:space="preserve"> </w:t>
            </w:r>
            <w:r w:rsidR="008C2EB3">
              <w:rPr>
                <w:rFonts w:eastAsia="Times New Roman" w:cs="Arial"/>
                <w:szCs w:val="22"/>
                <w:lang w:eastAsia="en-GB"/>
              </w:rPr>
              <w:t>(Wilson, 2024)</w:t>
            </w:r>
          </w:p>
        </w:tc>
      </w:tr>
    </w:tbl>
    <w:p w14:paraId="47BAF087" w14:textId="77777777" w:rsidR="005E7E78" w:rsidRDefault="005E7E78" w:rsidP="00EE19C4">
      <w:pPr>
        <w:jc w:val="left"/>
      </w:pPr>
    </w:p>
    <w:p w14:paraId="7E049EEA" w14:textId="37A803AE" w:rsidR="006E332B" w:rsidRPr="003334C4" w:rsidRDefault="006E332B" w:rsidP="006E332B">
      <w:pPr>
        <w:pStyle w:val="Heading2"/>
      </w:pPr>
      <w:r>
        <w:t>3.</w:t>
      </w:r>
      <w:r w:rsidR="00FA773B">
        <w:t>5</w:t>
      </w:r>
      <w:r>
        <w:t xml:space="preserve"> St Giles’ Ch</w:t>
      </w:r>
      <w:r w:rsidR="000E1042">
        <w:t>ur</w:t>
      </w:r>
      <w:r>
        <w:t>ch</w:t>
      </w:r>
    </w:p>
    <w:p w14:paraId="30CD400A" w14:textId="3B03A3A5" w:rsidR="002F0A8D" w:rsidRDefault="009D2738" w:rsidP="0003475F">
      <w:pPr>
        <w:jc w:val="left"/>
      </w:pPr>
      <w:r>
        <w:t xml:space="preserve">Protected by the defensive terraces and guarding towers, there are two </w:t>
      </w:r>
      <w:r w:rsidR="00046CAC">
        <w:t>pre-existing</w:t>
      </w:r>
      <w:r>
        <w:t xml:space="preserve"> structures within the site. </w:t>
      </w:r>
      <w:r w:rsidR="0090087F">
        <w:t>The Church of St Giles-Without-</w:t>
      </w:r>
      <w:proofErr w:type="spellStart"/>
      <w:r w:rsidR="0090087F">
        <w:t>Cripplegate</w:t>
      </w:r>
      <w:proofErr w:type="spellEnd"/>
      <w:r w:rsidR="0090087F">
        <w:t xml:space="preserve"> </w:t>
      </w:r>
      <w:r w:rsidR="00046CAC">
        <w:t>(fig. 10)</w:t>
      </w:r>
      <w:r w:rsidR="00046CAC">
        <w:t xml:space="preserve"> </w:t>
      </w:r>
      <w:r w:rsidR="0090087F">
        <w:t>is a conspicuous outlier within the Barbican, and along with the remnants of the old walls of the city, is the only part of the complex that predates the development. One of the few mediaeval churches to survive the Great Fire of London of 1666</w:t>
      </w:r>
      <w:r w:rsidR="00412D14">
        <w:t xml:space="preserve"> but damaged by the war, the 1394 building</w:t>
      </w:r>
      <w:r w:rsidR="005526EA">
        <w:t>, with perpendicular gothic detailing</w:t>
      </w:r>
      <w:r w:rsidR="002E1898">
        <w:t xml:space="preserve"> and </w:t>
      </w:r>
      <w:r w:rsidR="00146DC8">
        <w:t xml:space="preserve">the </w:t>
      </w:r>
      <w:r w:rsidR="002E1898">
        <w:t>grave of Milton</w:t>
      </w:r>
      <w:r w:rsidR="005526EA">
        <w:t>,</w:t>
      </w:r>
      <w:r w:rsidR="00412D14">
        <w:t xml:space="preserve"> was essential to retain</w:t>
      </w:r>
      <w:sdt>
        <w:sdtPr>
          <w:id w:val="1260179058"/>
          <w:citation/>
        </w:sdtPr>
        <w:sdtContent>
          <w:r w:rsidR="002E1898">
            <w:fldChar w:fldCharType="begin"/>
          </w:r>
          <w:r w:rsidR="002E1898">
            <w:instrText xml:space="preserve">CITATION Joh80 \p 281 \l 2057 </w:instrText>
          </w:r>
          <w:r w:rsidR="002E1898">
            <w:fldChar w:fldCharType="separate"/>
          </w:r>
          <w:r w:rsidR="002E1898">
            <w:rPr>
              <w:noProof/>
            </w:rPr>
            <w:t xml:space="preserve"> </w:t>
          </w:r>
          <w:r w:rsidR="002E1898" w:rsidRPr="002E1898">
            <w:rPr>
              <w:noProof/>
            </w:rPr>
            <w:t>(Collins, 1980, p. 281)</w:t>
          </w:r>
          <w:r w:rsidR="002E1898">
            <w:fldChar w:fldCharType="end"/>
          </w:r>
        </w:sdtContent>
      </w:sdt>
      <w:r w:rsidR="00412D14">
        <w:t>. Deference in the design process is evident by how harmoniously it is incorporated into the rest of the development and provides an aspect of sensitivity to the Barbican that defied contemporary critical opinion that the project was inconsiderate of its surroundings.</w:t>
      </w:r>
    </w:p>
    <w:p w14:paraId="497235BB" w14:textId="77777777" w:rsidR="006052DB" w:rsidRDefault="006052DB" w:rsidP="0003475F">
      <w:pPr>
        <w:jc w:val="left"/>
        <w:rPr>
          <w:rFonts w:cstheme="minorHAnsi"/>
        </w:rPr>
      </w:pPr>
    </w:p>
    <w:p w14:paraId="49D6E400" w14:textId="5CB86BC6" w:rsidR="00247184" w:rsidRPr="0029053D" w:rsidRDefault="00247184" w:rsidP="00247184">
      <w:pPr>
        <w:pStyle w:val="Heading1"/>
        <w:rPr>
          <w:b w:val="0"/>
          <w:bCs w:val="0"/>
        </w:rPr>
      </w:pPr>
      <w:r w:rsidRPr="0029053D">
        <w:lastRenderedPageBreak/>
        <w:t xml:space="preserve">Chapter </w:t>
      </w:r>
      <w:r>
        <w:t>4</w:t>
      </w:r>
      <w:r w:rsidRPr="0029053D">
        <w:t xml:space="preserve">: </w:t>
      </w:r>
      <w:r w:rsidR="00B21BF8">
        <w:t>Material</w:t>
      </w:r>
      <w:r w:rsidR="00612241">
        <w:t xml:space="preserve"> and </w:t>
      </w:r>
      <w:r w:rsidR="00B62E35">
        <w:t>Detail</w:t>
      </w:r>
    </w:p>
    <w:p w14:paraId="6A03FB76" w14:textId="77777777" w:rsidR="00247184" w:rsidRPr="00E80B43" w:rsidRDefault="00247184" w:rsidP="00247184">
      <w:pPr>
        <w:rPr>
          <w:rFonts w:cs="Arial"/>
        </w:rPr>
      </w:pPr>
    </w:p>
    <w:p w14:paraId="35D2CA97" w14:textId="46AE44B0" w:rsidR="00247184" w:rsidRDefault="004B3481" w:rsidP="00601E91">
      <w:pPr>
        <w:jc w:val="left"/>
      </w:pPr>
      <w:r>
        <w:t>The Barbican has become a byword for concrete, displaying many of the different aesthetics</w:t>
      </w:r>
      <w:r w:rsidR="008E58E0">
        <w:t xml:space="preserve"> that are</w:t>
      </w:r>
      <w:r>
        <w:t xml:space="preserve"> achievable from the material. The most notable finish</w:t>
      </w:r>
      <w:r w:rsidR="00D61443">
        <w:t>es</w:t>
      </w:r>
      <w:r>
        <w:t xml:space="preserve"> applied to the concrete </w:t>
      </w:r>
      <w:r w:rsidR="00D61443">
        <w:t>are pick-hammering and</w:t>
      </w:r>
      <w:r>
        <w:t xml:space="preserve"> </w:t>
      </w:r>
      <w:r w:rsidR="00601E91">
        <w:t>bush-hammering</w:t>
      </w:r>
      <w:r w:rsidR="00046CAC">
        <w:t xml:space="preserve"> </w:t>
      </w:r>
      <w:r w:rsidR="00046CAC">
        <w:t>(fig. 1</w:t>
      </w:r>
      <w:r w:rsidR="00046CAC">
        <w:t>2</w:t>
      </w:r>
      <w:r w:rsidR="00046CAC">
        <w:t>)</w:t>
      </w:r>
      <w:sdt>
        <w:sdtPr>
          <w:id w:val="418370789"/>
          <w:citation/>
        </w:sdtPr>
        <w:sdtContent>
          <w:r w:rsidR="008E58E0">
            <w:fldChar w:fldCharType="begin"/>
          </w:r>
          <w:r w:rsidR="008E58E0">
            <w:instrText xml:space="preserve">CITATION Sim17 \p 103 \l 2057 </w:instrText>
          </w:r>
          <w:r w:rsidR="008E58E0">
            <w:fldChar w:fldCharType="separate"/>
          </w:r>
          <w:r w:rsidR="008E58E0">
            <w:rPr>
              <w:noProof/>
            </w:rPr>
            <w:t xml:space="preserve"> </w:t>
          </w:r>
          <w:r w:rsidR="008E58E0" w:rsidRPr="008E58E0">
            <w:rPr>
              <w:noProof/>
            </w:rPr>
            <w:t>(Henley, 2017, p. 103)</w:t>
          </w:r>
          <w:r w:rsidR="008E58E0">
            <w:fldChar w:fldCharType="end"/>
          </w:r>
        </w:sdtContent>
      </w:sdt>
      <w:r w:rsidR="00601E91">
        <w:t>,</w:t>
      </w:r>
      <w:r w:rsidR="00D61443">
        <w:t xml:space="preserve"> </w:t>
      </w:r>
      <w:r w:rsidR="00601E91">
        <w:t>high-cost technique</w:t>
      </w:r>
      <w:r w:rsidR="00D61443">
        <w:t>s</w:t>
      </w:r>
      <w:r w:rsidR="00601E91">
        <w:t xml:space="preserve"> to create a rugged finish achieved by worker jackhammering the concrete exterior by hand</w:t>
      </w:r>
      <w:sdt>
        <w:sdtPr>
          <w:id w:val="2027597951"/>
          <w:citation/>
        </w:sdtPr>
        <w:sdtContent>
          <w:r w:rsidR="00601E91">
            <w:fldChar w:fldCharType="begin"/>
          </w:r>
          <w:r w:rsidR="00601E91">
            <w:instrText xml:space="preserve">CITATION Gri18 \p 33 \l 2057 </w:instrText>
          </w:r>
          <w:r w:rsidR="00601E91">
            <w:fldChar w:fldCharType="separate"/>
          </w:r>
          <w:r w:rsidR="00601E91">
            <w:rPr>
              <w:noProof/>
            </w:rPr>
            <w:t xml:space="preserve"> </w:t>
          </w:r>
          <w:r w:rsidR="00601E91" w:rsidRPr="00601E91">
            <w:rPr>
              <w:noProof/>
            </w:rPr>
            <w:t>(Grindrod, 2018, p. 33)</w:t>
          </w:r>
          <w:r w:rsidR="00601E91">
            <w:fldChar w:fldCharType="end"/>
          </w:r>
        </w:sdtContent>
      </w:sdt>
      <w:r w:rsidR="00601E91">
        <w:t xml:space="preserve">. </w:t>
      </w:r>
      <w:r w:rsidR="00013406">
        <w:t>By chipping the finish of the concrete, the joint lines between blocks are disguised, removing vertical lines and increasing a horizontal effect</w:t>
      </w:r>
      <w:r w:rsidR="003906AB">
        <w:t xml:space="preserve"> – described by Pevsner </w:t>
      </w:r>
      <w:r w:rsidR="003906AB" w:rsidRPr="003906AB">
        <w:rPr>
          <w:rFonts w:cs="Arial"/>
          <w:szCs w:val="22"/>
        </w:rPr>
        <w:t xml:space="preserve">as </w:t>
      </w:r>
      <w:r w:rsidR="003906AB" w:rsidRPr="003906AB">
        <w:rPr>
          <w:rFonts w:cs="Arial"/>
          <w:szCs w:val="22"/>
          <w:bdr w:val="none" w:sz="0" w:space="0" w:color="auto" w:frame="1"/>
          <w:shd w:val="clear" w:color="auto" w:fill="FFFFFF"/>
        </w:rPr>
        <w:t>“used in tough masculine forms on a mighty scale”</w:t>
      </w:r>
      <w:sdt>
        <w:sdtPr>
          <w:rPr>
            <w:rFonts w:cs="Arial"/>
            <w:szCs w:val="22"/>
            <w:bdr w:val="none" w:sz="0" w:space="0" w:color="auto" w:frame="1"/>
            <w:shd w:val="clear" w:color="auto" w:fill="FFFFFF"/>
          </w:rPr>
          <w:id w:val="172232979"/>
          <w:citation/>
        </w:sdtPr>
        <w:sdtContent>
          <w:r w:rsidR="004078C7">
            <w:rPr>
              <w:rFonts w:cs="Arial"/>
              <w:szCs w:val="22"/>
              <w:bdr w:val="none" w:sz="0" w:space="0" w:color="auto" w:frame="1"/>
              <w:shd w:val="clear" w:color="auto" w:fill="FFFFFF"/>
            </w:rPr>
            <w:fldChar w:fldCharType="begin"/>
          </w:r>
          <w:r w:rsidR="004078C7">
            <w:rPr>
              <w:rFonts w:cs="Arial"/>
              <w:szCs w:val="22"/>
              <w:bdr w:val="none" w:sz="0" w:space="0" w:color="auto" w:frame="1"/>
              <w:shd w:val="clear" w:color="auto" w:fill="FFFFFF"/>
            </w:rPr>
            <w:instrText xml:space="preserve"> CITATION Bar24 \l 2057 </w:instrText>
          </w:r>
          <w:r w:rsidR="004078C7">
            <w:rPr>
              <w:rFonts w:cs="Arial"/>
              <w:szCs w:val="22"/>
              <w:bdr w:val="none" w:sz="0" w:space="0" w:color="auto" w:frame="1"/>
              <w:shd w:val="clear" w:color="auto" w:fill="FFFFFF"/>
            </w:rPr>
            <w:fldChar w:fldCharType="separate"/>
          </w:r>
          <w:r w:rsidR="004078C7">
            <w:rPr>
              <w:rFonts w:cs="Arial"/>
              <w:noProof/>
              <w:szCs w:val="22"/>
              <w:bdr w:val="none" w:sz="0" w:space="0" w:color="auto" w:frame="1"/>
              <w:shd w:val="clear" w:color="auto" w:fill="FFFFFF"/>
            </w:rPr>
            <w:t xml:space="preserve"> </w:t>
          </w:r>
          <w:r w:rsidR="004078C7" w:rsidRPr="004078C7">
            <w:rPr>
              <w:rFonts w:cs="Arial"/>
              <w:noProof/>
              <w:szCs w:val="22"/>
              <w:bdr w:val="none" w:sz="0" w:space="0" w:color="auto" w:frame="1"/>
              <w:shd w:val="clear" w:color="auto" w:fill="FFFFFF"/>
            </w:rPr>
            <w:t>(Barbican Living, 2024)</w:t>
          </w:r>
          <w:r w:rsidR="004078C7">
            <w:rPr>
              <w:rFonts w:cs="Arial"/>
              <w:szCs w:val="22"/>
              <w:bdr w:val="none" w:sz="0" w:space="0" w:color="auto" w:frame="1"/>
              <w:shd w:val="clear" w:color="auto" w:fill="FFFFFF"/>
            </w:rPr>
            <w:fldChar w:fldCharType="end"/>
          </w:r>
        </w:sdtContent>
      </w:sdt>
      <w:r w:rsidR="003906AB">
        <w:rPr>
          <w:rFonts w:cs="Arial"/>
          <w:szCs w:val="22"/>
          <w:bdr w:val="none" w:sz="0" w:space="0" w:color="auto" w:frame="1"/>
          <w:shd w:val="clear" w:color="auto" w:fill="FFFFFF"/>
        </w:rPr>
        <w:t xml:space="preserve">. </w:t>
      </w:r>
      <w:r w:rsidR="003906AB" w:rsidRPr="003906AB">
        <w:t xml:space="preserve"> </w:t>
      </w:r>
      <w:r w:rsidR="00013406">
        <w:t xml:space="preserve">The technique also highlights the quality of the concrete, manufactured with a </w:t>
      </w:r>
      <w:proofErr w:type="spellStart"/>
      <w:r w:rsidR="003906AB">
        <w:t>Penlee</w:t>
      </w:r>
      <w:proofErr w:type="spellEnd"/>
      <w:r w:rsidR="003906AB">
        <w:t xml:space="preserve"> </w:t>
      </w:r>
      <w:r w:rsidR="00013406">
        <w:t>granite aggregate</w:t>
      </w:r>
      <w:sdt>
        <w:sdtPr>
          <w:id w:val="-1573585737"/>
          <w:citation/>
        </w:sdtPr>
        <w:sdtContent>
          <w:r w:rsidR="003906AB">
            <w:fldChar w:fldCharType="begin"/>
          </w:r>
          <w:r w:rsidR="003906AB">
            <w:instrText xml:space="preserve"> CITATION His01 \l 2057 </w:instrText>
          </w:r>
          <w:r w:rsidR="003906AB">
            <w:fldChar w:fldCharType="separate"/>
          </w:r>
          <w:r w:rsidR="003906AB">
            <w:rPr>
              <w:noProof/>
            </w:rPr>
            <w:t xml:space="preserve"> </w:t>
          </w:r>
          <w:r w:rsidR="003906AB" w:rsidRPr="003906AB">
            <w:rPr>
              <w:noProof/>
            </w:rPr>
            <w:t>(Historic England, 2001)</w:t>
          </w:r>
          <w:r w:rsidR="003906AB">
            <w:fldChar w:fldCharType="end"/>
          </w:r>
        </w:sdtContent>
      </w:sdt>
      <w:r w:rsidR="002E605D">
        <w:t>, hence adding an aesthetic value</w:t>
      </w:r>
      <w:r w:rsidR="00013406">
        <w:t xml:space="preserve">. </w:t>
      </w:r>
      <w:r w:rsidR="00601E91">
        <w:t>Undoubtedly</w:t>
      </w:r>
      <w:r w:rsidR="00013406">
        <w:t xml:space="preserve"> the finish is warmer</w:t>
      </w:r>
      <w:r w:rsidR="00601E91">
        <w:t xml:space="preserve">, softening the angularity of the concrete forms. </w:t>
      </w:r>
    </w:p>
    <w:p w14:paraId="6180F9A8" w14:textId="4082802C" w:rsidR="00E72643" w:rsidRDefault="00152B81" w:rsidP="00601E91">
      <w:pPr>
        <w:jc w:val="left"/>
      </w:pPr>
      <w:r>
        <w:t xml:space="preserve">Elevating the Barbican are large </w:t>
      </w:r>
      <w:r w:rsidR="00D61443">
        <w:t xml:space="preserve">concrete </w:t>
      </w:r>
      <w:r>
        <w:t>pillar</w:t>
      </w:r>
      <w:r w:rsidR="00D61443">
        <w:t xml:space="preserve">s </w:t>
      </w:r>
      <w:r w:rsidR="00046CAC">
        <w:t>(fig. 1</w:t>
      </w:r>
      <w:r w:rsidR="00046CAC">
        <w:t>1</w:t>
      </w:r>
      <w:r w:rsidR="00046CAC">
        <w:t>)</w:t>
      </w:r>
      <w:r w:rsidR="00046CAC">
        <w:t xml:space="preserve"> </w:t>
      </w:r>
      <w:r w:rsidR="00D61443">
        <w:t>that extend out of the earth from 60 feet deep</w:t>
      </w:r>
      <w:sdt>
        <w:sdtPr>
          <w:id w:val="-220444736"/>
          <w:citation/>
        </w:sdtPr>
        <w:sdtContent>
          <w:r w:rsidR="00A631D7">
            <w:fldChar w:fldCharType="begin"/>
          </w:r>
          <w:r w:rsidR="00A631D7">
            <w:instrText xml:space="preserve"> CITATION His01 \l 2057 </w:instrText>
          </w:r>
          <w:r w:rsidR="00A631D7">
            <w:fldChar w:fldCharType="separate"/>
          </w:r>
          <w:r w:rsidR="00A631D7">
            <w:rPr>
              <w:noProof/>
            </w:rPr>
            <w:t xml:space="preserve"> </w:t>
          </w:r>
          <w:r w:rsidR="00A631D7" w:rsidRPr="00A631D7">
            <w:rPr>
              <w:noProof/>
            </w:rPr>
            <w:t>(Historic England, 2001)</w:t>
          </w:r>
          <w:r w:rsidR="00A631D7">
            <w:fldChar w:fldCharType="end"/>
          </w:r>
        </w:sdtContent>
      </w:sdt>
      <w:r w:rsidR="00D61443">
        <w:t>, creating a strong foundation on which the large terrace</w:t>
      </w:r>
      <w:r w:rsidR="00E72643">
        <w:t xml:space="preserve"> </w:t>
      </w:r>
      <w:r w:rsidR="00D61443">
        <w:t xml:space="preserve">blocks effortlessly float. Pillars such as these are a direct inheritance from the modernist </w:t>
      </w:r>
      <w:proofErr w:type="spellStart"/>
      <w:r w:rsidR="00D61443">
        <w:t>piloti</w:t>
      </w:r>
      <w:proofErr w:type="spellEnd"/>
      <w:r w:rsidR="00D61443">
        <w:t xml:space="preserve"> championed by Le Corbusier</w:t>
      </w:r>
      <w:r w:rsidR="00DD158F">
        <w:t xml:space="preserve"> in the early 20</w:t>
      </w:r>
      <w:r w:rsidR="00DD158F" w:rsidRPr="00DD158F">
        <w:rPr>
          <w:vertAlign w:val="superscript"/>
        </w:rPr>
        <w:t>th</w:t>
      </w:r>
      <w:r w:rsidR="00DD158F">
        <w:t xml:space="preserve"> century</w:t>
      </w:r>
      <w:sdt>
        <w:sdtPr>
          <w:id w:val="-1268770499"/>
          <w:citation/>
        </w:sdtPr>
        <w:sdtContent>
          <w:r w:rsidR="008F0D2E">
            <w:fldChar w:fldCharType="begin"/>
          </w:r>
          <w:r w:rsidR="008F0D2E">
            <w:instrText xml:space="preserve"> CITATION Twe14 \l 2057 </w:instrText>
          </w:r>
          <w:r w:rsidR="008F0D2E">
            <w:fldChar w:fldCharType="separate"/>
          </w:r>
          <w:r w:rsidR="008F0D2E">
            <w:rPr>
              <w:noProof/>
            </w:rPr>
            <w:t xml:space="preserve"> </w:t>
          </w:r>
          <w:r w:rsidR="008F0D2E" w:rsidRPr="008F0D2E">
            <w:rPr>
              <w:noProof/>
            </w:rPr>
            <w:t>(Twentieth Century Society, 2014)</w:t>
          </w:r>
          <w:r w:rsidR="008F0D2E">
            <w:fldChar w:fldCharType="end"/>
          </w:r>
        </w:sdtContent>
      </w:sdt>
      <w:r w:rsidR="00DD158F">
        <w:t xml:space="preserve">. This allows for the famous open walkways and is essential to the lightness of what could have been an oppressive site. </w:t>
      </w:r>
    </w:p>
    <w:tbl>
      <w:tblPr>
        <w:tblStyle w:val="TableGrid"/>
        <w:tblW w:w="0" w:type="auto"/>
        <w:tblLook w:val="04A0" w:firstRow="1" w:lastRow="0" w:firstColumn="1" w:lastColumn="0" w:noHBand="0" w:noVBand="1"/>
      </w:tblPr>
      <w:tblGrid>
        <w:gridCol w:w="4508"/>
        <w:gridCol w:w="4508"/>
      </w:tblGrid>
      <w:tr w:rsidR="00E72643" w14:paraId="1B7FD0DF" w14:textId="77777777" w:rsidTr="00E72643">
        <w:tc>
          <w:tcPr>
            <w:tcW w:w="4508" w:type="dxa"/>
          </w:tcPr>
          <w:p w14:paraId="4B1F9CE5" w14:textId="5AC7606D" w:rsidR="00E72643" w:rsidRPr="00E72643" w:rsidRDefault="00E72643" w:rsidP="00E72643">
            <w:pPr>
              <w:spacing w:before="100" w:beforeAutospacing="1" w:after="100" w:afterAutospacing="1" w:line="240" w:lineRule="auto"/>
              <w:jc w:val="left"/>
              <w:rPr>
                <w:rFonts w:ascii="Times New Roman" w:eastAsia="Times New Roman" w:hAnsi="Times New Roman"/>
                <w:sz w:val="24"/>
                <w:lang w:eastAsia="en-GB"/>
              </w:rPr>
            </w:pPr>
            <w:r w:rsidRPr="00E72643">
              <w:rPr>
                <w:rFonts w:ascii="Times New Roman" w:eastAsia="Times New Roman" w:hAnsi="Times New Roman"/>
                <w:noProof/>
                <w:sz w:val="24"/>
                <w:lang w:eastAsia="en-GB"/>
              </w:rPr>
              <w:drawing>
                <wp:inline distT="0" distB="0" distL="0" distR="0" wp14:anchorId="0B90BFED" wp14:editId="2F71145E">
                  <wp:extent cx="2696705" cy="3595707"/>
                  <wp:effectExtent l="0" t="0" r="8890" b="5080"/>
                  <wp:docPr id="18845116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17561" cy="3623516"/>
                          </a:xfrm>
                          <a:prstGeom prst="rect">
                            <a:avLst/>
                          </a:prstGeom>
                          <a:noFill/>
                          <a:ln>
                            <a:noFill/>
                          </a:ln>
                        </pic:spPr>
                      </pic:pic>
                    </a:graphicData>
                  </a:graphic>
                </wp:inline>
              </w:drawing>
            </w:r>
          </w:p>
          <w:p w14:paraId="75EDA98A" w14:textId="4ADB9801" w:rsidR="00E72643" w:rsidRDefault="00AD542E" w:rsidP="00601E91">
            <w:pPr>
              <w:jc w:val="left"/>
            </w:pPr>
            <w:r>
              <w:t>(fig.11)</w:t>
            </w:r>
            <w:r w:rsidR="008C2EB3">
              <w:t xml:space="preserve"> </w:t>
            </w:r>
            <w:r w:rsidR="008C2EB3">
              <w:rPr>
                <w:rFonts w:eastAsia="Times New Roman" w:cs="Arial"/>
                <w:szCs w:val="22"/>
                <w:lang w:eastAsia="en-GB"/>
              </w:rPr>
              <w:t>(Wilson, 2024)</w:t>
            </w:r>
          </w:p>
        </w:tc>
        <w:tc>
          <w:tcPr>
            <w:tcW w:w="4508" w:type="dxa"/>
          </w:tcPr>
          <w:p w14:paraId="603DD5DD" w14:textId="12E90004" w:rsidR="00BD27BB" w:rsidRPr="00BD27BB" w:rsidRDefault="00BD27BB" w:rsidP="00BD27BB">
            <w:pPr>
              <w:spacing w:before="100" w:beforeAutospacing="1" w:after="100" w:afterAutospacing="1" w:line="240" w:lineRule="auto"/>
              <w:jc w:val="left"/>
              <w:rPr>
                <w:rFonts w:ascii="Times New Roman" w:eastAsia="Times New Roman" w:hAnsi="Times New Roman"/>
                <w:sz w:val="24"/>
                <w:lang w:eastAsia="en-GB"/>
              </w:rPr>
            </w:pPr>
            <w:r w:rsidRPr="00BD27BB">
              <w:rPr>
                <w:rFonts w:ascii="Times New Roman" w:eastAsia="Times New Roman" w:hAnsi="Times New Roman"/>
                <w:noProof/>
                <w:sz w:val="24"/>
                <w:lang w:eastAsia="en-GB"/>
              </w:rPr>
              <w:drawing>
                <wp:inline distT="0" distB="0" distL="0" distR="0" wp14:anchorId="54446E07" wp14:editId="6C247954">
                  <wp:extent cx="2725980" cy="3634740"/>
                  <wp:effectExtent l="0" t="0" r="0" b="3810"/>
                  <wp:docPr id="17992315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42751" cy="3657103"/>
                          </a:xfrm>
                          <a:prstGeom prst="rect">
                            <a:avLst/>
                          </a:prstGeom>
                          <a:noFill/>
                          <a:ln>
                            <a:noFill/>
                          </a:ln>
                        </pic:spPr>
                      </pic:pic>
                    </a:graphicData>
                  </a:graphic>
                </wp:inline>
              </w:drawing>
            </w:r>
          </w:p>
          <w:p w14:paraId="398E19C8" w14:textId="2C447F7C" w:rsidR="00E72643" w:rsidRDefault="00AD542E" w:rsidP="00601E91">
            <w:pPr>
              <w:jc w:val="left"/>
            </w:pPr>
            <w:r>
              <w:t>(fig.12)</w:t>
            </w:r>
            <w:r w:rsidR="008C2EB3">
              <w:t xml:space="preserve"> </w:t>
            </w:r>
            <w:r w:rsidR="008C2EB3">
              <w:rPr>
                <w:rFonts w:eastAsia="Times New Roman" w:cs="Arial"/>
                <w:szCs w:val="22"/>
                <w:lang w:eastAsia="en-GB"/>
              </w:rPr>
              <w:t>(Wilson, 2024)</w:t>
            </w:r>
          </w:p>
        </w:tc>
      </w:tr>
    </w:tbl>
    <w:p w14:paraId="19D31AA5" w14:textId="77777777" w:rsidR="00E72643" w:rsidRPr="00152B81" w:rsidRDefault="00E72643" w:rsidP="00601E91">
      <w:pPr>
        <w:jc w:val="left"/>
      </w:pPr>
    </w:p>
    <w:p w14:paraId="265CD436" w14:textId="56FD9657" w:rsidR="002E605D" w:rsidRDefault="002E605D" w:rsidP="00601E91">
      <w:pPr>
        <w:jc w:val="left"/>
        <w:rPr>
          <w:rFonts w:cs="Arial"/>
          <w:szCs w:val="22"/>
          <w:bdr w:val="none" w:sz="0" w:space="0" w:color="auto" w:frame="1"/>
          <w:shd w:val="clear" w:color="auto" w:fill="FFFFFF"/>
        </w:rPr>
      </w:pPr>
      <w:r>
        <w:t>A</w:t>
      </w:r>
      <w:r w:rsidR="00516511">
        <w:t xml:space="preserve"> frequently</w:t>
      </w:r>
      <w:r>
        <w:t xml:space="preserve"> overlooked element of the barbican is the quantity of brick, forming most of the material not made of concrete</w:t>
      </w:r>
      <w:sdt>
        <w:sdtPr>
          <w:id w:val="1927612372"/>
          <w:citation/>
        </w:sdtPr>
        <w:sdtContent>
          <w:r w:rsidR="00227FAE">
            <w:fldChar w:fldCharType="begin"/>
          </w:r>
          <w:r w:rsidR="00227FAE">
            <w:instrText xml:space="preserve">CITATION Gri18 \p 83 \l 2057 </w:instrText>
          </w:r>
          <w:r w:rsidR="00227FAE">
            <w:fldChar w:fldCharType="separate"/>
          </w:r>
          <w:r w:rsidR="00227FAE">
            <w:rPr>
              <w:noProof/>
            </w:rPr>
            <w:t xml:space="preserve"> </w:t>
          </w:r>
          <w:r w:rsidR="00227FAE" w:rsidRPr="00227FAE">
            <w:rPr>
              <w:noProof/>
            </w:rPr>
            <w:t>(Grindrod, 2018, p. 83)</w:t>
          </w:r>
          <w:r w:rsidR="00227FAE">
            <w:fldChar w:fldCharType="end"/>
          </w:r>
        </w:sdtContent>
      </w:sdt>
      <w:r>
        <w:t>. Brick is used throughout as a</w:t>
      </w:r>
      <w:r w:rsidR="00227FAE">
        <w:t xml:space="preserve">n accent </w:t>
      </w:r>
      <w:r w:rsidR="00046CAC">
        <w:t xml:space="preserve">to </w:t>
      </w:r>
      <w:r w:rsidR="00227FAE">
        <w:t>the concrete, appearing in walls, ceilings and floors</w:t>
      </w:r>
      <w:r w:rsidR="00046CAC">
        <w:t xml:space="preserve"> </w:t>
      </w:r>
      <w:r w:rsidR="00046CAC">
        <w:t>(fig. 1</w:t>
      </w:r>
      <w:r w:rsidR="00046CAC">
        <w:t>3</w:t>
      </w:r>
      <w:r w:rsidR="00046CAC">
        <w:t>)</w:t>
      </w:r>
      <w:r w:rsidR="00227FAE">
        <w:t xml:space="preserve">. </w:t>
      </w:r>
      <w:r w:rsidR="00396C73">
        <w:t>Chamberlin, Powell and Bon state</w:t>
      </w:r>
      <w:r w:rsidR="00396C73" w:rsidRPr="00396C73">
        <w:t xml:space="preserve">d that brick </w:t>
      </w:r>
      <w:r w:rsidR="00396C73" w:rsidRPr="00396C73">
        <w:rPr>
          <w:rFonts w:cs="Arial"/>
          <w:szCs w:val="22"/>
        </w:rPr>
        <w:t>acts as an “</w:t>
      </w:r>
      <w:r w:rsidR="00396C73" w:rsidRPr="00396C73">
        <w:rPr>
          <w:rFonts w:cs="Arial"/>
          <w:szCs w:val="22"/>
          <w:bdr w:val="none" w:sz="0" w:space="0" w:color="auto" w:frame="1"/>
          <w:shd w:val="clear" w:color="auto" w:fill="FFFFFF"/>
        </w:rPr>
        <w:t>intermediate between wholly natural and wholly man-made ”</w:t>
      </w:r>
      <w:r w:rsidR="00396C73" w:rsidRPr="00396C73">
        <w:rPr>
          <w:rFonts w:cs="Arial"/>
          <w:szCs w:val="22"/>
          <w:bdr w:val="none" w:sz="0" w:space="0" w:color="auto" w:frame="1"/>
          <w:shd w:val="clear" w:color="auto" w:fill="FFFFFF"/>
        </w:rPr>
        <w:t>,</w:t>
      </w:r>
      <w:sdt>
        <w:sdtPr>
          <w:rPr>
            <w:rFonts w:cs="Arial"/>
            <w:szCs w:val="22"/>
            <w:bdr w:val="none" w:sz="0" w:space="0" w:color="auto" w:frame="1"/>
            <w:shd w:val="clear" w:color="auto" w:fill="FFFFFF"/>
          </w:rPr>
          <w:id w:val="-2062162452"/>
          <w:citation/>
        </w:sdtPr>
        <w:sdtContent>
          <w:r w:rsidR="00F145C3">
            <w:rPr>
              <w:rFonts w:cs="Arial"/>
              <w:szCs w:val="22"/>
              <w:bdr w:val="none" w:sz="0" w:space="0" w:color="auto" w:frame="1"/>
              <w:shd w:val="clear" w:color="auto" w:fill="FFFFFF"/>
            </w:rPr>
            <w:fldChar w:fldCharType="begin"/>
          </w:r>
          <w:r w:rsidR="00F145C3">
            <w:rPr>
              <w:rFonts w:cs="Arial"/>
              <w:szCs w:val="22"/>
              <w:bdr w:val="none" w:sz="0" w:space="0" w:color="auto" w:frame="1"/>
              <w:shd w:val="clear" w:color="auto" w:fill="FFFFFF"/>
            </w:rPr>
            <w:instrText xml:space="preserve"> CITATION Bar24 \l 2057 </w:instrText>
          </w:r>
          <w:r w:rsidR="00F145C3">
            <w:rPr>
              <w:rFonts w:cs="Arial"/>
              <w:szCs w:val="22"/>
              <w:bdr w:val="none" w:sz="0" w:space="0" w:color="auto" w:frame="1"/>
              <w:shd w:val="clear" w:color="auto" w:fill="FFFFFF"/>
            </w:rPr>
            <w:fldChar w:fldCharType="separate"/>
          </w:r>
          <w:r w:rsidR="00F145C3">
            <w:rPr>
              <w:rFonts w:cs="Arial"/>
              <w:noProof/>
              <w:szCs w:val="22"/>
              <w:bdr w:val="none" w:sz="0" w:space="0" w:color="auto" w:frame="1"/>
              <w:shd w:val="clear" w:color="auto" w:fill="FFFFFF"/>
            </w:rPr>
            <w:t xml:space="preserve"> </w:t>
          </w:r>
          <w:r w:rsidR="00F145C3" w:rsidRPr="00F145C3">
            <w:rPr>
              <w:rFonts w:cs="Arial"/>
              <w:noProof/>
              <w:szCs w:val="22"/>
              <w:bdr w:val="none" w:sz="0" w:space="0" w:color="auto" w:frame="1"/>
              <w:shd w:val="clear" w:color="auto" w:fill="FFFFFF"/>
            </w:rPr>
            <w:t>(Barbican Living, 2024)</w:t>
          </w:r>
          <w:r w:rsidR="00F145C3">
            <w:rPr>
              <w:rFonts w:cs="Arial"/>
              <w:szCs w:val="22"/>
              <w:bdr w:val="none" w:sz="0" w:space="0" w:color="auto" w:frame="1"/>
              <w:shd w:val="clear" w:color="auto" w:fill="FFFFFF"/>
            </w:rPr>
            <w:fldChar w:fldCharType="end"/>
          </w:r>
        </w:sdtContent>
      </w:sdt>
      <w:r w:rsidR="00396C73">
        <w:rPr>
          <w:rFonts w:cs="Arial"/>
          <w:szCs w:val="22"/>
          <w:bdr w:val="none" w:sz="0" w:space="0" w:color="auto" w:frame="1"/>
          <w:shd w:val="clear" w:color="auto" w:fill="FFFFFF"/>
        </w:rPr>
        <w:t xml:space="preserve"> referencing the use of brick in the Barbican’s podium that elevates the concrete. The earthy tone of the brown brick undoubtedly mimics the natural colour of earth</w:t>
      </w:r>
      <w:r w:rsidR="00F145C3">
        <w:rPr>
          <w:rFonts w:cs="Arial"/>
          <w:szCs w:val="22"/>
          <w:bdr w:val="none" w:sz="0" w:space="0" w:color="auto" w:frame="1"/>
          <w:shd w:val="clear" w:color="auto" w:fill="FFFFFF"/>
        </w:rPr>
        <w:t>, made evident when contrasted around the leafy edges of the Water Garden</w:t>
      </w:r>
      <w:r w:rsidR="00046CAC">
        <w:rPr>
          <w:rFonts w:cs="Arial"/>
          <w:szCs w:val="22"/>
          <w:bdr w:val="none" w:sz="0" w:space="0" w:color="auto" w:frame="1"/>
          <w:shd w:val="clear" w:color="auto" w:fill="FFFFFF"/>
        </w:rPr>
        <w:t xml:space="preserve"> </w:t>
      </w:r>
      <w:r w:rsidR="00046CAC">
        <w:t>(fig. 1</w:t>
      </w:r>
      <w:r w:rsidR="00046CAC">
        <w:t>4</w:t>
      </w:r>
      <w:r w:rsidR="00046CAC">
        <w:t>)</w:t>
      </w:r>
      <w:r w:rsidR="00F145C3">
        <w:rPr>
          <w:rFonts w:cs="Arial"/>
          <w:szCs w:val="22"/>
          <w:bdr w:val="none" w:sz="0" w:space="0" w:color="auto" w:frame="1"/>
          <w:shd w:val="clear" w:color="auto" w:fill="FFFFFF"/>
        </w:rPr>
        <w:t xml:space="preserve">, and creates a calming ambience and unity within the complex. </w:t>
      </w:r>
    </w:p>
    <w:tbl>
      <w:tblPr>
        <w:tblStyle w:val="TableGrid"/>
        <w:tblW w:w="0" w:type="auto"/>
        <w:tblLook w:val="04A0" w:firstRow="1" w:lastRow="0" w:firstColumn="1" w:lastColumn="0" w:noHBand="0" w:noVBand="1"/>
      </w:tblPr>
      <w:tblGrid>
        <w:gridCol w:w="3322"/>
        <w:gridCol w:w="5694"/>
      </w:tblGrid>
      <w:tr w:rsidR="00E72643" w14:paraId="55A9A4A3" w14:textId="77777777" w:rsidTr="00E72643">
        <w:tc>
          <w:tcPr>
            <w:tcW w:w="4508" w:type="dxa"/>
          </w:tcPr>
          <w:p w14:paraId="2E40F55E" w14:textId="4BAB5B5C" w:rsidR="00E72643" w:rsidRPr="00E72643" w:rsidRDefault="00E72643" w:rsidP="00E72643">
            <w:pPr>
              <w:spacing w:before="100" w:beforeAutospacing="1" w:after="100" w:afterAutospacing="1" w:line="240" w:lineRule="auto"/>
              <w:jc w:val="left"/>
              <w:rPr>
                <w:rFonts w:ascii="Times New Roman" w:eastAsia="Times New Roman" w:hAnsi="Times New Roman"/>
                <w:sz w:val="24"/>
                <w:lang w:eastAsia="en-GB"/>
              </w:rPr>
            </w:pPr>
            <w:r w:rsidRPr="00E72643">
              <w:rPr>
                <w:rFonts w:ascii="Times New Roman" w:eastAsia="Times New Roman" w:hAnsi="Times New Roman"/>
                <w:noProof/>
                <w:sz w:val="24"/>
                <w:lang w:eastAsia="en-GB"/>
              </w:rPr>
              <w:drawing>
                <wp:inline distT="0" distB="0" distL="0" distR="0" wp14:anchorId="69F9C67F" wp14:editId="05BEAEAB">
                  <wp:extent cx="1981200" cy="2641672"/>
                  <wp:effectExtent l="0" t="0" r="0" b="6350"/>
                  <wp:docPr id="12922917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987268" cy="2649763"/>
                          </a:xfrm>
                          <a:prstGeom prst="rect">
                            <a:avLst/>
                          </a:prstGeom>
                          <a:noFill/>
                          <a:ln>
                            <a:noFill/>
                          </a:ln>
                        </pic:spPr>
                      </pic:pic>
                    </a:graphicData>
                  </a:graphic>
                </wp:inline>
              </w:drawing>
            </w:r>
          </w:p>
          <w:p w14:paraId="2109DB28" w14:textId="317905AB" w:rsidR="00E72643" w:rsidRDefault="00AD542E" w:rsidP="00601E91">
            <w:pPr>
              <w:jc w:val="left"/>
              <w:rPr>
                <w:rFonts w:cs="Arial"/>
                <w:szCs w:val="22"/>
                <w:bdr w:val="none" w:sz="0" w:space="0" w:color="auto" w:frame="1"/>
                <w:shd w:val="clear" w:color="auto" w:fill="FFFFFF"/>
              </w:rPr>
            </w:pPr>
            <w:r>
              <w:rPr>
                <w:rFonts w:cs="Arial"/>
                <w:szCs w:val="22"/>
                <w:bdr w:val="none" w:sz="0" w:space="0" w:color="auto" w:frame="1"/>
                <w:shd w:val="clear" w:color="auto" w:fill="FFFFFF"/>
              </w:rPr>
              <w:t>(fig.13)</w:t>
            </w:r>
            <w:r w:rsidR="008C2EB3">
              <w:rPr>
                <w:rFonts w:cs="Arial"/>
                <w:szCs w:val="22"/>
                <w:bdr w:val="none" w:sz="0" w:space="0" w:color="auto" w:frame="1"/>
                <w:shd w:val="clear" w:color="auto" w:fill="FFFFFF"/>
              </w:rPr>
              <w:t xml:space="preserve"> </w:t>
            </w:r>
            <w:r w:rsidR="008C2EB3">
              <w:rPr>
                <w:rFonts w:eastAsia="Times New Roman" w:cs="Arial"/>
                <w:szCs w:val="22"/>
                <w:lang w:eastAsia="en-GB"/>
              </w:rPr>
              <w:t>(Wilson, 2024)</w:t>
            </w:r>
          </w:p>
        </w:tc>
        <w:tc>
          <w:tcPr>
            <w:tcW w:w="4508" w:type="dxa"/>
          </w:tcPr>
          <w:p w14:paraId="04068A77" w14:textId="6A56718C" w:rsidR="00E72643" w:rsidRPr="00E72643" w:rsidRDefault="00E72643" w:rsidP="00E72643">
            <w:pPr>
              <w:spacing w:before="100" w:beforeAutospacing="1" w:after="100" w:afterAutospacing="1" w:line="240" w:lineRule="auto"/>
              <w:jc w:val="left"/>
              <w:rPr>
                <w:rFonts w:ascii="Times New Roman" w:eastAsia="Times New Roman" w:hAnsi="Times New Roman"/>
                <w:sz w:val="24"/>
                <w:lang w:eastAsia="en-GB"/>
              </w:rPr>
            </w:pPr>
            <w:r w:rsidRPr="00E72643">
              <w:rPr>
                <w:rFonts w:ascii="Times New Roman" w:eastAsia="Times New Roman" w:hAnsi="Times New Roman"/>
                <w:noProof/>
                <w:sz w:val="24"/>
                <w:lang w:eastAsia="en-GB"/>
              </w:rPr>
              <w:drawing>
                <wp:inline distT="0" distB="0" distL="0" distR="0" wp14:anchorId="34F3B228" wp14:editId="4F803D5B">
                  <wp:extent cx="3494783" cy="2621280"/>
                  <wp:effectExtent l="0" t="0" r="0" b="7620"/>
                  <wp:docPr id="12500746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527226" cy="2645614"/>
                          </a:xfrm>
                          <a:prstGeom prst="rect">
                            <a:avLst/>
                          </a:prstGeom>
                          <a:noFill/>
                          <a:ln>
                            <a:noFill/>
                          </a:ln>
                        </pic:spPr>
                      </pic:pic>
                    </a:graphicData>
                  </a:graphic>
                </wp:inline>
              </w:drawing>
            </w:r>
          </w:p>
          <w:p w14:paraId="12294E33" w14:textId="17F1C6E6" w:rsidR="00E72643" w:rsidRDefault="00AD542E" w:rsidP="00601E91">
            <w:pPr>
              <w:jc w:val="left"/>
              <w:rPr>
                <w:rFonts w:cs="Arial"/>
                <w:szCs w:val="22"/>
                <w:bdr w:val="none" w:sz="0" w:space="0" w:color="auto" w:frame="1"/>
                <w:shd w:val="clear" w:color="auto" w:fill="FFFFFF"/>
              </w:rPr>
            </w:pPr>
            <w:r>
              <w:rPr>
                <w:rFonts w:cs="Arial"/>
                <w:szCs w:val="22"/>
                <w:bdr w:val="none" w:sz="0" w:space="0" w:color="auto" w:frame="1"/>
                <w:shd w:val="clear" w:color="auto" w:fill="FFFFFF"/>
              </w:rPr>
              <w:t>(fig.14)</w:t>
            </w:r>
            <w:r w:rsidR="008C2EB3">
              <w:rPr>
                <w:rFonts w:cs="Arial"/>
                <w:szCs w:val="22"/>
                <w:bdr w:val="none" w:sz="0" w:space="0" w:color="auto" w:frame="1"/>
                <w:shd w:val="clear" w:color="auto" w:fill="FFFFFF"/>
              </w:rPr>
              <w:t xml:space="preserve"> </w:t>
            </w:r>
            <w:r w:rsidR="008C2EB3">
              <w:rPr>
                <w:rFonts w:eastAsia="Times New Roman" w:cs="Arial"/>
                <w:szCs w:val="22"/>
                <w:lang w:eastAsia="en-GB"/>
              </w:rPr>
              <w:t>(Wilson, 2024)</w:t>
            </w:r>
          </w:p>
        </w:tc>
      </w:tr>
    </w:tbl>
    <w:p w14:paraId="2F42B452" w14:textId="77777777" w:rsidR="00E72643" w:rsidRDefault="00E72643" w:rsidP="00601E91">
      <w:pPr>
        <w:jc w:val="left"/>
        <w:rPr>
          <w:rFonts w:cs="Arial"/>
          <w:szCs w:val="22"/>
          <w:bdr w:val="none" w:sz="0" w:space="0" w:color="auto" w:frame="1"/>
          <w:shd w:val="clear" w:color="auto" w:fill="FFFFFF"/>
        </w:rPr>
      </w:pPr>
    </w:p>
    <w:tbl>
      <w:tblPr>
        <w:tblStyle w:val="TableGrid"/>
        <w:tblpPr w:leftFromText="180" w:rightFromText="180" w:vertAnchor="text" w:horzAnchor="margin" w:tblpY="1394"/>
        <w:tblW w:w="0" w:type="auto"/>
        <w:tblLook w:val="04A0" w:firstRow="1" w:lastRow="0" w:firstColumn="1" w:lastColumn="0" w:noHBand="0" w:noVBand="1"/>
      </w:tblPr>
      <w:tblGrid>
        <w:gridCol w:w="3306"/>
        <w:gridCol w:w="5710"/>
      </w:tblGrid>
      <w:tr w:rsidR="00E72643" w14:paraId="231D98FE" w14:textId="77777777" w:rsidTr="00E72643">
        <w:tc>
          <w:tcPr>
            <w:tcW w:w="4508" w:type="dxa"/>
          </w:tcPr>
          <w:p w14:paraId="272B8CC8" w14:textId="25B5DBA6" w:rsidR="00E72643" w:rsidRPr="00E72643" w:rsidRDefault="00E72643" w:rsidP="00E72643">
            <w:pPr>
              <w:spacing w:before="100" w:beforeAutospacing="1" w:after="100" w:afterAutospacing="1" w:line="240" w:lineRule="auto"/>
              <w:jc w:val="left"/>
              <w:rPr>
                <w:rFonts w:ascii="Times New Roman" w:eastAsia="Times New Roman" w:hAnsi="Times New Roman"/>
                <w:sz w:val="24"/>
                <w:lang w:eastAsia="en-GB"/>
              </w:rPr>
            </w:pPr>
            <w:r w:rsidRPr="00E72643">
              <w:rPr>
                <w:rFonts w:ascii="Times New Roman" w:eastAsia="Times New Roman" w:hAnsi="Times New Roman"/>
                <w:noProof/>
                <w:sz w:val="24"/>
                <w:lang w:eastAsia="en-GB"/>
              </w:rPr>
              <w:lastRenderedPageBreak/>
              <w:drawing>
                <wp:inline distT="0" distB="0" distL="0" distR="0" wp14:anchorId="71C4D4FB" wp14:editId="1D61E44E">
                  <wp:extent cx="1983052" cy="2644140"/>
                  <wp:effectExtent l="0" t="0" r="0" b="3810"/>
                  <wp:docPr id="12908563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004066" cy="2672160"/>
                          </a:xfrm>
                          <a:prstGeom prst="rect">
                            <a:avLst/>
                          </a:prstGeom>
                          <a:noFill/>
                          <a:ln>
                            <a:noFill/>
                          </a:ln>
                        </pic:spPr>
                      </pic:pic>
                    </a:graphicData>
                  </a:graphic>
                </wp:inline>
              </w:drawing>
            </w:r>
          </w:p>
          <w:p w14:paraId="08237562" w14:textId="0266F024" w:rsidR="00E72643" w:rsidRPr="00E72643" w:rsidRDefault="00AD542E" w:rsidP="00E72643">
            <w:pPr>
              <w:jc w:val="left"/>
            </w:pPr>
            <w:r>
              <w:t>(fig.15)</w:t>
            </w:r>
            <w:r w:rsidR="008C2EB3">
              <w:t xml:space="preserve"> </w:t>
            </w:r>
            <w:r w:rsidR="008C2EB3">
              <w:rPr>
                <w:rFonts w:eastAsia="Times New Roman" w:cs="Arial"/>
                <w:szCs w:val="22"/>
                <w:lang w:eastAsia="en-GB"/>
              </w:rPr>
              <w:t>(Wilson, 2024)</w:t>
            </w:r>
          </w:p>
          <w:p w14:paraId="535AD4B7" w14:textId="77777777" w:rsidR="00E72643" w:rsidRDefault="00E72643" w:rsidP="00E72643">
            <w:pPr>
              <w:jc w:val="left"/>
            </w:pPr>
          </w:p>
        </w:tc>
        <w:tc>
          <w:tcPr>
            <w:tcW w:w="4508" w:type="dxa"/>
          </w:tcPr>
          <w:p w14:paraId="4338C0CA" w14:textId="77005D4B" w:rsidR="00E72643" w:rsidRPr="00E72643" w:rsidRDefault="00E72643" w:rsidP="00E72643">
            <w:pPr>
              <w:spacing w:before="100" w:beforeAutospacing="1" w:after="100" w:afterAutospacing="1" w:line="240" w:lineRule="auto"/>
              <w:jc w:val="left"/>
              <w:rPr>
                <w:rFonts w:ascii="Times New Roman" w:eastAsia="Times New Roman" w:hAnsi="Times New Roman"/>
                <w:sz w:val="24"/>
                <w:lang w:eastAsia="en-GB"/>
              </w:rPr>
            </w:pPr>
            <w:r w:rsidRPr="00E72643">
              <w:rPr>
                <w:rFonts w:ascii="Times New Roman" w:eastAsia="Times New Roman" w:hAnsi="Times New Roman"/>
                <w:noProof/>
                <w:sz w:val="24"/>
                <w:lang w:eastAsia="en-GB"/>
              </w:rPr>
              <w:drawing>
                <wp:inline distT="0" distB="0" distL="0" distR="0" wp14:anchorId="74322816" wp14:editId="3C1C1BC3">
                  <wp:extent cx="3525261" cy="2644140"/>
                  <wp:effectExtent l="0" t="0" r="0" b="3810"/>
                  <wp:docPr id="3623981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49543" cy="2662353"/>
                          </a:xfrm>
                          <a:prstGeom prst="rect">
                            <a:avLst/>
                          </a:prstGeom>
                          <a:noFill/>
                          <a:ln>
                            <a:noFill/>
                          </a:ln>
                        </pic:spPr>
                      </pic:pic>
                    </a:graphicData>
                  </a:graphic>
                </wp:inline>
              </w:drawing>
            </w:r>
          </w:p>
          <w:p w14:paraId="5E9F5F73" w14:textId="131ED790" w:rsidR="00E72643" w:rsidRDefault="00AD542E" w:rsidP="00E72643">
            <w:pPr>
              <w:jc w:val="left"/>
            </w:pPr>
            <w:r>
              <w:t>(fig.16)</w:t>
            </w:r>
            <w:r w:rsidR="008C2EB3">
              <w:t xml:space="preserve"> </w:t>
            </w:r>
            <w:r w:rsidR="008C2EB3">
              <w:rPr>
                <w:rFonts w:eastAsia="Times New Roman" w:cs="Arial"/>
                <w:szCs w:val="22"/>
                <w:lang w:eastAsia="en-GB"/>
              </w:rPr>
              <w:t>(Wilson, 2024)</w:t>
            </w:r>
          </w:p>
        </w:tc>
      </w:tr>
    </w:tbl>
    <w:p w14:paraId="209D2CCB" w14:textId="7A17B5C0" w:rsidR="004C670F" w:rsidRDefault="004C670F" w:rsidP="00601E91">
      <w:pPr>
        <w:jc w:val="left"/>
        <w:rPr>
          <w:rFonts w:cs="Arial"/>
          <w:szCs w:val="22"/>
          <w:bdr w:val="none" w:sz="0" w:space="0" w:color="auto" w:frame="1"/>
          <w:shd w:val="clear" w:color="auto" w:fill="FFFFFF"/>
        </w:rPr>
      </w:pPr>
      <w:r>
        <w:rPr>
          <w:rFonts w:cs="Arial"/>
          <w:szCs w:val="22"/>
          <w:bdr w:val="none" w:sz="0" w:space="0" w:color="auto" w:frame="1"/>
          <w:shd w:val="clear" w:color="auto" w:fill="FFFFFF"/>
        </w:rPr>
        <w:t xml:space="preserve">The barbican blurs the line between interior and exterior spaces, with interiors incorporating external materials but reducing proportions and softening edges. The entrance to the lifts </w:t>
      </w:r>
      <w:r w:rsidR="00046CAC">
        <w:rPr>
          <w:rFonts w:cs="Arial"/>
          <w:szCs w:val="22"/>
          <w:bdr w:val="none" w:sz="0" w:space="0" w:color="auto" w:frame="1"/>
          <w:shd w:val="clear" w:color="auto" w:fill="FFFFFF"/>
        </w:rPr>
        <w:t xml:space="preserve">(fig. 15) </w:t>
      </w:r>
      <w:r w:rsidR="008F0D2E">
        <w:rPr>
          <w:rFonts w:cs="Arial"/>
          <w:szCs w:val="22"/>
          <w:bdr w:val="none" w:sz="0" w:space="0" w:color="auto" w:frame="1"/>
          <w:shd w:val="clear" w:color="auto" w:fill="FFFFFF"/>
        </w:rPr>
        <w:t>exemplifies</w:t>
      </w:r>
      <w:r>
        <w:rPr>
          <w:rFonts w:cs="Arial"/>
          <w:szCs w:val="22"/>
          <w:bdr w:val="none" w:sz="0" w:space="0" w:color="auto" w:frame="1"/>
          <w:shd w:val="clear" w:color="auto" w:fill="FFFFFF"/>
        </w:rPr>
        <w:t xml:space="preserve"> the quality of the building</w:t>
      </w:r>
      <w:r w:rsidR="00046CAC">
        <w:rPr>
          <w:rFonts w:cs="Arial"/>
          <w:szCs w:val="22"/>
          <w:bdr w:val="none" w:sz="0" w:space="0" w:color="auto" w:frame="1"/>
          <w:shd w:val="clear" w:color="auto" w:fill="FFFFFF"/>
        </w:rPr>
        <w:t>s</w:t>
      </w:r>
      <w:r>
        <w:rPr>
          <w:rFonts w:cs="Arial"/>
          <w:szCs w:val="22"/>
          <w:bdr w:val="none" w:sz="0" w:space="0" w:color="auto" w:frame="1"/>
          <w:shd w:val="clear" w:color="auto" w:fill="FFFFFF"/>
        </w:rPr>
        <w:t>, making an elegant feature of what would usually be prefabricated unit.</w:t>
      </w:r>
    </w:p>
    <w:p w14:paraId="7AD8D911" w14:textId="77777777" w:rsidR="00A631D7" w:rsidRDefault="00A631D7" w:rsidP="00601E91">
      <w:pPr>
        <w:jc w:val="left"/>
        <w:rPr>
          <w:rFonts w:cs="Arial"/>
          <w:szCs w:val="22"/>
          <w:bdr w:val="none" w:sz="0" w:space="0" w:color="auto" w:frame="1"/>
          <w:shd w:val="clear" w:color="auto" w:fill="FFFFFF"/>
        </w:rPr>
      </w:pPr>
    </w:p>
    <w:p w14:paraId="4C925D1B" w14:textId="77777777" w:rsidR="00A631D7" w:rsidRPr="00A631D7" w:rsidRDefault="00A631D7" w:rsidP="00A631D7">
      <w:pPr>
        <w:pStyle w:val="Heading1"/>
        <w:tabs>
          <w:tab w:val="left" w:pos="1932"/>
        </w:tabs>
        <w:rPr>
          <w:rFonts w:cstheme="minorHAnsi"/>
        </w:rPr>
      </w:pPr>
      <w:r w:rsidRPr="0029053D">
        <w:t xml:space="preserve">Chapter </w:t>
      </w:r>
      <w:r>
        <w:t>5</w:t>
      </w:r>
      <w:r w:rsidRPr="0029053D">
        <w:t xml:space="preserve">: </w:t>
      </w:r>
      <w:r>
        <w:t>Reception and Legacy</w:t>
      </w:r>
    </w:p>
    <w:p w14:paraId="260AC1D5" w14:textId="3EF848DA" w:rsidR="00A631D7" w:rsidRDefault="00A631D7" w:rsidP="00A631D7">
      <w:pPr>
        <w:jc w:val="left"/>
        <w:rPr>
          <w:rFonts w:cs="Arial"/>
        </w:rPr>
      </w:pPr>
      <w:r>
        <w:rPr>
          <w:rFonts w:cs="Arial"/>
        </w:rPr>
        <w:t>A commercial success, the Barbican has continually been so</w:t>
      </w:r>
      <w:r w:rsidR="00046CAC">
        <w:rPr>
          <w:rFonts w:cs="Arial"/>
        </w:rPr>
        <w:t>ught</w:t>
      </w:r>
      <w:r w:rsidR="00254C11">
        <w:rPr>
          <w:rFonts w:cs="Arial"/>
        </w:rPr>
        <w:t>-</w:t>
      </w:r>
      <w:r>
        <w:rPr>
          <w:rFonts w:cs="Arial"/>
        </w:rPr>
        <w:t xml:space="preserve">after as a place to live in the City of London and command high prices when they infrequently are sold, reaching £700,000 for single bedroom flats. </w:t>
      </w:r>
      <w:r w:rsidR="004661C2">
        <w:rPr>
          <w:rFonts w:cs="Arial"/>
        </w:rPr>
        <w:t>At the opening of the complex in 1982, Queen Elizabeth II described it as “one of the modern wonders of the world”, an opinion that is certainly not universal</w:t>
      </w:r>
      <w:sdt>
        <w:sdtPr>
          <w:rPr>
            <w:rFonts w:cs="Arial"/>
          </w:rPr>
          <w:id w:val="278537246"/>
          <w:citation/>
        </w:sdtPr>
        <w:sdtContent>
          <w:r w:rsidR="004661C2">
            <w:rPr>
              <w:rFonts w:cs="Arial"/>
            </w:rPr>
            <w:fldChar w:fldCharType="begin"/>
          </w:r>
          <w:r w:rsidR="004661C2">
            <w:rPr>
              <w:rFonts w:cs="Arial"/>
            </w:rPr>
            <w:instrText xml:space="preserve"> CITATION Amy14 \l 2057 </w:instrText>
          </w:r>
          <w:r w:rsidR="004661C2">
            <w:rPr>
              <w:rFonts w:cs="Arial"/>
            </w:rPr>
            <w:fldChar w:fldCharType="separate"/>
          </w:r>
          <w:r w:rsidR="004661C2">
            <w:rPr>
              <w:rFonts w:cs="Arial"/>
              <w:noProof/>
            </w:rPr>
            <w:t xml:space="preserve"> </w:t>
          </w:r>
          <w:r w:rsidR="004661C2" w:rsidRPr="004661C2">
            <w:rPr>
              <w:rFonts w:cs="Arial"/>
              <w:noProof/>
            </w:rPr>
            <w:t>(Frearson, 2014)</w:t>
          </w:r>
          <w:r w:rsidR="004661C2">
            <w:rPr>
              <w:rFonts w:cs="Arial"/>
            </w:rPr>
            <w:fldChar w:fldCharType="end"/>
          </w:r>
        </w:sdtContent>
      </w:sdt>
      <w:r w:rsidR="004661C2">
        <w:rPr>
          <w:rFonts w:cs="Arial"/>
        </w:rPr>
        <w:t xml:space="preserve">. </w:t>
      </w:r>
      <w:r>
        <w:rPr>
          <w:rFonts w:cs="Arial"/>
        </w:rPr>
        <w:t xml:space="preserve">Public perception of the Barbican is </w:t>
      </w:r>
      <w:proofErr w:type="gramStart"/>
      <w:r>
        <w:rPr>
          <w:rFonts w:cs="Arial"/>
        </w:rPr>
        <w:t>unsurprising, and</w:t>
      </w:r>
      <w:proofErr w:type="gramEnd"/>
      <w:r>
        <w:rPr>
          <w:rFonts w:cs="Arial"/>
        </w:rPr>
        <w:t xml:space="preserve"> faces the same challenges of many famous Brutalist buildings, in that it is often described as a “Marmite” building – beloved or despised</w:t>
      </w:r>
      <w:sdt>
        <w:sdtPr>
          <w:rPr>
            <w:rFonts w:cs="Arial"/>
          </w:rPr>
          <w:id w:val="-455565735"/>
          <w:citation/>
        </w:sdtPr>
        <w:sdtContent>
          <w:r w:rsidR="00334CB8">
            <w:rPr>
              <w:rFonts w:cs="Arial"/>
            </w:rPr>
            <w:fldChar w:fldCharType="begin"/>
          </w:r>
          <w:r w:rsidR="00334CB8">
            <w:rPr>
              <w:rFonts w:cs="Arial"/>
            </w:rPr>
            <w:instrText xml:space="preserve"> CITATION Pas18 \l 2057 </w:instrText>
          </w:r>
          <w:r w:rsidR="00334CB8">
            <w:rPr>
              <w:rFonts w:cs="Arial"/>
            </w:rPr>
            <w:fldChar w:fldCharType="separate"/>
          </w:r>
          <w:r w:rsidR="00334CB8">
            <w:rPr>
              <w:rFonts w:cs="Arial"/>
              <w:noProof/>
            </w:rPr>
            <w:t xml:space="preserve"> </w:t>
          </w:r>
          <w:r w:rsidR="00334CB8" w:rsidRPr="00334CB8">
            <w:rPr>
              <w:rFonts w:cs="Arial"/>
              <w:noProof/>
            </w:rPr>
            <w:t>(Past in the Present, 2018)</w:t>
          </w:r>
          <w:r w:rsidR="00334CB8">
            <w:rPr>
              <w:rFonts w:cs="Arial"/>
            </w:rPr>
            <w:fldChar w:fldCharType="end"/>
          </w:r>
        </w:sdtContent>
      </w:sdt>
      <w:r>
        <w:rPr>
          <w:rFonts w:cs="Arial"/>
        </w:rPr>
        <w:t xml:space="preserve">. This reduces the argument to whether it is a good building or a bad building, which is an </w:t>
      </w:r>
      <w:proofErr w:type="gramStart"/>
      <w:r>
        <w:rPr>
          <w:rFonts w:cs="Arial"/>
        </w:rPr>
        <w:t>impossible criteria</w:t>
      </w:r>
      <w:proofErr w:type="gramEnd"/>
      <w:r>
        <w:rPr>
          <w:rFonts w:cs="Arial"/>
        </w:rPr>
        <w:t xml:space="preserve"> to analyse. The architects Piers Gough refers to the complex as “the greatest work of British planning and architecture of the 20</w:t>
      </w:r>
      <w:r w:rsidRPr="008F0D2E">
        <w:rPr>
          <w:rFonts w:cs="Arial"/>
          <w:vertAlign w:val="superscript"/>
        </w:rPr>
        <w:t>th</w:t>
      </w:r>
      <w:r>
        <w:rPr>
          <w:rFonts w:cs="Arial"/>
        </w:rPr>
        <w:t xml:space="preserve"> century” </w:t>
      </w:r>
      <w:sdt>
        <w:sdtPr>
          <w:rPr>
            <w:rFonts w:cs="Arial"/>
          </w:rPr>
          <w:id w:val="-1417096736"/>
          <w:citation/>
        </w:sdtPr>
        <w:sdtContent>
          <w:r>
            <w:rPr>
              <w:rFonts w:cs="Arial"/>
            </w:rPr>
            <w:fldChar w:fldCharType="begin"/>
          </w:r>
          <w:r>
            <w:rPr>
              <w:rFonts w:cs="Arial"/>
            </w:rPr>
            <w:instrText xml:space="preserve"> CITATION Twe14 \l 2057 </w:instrText>
          </w:r>
          <w:r>
            <w:rPr>
              <w:rFonts w:cs="Arial"/>
            </w:rPr>
            <w:fldChar w:fldCharType="separate"/>
          </w:r>
          <w:r w:rsidRPr="008F0D2E">
            <w:rPr>
              <w:rFonts w:cs="Arial"/>
              <w:noProof/>
            </w:rPr>
            <w:t>(Twentieth Century Society, 2014)</w:t>
          </w:r>
          <w:r>
            <w:rPr>
              <w:rFonts w:cs="Arial"/>
            </w:rPr>
            <w:fldChar w:fldCharType="end"/>
          </w:r>
        </w:sdtContent>
      </w:sdt>
      <w:r>
        <w:rPr>
          <w:rFonts w:cs="Arial"/>
        </w:rPr>
        <w:t>, however when London Design Week surveyed 1000 Londoners in 2003 to find the cities ugliest building, the Barbican topped the list followed by the BT Tower and the Millenium dome in 2</w:t>
      </w:r>
      <w:r w:rsidRPr="004851F7">
        <w:rPr>
          <w:rFonts w:cs="Arial"/>
          <w:vertAlign w:val="superscript"/>
        </w:rPr>
        <w:t>nd</w:t>
      </w:r>
      <w:r>
        <w:rPr>
          <w:rFonts w:cs="Arial"/>
        </w:rPr>
        <w:t xml:space="preserve"> and 3</w:t>
      </w:r>
      <w:r w:rsidRPr="004851F7">
        <w:rPr>
          <w:rFonts w:cs="Arial"/>
          <w:vertAlign w:val="superscript"/>
        </w:rPr>
        <w:t>rd</w:t>
      </w:r>
      <w:r>
        <w:rPr>
          <w:rFonts w:cs="Arial"/>
        </w:rPr>
        <w:t xml:space="preserve"> respectively</w:t>
      </w:r>
      <w:sdt>
        <w:sdtPr>
          <w:rPr>
            <w:rFonts w:cs="Arial"/>
          </w:rPr>
          <w:id w:val="-141823709"/>
          <w:citation/>
        </w:sdtPr>
        <w:sdtContent>
          <w:r>
            <w:rPr>
              <w:rFonts w:cs="Arial"/>
            </w:rPr>
            <w:fldChar w:fldCharType="begin"/>
          </w:r>
          <w:r>
            <w:rPr>
              <w:rFonts w:cs="Arial"/>
            </w:rPr>
            <w:instrText xml:space="preserve"> CITATION AJ03 \l 2057 </w:instrText>
          </w:r>
          <w:r>
            <w:rPr>
              <w:rFonts w:cs="Arial"/>
            </w:rPr>
            <w:fldChar w:fldCharType="separate"/>
          </w:r>
          <w:r>
            <w:rPr>
              <w:rFonts w:cs="Arial"/>
              <w:noProof/>
            </w:rPr>
            <w:t xml:space="preserve"> </w:t>
          </w:r>
          <w:r w:rsidRPr="004851F7">
            <w:rPr>
              <w:rFonts w:cs="Arial"/>
              <w:noProof/>
            </w:rPr>
            <w:t>(AJ, 2003)</w:t>
          </w:r>
          <w:r>
            <w:rPr>
              <w:rFonts w:cs="Arial"/>
            </w:rPr>
            <w:fldChar w:fldCharType="end"/>
          </w:r>
        </w:sdtContent>
      </w:sdt>
      <w:r>
        <w:rPr>
          <w:rFonts w:cs="Arial"/>
        </w:rPr>
        <w:t xml:space="preserve">. </w:t>
      </w:r>
    </w:p>
    <w:p w14:paraId="05BAC6DF" w14:textId="5DC8FB14" w:rsidR="00A631D7" w:rsidRPr="00E80B43" w:rsidRDefault="00A631D7" w:rsidP="00A631D7">
      <w:pPr>
        <w:jc w:val="left"/>
        <w:rPr>
          <w:rFonts w:cs="Arial"/>
        </w:rPr>
      </w:pPr>
      <w:r>
        <w:rPr>
          <w:rFonts w:cs="Arial"/>
        </w:rPr>
        <w:t>The Barbican marked an end to Brutalism in the UK, historian John Grindrod stating that “Brutalism died on the 3</w:t>
      </w:r>
      <w:r w:rsidRPr="0076771A">
        <w:rPr>
          <w:rFonts w:cs="Arial"/>
          <w:vertAlign w:val="superscript"/>
        </w:rPr>
        <w:t>rd</w:t>
      </w:r>
      <w:r>
        <w:rPr>
          <w:rFonts w:cs="Arial"/>
        </w:rPr>
        <w:t xml:space="preserve"> of March 1982”</w:t>
      </w:r>
      <w:sdt>
        <w:sdtPr>
          <w:rPr>
            <w:rFonts w:cs="Arial"/>
          </w:rPr>
          <w:id w:val="772605641"/>
          <w:citation/>
        </w:sdtPr>
        <w:sdtContent>
          <w:r>
            <w:rPr>
              <w:rFonts w:cs="Arial"/>
            </w:rPr>
            <w:fldChar w:fldCharType="begin"/>
          </w:r>
          <w:r>
            <w:rPr>
              <w:rFonts w:cs="Arial"/>
            </w:rPr>
            <w:instrText xml:space="preserve"> CITATION Gri18 \l 2057 </w:instrText>
          </w:r>
          <w:r>
            <w:rPr>
              <w:rFonts w:cs="Arial"/>
            </w:rPr>
            <w:fldChar w:fldCharType="separate"/>
          </w:r>
          <w:r>
            <w:rPr>
              <w:rFonts w:cs="Arial"/>
              <w:noProof/>
            </w:rPr>
            <w:t xml:space="preserve"> </w:t>
          </w:r>
          <w:r w:rsidRPr="00A631D7">
            <w:rPr>
              <w:rFonts w:cs="Arial"/>
              <w:noProof/>
            </w:rPr>
            <w:t>(Grindrod, 2018)</w:t>
          </w:r>
          <w:r>
            <w:rPr>
              <w:rFonts w:cs="Arial"/>
            </w:rPr>
            <w:fldChar w:fldCharType="end"/>
          </w:r>
        </w:sdtContent>
      </w:sdt>
      <w:r>
        <w:rPr>
          <w:rFonts w:cs="Arial"/>
        </w:rPr>
        <w:t xml:space="preserve"> – the year the Barbican was </w:t>
      </w:r>
      <w:r>
        <w:rPr>
          <w:rFonts w:cs="Arial"/>
        </w:rPr>
        <w:lastRenderedPageBreak/>
        <w:t>declared officially complete. From the conception of a scheme to build an urban housing</w:t>
      </w:r>
      <w:r w:rsidR="00254C11">
        <w:rPr>
          <w:rFonts w:cs="Arial"/>
        </w:rPr>
        <w:t xml:space="preserve"> development</w:t>
      </w:r>
      <w:r>
        <w:rPr>
          <w:rFonts w:cs="Arial"/>
        </w:rPr>
        <w:t xml:space="preserve"> on the site in the early 1950s, to its completion in 1982, the Barbican had spanned the entirety of what could be called the Brutalist period. In September 2001, the complete site was </w:t>
      </w:r>
      <w:proofErr w:type="gramStart"/>
      <w:r>
        <w:rPr>
          <w:rFonts w:cs="Arial"/>
        </w:rPr>
        <w:t>listed  as</w:t>
      </w:r>
      <w:proofErr w:type="gramEnd"/>
      <w:r>
        <w:rPr>
          <w:rFonts w:cs="Arial"/>
        </w:rPr>
        <w:t xml:space="preserve"> Grade II, marked for its “scale”, “cohesion” and “ambition”</w:t>
      </w:r>
      <w:sdt>
        <w:sdtPr>
          <w:rPr>
            <w:rFonts w:cs="Arial"/>
          </w:rPr>
          <w:id w:val="-1929418415"/>
          <w:citation/>
        </w:sdtPr>
        <w:sdtContent>
          <w:r>
            <w:rPr>
              <w:rFonts w:cs="Arial"/>
            </w:rPr>
            <w:fldChar w:fldCharType="begin"/>
          </w:r>
          <w:r>
            <w:rPr>
              <w:rFonts w:cs="Arial"/>
            </w:rPr>
            <w:instrText xml:space="preserve"> CITATION His01 \l 2057 </w:instrText>
          </w:r>
          <w:r>
            <w:rPr>
              <w:rFonts w:cs="Arial"/>
            </w:rPr>
            <w:fldChar w:fldCharType="separate"/>
          </w:r>
          <w:r>
            <w:rPr>
              <w:rFonts w:cs="Arial"/>
              <w:noProof/>
            </w:rPr>
            <w:t xml:space="preserve"> </w:t>
          </w:r>
          <w:r w:rsidRPr="00A631D7">
            <w:rPr>
              <w:rFonts w:cs="Arial"/>
              <w:noProof/>
            </w:rPr>
            <w:t>(Historic England, 2001)</w:t>
          </w:r>
          <w:r>
            <w:rPr>
              <w:rFonts w:cs="Arial"/>
            </w:rPr>
            <w:fldChar w:fldCharType="end"/>
          </w:r>
        </w:sdtContent>
      </w:sdt>
      <w:r w:rsidR="00254C11">
        <w:rPr>
          <w:rFonts w:cs="Arial"/>
        </w:rPr>
        <w:t xml:space="preserve">, testament to the importance of its legacy. </w:t>
      </w:r>
    </w:p>
    <w:p w14:paraId="32FAACCF" w14:textId="77777777" w:rsidR="00A631D7" w:rsidRDefault="00A631D7" w:rsidP="00601E91">
      <w:pPr>
        <w:jc w:val="left"/>
        <w:rPr>
          <w:rFonts w:cs="Arial"/>
          <w:szCs w:val="22"/>
          <w:bdr w:val="none" w:sz="0" w:space="0" w:color="auto" w:frame="1"/>
          <w:shd w:val="clear" w:color="auto" w:fill="FFFFFF"/>
        </w:rPr>
      </w:pPr>
    </w:p>
    <w:p w14:paraId="158407A7" w14:textId="77777777" w:rsidR="00152B81" w:rsidRDefault="00152B81" w:rsidP="00601E91">
      <w:pPr>
        <w:jc w:val="left"/>
        <w:rPr>
          <w:rFonts w:cs="Arial"/>
          <w:szCs w:val="22"/>
          <w:bdr w:val="none" w:sz="0" w:space="0" w:color="auto" w:frame="1"/>
          <w:shd w:val="clear" w:color="auto" w:fill="FFFFFF"/>
        </w:rPr>
      </w:pPr>
    </w:p>
    <w:bookmarkEnd w:id="8"/>
    <w:p w14:paraId="75961D10" w14:textId="696C1F38" w:rsidR="001935DC" w:rsidRPr="00E80B43" w:rsidRDefault="002C075E" w:rsidP="00A631D7">
      <w:pPr>
        <w:pStyle w:val="Heading1"/>
        <w:tabs>
          <w:tab w:val="left" w:pos="1932"/>
        </w:tabs>
        <w:rPr>
          <w:rFonts w:cs="Arial"/>
        </w:rPr>
      </w:pPr>
      <w:r w:rsidRPr="00A918F2">
        <w:br w:type="page"/>
      </w:r>
    </w:p>
    <w:p w14:paraId="1AE5ED25" w14:textId="203D87AE" w:rsidR="001935DC" w:rsidRPr="00E80B43" w:rsidRDefault="001935DC" w:rsidP="001935DC"/>
    <w:p w14:paraId="06D90A34" w14:textId="01C76183" w:rsidR="002C075E" w:rsidRPr="00EA78F9" w:rsidRDefault="002C075E" w:rsidP="005A233D">
      <w:pPr>
        <w:rPr>
          <w:rFonts w:cstheme="minorHAnsi"/>
        </w:rPr>
      </w:pPr>
    </w:p>
    <w:p w14:paraId="4F6912CE" w14:textId="747C3041" w:rsidR="00F56A80" w:rsidRPr="00F56A80" w:rsidRDefault="00F56A80" w:rsidP="00F72567">
      <w:pPr>
        <w:pStyle w:val="Heading1"/>
      </w:pPr>
      <w:bookmarkStart w:id="10" w:name="_Toc148468014"/>
      <w:bookmarkStart w:id="11" w:name="_Hlk70092154"/>
      <w:r w:rsidRPr="00F56A80">
        <w:t>Conclusion</w:t>
      </w:r>
      <w:bookmarkEnd w:id="10"/>
    </w:p>
    <w:p w14:paraId="0D033F3B" w14:textId="77777777" w:rsidR="00F56A80" w:rsidRDefault="00F56A80" w:rsidP="00F56A80">
      <w:pPr>
        <w:spacing w:line="240" w:lineRule="auto"/>
        <w:rPr>
          <w:rFonts w:cstheme="minorHAnsi"/>
        </w:rPr>
      </w:pPr>
    </w:p>
    <w:p w14:paraId="6B029D18" w14:textId="7CCCF454" w:rsidR="00F56A80" w:rsidRDefault="00FA6916" w:rsidP="00FA6916">
      <w:pPr>
        <w:jc w:val="left"/>
        <w:rPr>
          <w:rFonts w:cstheme="minorHAnsi"/>
        </w:rPr>
      </w:pPr>
      <w:r>
        <w:t xml:space="preserve">By considering various aspects of the Barbican Estate, it is possible to understand the level of detail and thought that guided its design and construction, and the legacy it leaves. From the philosophies that impacted its architects to create a </w:t>
      </w:r>
      <w:r w:rsidR="00254C11">
        <w:t xml:space="preserve">series of </w:t>
      </w:r>
      <w:r>
        <w:t>building</w:t>
      </w:r>
      <w:r w:rsidR="00254C11">
        <w:t>s</w:t>
      </w:r>
      <w:r>
        <w:t xml:space="preserve"> that had no real precedent, to the material technology that allowed the design to push the limits of what could be achieved, this essay has consolidated many different aspects of the collection of buildings, such as form, planning, and purpose. </w:t>
      </w:r>
      <w:r w:rsidR="00254C11">
        <w:t>Overall,</w:t>
      </w:r>
      <w:r w:rsidR="00C31B53">
        <w:t xml:space="preserve"> it is clear from the fame and attention the Barbican continues to attract and the contextual world in which it was imagined that it is one of the most important buildings of the post-war world. </w:t>
      </w:r>
      <w:r w:rsidR="00F56A80">
        <w:rPr>
          <w:rFonts w:cstheme="minorHAnsi"/>
        </w:rPr>
        <w:br w:type="page"/>
      </w:r>
    </w:p>
    <w:p w14:paraId="5AB4DE48" w14:textId="3EEE9666" w:rsidR="00A631D7" w:rsidRDefault="007F5C24" w:rsidP="00A631D7">
      <w:pPr>
        <w:pStyle w:val="Heading1"/>
      </w:pPr>
      <w:bookmarkStart w:id="12" w:name="_Toc148468016"/>
      <w:bookmarkEnd w:id="11"/>
      <w:r w:rsidRPr="007F5C24">
        <w:lastRenderedPageBreak/>
        <w:t xml:space="preserve">Bibliography: Published Works </w:t>
      </w:r>
      <w:bookmarkEnd w:id="12"/>
    </w:p>
    <w:p w14:paraId="2E0CDF4F" w14:textId="77777777" w:rsidR="00AE2B85" w:rsidRPr="00AE2B85" w:rsidRDefault="00AE2B85" w:rsidP="00AE2B85"/>
    <w:p w14:paraId="1178E158" w14:textId="77777777" w:rsidR="00AE2B85" w:rsidRDefault="00AE2B85" w:rsidP="00AE2B85">
      <w:pPr>
        <w:pStyle w:val="Bibliography"/>
        <w:jc w:val="left"/>
        <w:rPr>
          <w:noProof/>
          <w:sz w:val="24"/>
        </w:rPr>
      </w:pPr>
      <w:r>
        <w:fldChar w:fldCharType="begin"/>
      </w:r>
      <w:r>
        <w:instrText xml:space="preserve"> BIBLIOGRAPHY  \l 2057 </w:instrText>
      </w:r>
      <w:r>
        <w:fldChar w:fldCharType="separate"/>
      </w:r>
      <w:r>
        <w:rPr>
          <w:noProof/>
        </w:rPr>
        <w:t xml:space="preserve">AJ, 2003. </w:t>
      </w:r>
      <w:r>
        <w:rPr>
          <w:i/>
          <w:iCs/>
          <w:noProof/>
        </w:rPr>
        <w:t xml:space="preserve">Architects' Journal. </w:t>
      </w:r>
      <w:r>
        <w:rPr>
          <w:noProof/>
        </w:rPr>
        <w:t xml:space="preserve">[Online] </w:t>
      </w:r>
      <w:r>
        <w:rPr>
          <w:noProof/>
        </w:rPr>
        <w:br/>
        <w:t xml:space="preserve">Available at: </w:t>
      </w:r>
      <w:r>
        <w:rPr>
          <w:noProof/>
          <w:u w:val="single"/>
        </w:rPr>
        <w:t>https://www.architectsjournal.co.uk/archive/barbican-ugliest-building</w:t>
      </w:r>
      <w:r>
        <w:rPr>
          <w:noProof/>
        </w:rPr>
        <w:br/>
        <w:t>[Accessed 20 March 2024].</w:t>
      </w:r>
    </w:p>
    <w:p w14:paraId="6569AADC" w14:textId="77777777" w:rsidR="00AE2B85" w:rsidRDefault="00AE2B85" w:rsidP="00AE2B85">
      <w:pPr>
        <w:pStyle w:val="Bibliography"/>
        <w:jc w:val="left"/>
        <w:rPr>
          <w:noProof/>
        </w:rPr>
      </w:pPr>
      <w:r>
        <w:rPr>
          <w:noProof/>
        </w:rPr>
        <w:t xml:space="preserve">Anon., 2024. </w:t>
      </w:r>
      <w:r>
        <w:rPr>
          <w:i/>
          <w:iCs/>
          <w:noProof/>
        </w:rPr>
        <w:t xml:space="preserve">Living London History. </w:t>
      </w:r>
      <w:r>
        <w:rPr>
          <w:noProof/>
        </w:rPr>
        <w:t xml:space="preserve">[Online] </w:t>
      </w:r>
      <w:r>
        <w:rPr>
          <w:noProof/>
        </w:rPr>
        <w:br/>
        <w:t xml:space="preserve">Available at: </w:t>
      </w:r>
      <w:r>
        <w:rPr>
          <w:noProof/>
          <w:u w:val="single"/>
        </w:rPr>
        <w:t>https://livinglondonhistory.com/8-amazing-architectural-details-to-spot-at-the-barbican/</w:t>
      </w:r>
      <w:r>
        <w:rPr>
          <w:noProof/>
        </w:rPr>
        <w:br/>
        <w:t>[Accessed 3 March 2024].</w:t>
      </w:r>
    </w:p>
    <w:p w14:paraId="21CC951D" w14:textId="77777777" w:rsidR="00AE2B85" w:rsidRDefault="00AE2B85" w:rsidP="00AE2B85">
      <w:pPr>
        <w:pStyle w:val="Bibliography"/>
        <w:jc w:val="left"/>
        <w:rPr>
          <w:noProof/>
        </w:rPr>
      </w:pPr>
      <w:r>
        <w:rPr>
          <w:noProof/>
        </w:rPr>
        <w:t xml:space="preserve">ArchDaily, 2016. </w:t>
      </w:r>
      <w:r>
        <w:rPr>
          <w:i/>
          <w:iCs/>
          <w:noProof/>
        </w:rPr>
        <w:t xml:space="preserve">ArchDaily. </w:t>
      </w:r>
      <w:r>
        <w:rPr>
          <w:noProof/>
        </w:rPr>
        <w:t xml:space="preserve">[Online] </w:t>
      </w:r>
      <w:r>
        <w:rPr>
          <w:noProof/>
        </w:rPr>
        <w:br/>
        <w:t xml:space="preserve">Available at: </w:t>
      </w:r>
      <w:r>
        <w:rPr>
          <w:noProof/>
          <w:u w:val="single"/>
        </w:rPr>
        <w:t>https://www.archdaily.com/790453/ad-classics-barbican-estate-london-chamberlin-powell-bon</w:t>
      </w:r>
      <w:r>
        <w:rPr>
          <w:noProof/>
        </w:rPr>
        <w:br/>
        <w:t>[Accessed 12 March 2024].</w:t>
      </w:r>
    </w:p>
    <w:p w14:paraId="40812F2F" w14:textId="77777777" w:rsidR="00AE2B85" w:rsidRDefault="00AE2B85" w:rsidP="00AE2B85">
      <w:pPr>
        <w:pStyle w:val="Bibliography"/>
        <w:jc w:val="left"/>
        <w:rPr>
          <w:noProof/>
        </w:rPr>
      </w:pPr>
      <w:r>
        <w:rPr>
          <w:noProof/>
        </w:rPr>
        <w:t xml:space="preserve">Architectuul., 2018. </w:t>
      </w:r>
      <w:r>
        <w:rPr>
          <w:i/>
          <w:iCs/>
          <w:noProof/>
        </w:rPr>
        <w:t xml:space="preserve">Architectuul.. </w:t>
      </w:r>
      <w:r>
        <w:rPr>
          <w:noProof/>
        </w:rPr>
        <w:t xml:space="preserve">[Online] </w:t>
      </w:r>
      <w:r>
        <w:rPr>
          <w:noProof/>
        </w:rPr>
        <w:br/>
        <w:t xml:space="preserve">Available at: </w:t>
      </w:r>
      <w:r>
        <w:rPr>
          <w:noProof/>
          <w:u w:val="single"/>
        </w:rPr>
        <w:t>https://architectuul.com/architecture/barbican-estate</w:t>
      </w:r>
      <w:r>
        <w:rPr>
          <w:noProof/>
        </w:rPr>
        <w:br/>
        <w:t>[Accessed 16 March 2024].</w:t>
      </w:r>
    </w:p>
    <w:p w14:paraId="36FBFA03" w14:textId="77777777" w:rsidR="00AE2B85" w:rsidRDefault="00AE2B85" w:rsidP="00AE2B85">
      <w:pPr>
        <w:pStyle w:val="Bibliography"/>
        <w:jc w:val="left"/>
        <w:rPr>
          <w:noProof/>
        </w:rPr>
      </w:pPr>
      <w:r>
        <w:rPr>
          <w:noProof/>
        </w:rPr>
        <w:t xml:space="preserve">Barbican Living, 2024. </w:t>
      </w:r>
      <w:r>
        <w:rPr>
          <w:i/>
          <w:iCs/>
          <w:noProof/>
        </w:rPr>
        <w:t xml:space="preserve">Barbican Living. </w:t>
      </w:r>
      <w:r>
        <w:rPr>
          <w:noProof/>
        </w:rPr>
        <w:t xml:space="preserve">[Online] </w:t>
      </w:r>
      <w:r>
        <w:rPr>
          <w:noProof/>
        </w:rPr>
        <w:br/>
        <w:t xml:space="preserve">Available at: </w:t>
      </w:r>
      <w:r>
        <w:rPr>
          <w:noProof/>
          <w:u w:val="single"/>
        </w:rPr>
        <w:t>https://www.barbicanliving.co.uk/barbican-story/tower-blocks/the-three-towers/</w:t>
      </w:r>
      <w:r>
        <w:rPr>
          <w:noProof/>
        </w:rPr>
        <w:br/>
        <w:t>[Accessed 14 March 2024].</w:t>
      </w:r>
    </w:p>
    <w:p w14:paraId="7BB31A0E" w14:textId="77777777" w:rsidR="00AE2B85" w:rsidRDefault="00AE2B85" w:rsidP="00AE2B85">
      <w:pPr>
        <w:pStyle w:val="Bibliography"/>
        <w:jc w:val="left"/>
        <w:rPr>
          <w:noProof/>
        </w:rPr>
      </w:pPr>
      <w:r>
        <w:rPr>
          <w:noProof/>
        </w:rPr>
        <w:t xml:space="preserve">Collins, 1980. London: The City - Churches Selected. In: J. Betjeman, ed. </w:t>
      </w:r>
      <w:r>
        <w:rPr>
          <w:i/>
          <w:iCs/>
          <w:noProof/>
        </w:rPr>
        <w:t xml:space="preserve">Collins Guide to Parish Churches of England &amp; Wales. </w:t>
      </w:r>
      <w:r>
        <w:rPr>
          <w:noProof/>
        </w:rPr>
        <w:t>London: Collins, p. 281.</w:t>
      </w:r>
    </w:p>
    <w:p w14:paraId="20FB8A8B" w14:textId="77777777" w:rsidR="00AE2B85" w:rsidRDefault="00AE2B85" w:rsidP="00AE2B85">
      <w:pPr>
        <w:pStyle w:val="Bibliography"/>
        <w:jc w:val="left"/>
        <w:rPr>
          <w:noProof/>
        </w:rPr>
      </w:pPr>
      <w:r>
        <w:rPr>
          <w:noProof/>
        </w:rPr>
        <w:t xml:space="preserve">Frearson, A., 2014. </w:t>
      </w:r>
      <w:r>
        <w:rPr>
          <w:i/>
          <w:iCs/>
          <w:noProof/>
        </w:rPr>
        <w:t xml:space="preserve">dezeen. </w:t>
      </w:r>
      <w:r>
        <w:rPr>
          <w:noProof/>
        </w:rPr>
        <w:t xml:space="preserve">[Online] </w:t>
      </w:r>
      <w:r>
        <w:rPr>
          <w:noProof/>
        </w:rPr>
        <w:br/>
        <w:t xml:space="preserve">Available at: </w:t>
      </w:r>
      <w:r>
        <w:rPr>
          <w:noProof/>
          <w:u w:val="single"/>
        </w:rPr>
        <w:t>https://www.dezeen.com/2014/09/13/brutalist-buildings-barbican-estate-chamberlin-powell-bon/</w:t>
      </w:r>
      <w:r>
        <w:rPr>
          <w:noProof/>
        </w:rPr>
        <w:br/>
        <w:t>[Accessed 19 March 2024].</w:t>
      </w:r>
    </w:p>
    <w:p w14:paraId="6CFEA8EC" w14:textId="77777777" w:rsidR="00AE2B85" w:rsidRDefault="00AE2B85" w:rsidP="00AE2B85">
      <w:pPr>
        <w:pStyle w:val="Bibliography"/>
        <w:jc w:val="left"/>
        <w:rPr>
          <w:noProof/>
        </w:rPr>
      </w:pPr>
      <w:r>
        <w:rPr>
          <w:noProof/>
        </w:rPr>
        <w:t xml:space="preserve">Grindrod, J., 2018. </w:t>
      </w:r>
      <w:r>
        <w:rPr>
          <w:i/>
          <w:iCs/>
          <w:noProof/>
        </w:rPr>
        <w:t xml:space="preserve">How To Love Brutalism. </w:t>
      </w:r>
      <w:r>
        <w:rPr>
          <w:noProof/>
        </w:rPr>
        <w:t>1st ed. London: Batsford.</w:t>
      </w:r>
    </w:p>
    <w:p w14:paraId="00A348F2" w14:textId="77777777" w:rsidR="00AE2B85" w:rsidRDefault="00AE2B85" w:rsidP="00AE2B85">
      <w:pPr>
        <w:pStyle w:val="Bibliography"/>
        <w:jc w:val="left"/>
        <w:rPr>
          <w:noProof/>
        </w:rPr>
      </w:pPr>
      <w:r>
        <w:rPr>
          <w:noProof/>
        </w:rPr>
        <w:t xml:space="preserve">Hall, W., 2012. </w:t>
      </w:r>
      <w:r>
        <w:rPr>
          <w:i/>
          <w:iCs/>
          <w:noProof/>
        </w:rPr>
        <w:t xml:space="preserve">Concrete. </w:t>
      </w:r>
      <w:r>
        <w:rPr>
          <w:noProof/>
        </w:rPr>
        <w:t>2nd ed. London: Phaidon Press Limited.</w:t>
      </w:r>
    </w:p>
    <w:p w14:paraId="13320BE9" w14:textId="77777777" w:rsidR="00AE2B85" w:rsidRDefault="00AE2B85" w:rsidP="00AE2B85">
      <w:pPr>
        <w:pStyle w:val="Bibliography"/>
        <w:jc w:val="left"/>
        <w:rPr>
          <w:noProof/>
        </w:rPr>
      </w:pPr>
      <w:r>
        <w:rPr>
          <w:noProof/>
        </w:rPr>
        <w:t xml:space="preserve">Henley, S., 2017. </w:t>
      </w:r>
      <w:r>
        <w:rPr>
          <w:i/>
          <w:iCs/>
          <w:noProof/>
        </w:rPr>
        <w:t xml:space="preserve">Redefining Brutalism. </w:t>
      </w:r>
      <w:r>
        <w:rPr>
          <w:noProof/>
        </w:rPr>
        <w:t>1st ed. Newcastle upon Tyne: RIBA Publishing.</w:t>
      </w:r>
    </w:p>
    <w:p w14:paraId="01FFB2A1" w14:textId="77777777" w:rsidR="00AE2B85" w:rsidRDefault="00AE2B85" w:rsidP="00AE2B85">
      <w:pPr>
        <w:pStyle w:val="Bibliography"/>
        <w:jc w:val="left"/>
        <w:rPr>
          <w:noProof/>
        </w:rPr>
      </w:pPr>
      <w:r>
        <w:rPr>
          <w:noProof/>
        </w:rPr>
        <w:t xml:space="preserve">Historic England, 2001. </w:t>
      </w:r>
      <w:r>
        <w:rPr>
          <w:i/>
          <w:iCs/>
          <w:noProof/>
        </w:rPr>
        <w:t xml:space="preserve">Historic England. </w:t>
      </w:r>
      <w:r>
        <w:rPr>
          <w:noProof/>
        </w:rPr>
        <w:t xml:space="preserve">[Online] </w:t>
      </w:r>
      <w:r>
        <w:rPr>
          <w:noProof/>
        </w:rPr>
        <w:br/>
        <w:t xml:space="preserve">Available at: </w:t>
      </w:r>
      <w:r>
        <w:rPr>
          <w:noProof/>
          <w:u w:val="single"/>
        </w:rPr>
        <w:t>https://historicengland.org.uk/listing/the-list/list-entry/1352667?section=official-list-entry</w:t>
      </w:r>
      <w:r>
        <w:rPr>
          <w:noProof/>
        </w:rPr>
        <w:br/>
        <w:t>[Accessed 17 March 2024].</w:t>
      </w:r>
    </w:p>
    <w:p w14:paraId="49748651" w14:textId="77777777" w:rsidR="00AE2B85" w:rsidRDefault="00AE2B85" w:rsidP="00AE2B85">
      <w:pPr>
        <w:pStyle w:val="Bibliography"/>
        <w:jc w:val="left"/>
        <w:rPr>
          <w:noProof/>
        </w:rPr>
      </w:pPr>
      <w:r>
        <w:rPr>
          <w:noProof/>
        </w:rPr>
        <w:lastRenderedPageBreak/>
        <w:t xml:space="preserve">Historic England, 2022. </w:t>
      </w:r>
      <w:r>
        <w:rPr>
          <w:i/>
          <w:iCs/>
          <w:noProof/>
        </w:rPr>
        <w:t xml:space="preserve">The Historic England Blog. </w:t>
      </w:r>
      <w:r>
        <w:rPr>
          <w:noProof/>
        </w:rPr>
        <w:t xml:space="preserve">[Online] </w:t>
      </w:r>
      <w:r>
        <w:rPr>
          <w:noProof/>
        </w:rPr>
        <w:br/>
        <w:t xml:space="preserve">Available at: </w:t>
      </w:r>
      <w:r>
        <w:rPr>
          <w:noProof/>
          <w:u w:val="single"/>
        </w:rPr>
        <w:t>https://heritagecalling.com/2022/02/28/brutal-and-beautiful-the-story-of-londons-barbican/</w:t>
      </w:r>
      <w:r>
        <w:rPr>
          <w:noProof/>
        </w:rPr>
        <w:br/>
        <w:t>[Accessed 10 March 2024].</w:t>
      </w:r>
    </w:p>
    <w:p w14:paraId="1651BFFD" w14:textId="77777777" w:rsidR="00AE2B85" w:rsidRDefault="00AE2B85" w:rsidP="00AE2B85">
      <w:pPr>
        <w:pStyle w:val="Bibliography"/>
        <w:jc w:val="left"/>
        <w:rPr>
          <w:noProof/>
        </w:rPr>
      </w:pPr>
      <w:r>
        <w:rPr>
          <w:noProof/>
        </w:rPr>
        <w:t xml:space="preserve">Lucia, A. S., 2024. </w:t>
      </w:r>
      <w:r>
        <w:rPr>
          <w:i/>
          <w:iCs/>
          <w:noProof/>
        </w:rPr>
        <w:t xml:space="preserve">Monograph. </w:t>
      </w:r>
      <w:r>
        <w:rPr>
          <w:noProof/>
        </w:rPr>
        <w:t xml:space="preserve">[Online] </w:t>
      </w:r>
      <w:r>
        <w:rPr>
          <w:noProof/>
        </w:rPr>
        <w:br/>
        <w:t xml:space="preserve">Available at: </w:t>
      </w:r>
      <w:r>
        <w:rPr>
          <w:noProof/>
          <w:u w:val="single"/>
        </w:rPr>
        <w:t>https://monograph.com/blog/brutalist-buildings#:~:text=While%20Villa%20G%C3%B6th%20may%20have,Smithdon%20Highschool%2C%20or%20as%20it</w:t>
      </w:r>
      <w:r>
        <w:rPr>
          <w:noProof/>
        </w:rPr>
        <w:br/>
        <w:t>[Accessed 10 March 2024].</w:t>
      </w:r>
    </w:p>
    <w:p w14:paraId="593F0495" w14:textId="77777777" w:rsidR="00AE2B85" w:rsidRDefault="00AE2B85" w:rsidP="00AE2B85">
      <w:pPr>
        <w:pStyle w:val="Bibliography"/>
        <w:jc w:val="left"/>
        <w:rPr>
          <w:noProof/>
        </w:rPr>
      </w:pPr>
      <w:r>
        <w:rPr>
          <w:noProof/>
        </w:rPr>
        <w:t xml:space="preserve">Past in the Present, 2018. </w:t>
      </w:r>
      <w:r>
        <w:rPr>
          <w:i/>
          <w:iCs/>
          <w:noProof/>
        </w:rPr>
        <w:t xml:space="preserve">Past in the Present. </w:t>
      </w:r>
      <w:r>
        <w:rPr>
          <w:noProof/>
        </w:rPr>
        <w:t xml:space="preserve">[Online] </w:t>
      </w:r>
      <w:r>
        <w:rPr>
          <w:noProof/>
        </w:rPr>
        <w:br/>
        <w:t xml:space="preserve">Available at: </w:t>
      </w:r>
      <w:r>
        <w:rPr>
          <w:noProof/>
          <w:u w:val="single"/>
        </w:rPr>
        <w:t>https://pastinthepresent.net/2015/07/01/barbican-londons-love-it-or-hate-it-neighbourhood/</w:t>
      </w:r>
      <w:r>
        <w:rPr>
          <w:noProof/>
        </w:rPr>
        <w:br/>
        <w:t>[Accessed 18 March 2024].</w:t>
      </w:r>
    </w:p>
    <w:p w14:paraId="619FA065" w14:textId="77777777" w:rsidR="00AE2B85" w:rsidRDefault="00AE2B85" w:rsidP="00AE2B85">
      <w:pPr>
        <w:pStyle w:val="Bibliography"/>
        <w:jc w:val="left"/>
        <w:rPr>
          <w:noProof/>
        </w:rPr>
      </w:pPr>
      <w:r>
        <w:rPr>
          <w:noProof/>
        </w:rPr>
        <w:t xml:space="preserve">The Barbican, 2024. </w:t>
      </w:r>
      <w:r>
        <w:rPr>
          <w:i/>
          <w:iCs/>
          <w:noProof/>
        </w:rPr>
        <w:t xml:space="preserve">Our Building. </w:t>
      </w:r>
      <w:r>
        <w:rPr>
          <w:noProof/>
        </w:rPr>
        <w:t xml:space="preserve">[Online] </w:t>
      </w:r>
      <w:r>
        <w:rPr>
          <w:noProof/>
        </w:rPr>
        <w:br/>
        <w:t xml:space="preserve">Available at: </w:t>
      </w:r>
      <w:r>
        <w:rPr>
          <w:noProof/>
          <w:u w:val="single"/>
        </w:rPr>
        <w:t>https://www.barbican.org.uk/our-story/architecture/our-building</w:t>
      </w:r>
      <w:r>
        <w:rPr>
          <w:noProof/>
        </w:rPr>
        <w:br/>
        <w:t>[Accessed 15 March 2024].</w:t>
      </w:r>
    </w:p>
    <w:p w14:paraId="43D91B7B" w14:textId="77777777" w:rsidR="00AE2B85" w:rsidRDefault="00AE2B85" w:rsidP="00AE2B85">
      <w:pPr>
        <w:pStyle w:val="Bibliography"/>
        <w:jc w:val="left"/>
        <w:rPr>
          <w:noProof/>
        </w:rPr>
      </w:pPr>
      <w:r>
        <w:rPr>
          <w:noProof/>
        </w:rPr>
        <w:t xml:space="preserve">Twentieth Century Society, 2014. </w:t>
      </w:r>
      <w:r>
        <w:rPr>
          <w:i/>
          <w:iCs/>
          <w:noProof/>
        </w:rPr>
        <w:t xml:space="preserve">100 Buildings 100 Years. </w:t>
      </w:r>
      <w:r>
        <w:rPr>
          <w:noProof/>
        </w:rPr>
        <w:t>1st ed. London: Batsford.</w:t>
      </w:r>
    </w:p>
    <w:p w14:paraId="4A5835E9" w14:textId="7B0020E3" w:rsidR="00E07056" w:rsidRDefault="00AE2B85" w:rsidP="00AE2B85">
      <w:pPr>
        <w:jc w:val="left"/>
      </w:pPr>
      <w:r>
        <w:fldChar w:fldCharType="end"/>
      </w:r>
    </w:p>
    <w:tbl>
      <w:tblPr>
        <w:tblStyle w:val="TableGrid"/>
        <w:tblW w:w="737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1"/>
      </w:tblGrid>
      <w:tr w:rsidR="00E07056" w:rsidRPr="00DB3080" w14:paraId="59A910EB" w14:textId="77777777" w:rsidTr="00F27F8A">
        <w:tc>
          <w:tcPr>
            <w:tcW w:w="7371" w:type="dxa"/>
          </w:tcPr>
          <w:p w14:paraId="0F0F5127" w14:textId="0E518F46" w:rsidR="00E07056" w:rsidRPr="00DB3080" w:rsidRDefault="00E07056" w:rsidP="00F27F8A">
            <w:pPr>
              <w:pStyle w:val="NoSpacing"/>
              <w:rPr>
                <w:rFonts w:cs="Arial"/>
                <w:b/>
                <w:bCs/>
                <w:sz w:val="32"/>
              </w:rPr>
            </w:pPr>
            <w:r>
              <w:rPr>
                <w:rFonts w:cs="Arial"/>
                <w:b/>
                <w:bCs/>
                <w:sz w:val="32"/>
              </w:rPr>
              <w:t>Figures</w:t>
            </w:r>
            <w:r w:rsidRPr="00DB3080">
              <w:rPr>
                <w:rFonts w:cs="Arial"/>
                <w:b/>
                <w:bCs/>
                <w:sz w:val="32"/>
              </w:rPr>
              <w:t xml:space="preserve"> </w:t>
            </w:r>
          </w:p>
        </w:tc>
      </w:tr>
      <w:tr w:rsidR="00E07056" w14:paraId="6EF372BF" w14:textId="77777777" w:rsidTr="00F27F8A">
        <w:tc>
          <w:tcPr>
            <w:tcW w:w="7371" w:type="dxa"/>
          </w:tcPr>
          <w:p w14:paraId="45FAF9B6" w14:textId="77777777" w:rsidR="00E07056" w:rsidRDefault="00E07056" w:rsidP="00F27F8A">
            <w:pPr>
              <w:jc w:val="left"/>
              <w:rPr>
                <w:rFonts w:cs="Arial"/>
              </w:rPr>
            </w:pPr>
            <w:r>
              <w:rPr>
                <w:rFonts w:cs="Arial"/>
              </w:rPr>
              <w:t xml:space="preserve">Figure 1 – Nunn, E. (2020) </w:t>
            </w:r>
            <w:proofErr w:type="spellStart"/>
            <w:r>
              <w:rPr>
                <w:rFonts w:cs="Arial"/>
                <w:color w:val="202122"/>
                <w:sz w:val="20"/>
                <w:szCs w:val="20"/>
                <w:shd w:val="clear" w:color="auto" w:fill="F8F9FA"/>
              </w:rPr>
              <w:t>Trellick</w:t>
            </w:r>
            <w:proofErr w:type="spellEnd"/>
            <w:r>
              <w:rPr>
                <w:rFonts w:cs="Arial"/>
                <w:color w:val="202122"/>
                <w:sz w:val="20"/>
                <w:szCs w:val="20"/>
                <w:shd w:val="clear" w:color="auto" w:fill="F8F9FA"/>
              </w:rPr>
              <w:t xml:space="preserve"> Tower front view (colour brightness adjust).jpg Available at </w:t>
            </w:r>
            <w:hyperlink r:id="rId32" w:anchor="/media/File:Trellick_Tower_front_view_(colour_brightness_adjust).jpg" w:history="1">
              <w:proofErr w:type="spellStart"/>
              <w:r>
                <w:rPr>
                  <w:rStyle w:val="Hyperlink"/>
                </w:rPr>
                <w:t>Trellick</w:t>
              </w:r>
              <w:proofErr w:type="spellEnd"/>
              <w:r>
                <w:rPr>
                  <w:rStyle w:val="Hyperlink"/>
                </w:rPr>
                <w:t xml:space="preserve"> Tower front view (colour brightness adjust) - </w:t>
              </w:r>
              <w:proofErr w:type="spellStart"/>
              <w:r>
                <w:rPr>
                  <w:rStyle w:val="Hyperlink"/>
                </w:rPr>
                <w:t>Trellick</w:t>
              </w:r>
              <w:proofErr w:type="spellEnd"/>
              <w:r>
                <w:rPr>
                  <w:rStyle w:val="Hyperlink"/>
                </w:rPr>
                <w:t xml:space="preserve"> Tower - Wikipedia</w:t>
              </w:r>
            </w:hyperlink>
            <w:r>
              <w:t xml:space="preserve"> (Accessed 10 March 2024)</w:t>
            </w:r>
          </w:p>
          <w:p w14:paraId="484A9C00" w14:textId="77777777" w:rsidR="00E07056" w:rsidRDefault="00E07056" w:rsidP="00F27F8A">
            <w:pPr>
              <w:jc w:val="left"/>
              <w:rPr>
                <w:rFonts w:cs="Arial"/>
              </w:rPr>
            </w:pPr>
            <w:r>
              <w:rPr>
                <w:rFonts w:cs="Arial"/>
              </w:rPr>
              <w:t xml:space="preserve">Figure 2 – Savin, A. (2017) </w:t>
            </w:r>
            <w:proofErr w:type="spellStart"/>
            <w:r>
              <w:rPr>
                <w:rFonts w:cs="Arial"/>
                <w:color w:val="202122"/>
                <w:sz w:val="20"/>
                <w:szCs w:val="20"/>
                <w:shd w:val="clear" w:color="auto" w:fill="F8F9FA"/>
              </w:rPr>
              <w:t>Corbusierhaus</w:t>
            </w:r>
            <w:proofErr w:type="spellEnd"/>
            <w:r>
              <w:rPr>
                <w:rFonts w:cs="Arial"/>
                <w:color w:val="202122"/>
                <w:sz w:val="20"/>
                <w:szCs w:val="20"/>
                <w:shd w:val="clear" w:color="auto" w:fill="F8F9FA"/>
              </w:rPr>
              <w:t xml:space="preserve"> B-Westend 06-2017.jpg Available at </w:t>
            </w:r>
            <w:hyperlink r:id="rId33" w:anchor="/media/File:Corbusierhaus_B-Westend_06-2017.jpg" w:history="1">
              <w:proofErr w:type="spellStart"/>
              <w:r>
                <w:rPr>
                  <w:rStyle w:val="Hyperlink"/>
                </w:rPr>
                <w:t>Corbusierhaus</w:t>
              </w:r>
              <w:proofErr w:type="spellEnd"/>
              <w:r>
                <w:rPr>
                  <w:rStyle w:val="Hyperlink"/>
                </w:rPr>
                <w:t xml:space="preserve"> B-Westend 06-2017 - </w:t>
              </w:r>
              <w:proofErr w:type="spellStart"/>
              <w:r>
                <w:rPr>
                  <w:rStyle w:val="Hyperlink"/>
                </w:rPr>
                <w:t>Unité</w:t>
              </w:r>
              <w:proofErr w:type="spellEnd"/>
              <w:r>
                <w:rPr>
                  <w:rStyle w:val="Hyperlink"/>
                </w:rPr>
                <w:t xml:space="preserve"> </w:t>
              </w:r>
              <w:proofErr w:type="spellStart"/>
              <w:r>
                <w:rPr>
                  <w:rStyle w:val="Hyperlink"/>
                </w:rPr>
                <w:t>d'Habitation</w:t>
              </w:r>
              <w:proofErr w:type="spellEnd"/>
              <w:r>
                <w:rPr>
                  <w:rStyle w:val="Hyperlink"/>
                </w:rPr>
                <w:t xml:space="preserve"> of Berlin - Wikipedia</w:t>
              </w:r>
            </w:hyperlink>
            <w:r>
              <w:t xml:space="preserve"> (Accessed 10 March 2024)</w:t>
            </w:r>
          </w:p>
          <w:p w14:paraId="714F8084" w14:textId="77777777" w:rsidR="00E07056" w:rsidRDefault="00E07056" w:rsidP="00F27F8A">
            <w:pPr>
              <w:jc w:val="left"/>
              <w:rPr>
                <w:rFonts w:cs="Arial"/>
              </w:rPr>
            </w:pPr>
            <w:r>
              <w:rPr>
                <w:rFonts w:cs="Arial"/>
              </w:rPr>
              <w:t>Figure 3 – Public Domain</w:t>
            </w:r>
          </w:p>
          <w:p w14:paraId="120243F6" w14:textId="77777777" w:rsidR="00E07056" w:rsidRDefault="00E07056" w:rsidP="00F27F8A">
            <w:pPr>
              <w:jc w:val="left"/>
              <w:rPr>
                <w:rFonts w:cs="Arial"/>
              </w:rPr>
            </w:pPr>
            <w:r>
              <w:rPr>
                <w:rFonts w:cs="Arial"/>
              </w:rPr>
              <w:t xml:space="preserve">Figure 4 – Quinn, M. (2008) </w:t>
            </w:r>
            <w:r>
              <w:rPr>
                <w:rFonts w:cs="Arial"/>
                <w:color w:val="202122"/>
                <w:sz w:val="20"/>
                <w:szCs w:val="20"/>
                <w:shd w:val="clear" w:color="auto" w:fill="F8F9FA"/>
              </w:rPr>
              <w:t xml:space="preserve">Crescent House, Golden Lane Estate, Goswell Road, EC1 - geograph.org.uk - 1069837.jpg, Available at </w:t>
            </w:r>
            <w:hyperlink r:id="rId34" w:anchor="/media/File:Crescent_House,_Golden_Lane_Estate,_Goswell_Road,_EC1_-_geograph.org.uk_-_1069837.jpg" w:history="1">
              <w:r>
                <w:rPr>
                  <w:rStyle w:val="Hyperlink"/>
                </w:rPr>
                <w:t>Crescent House, Golden Lane Estate, Goswell Road, EC1 - geograph.org.uk - 1069837 - Golden Lane Estate - Wikipedia</w:t>
              </w:r>
            </w:hyperlink>
            <w:r>
              <w:t xml:space="preserve"> (Accessed 10 March 2024)</w:t>
            </w:r>
          </w:p>
          <w:p w14:paraId="7BF5FF84" w14:textId="77777777" w:rsidR="00E07056" w:rsidRDefault="00E07056" w:rsidP="00F27F8A">
            <w:pPr>
              <w:jc w:val="left"/>
              <w:rPr>
                <w:rFonts w:cs="Arial"/>
              </w:rPr>
            </w:pPr>
            <w:r>
              <w:rPr>
                <w:rFonts w:cs="Arial"/>
              </w:rPr>
              <w:t xml:space="preserve">Figure 5 – Wilson, W. </w:t>
            </w:r>
            <w:r>
              <w:rPr>
                <w:rFonts w:eastAsia="Times New Roman" w:cs="Arial"/>
                <w:szCs w:val="22"/>
                <w:lang w:eastAsia="en-GB"/>
              </w:rPr>
              <w:t xml:space="preserve"> (2024)</w:t>
            </w:r>
          </w:p>
          <w:p w14:paraId="27587247" w14:textId="77777777" w:rsidR="00E07056" w:rsidRDefault="00E07056" w:rsidP="00F27F8A">
            <w:pPr>
              <w:jc w:val="left"/>
              <w:rPr>
                <w:rFonts w:cs="Arial"/>
              </w:rPr>
            </w:pPr>
            <w:r>
              <w:rPr>
                <w:rFonts w:cs="Arial"/>
              </w:rPr>
              <w:t xml:space="preserve">Figure 6 – Wilson, W. </w:t>
            </w:r>
            <w:r>
              <w:rPr>
                <w:rFonts w:eastAsia="Times New Roman" w:cs="Arial"/>
                <w:szCs w:val="22"/>
                <w:lang w:eastAsia="en-GB"/>
              </w:rPr>
              <w:t xml:space="preserve"> (2024)</w:t>
            </w:r>
          </w:p>
          <w:p w14:paraId="0724C312" w14:textId="77777777" w:rsidR="00E07056" w:rsidRDefault="00E07056" w:rsidP="00F27F8A">
            <w:pPr>
              <w:jc w:val="left"/>
              <w:rPr>
                <w:rFonts w:cs="Arial"/>
              </w:rPr>
            </w:pPr>
            <w:r>
              <w:rPr>
                <w:rFonts w:cs="Arial"/>
              </w:rPr>
              <w:lastRenderedPageBreak/>
              <w:t xml:space="preserve">Figure 7 – Wilson, W. </w:t>
            </w:r>
            <w:r>
              <w:rPr>
                <w:rFonts w:eastAsia="Times New Roman" w:cs="Arial"/>
                <w:szCs w:val="22"/>
                <w:lang w:eastAsia="en-GB"/>
              </w:rPr>
              <w:t xml:space="preserve"> (2024)</w:t>
            </w:r>
          </w:p>
          <w:p w14:paraId="285C42A3" w14:textId="77777777" w:rsidR="00E07056" w:rsidRDefault="00E07056" w:rsidP="00F27F8A">
            <w:pPr>
              <w:jc w:val="left"/>
              <w:rPr>
                <w:rFonts w:cs="Arial"/>
              </w:rPr>
            </w:pPr>
            <w:r>
              <w:rPr>
                <w:rFonts w:cs="Arial"/>
              </w:rPr>
              <w:t xml:space="preserve">Figure 8 – Wilson, W. </w:t>
            </w:r>
            <w:r>
              <w:rPr>
                <w:rFonts w:eastAsia="Times New Roman" w:cs="Arial"/>
                <w:szCs w:val="22"/>
                <w:lang w:eastAsia="en-GB"/>
              </w:rPr>
              <w:t xml:space="preserve"> (2024)</w:t>
            </w:r>
          </w:p>
          <w:p w14:paraId="76752A6C" w14:textId="77777777" w:rsidR="00E07056" w:rsidRDefault="00E07056" w:rsidP="00F27F8A">
            <w:pPr>
              <w:jc w:val="left"/>
              <w:rPr>
                <w:rFonts w:cs="Arial"/>
              </w:rPr>
            </w:pPr>
            <w:r>
              <w:rPr>
                <w:rFonts w:cs="Arial"/>
              </w:rPr>
              <w:t xml:space="preserve">Figure 9 – Wilson, W. </w:t>
            </w:r>
            <w:r>
              <w:rPr>
                <w:rFonts w:eastAsia="Times New Roman" w:cs="Arial"/>
                <w:szCs w:val="22"/>
                <w:lang w:eastAsia="en-GB"/>
              </w:rPr>
              <w:t xml:space="preserve"> (2024)</w:t>
            </w:r>
          </w:p>
          <w:p w14:paraId="07E96ED1" w14:textId="77777777" w:rsidR="00E07056" w:rsidRDefault="00E07056" w:rsidP="00F27F8A">
            <w:pPr>
              <w:jc w:val="left"/>
              <w:rPr>
                <w:rFonts w:cs="Arial"/>
              </w:rPr>
            </w:pPr>
            <w:r>
              <w:rPr>
                <w:rFonts w:cs="Arial"/>
              </w:rPr>
              <w:t xml:space="preserve">Figure 10 – Wilson, W. </w:t>
            </w:r>
            <w:r>
              <w:rPr>
                <w:rFonts w:eastAsia="Times New Roman" w:cs="Arial"/>
                <w:szCs w:val="22"/>
                <w:lang w:eastAsia="en-GB"/>
              </w:rPr>
              <w:t xml:space="preserve"> (2024)</w:t>
            </w:r>
          </w:p>
          <w:p w14:paraId="214D0BE3" w14:textId="77777777" w:rsidR="00E07056" w:rsidRDefault="00E07056" w:rsidP="00F27F8A">
            <w:pPr>
              <w:jc w:val="left"/>
              <w:rPr>
                <w:rFonts w:cs="Arial"/>
              </w:rPr>
            </w:pPr>
            <w:r>
              <w:rPr>
                <w:rFonts w:cs="Arial"/>
              </w:rPr>
              <w:t xml:space="preserve">Figure 11 – Wilson, W. </w:t>
            </w:r>
            <w:r>
              <w:rPr>
                <w:rFonts w:eastAsia="Times New Roman" w:cs="Arial"/>
                <w:szCs w:val="22"/>
                <w:lang w:eastAsia="en-GB"/>
              </w:rPr>
              <w:t xml:space="preserve"> (2024)</w:t>
            </w:r>
          </w:p>
          <w:p w14:paraId="23CDD3A4" w14:textId="77777777" w:rsidR="00E07056" w:rsidRDefault="00E07056" w:rsidP="00F27F8A">
            <w:pPr>
              <w:jc w:val="left"/>
              <w:rPr>
                <w:rFonts w:cs="Arial"/>
              </w:rPr>
            </w:pPr>
            <w:r>
              <w:rPr>
                <w:rFonts w:cs="Arial"/>
              </w:rPr>
              <w:t xml:space="preserve">Figure 12 - Wilson, W. </w:t>
            </w:r>
            <w:r>
              <w:rPr>
                <w:rFonts w:eastAsia="Times New Roman" w:cs="Arial"/>
                <w:szCs w:val="22"/>
                <w:lang w:eastAsia="en-GB"/>
              </w:rPr>
              <w:t xml:space="preserve"> (2024)</w:t>
            </w:r>
          </w:p>
          <w:p w14:paraId="2A3CFBB1" w14:textId="77777777" w:rsidR="00E07056" w:rsidRDefault="00E07056" w:rsidP="00F27F8A">
            <w:pPr>
              <w:jc w:val="left"/>
              <w:rPr>
                <w:rFonts w:cs="Arial"/>
              </w:rPr>
            </w:pPr>
            <w:r>
              <w:rPr>
                <w:rFonts w:cs="Arial"/>
              </w:rPr>
              <w:t xml:space="preserve">Figure 13 – Wilson, W. </w:t>
            </w:r>
            <w:r>
              <w:rPr>
                <w:rFonts w:eastAsia="Times New Roman" w:cs="Arial"/>
                <w:szCs w:val="22"/>
                <w:lang w:eastAsia="en-GB"/>
              </w:rPr>
              <w:t xml:space="preserve"> (2024)</w:t>
            </w:r>
          </w:p>
          <w:p w14:paraId="0090893A" w14:textId="77777777" w:rsidR="00E07056" w:rsidRDefault="00E07056" w:rsidP="00F27F8A">
            <w:pPr>
              <w:jc w:val="left"/>
              <w:rPr>
                <w:rFonts w:cs="Arial"/>
              </w:rPr>
            </w:pPr>
            <w:r>
              <w:rPr>
                <w:rFonts w:cs="Arial"/>
              </w:rPr>
              <w:t xml:space="preserve">Figure 14 – Wilson, W. </w:t>
            </w:r>
            <w:r>
              <w:rPr>
                <w:rFonts w:eastAsia="Times New Roman" w:cs="Arial"/>
                <w:szCs w:val="22"/>
                <w:lang w:eastAsia="en-GB"/>
              </w:rPr>
              <w:t xml:space="preserve"> (2024)</w:t>
            </w:r>
          </w:p>
          <w:p w14:paraId="43ED13F7" w14:textId="77777777" w:rsidR="00E07056" w:rsidRDefault="00E07056" w:rsidP="00F27F8A">
            <w:pPr>
              <w:jc w:val="left"/>
              <w:rPr>
                <w:rFonts w:cs="Arial"/>
              </w:rPr>
            </w:pPr>
            <w:r>
              <w:rPr>
                <w:rFonts w:cs="Arial"/>
              </w:rPr>
              <w:t xml:space="preserve">Figure 15 – Wilson, W. </w:t>
            </w:r>
            <w:r>
              <w:rPr>
                <w:rFonts w:eastAsia="Times New Roman" w:cs="Arial"/>
                <w:szCs w:val="22"/>
                <w:lang w:eastAsia="en-GB"/>
              </w:rPr>
              <w:t xml:space="preserve"> (2024)</w:t>
            </w:r>
          </w:p>
          <w:p w14:paraId="7923D6C6" w14:textId="77777777" w:rsidR="00E07056" w:rsidRDefault="00E07056" w:rsidP="00F27F8A">
            <w:pPr>
              <w:jc w:val="left"/>
              <w:rPr>
                <w:rFonts w:cs="Arial"/>
              </w:rPr>
            </w:pPr>
            <w:r>
              <w:rPr>
                <w:rFonts w:cs="Arial"/>
              </w:rPr>
              <w:t xml:space="preserve">Figure 16 - Wilson, W. </w:t>
            </w:r>
            <w:r>
              <w:rPr>
                <w:rFonts w:eastAsia="Times New Roman" w:cs="Arial"/>
                <w:szCs w:val="22"/>
                <w:lang w:eastAsia="en-GB"/>
              </w:rPr>
              <w:t xml:space="preserve"> (2024)</w:t>
            </w:r>
          </w:p>
        </w:tc>
      </w:tr>
    </w:tbl>
    <w:p w14:paraId="1ABAE5D1" w14:textId="77777777" w:rsidR="00E07056" w:rsidRPr="00E07056" w:rsidRDefault="00E07056" w:rsidP="00E07056"/>
    <w:sectPr w:rsidR="00E07056" w:rsidRPr="00E070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F17D7" w14:textId="77777777" w:rsidR="000F0007" w:rsidRDefault="000F0007" w:rsidP="00191733">
      <w:pPr>
        <w:spacing w:after="0" w:line="240" w:lineRule="auto"/>
      </w:pPr>
      <w:r>
        <w:separator/>
      </w:r>
    </w:p>
  </w:endnote>
  <w:endnote w:type="continuationSeparator" w:id="0">
    <w:p w14:paraId="05840B11" w14:textId="77777777" w:rsidR="000F0007" w:rsidRDefault="000F0007"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1D33481C"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621703"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98617" w14:textId="77777777" w:rsidR="000F0007" w:rsidRDefault="000F0007" w:rsidP="00191733">
      <w:pPr>
        <w:spacing w:after="0" w:line="240" w:lineRule="auto"/>
      </w:pPr>
      <w:r>
        <w:separator/>
      </w:r>
    </w:p>
  </w:footnote>
  <w:footnote w:type="continuationSeparator" w:id="0">
    <w:p w14:paraId="16582D5A" w14:textId="77777777" w:rsidR="000F0007" w:rsidRDefault="000F0007" w:rsidP="001917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164BF" w14:textId="6F65CE2A" w:rsidR="00B62ACB" w:rsidRDefault="00B62ACB" w:rsidP="00B62ACB">
    <w:pPr>
      <w:pStyle w:val="Header"/>
      <w:jc w:val="right"/>
    </w:pPr>
    <w:r>
      <w:t>William Wilson 2219298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CF75728"/>
    <w:multiLevelType w:val="multilevel"/>
    <w:tmpl w:val="E458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4"/>
  </w:num>
  <w:num w:numId="2" w16cid:durableId="1533808486">
    <w:abstractNumId w:val="5"/>
  </w:num>
  <w:num w:numId="3" w16cid:durableId="1012876340">
    <w:abstractNumId w:val="3"/>
  </w:num>
  <w:num w:numId="4" w16cid:durableId="315187591">
    <w:abstractNumId w:val="0"/>
  </w:num>
  <w:num w:numId="5" w16cid:durableId="1838841058">
    <w:abstractNumId w:val="1"/>
  </w:num>
  <w:num w:numId="6" w16cid:durableId="13984337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B71"/>
    <w:rsid w:val="00002EED"/>
    <w:rsid w:val="00003345"/>
    <w:rsid w:val="00003DB1"/>
    <w:rsid w:val="00013406"/>
    <w:rsid w:val="0001536D"/>
    <w:rsid w:val="00021AB7"/>
    <w:rsid w:val="00030F85"/>
    <w:rsid w:val="0003475F"/>
    <w:rsid w:val="00043C01"/>
    <w:rsid w:val="00044F5F"/>
    <w:rsid w:val="00046CAC"/>
    <w:rsid w:val="000470DC"/>
    <w:rsid w:val="0005653F"/>
    <w:rsid w:val="0006281E"/>
    <w:rsid w:val="00070432"/>
    <w:rsid w:val="00070FEC"/>
    <w:rsid w:val="00087424"/>
    <w:rsid w:val="00095387"/>
    <w:rsid w:val="000A24A4"/>
    <w:rsid w:val="000B13E3"/>
    <w:rsid w:val="000B2697"/>
    <w:rsid w:val="000B53B9"/>
    <w:rsid w:val="000C11E4"/>
    <w:rsid w:val="000C13B2"/>
    <w:rsid w:val="000C246F"/>
    <w:rsid w:val="000C5817"/>
    <w:rsid w:val="000C6921"/>
    <w:rsid w:val="000C6FE1"/>
    <w:rsid w:val="000D2FC7"/>
    <w:rsid w:val="000D5306"/>
    <w:rsid w:val="000E1042"/>
    <w:rsid w:val="000E23CF"/>
    <w:rsid w:val="000F0007"/>
    <w:rsid w:val="000F3CC9"/>
    <w:rsid w:val="000F6191"/>
    <w:rsid w:val="000F7D88"/>
    <w:rsid w:val="000F7ED6"/>
    <w:rsid w:val="001026D8"/>
    <w:rsid w:val="00105214"/>
    <w:rsid w:val="00107A99"/>
    <w:rsid w:val="00116B39"/>
    <w:rsid w:val="001176C4"/>
    <w:rsid w:val="00122B5B"/>
    <w:rsid w:val="001237DC"/>
    <w:rsid w:val="00125530"/>
    <w:rsid w:val="0013311D"/>
    <w:rsid w:val="00135DFB"/>
    <w:rsid w:val="001373C0"/>
    <w:rsid w:val="00146DC8"/>
    <w:rsid w:val="00152B81"/>
    <w:rsid w:val="00155773"/>
    <w:rsid w:val="00173A5E"/>
    <w:rsid w:val="001762F3"/>
    <w:rsid w:val="001832C7"/>
    <w:rsid w:val="001915FE"/>
    <w:rsid w:val="00191733"/>
    <w:rsid w:val="001935DC"/>
    <w:rsid w:val="00195FA0"/>
    <w:rsid w:val="001A3773"/>
    <w:rsid w:val="001A3BD1"/>
    <w:rsid w:val="001A4F0F"/>
    <w:rsid w:val="001B1AED"/>
    <w:rsid w:val="001B2F2B"/>
    <w:rsid w:val="001C4775"/>
    <w:rsid w:val="001C6197"/>
    <w:rsid w:val="001D5939"/>
    <w:rsid w:val="001D6944"/>
    <w:rsid w:val="001E1801"/>
    <w:rsid w:val="001E1F18"/>
    <w:rsid w:val="001E2888"/>
    <w:rsid w:val="001E3581"/>
    <w:rsid w:val="001F0509"/>
    <w:rsid w:val="001F164B"/>
    <w:rsid w:val="001F33C0"/>
    <w:rsid w:val="001F393F"/>
    <w:rsid w:val="001F5FF5"/>
    <w:rsid w:val="002023D1"/>
    <w:rsid w:val="002033FF"/>
    <w:rsid w:val="00212AE2"/>
    <w:rsid w:val="00220B24"/>
    <w:rsid w:val="002232D2"/>
    <w:rsid w:val="00227FAE"/>
    <w:rsid w:val="002333C4"/>
    <w:rsid w:val="00241F08"/>
    <w:rsid w:val="00245327"/>
    <w:rsid w:val="00247184"/>
    <w:rsid w:val="00247E08"/>
    <w:rsid w:val="00254C11"/>
    <w:rsid w:val="00256C18"/>
    <w:rsid w:val="00263D66"/>
    <w:rsid w:val="00265F77"/>
    <w:rsid w:val="00266292"/>
    <w:rsid w:val="00266884"/>
    <w:rsid w:val="0027253A"/>
    <w:rsid w:val="00276B95"/>
    <w:rsid w:val="0028013E"/>
    <w:rsid w:val="00281E85"/>
    <w:rsid w:val="00286E33"/>
    <w:rsid w:val="0029053D"/>
    <w:rsid w:val="00290AFF"/>
    <w:rsid w:val="00292B1D"/>
    <w:rsid w:val="00292FC1"/>
    <w:rsid w:val="00295A0E"/>
    <w:rsid w:val="002971D1"/>
    <w:rsid w:val="002A0E5F"/>
    <w:rsid w:val="002A2372"/>
    <w:rsid w:val="002B1263"/>
    <w:rsid w:val="002B34FD"/>
    <w:rsid w:val="002B357C"/>
    <w:rsid w:val="002C075E"/>
    <w:rsid w:val="002C1829"/>
    <w:rsid w:val="002C4299"/>
    <w:rsid w:val="002C7B60"/>
    <w:rsid w:val="002D3214"/>
    <w:rsid w:val="002D4631"/>
    <w:rsid w:val="002D575C"/>
    <w:rsid w:val="002D63BE"/>
    <w:rsid w:val="002E1898"/>
    <w:rsid w:val="002E345C"/>
    <w:rsid w:val="002E5254"/>
    <w:rsid w:val="002E5603"/>
    <w:rsid w:val="002E605D"/>
    <w:rsid w:val="002F0A8D"/>
    <w:rsid w:val="002F6F6A"/>
    <w:rsid w:val="00300CF9"/>
    <w:rsid w:val="00311EFE"/>
    <w:rsid w:val="0031262E"/>
    <w:rsid w:val="00315791"/>
    <w:rsid w:val="00315CFC"/>
    <w:rsid w:val="0032226E"/>
    <w:rsid w:val="00322518"/>
    <w:rsid w:val="0032473F"/>
    <w:rsid w:val="0032524A"/>
    <w:rsid w:val="003277B3"/>
    <w:rsid w:val="00327C26"/>
    <w:rsid w:val="003311E5"/>
    <w:rsid w:val="003334C4"/>
    <w:rsid w:val="00333D84"/>
    <w:rsid w:val="00334CB8"/>
    <w:rsid w:val="00340514"/>
    <w:rsid w:val="00340EC8"/>
    <w:rsid w:val="00344B8E"/>
    <w:rsid w:val="00346F11"/>
    <w:rsid w:val="00351CD5"/>
    <w:rsid w:val="0035352B"/>
    <w:rsid w:val="00360E43"/>
    <w:rsid w:val="00361604"/>
    <w:rsid w:val="00366682"/>
    <w:rsid w:val="003736DD"/>
    <w:rsid w:val="00381F56"/>
    <w:rsid w:val="00382E0D"/>
    <w:rsid w:val="00384F09"/>
    <w:rsid w:val="00387486"/>
    <w:rsid w:val="003906AB"/>
    <w:rsid w:val="00391B7F"/>
    <w:rsid w:val="003939AC"/>
    <w:rsid w:val="00396C73"/>
    <w:rsid w:val="003A0241"/>
    <w:rsid w:val="003A04CE"/>
    <w:rsid w:val="003A28E0"/>
    <w:rsid w:val="003A747D"/>
    <w:rsid w:val="003B1B29"/>
    <w:rsid w:val="003B327F"/>
    <w:rsid w:val="003B6AA0"/>
    <w:rsid w:val="003D0BD5"/>
    <w:rsid w:val="003D2437"/>
    <w:rsid w:val="003D2A7F"/>
    <w:rsid w:val="003D4311"/>
    <w:rsid w:val="003D43E6"/>
    <w:rsid w:val="003E3993"/>
    <w:rsid w:val="003E75EE"/>
    <w:rsid w:val="003F2ED4"/>
    <w:rsid w:val="00404231"/>
    <w:rsid w:val="004078C7"/>
    <w:rsid w:val="00410918"/>
    <w:rsid w:val="00411B9F"/>
    <w:rsid w:val="00412D14"/>
    <w:rsid w:val="00415059"/>
    <w:rsid w:val="00417D7B"/>
    <w:rsid w:val="00420A17"/>
    <w:rsid w:val="00422715"/>
    <w:rsid w:val="00425D3B"/>
    <w:rsid w:val="004321E2"/>
    <w:rsid w:val="00440AB5"/>
    <w:rsid w:val="004458BB"/>
    <w:rsid w:val="004474F6"/>
    <w:rsid w:val="004511E0"/>
    <w:rsid w:val="00454531"/>
    <w:rsid w:val="004550FA"/>
    <w:rsid w:val="00455A63"/>
    <w:rsid w:val="00455BA9"/>
    <w:rsid w:val="0046564A"/>
    <w:rsid w:val="004661C2"/>
    <w:rsid w:val="00466BAB"/>
    <w:rsid w:val="00466DD0"/>
    <w:rsid w:val="00471C1D"/>
    <w:rsid w:val="00473498"/>
    <w:rsid w:val="00474FDA"/>
    <w:rsid w:val="00476A1D"/>
    <w:rsid w:val="00477351"/>
    <w:rsid w:val="00477700"/>
    <w:rsid w:val="00477AEF"/>
    <w:rsid w:val="004820D7"/>
    <w:rsid w:val="004851F7"/>
    <w:rsid w:val="0049292D"/>
    <w:rsid w:val="00492A4F"/>
    <w:rsid w:val="00492F6D"/>
    <w:rsid w:val="004956E2"/>
    <w:rsid w:val="004A36D3"/>
    <w:rsid w:val="004A5514"/>
    <w:rsid w:val="004B3481"/>
    <w:rsid w:val="004C1408"/>
    <w:rsid w:val="004C1F54"/>
    <w:rsid w:val="004C670F"/>
    <w:rsid w:val="004C6D2D"/>
    <w:rsid w:val="004D27D8"/>
    <w:rsid w:val="004E25B2"/>
    <w:rsid w:val="004E715E"/>
    <w:rsid w:val="004F0CEB"/>
    <w:rsid w:val="004F1CE3"/>
    <w:rsid w:val="004F479C"/>
    <w:rsid w:val="004F70F8"/>
    <w:rsid w:val="0050429E"/>
    <w:rsid w:val="00505834"/>
    <w:rsid w:val="00514276"/>
    <w:rsid w:val="00516511"/>
    <w:rsid w:val="00517B9C"/>
    <w:rsid w:val="00517E3B"/>
    <w:rsid w:val="00520757"/>
    <w:rsid w:val="005338A6"/>
    <w:rsid w:val="00533C3E"/>
    <w:rsid w:val="00534CD1"/>
    <w:rsid w:val="00536E30"/>
    <w:rsid w:val="0054336F"/>
    <w:rsid w:val="00543B40"/>
    <w:rsid w:val="00545958"/>
    <w:rsid w:val="00547A66"/>
    <w:rsid w:val="00552017"/>
    <w:rsid w:val="005526EA"/>
    <w:rsid w:val="0055358A"/>
    <w:rsid w:val="00560F0A"/>
    <w:rsid w:val="005712F5"/>
    <w:rsid w:val="00572B48"/>
    <w:rsid w:val="00573F6D"/>
    <w:rsid w:val="00580C35"/>
    <w:rsid w:val="00581A90"/>
    <w:rsid w:val="005852DD"/>
    <w:rsid w:val="00590FA7"/>
    <w:rsid w:val="005A233D"/>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E50CE"/>
    <w:rsid w:val="005E7E78"/>
    <w:rsid w:val="005F3271"/>
    <w:rsid w:val="005F4A04"/>
    <w:rsid w:val="005F5984"/>
    <w:rsid w:val="005F6718"/>
    <w:rsid w:val="00601CED"/>
    <w:rsid w:val="00601E91"/>
    <w:rsid w:val="006028B2"/>
    <w:rsid w:val="006038D5"/>
    <w:rsid w:val="006052DB"/>
    <w:rsid w:val="00606095"/>
    <w:rsid w:val="0061007E"/>
    <w:rsid w:val="0061009E"/>
    <w:rsid w:val="00612241"/>
    <w:rsid w:val="006133E2"/>
    <w:rsid w:val="00616D94"/>
    <w:rsid w:val="00620A49"/>
    <w:rsid w:val="00621A23"/>
    <w:rsid w:val="00636F03"/>
    <w:rsid w:val="00637DB7"/>
    <w:rsid w:val="006420FB"/>
    <w:rsid w:val="00642FC6"/>
    <w:rsid w:val="00643135"/>
    <w:rsid w:val="00643282"/>
    <w:rsid w:val="0064456C"/>
    <w:rsid w:val="00652B64"/>
    <w:rsid w:val="00660DC4"/>
    <w:rsid w:val="00665FBC"/>
    <w:rsid w:val="00670CDD"/>
    <w:rsid w:val="00671C14"/>
    <w:rsid w:val="006756A4"/>
    <w:rsid w:val="00681791"/>
    <w:rsid w:val="0068251D"/>
    <w:rsid w:val="006862D1"/>
    <w:rsid w:val="00687D14"/>
    <w:rsid w:val="00692515"/>
    <w:rsid w:val="006926BE"/>
    <w:rsid w:val="00693291"/>
    <w:rsid w:val="00693BAA"/>
    <w:rsid w:val="00693F07"/>
    <w:rsid w:val="006A5215"/>
    <w:rsid w:val="006A56DB"/>
    <w:rsid w:val="006B0951"/>
    <w:rsid w:val="006B32D2"/>
    <w:rsid w:val="006B67BC"/>
    <w:rsid w:val="006D4DEF"/>
    <w:rsid w:val="006D5757"/>
    <w:rsid w:val="006D721A"/>
    <w:rsid w:val="006E1B92"/>
    <w:rsid w:val="006E332B"/>
    <w:rsid w:val="006F01E4"/>
    <w:rsid w:val="006F6CBB"/>
    <w:rsid w:val="006F7164"/>
    <w:rsid w:val="0070036E"/>
    <w:rsid w:val="00700C12"/>
    <w:rsid w:val="00712181"/>
    <w:rsid w:val="007143C0"/>
    <w:rsid w:val="007263CB"/>
    <w:rsid w:val="00726C5E"/>
    <w:rsid w:val="00727AFE"/>
    <w:rsid w:val="007406FE"/>
    <w:rsid w:val="00741727"/>
    <w:rsid w:val="0074509F"/>
    <w:rsid w:val="007452B6"/>
    <w:rsid w:val="007454FA"/>
    <w:rsid w:val="0075486F"/>
    <w:rsid w:val="00754DBE"/>
    <w:rsid w:val="0075787D"/>
    <w:rsid w:val="00757D92"/>
    <w:rsid w:val="00762B73"/>
    <w:rsid w:val="00763DA5"/>
    <w:rsid w:val="007650C5"/>
    <w:rsid w:val="007669DB"/>
    <w:rsid w:val="0076771A"/>
    <w:rsid w:val="007678B8"/>
    <w:rsid w:val="007709B2"/>
    <w:rsid w:val="0077693E"/>
    <w:rsid w:val="00780BBE"/>
    <w:rsid w:val="0078439E"/>
    <w:rsid w:val="007954FC"/>
    <w:rsid w:val="00795F66"/>
    <w:rsid w:val="007A3F34"/>
    <w:rsid w:val="007B02D7"/>
    <w:rsid w:val="007B2E5C"/>
    <w:rsid w:val="007B3017"/>
    <w:rsid w:val="007B55B3"/>
    <w:rsid w:val="007C2398"/>
    <w:rsid w:val="007D043E"/>
    <w:rsid w:val="007D6E23"/>
    <w:rsid w:val="007E398B"/>
    <w:rsid w:val="007E46AD"/>
    <w:rsid w:val="007F5C24"/>
    <w:rsid w:val="007F6CC5"/>
    <w:rsid w:val="0080115E"/>
    <w:rsid w:val="00802FE8"/>
    <w:rsid w:val="00803804"/>
    <w:rsid w:val="0081233B"/>
    <w:rsid w:val="00821514"/>
    <w:rsid w:val="008250A8"/>
    <w:rsid w:val="0083425F"/>
    <w:rsid w:val="00841B12"/>
    <w:rsid w:val="00843D08"/>
    <w:rsid w:val="00852EF3"/>
    <w:rsid w:val="0085486B"/>
    <w:rsid w:val="008613D7"/>
    <w:rsid w:val="00863FC7"/>
    <w:rsid w:val="00866A6D"/>
    <w:rsid w:val="00870A01"/>
    <w:rsid w:val="008713F5"/>
    <w:rsid w:val="00894F96"/>
    <w:rsid w:val="008A549C"/>
    <w:rsid w:val="008B3955"/>
    <w:rsid w:val="008B3C85"/>
    <w:rsid w:val="008B6CDE"/>
    <w:rsid w:val="008B71A5"/>
    <w:rsid w:val="008C2BD7"/>
    <w:rsid w:val="008C2EB3"/>
    <w:rsid w:val="008C3B8A"/>
    <w:rsid w:val="008C54C4"/>
    <w:rsid w:val="008C78F9"/>
    <w:rsid w:val="008D024A"/>
    <w:rsid w:val="008D6E4B"/>
    <w:rsid w:val="008E1812"/>
    <w:rsid w:val="008E58E0"/>
    <w:rsid w:val="008E659A"/>
    <w:rsid w:val="008F0D2E"/>
    <w:rsid w:val="008F26B7"/>
    <w:rsid w:val="0090087F"/>
    <w:rsid w:val="00904ED4"/>
    <w:rsid w:val="0091127C"/>
    <w:rsid w:val="00915380"/>
    <w:rsid w:val="009159FB"/>
    <w:rsid w:val="00922CCB"/>
    <w:rsid w:val="00927183"/>
    <w:rsid w:val="00930829"/>
    <w:rsid w:val="009308AB"/>
    <w:rsid w:val="00937156"/>
    <w:rsid w:val="00940071"/>
    <w:rsid w:val="0094068D"/>
    <w:rsid w:val="009438D0"/>
    <w:rsid w:val="0095286A"/>
    <w:rsid w:val="009637F8"/>
    <w:rsid w:val="009646B7"/>
    <w:rsid w:val="0097190B"/>
    <w:rsid w:val="00972063"/>
    <w:rsid w:val="0097691D"/>
    <w:rsid w:val="00976D88"/>
    <w:rsid w:val="009779E0"/>
    <w:rsid w:val="00977BDF"/>
    <w:rsid w:val="009824FC"/>
    <w:rsid w:val="00982AC0"/>
    <w:rsid w:val="0098495D"/>
    <w:rsid w:val="00985B1C"/>
    <w:rsid w:val="009879A2"/>
    <w:rsid w:val="00990974"/>
    <w:rsid w:val="00990CD9"/>
    <w:rsid w:val="00992E56"/>
    <w:rsid w:val="00996167"/>
    <w:rsid w:val="009A0423"/>
    <w:rsid w:val="009A0D8B"/>
    <w:rsid w:val="009A2248"/>
    <w:rsid w:val="009A41CE"/>
    <w:rsid w:val="009B1B08"/>
    <w:rsid w:val="009C43D4"/>
    <w:rsid w:val="009C7290"/>
    <w:rsid w:val="009C7487"/>
    <w:rsid w:val="009D2738"/>
    <w:rsid w:val="009E0525"/>
    <w:rsid w:val="009E0D45"/>
    <w:rsid w:val="009E1553"/>
    <w:rsid w:val="009F01C0"/>
    <w:rsid w:val="009F1190"/>
    <w:rsid w:val="009F1687"/>
    <w:rsid w:val="009F170D"/>
    <w:rsid w:val="00A061FC"/>
    <w:rsid w:val="00A110DE"/>
    <w:rsid w:val="00A12205"/>
    <w:rsid w:val="00A12298"/>
    <w:rsid w:val="00A259A7"/>
    <w:rsid w:val="00A25A49"/>
    <w:rsid w:val="00A26C73"/>
    <w:rsid w:val="00A31266"/>
    <w:rsid w:val="00A367B9"/>
    <w:rsid w:val="00A376A5"/>
    <w:rsid w:val="00A40A94"/>
    <w:rsid w:val="00A41834"/>
    <w:rsid w:val="00A42CFC"/>
    <w:rsid w:val="00A45359"/>
    <w:rsid w:val="00A47582"/>
    <w:rsid w:val="00A500A8"/>
    <w:rsid w:val="00A50516"/>
    <w:rsid w:val="00A5228B"/>
    <w:rsid w:val="00A543BD"/>
    <w:rsid w:val="00A54781"/>
    <w:rsid w:val="00A572CD"/>
    <w:rsid w:val="00A575DB"/>
    <w:rsid w:val="00A57C05"/>
    <w:rsid w:val="00A61818"/>
    <w:rsid w:val="00A631D7"/>
    <w:rsid w:val="00A6617C"/>
    <w:rsid w:val="00A744BE"/>
    <w:rsid w:val="00A74932"/>
    <w:rsid w:val="00A7725A"/>
    <w:rsid w:val="00A803CA"/>
    <w:rsid w:val="00A8185E"/>
    <w:rsid w:val="00A82025"/>
    <w:rsid w:val="00A84F46"/>
    <w:rsid w:val="00A918F2"/>
    <w:rsid w:val="00A951F8"/>
    <w:rsid w:val="00A96B9B"/>
    <w:rsid w:val="00AA4B40"/>
    <w:rsid w:val="00AB2597"/>
    <w:rsid w:val="00AB5A14"/>
    <w:rsid w:val="00AB7297"/>
    <w:rsid w:val="00AC2657"/>
    <w:rsid w:val="00AC2929"/>
    <w:rsid w:val="00AC35D0"/>
    <w:rsid w:val="00AC4E5C"/>
    <w:rsid w:val="00AC5067"/>
    <w:rsid w:val="00AC67C2"/>
    <w:rsid w:val="00AD1CA9"/>
    <w:rsid w:val="00AD2EB9"/>
    <w:rsid w:val="00AD30FE"/>
    <w:rsid w:val="00AD542E"/>
    <w:rsid w:val="00AE1D99"/>
    <w:rsid w:val="00AE2792"/>
    <w:rsid w:val="00AE2B85"/>
    <w:rsid w:val="00AE42CB"/>
    <w:rsid w:val="00AE69F7"/>
    <w:rsid w:val="00AF7A80"/>
    <w:rsid w:val="00B007BD"/>
    <w:rsid w:val="00B0412E"/>
    <w:rsid w:val="00B05F74"/>
    <w:rsid w:val="00B13C82"/>
    <w:rsid w:val="00B13E16"/>
    <w:rsid w:val="00B1464A"/>
    <w:rsid w:val="00B21610"/>
    <w:rsid w:val="00B21AB6"/>
    <w:rsid w:val="00B21BF8"/>
    <w:rsid w:val="00B22F85"/>
    <w:rsid w:val="00B23C14"/>
    <w:rsid w:val="00B244AB"/>
    <w:rsid w:val="00B265E5"/>
    <w:rsid w:val="00B27415"/>
    <w:rsid w:val="00B31060"/>
    <w:rsid w:val="00B32D2D"/>
    <w:rsid w:val="00B32DC7"/>
    <w:rsid w:val="00B4441D"/>
    <w:rsid w:val="00B50FE6"/>
    <w:rsid w:val="00B524B1"/>
    <w:rsid w:val="00B55D3E"/>
    <w:rsid w:val="00B60296"/>
    <w:rsid w:val="00B613D0"/>
    <w:rsid w:val="00B62ACB"/>
    <w:rsid w:val="00B62E35"/>
    <w:rsid w:val="00B6789A"/>
    <w:rsid w:val="00B70777"/>
    <w:rsid w:val="00B72889"/>
    <w:rsid w:val="00B820B8"/>
    <w:rsid w:val="00B91A6C"/>
    <w:rsid w:val="00B97139"/>
    <w:rsid w:val="00BA5755"/>
    <w:rsid w:val="00BA5A58"/>
    <w:rsid w:val="00BB0790"/>
    <w:rsid w:val="00BC1196"/>
    <w:rsid w:val="00BC54F2"/>
    <w:rsid w:val="00BC57AB"/>
    <w:rsid w:val="00BC681C"/>
    <w:rsid w:val="00BD164A"/>
    <w:rsid w:val="00BD253F"/>
    <w:rsid w:val="00BD27BB"/>
    <w:rsid w:val="00BD3446"/>
    <w:rsid w:val="00BE2988"/>
    <w:rsid w:val="00BE4A57"/>
    <w:rsid w:val="00BE6BBF"/>
    <w:rsid w:val="00BE73A6"/>
    <w:rsid w:val="00BF1705"/>
    <w:rsid w:val="00BF1BBE"/>
    <w:rsid w:val="00BF1CEE"/>
    <w:rsid w:val="00BF2A92"/>
    <w:rsid w:val="00BF53C2"/>
    <w:rsid w:val="00BF57F8"/>
    <w:rsid w:val="00BF73AB"/>
    <w:rsid w:val="00C00920"/>
    <w:rsid w:val="00C017FA"/>
    <w:rsid w:val="00C026D8"/>
    <w:rsid w:val="00C0529B"/>
    <w:rsid w:val="00C0563D"/>
    <w:rsid w:val="00C06086"/>
    <w:rsid w:val="00C06DEF"/>
    <w:rsid w:val="00C10612"/>
    <w:rsid w:val="00C17AC5"/>
    <w:rsid w:val="00C214A3"/>
    <w:rsid w:val="00C21701"/>
    <w:rsid w:val="00C22952"/>
    <w:rsid w:val="00C22B33"/>
    <w:rsid w:val="00C22B6F"/>
    <w:rsid w:val="00C23F75"/>
    <w:rsid w:val="00C23FE2"/>
    <w:rsid w:val="00C24F14"/>
    <w:rsid w:val="00C27D73"/>
    <w:rsid w:val="00C30520"/>
    <w:rsid w:val="00C31B53"/>
    <w:rsid w:val="00C31D13"/>
    <w:rsid w:val="00C36F20"/>
    <w:rsid w:val="00C40B8F"/>
    <w:rsid w:val="00C50290"/>
    <w:rsid w:val="00C50A4D"/>
    <w:rsid w:val="00C60A79"/>
    <w:rsid w:val="00C707CA"/>
    <w:rsid w:val="00C71712"/>
    <w:rsid w:val="00C74450"/>
    <w:rsid w:val="00C75616"/>
    <w:rsid w:val="00C76D92"/>
    <w:rsid w:val="00C77471"/>
    <w:rsid w:val="00C8526C"/>
    <w:rsid w:val="00C9175D"/>
    <w:rsid w:val="00C96A7B"/>
    <w:rsid w:val="00CA1AC4"/>
    <w:rsid w:val="00CA31A9"/>
    <w:rsid w:val="00CA39C4"/>
    <w:rsid w:val="00CA452F"/>
    <w:rsid w:val="00CA5180"/>
    <w:rsid w:val="00CB1A8B"/>
    <w:rsid w:val="00CB45AE"/>
    <w:rsid w:val="00CC14BD"/>
    <w:rsid w:val="00CC1B86"/>
    <w:rsid w:val="00CC2DAE"/>
    <w:rsid w:val="00CC4F0B"/>
    <w:rsid w:val="00CC7FB2"/>
    <w:rsid w:val="00CD754B"/>
    <w:rsid w:val="00CE3B42"/>
    <w:rsid w:val="00CE511A"/>
    <w:rsid w:val="00CE59A2"/>
    <w:rsid w:val="00CE7E2C"/>
    <w:rsid w:val="00CF0904"/>
    <w:rsid w:val="00CF317D"/>
    <w:rsid w:val="00D079DB"/>
    <w:rsid w:val="00D10332"/>
    <w:rsid w:val="00D1718B"/>
    <w:rsid w:val="00D21177"/>
    <w:rsid w:val="00D35885"/>
    <w:rsid w:val="00D36BB1"/>
    <w:rsid w:val="00D42472"/>
    <w:rsid w:val="00D44313"/>
    <w:rsid w:val="00D44770"/>
    <w:rsid w:val="00D50359"/>
    <w:rsid w:val="00D548F5"/>
    <w:rsid w:val="00D54B06"/>
    <w:rsid w:val="00D61443"/>
    <w:rsid w:val="00D653AE"/>
    <w:rsid w:val="00D71459"/>
    <w:rsid w:val="00D71EE0"/>
    <w:rsid w:val="00D779D6"/>
    <w:rsid w:val="00D83403"/>
    <w:rsid w:val="00D93978"/>
    <w:rsid w:val="00D93A8D"/>
    <w:rsid w:val="00D93B58"/>
    <w:rsid w:val="00D9523C"/>
    <w:rsid w:val="00D95D80"/>
    <w:rsid w:val="00DA29B2"/>
    <w:rsid w:val="00DA4064"/>
    <w:rsid w:val="00DA7C41"/>
    <w:rsid w:val="00DB0330"/>
    <w:rsid w:val="00DB075E"/>
    <w:rsid w:val="00DB1813"/>
    <w:rsid w:val="00DB22F2"/>
    <w:rsid w:val="00DB3080"/>
    <w:rsid w:val="00DB31F0"/>
    <w:rsid w:val="00DB3B9E"/>
    <w:rsid w:val="00DB4E26"/>
    <w:rsid w:val="00DB630D"/>
    <w:rsid w:val="00DC078A"/>
    <w:rsid w:val="00DC3840"/>
    <w:rsid w:val="00DD158F"/>
    <w:rsid w:val="00DD46B4"/>
    <w:rsid w:val="00DE354D"/>
    <w:rsid w:val="00DE3836"/>
    <w:rsid w:val="00DF2E81"/>
    <w:rsid w:val="00E0123D"/>
    <w:rsid w:val="00E0127C"/>
    <w:rsid w:val="00E016DB"/>
    <w:rsid w:val="00E039E2"/>
    <w:rsid w:val="00E03B9D"/>
    <w:rsid w:val="00E07056"/>
    <w:rsid w:val="00E0732F"/>
    <w:rsid w:val="00E11F44"/>
    <w:rsid w:val="00E21F85"/>
    <w:rsid w:val="00E23875"/>
    <w:rsid w:val="00E23E5C"/>
    <w:rsid w:val="00E24537"/>
    <w:rsid w:val="00E24D9B"/>
    <w:rsid w:val="00E26750"/>
    <w:rsid w:val="00E342B0"/>
    <w:rsid w:val="00E34C79"/>
    <w:rsid w:val="00E366B0"/>
    <w:rsid w:val="00E4021F"/>
    <w:rsid w:val="00E4080C"/>
    <w:rsid w:val="00E45292"/>
    <w:rsid w:val="00E47853"/>
    <w:rsid w:val="00E51EAB"/>
    <w:rsid w:val="00E55999"/>
    <w:rsid w:val="00E72643"/>
    <w:rsid w:val="00E73EFF"/>
    <w:rsid w:val="00E80B43"/>
    <w:rsid w:val="00E81348"/>
    <w:rsid w:val="00E81951"/>
    <w:rsid w:val="00E82673"/>
    <w:rsid w:val="00E83E09"/>
    <w:rsid w:val="00E83EAA"/>
    <w:rsid w:val="00E87349"/>
    <w:rsid w:val="00E87A03"/>
    <w:rsid w:val="00E91B75"/>
    <w:rsid w:val="00EA23EF"/>
    <w:rsid w:val="00EA32E0"/>
    <w:rsid w:val="00EA471E"/>
    <w:rsid w:val="00EA4F76"/>
    <w:rsid w:val="00EA53A6"/>
    <w:rsid w:val="00EA6B07"/>
    <w:rsid w:val="00EA78F9"/>
    <w:rsid w:val="00EC1857"/>
    <w:rsid w:val="00ED1A29"/>
    <w:rsid w:val="00ED74EC"/>
    <w:rsid w:val="00EE19C4"/>
    <w:rsid w:val="00EE5705"/>
    <w:rsid w:val="00EE5873"/>
    <w:rsid w:val="00EF6D04"/>
    <w:rsid w:val="00F029B3"/>
    <w:rsid w:val="00F1079E"/>
    <w:rsid w:val="00F11684"/>
    <w:rsid w:val="00F12331"/>
    <w:rsid w:val="00F145C3"/>
    <w:rsid w:val="00F150EF"/>
    <w:rsid w:val="00F22811"/>
    <w:rsid w:val="00F23613"/>
    <w:rsid w:val="00F2693A"/>
    <w:rsid w:val="00F27D5C"/>
    <w:rsid w:val="00F32D15"/>
    <w:rsid w:val="00F34C2E"/>
    <w:rsid w:val="00F4074F"/>
    <w:rsid w:val="00F40C09"/>
    <w:rsid w:val="00F41B22"/>
    <w:rsid w:val="00F466FC"/>
    <w:rsid w:val="00F500C7"/>
    <w:rsid w:val="00F5128C"/>
    <w:rsid w:val="00F55C9D"/>
    <w:rsid w:val="00F56A80"/>
    <w:rsid w:val="00F57F58"/>
    <w:rsid w:val="00F6033C"/>
    <w:rsid w:val="00F627D3"/>
    <w:rsid w:val="00F63E68"/>
    <w:rsid w:val="00F65F37"/>
    <w:rsid w:val="00F71485"/>
    <w:rsid w:val="00F724B2"/>
    <w:rsid w:val="00F72567"/>
    <w:rsid w:val="00F7454E"/>
    <w:rsid w:val="00F77B71"/>
    <w:rsid w:val="00F93476"/>
    <w:rsid w:val="00FA31CB"/>
    <w:rsid w:val="00FA508D"/>
    <w:rsid w:val="00FA514D"/>
    <w:rsid w:val="00FA6916"/>
    <w:rsid w:val="00FA7042"/>
    <w:rsid w:val="00FA773B"/>
    <w:rsid w:val="00FB2633"/>
    <w:rsid w:val="00FB40DF"/>
    <w:rsid w:val="00FB48BE"/>
    <w:rsid w:val="00FC1D7E"/>
    <w:rsid w:val="00FC3F39"/>
    <w:rsid w:val="00FD0B64"/>
    <w:rsid w:val="00FD59D0"/>
    <w:rsid w:val="00FE1DF0"/>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C1B35"/>
  <w15:chartTrackingRefBased/>
  <w15:docId w15:val="{1428844C-2409-4BEE-B6BB-8E9285A11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paragraph" w:styleId="Bibliography">
    <w:name w:val="Bibliography"/>
    <w:basedOn w:val="Normal"/>
    <w:next w:val="Normal"/>
    <w:uiPriority w:val="37"/>
    <w:unhideWhenUsed/>
    <w:rsid w:val="002E1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57748">
      <w:bodyDiv w:val="1"/>
      <w:marLeft w:val="0"/>
      <w:marRight w:val="0"/>
      <w:marTop w:val="0"/>
      <w:marBottom w:val="0"/>
      <w:divBdr>
        <w:top w:val="none" w:sz="0" w:space="0" w:color="auto"/>
        <w:left w:val="none" w:sz="0" w:space="0" w:color="auto"/>
        <w:bottom w:val="none" w:sz="0" w:space="0" w:color="auto"/>
        <w:right w:val="none" w:sz="0" w:space="0" w:color="auto"/>
      </w:divBdr>
    </w:div>
    <w:div w:id="36469208">
      <w:bodyDiv w:val="1"/>
      <w:marLeft w:val="0"/>
      <w:marRight w:val="0"/>
      <w:marTop w:val="0"/>
      <w:marBottom w:val="0"/>
      <w:divBdr>
        <w:top w:val="none" w:sz="0" w:space="0" w:color="auto"/>
        <w:left w:val="none" w:sz="0" w:space="0" w:color="auto"/>
        <w:bottom w:val="none" w:sz="0" w:space="0" w:color="auto"/>
        <w:right w:val="none" w:sz="0" w:space="0" w:color="auto"/>
      </w:divBdr>
    </w:div>
    <w:div w:id="41633379">
      <w:bodyDiv w:val="1"/>
      <w:marLeft w:val="0"/>
      <w:marRight w:val="0"/>
      <w:marTop w:val="0"/>
      <w:marBottom w:val="0"/>
      <w:divBdr>
        <w:top w:val="none" w:sz="0" w:space="0" w:color="auto"/>
        <w:left w:val="none" w:sz="0" w:space="0" w:color="auto"/>
        <w:bottom w:val="none" w:sz="0" w:space="0" w:color="auto"/>
        <w:right w:val="none" w:sz="0" w:space="0" w:color="auto"/>
      </w:divBdr>
    </w:div>
    <w:div w:id="107429038">
      <w:bodyDiv w:val="1"/>
      <w:marLeft w:val="0"/>
      <w:marRight w:val="0"/>
      <w:marTop w:val="0"/>
      <w:marBottom w:val="0"/>
      <w:divBdr>
        <w:top w:val="none" w:sz="0" w:space="0" w:color="auto"/>
        <w:left w:val="none" w:sz="0" w:space="0" w:color="auto"/>
        <w:bottom w:val="none" w:sz="0" w:space="0" w:color="auto"/>
        <w:right w:val="none" w:sz="0" w:space="0" w:color="auto"/>
      </w:divBdr>
    </w:div>
    <w:div w:id="114764105">
      <w:bodyDiv w:val="1"/>
      <w:marLeft w:val="0"/>
      <w:marRight w:val="0"/>
      <w:marTop w:val="0"/>
      <w:marBottom w:val="0"/>
      <w:divBdr>
        <w:top w:val="none" w:sz="0" w:space="0" w:color="auto"/>
        <w:left w:val="none" w:sz="0" w:space="0" w:color="auto"/>
        <w:bottom w:val="none" w:sz="0" w:space="0" w:color="auto"/>
        <w:right w:val="none" w:sz="0" w:space="0" w:color="auto"/>
      </w:divBdr>
    </w:div>
    <w:div w:id="133764852">
      <w:bodyDiv w:val="1"/>
      <w:marLeft w:val="0"/>
      <w:marRight w:val="0"/>
      <w:marTop w:val="0"/>
      <w:marBottom w:val="0"/>
      <w:divBdr>
        <w:top w:val="none" w:sz="0" w:space="0" w:color="auto"/>
        <w:left w:val="none" w:sz="0" w:space="0" w:color="auto"/>
        <w:bottom w:val="none" w:sz="0" w:space="0" w:color="auto"/>
        <w:right w:val="none" w:sz="0" w:space="0" w:color="auto"/>
      </w:divBdr>
    </w:div>
    <w:div w:id="146746111">
      <w:bodyDiv w:val="1"/>
      <w:marLeft w:val="0"/>
      <w:marRight w:val="0"/>
      <w:marTop w:val="0"/>
      <w:marBottom w:val="0"/>
      <w:divBdr>
        <w:top w:val="none" w:sz="0" w:space="0" w:color="auto"/>
        <w:left w:val="none" w:sz="0" w:space="0" w:color="auto"/>
        <w:bottom w:val="none" w:sz="0" w:space="0" w:color="auto"/>
        <w:right w:val="none" w:sz="0" w:space="0" w:color="auto"/>
      </w:divBdr>
    </w:div>
    <w:div w:id="265815730">
      <w:bodyDiv w:val="1"/>
      <w:marLeft w:val="0"/>
      <w:marRight w:val="0"/>
      <w:marTop w:val="0"/>
      <w:marBottom w:val="0"/>
      <w:divBdr>
        <w:top w:val="none" w:sz="0" w:space="0" w:color="auto"/>
        <w:left w:val="none" w:sz="0" w:space="0" w:color="auto"/>
        <w:bottom w:val="none" w:sz="0" w:space="0" w:color="auto"/>
        <w:right w:val="none" w:sz="0" w:space="0" w:color="auto"/>
      </w:divBdr>
    </w:div>
    <w:div w:id="274947822">
      <w:bodyDiv w:val="1"/>
      <w:marLeft w:val="0"/>
      <w:marRight w:val="0"/>
      <w:marTop w:val="0"/>
      <w:marBottom w:val="0"/>
      <w:divBdr>
        <w:top w:val="none" w:sz="0" w:space="0" w:color="auto"/>
        <w:left w:val="none" w:sz="0" w:space="0" w:color="auto"/>
        <w:bottom w:val="none" w:sz="0" w:space="0" w:color="auto"/>
        <w:right w:val="none" w:sz="0" w:space="0" w:color="auto"/>
      </w:divBdr>
    </w:div>
    <w:div w:id="382021994">
      <w:bodyDiv w:val="1"/>
      <w:marLeft w:val="0"/>
      <w:marRight w:val="0"/>
      <w:marTop w:val="0"/>
      <w:marBottom w:val="0"/>
      <w:divBdr>
        <w:top w:val="none" w:sz="0" w:space="0" w:color="auto"/>
        <w:left w:val="none" w:sz="0" w:space="0" w:color="auto"/>
        <w:bottom w:val="none" w:sz="0" w:space="0" w:color="auto"/>
        <w:right w:val="none" w:sz="0" w:space="0" w:color="auto"/>
      </w:divBdr>
    </w:div>
    <w:div w:id="390351460">
      <w:bodyDiv w:val="1"/>
      <w:marLeft w:val="0"/>
      <w:marRight w:val="0"/>
      <w:marTop w:val="0"/>
      <w:marBottom w:val="0"/>
      <w:divBdr>
        <w:top w:val="none" w:sz="0" w:space="0" w:color="auto"/>
        <w:left w:val="none" w:sz="0" w:space="0" w:color="auto"/>
        <w:bottom w:val="none" w:sz="0" w:space="0" w:color="auto"/>
        <w:right w:val="none" w:sz="0" w:space="0" w:color="auto"/>
      </w:divBdr>
    </w:div>
    <w:div w:id="425885512">
      <w:bodyDiv w:val="1"/>
      <w:marLeft w:val="0"/>
      <w:marRight w:val="0"/>
      <w:marTop w:val="0"/>
      <w:marBottom w:val="0"/>
      <w:divBdr>
        <w:top w:val="none" w:sz="0" w:space="0" w:color="auto"/>
        <w:left w:val="none" w:sz="0" w:space="0" w:color="auto"/>
        <w:bottom w:val="none" w:sz="0" w:space="0" w:color="auto"/>
        <w:right w:val="none" w:sz="0" w:space="0" w:color="auto"/>
      </w:divBdr>
    </w:div>
    <w:div w:id="432870460">
      <w:bodyDiv w:val="1"/>
      <w:marLeft w:val="0"/>
      <w:marRight w:val="0"/>
      <w:marTop w:val="0"/>
      <w:marBottom w:val="0"/>
      <w:divBdr>
        <w:top w:val="none" w:sz="0" w:space="0" w:color="auto"/>
        <w:left w:val="none" w:sz="0" w:space="0" w:color="auto"/>
        <w:bottom w:val="none" w:sz="0" w:space="0" w:color="auto"/>
        <w:right w:val="none" w:sz="0" w:space="0" w:color="auto"/>
      </w:divBdr>
    </w:div>
    <w:div w:id="456726125">
      <w:bodyDiv w:val="1"/>
      <w:marLeft w:val="0"/>
      <w:marRight w:val="0"/>
      <w:marTop w:val="0"/>
      <w:marBottom w:val="0"/>
      <w:divBdr>
        <w:top w:val="none" w:sz="0" w:space="0" w:color="auto"/>
        <w:left w:val="none" w:sz="0" w:space="0" w:color="auto"/>
        <w:bottom w:val="none" w:sz="0" w:space="0" w:color="auto"/>
        <w:right w:val="none" w:sz="0" w:space="0" w:color="auto"/>
      </w:divBdr>
    </w:div>
    <w:div w:id="458375870">
      <w:bodyDiv w:val="1"/>
      <w:marLeft w:val="0"/>
      <w:marRight w:val="0"/>
      <w:marTop w:val="0"/>
      <w:marBottom w:val="0"/>
      <w:divBdr>
        <w:top w:val="none" w:sz="0" w:space="0" w:color="auto"/>
        <w:left w:val="none" w:sz="0" w:space="0" w:color="auto"/>
        <w:bottom w:val="none" w:sz="0" w:space="0" w:color="auto"/>
        <w:right w:val="none" w:sz="0" w:space="0" w:color="auto"/>
      </w:divBdr>
    </w:div>
    <w:div w:id="485971582">
      <w:bodyDiv w:val="1"/>
      <w:marLeft w:val="0"/>
      <w:marRight w:val="0"/>
      <w:marTop w:val="0"/>
      <w:marBottom w:val="0"/>
      <w:divBdr>
        <w:top w:val="none" w:sz="0" w:space="0" w:color="auto"/>
        <w:left w:val="none" w:sz="0" w:space="0" w:color="auto"/>
        <w:bottom w:val="none" w:sz="0" w:space="0" w:color="auto"/>
        <w:right w:val="none" w:sz="0" w:space="0" w:color="auto"/>
      </w:divBdr>
    </w:div>
    <w:div w:id="638346191">
      <w:bodyDiv w:val="1"/>
      <w:marLeft w:val="0"/>
      <w:marRight w:val="0"/>
      <w:marTop w:val="0"/>
      <w:marBottom w:val="0"/>
      <w:divBdr>
        <w:top w:val="none" w:sz="0" w:space="0" w:color="auto"/>
        <w:left w:val="none" w:sz="0" w:space="0" w:color="auto"/>
        <w:bottom w:val="none" w:sz="0" w:space="0" w:color="auto"/>
        <w:right w:val="none" w:sz="0" w:space="0" w:color="auto"/>
      </w:divBdr>
    </w:div>
    <w:div w:id="640187421">
      <w:bodyDiv w:val="1"/>
      <w:marLeft w:val="0"/>
      <w:marRight w:val="0"/>
      <w:marTop w:val="0"/>
      <w:marBottom w:val="0"/>
      <w:divBdr>
        <w:top w:val="none" w:sz="0" w:space="0" w:color="auto"/>
        <w:left w:val="none" w:sz="0" w:space="0" w:color="auto"/>
        <w:bottom w:val="none" w:sz="0" w:space="0" w:color="auto"/>
        <w:right w:val="none" w:sz="0" w:space="0" w:color="auto"/>
      </w:divBdr>
    </w:div>
    <w:div w:id="708996061">
      <w:bodyDiv w:val="1"/>
      <w:marLeft w:val="0"/>
      <w:marRight w:val="0"/>
      <w:marTop w:val="0"/>
      <w:marBottom w:val="0"/>
      <w:divBdr>
        <w:top w:val="none" w:sz="0" w:space="0" w:color="auto"/>
        <w:left w:val="none" w:sz="0" w:space="0" w:color="auto"/>
        <w:bottom w:val="none" w:sz="0" w:space="0" w:color="auto"/>
        <w:right w:val="none" w:sz="0" w:space="0" w:color="auto"/>
      </w:divBdr>
    </w:div>
    <w:div w:id="711463862">
      <w:bodyDiv w:val="1"/>
      <w:marLeft w:val="0"/>
      <w:marRight w:val="0"/>
      <w:marTop w:val="0"/>
      <w:marBottom w:val="0"/>
      <w:divBdr>
        <w:top w:val="none" w:sz="0" w:space="0" w:color="auto"/>
        <w:left w:val="none" w:sz="0" w:space="0" w:color="auto"/>
        <w:bottom w:val="none" w:sz="0" w:space="0" w:color="auto"/>
        <w:right w:val="none" w:sz="0" w:space="0" w:color="auto"/>
      </w:divBdr>
    </w:div>
    <w:div w:id="729768934">
      <w:bodyDiv w:val="1"/>
      <w:marLeft w:val="0"/>
      <w:marRight w:val="0"/>
      <w:marTop w:val="0"/>
      <w:marBottom w:val="0"/>
      <w:divBdr>
        <w:top w:val="none" w:sz="0" w:space="0" w:color="auto"/>
        <w:left w:val="none" w:sz="0" w:space="0" w:color="auto"/>
        <w:bottom w:val="none" w:sz="0" w:space="0" w:color="auto"/>
        <w:right w:val="none" w:sz="0" w:space="0" w:color="auto"/>
      </w:divBdr>
    </w:div>
    <w:div w:id="737827307">
      <w:bodyDiv w:val="1"/>
      <w:marLeft w:val="0"/>
      <w:marRight w:val="0"/>
      <w:marTop w:val="0"/>
      <w:marBottom w:val="0"/>
      <w:divBdr>
        <w:top w:val="none" w:sz="0" w:space="0" w:color="auto"/>
        <w:left w:val="none" w:sz="0" w:space="0" w:color="auto"/>
        <w:bottom w:val="none" w:sz="0" w:space="0" w:color="auto"/>
        <w:right w:val="none" w:sz="0" w:space="0" w:color="auto"/>
      </w:divBdr>
    </w:div>
    <w:div w:id="763037676">
      <w:bodyDiv w:val="1"/>
      <w:marLeft w:val="0"/>
      <w:marRight w:val="0"/>
      <w:marTop w:val="0"/>
      <w:marBottom w:val="0"/>
      <w:divBdr>
        <w:top w:val="none" w:sz="0" w:space="0" w:color="auto"/>
        <w:left w:val="none" w:sz="0" w:space="0" w:color="auto"/>
        <w:bottom w:val="none" w:sz="0" w:space="0" w:color="auto"/>
        <w:right w:val="none" w:sz="0" w:space="0" w:color="auto"/>
      </w:divBdr>
    </w:div>
    <w:div w:id="771583376">
      <w:bodyDiv w:val="1"/>
      <w:marLeft w:val="0"/>
      <w:marRight w:val="0"/>
      <w:marTop w:val="0"/>
      <w:marBottom w:val="0"/>
      <w:divBdr>
        <w:top w:val="none" w:sz="0" w:space="0" w:color="auto"/>
        <w:left w:val="none" w:sz="0" w:space="0" w:color="auto"/>
        <w:bottom w:val="none" w:sz="0" w:space="0" w:color="auto"/>
        <w:right w:val="none" w:sz="0" w:space="0" w:color="auto"/>
      </w:divBdr>
    </w:div>
    <w:div w:id="846793913">
      <w:bodyDiv w:val="1"/>
      <w:marLeft w:val="0"/>
      <w:marRight w:val="0"/>
      <w:marTop w:val="0"/>
      <w:marBottom w:val="0"/>
      <w:divBdr>
        <w:top w:val="none" w:sz="0" w:space="0" w:color="auto"/>
        <w:left w:val="none" w:sz="0" w:space="0" w:color="auto"/>
        <w:bottom w:val="none" w:sz="0" w:space="0" w:color="auto"/>
        <w:right w:val="none" w:sz="0" w:space="0" w:color="auto"/>
      </w:divBdr>
    </w:div>
    <w:div w:id="875124001">
      <w:bodyDiv w:val="1"/>
      <w:marLeft w:val="0"/>
      <w:marRight w:val="0"/>
      <w:marTop w:val="0"/>
      <w:marBottom w:val="0"/>
      <w:divBdr>
        <w:top w:val="none" w:sz="0" w:space="0" w:color="auto"/>
        <w:left w:val="none" w:sz="0" w:space="0" w:color="auto"/>
        <w:bottom w:val="none" w:sz="0" w:space="0" w:color="auto"/>
        <w:right w:val="none" w:sz="0" w:space="0" w:color="auto"/>
      </w:divBdr>
    </w:div>
    <w:div w:id="932319185">
      <w:bodyDiv w:val="1"/>
      <w:marLeft w:val="0"/>
      <w:marRight w:val="0"/>
      <w:marTop w:val="0"/>
      <w:marBottom w:val="0"/>
      <w:divBdr>
        <w:top w:val="none" w:sz="0" w:space="0" w:color="auto"/>
        <w:left w:val="none" w:sz="0" w:space="0" w:color="auto"/>
        <w:bottom w:val="none" w:sz="0" w:space="0" w:color="auto"/>
        <w:right w:val="none" w:sz="0" w:space="0" w:color="auto"/>
      </w:divBdr>
    </w:div>
    <w:div w:id="1069377153">
      <w:bodyDiv w:val="1"/>
      <w:marLeft w:val="0"/>
      <w:marRight w:val="0"/>
      <w:marTop w:val="0"/>
      <w:marBottom w:val="0"/>
      <w:divBdr>
        <w:top w:val="none" w:sz="0" w:space="0" w:color="auto"/>
        <w:left w:val="none" w:sz="0" w:space="0" w:color="auto"/>
        <w:bottom w:val="none" w:sz="0" w:space="0" w:color="auto"/>
        <w:right w:val="none" w:sz="0" w:space="0" w:color="auto"/>
      </w:divBdr>
    </w:div>
    <w:div w:id="1117917920">
      <w:bodyDiv w:val="1"/>
      <w:marLeft w:val="0"/>
      <w:marRight w:val="0"/>
      <w:marTop w:val="0"/>
      <w:marBottom w:val="0"/>
      <w:divBdr>
        <w:top w:val="none" w:sz="0" w:space="0" w:color="auto"/>
        <w:left w:val="none" w:sz="0" w:space="0" w:color="auto"/>
        <w:bottom w:val="none" w:sz="0" w:space="0" w:color="auto"/>
        <w:right w:val="none" w:sz="0" w:space="0" w:color="auto"/>
      </w:divBdr>
    </w:div>
    <w:div w:id="1144810008">
      <w:bodyDiv w:val="1"/>
      <w:marLeft w:val="0"/>
      <w:marRight w:val="0"/>
      <w:marTop w:val="0"/>
      <w:marBottom w:val="0"/>
      <w:divBdr>
        <w:top w:val="none" w:sz="0" w:space="0" w:color="auto"/>
        <w:left w:val="none" w:sz="0" w:space="0" w:color="auto"/>
        <w:bottom w:val="none" w:sz="0" w:space="0" w:color="auto"/>
        <w:right w:val="none" w:sz="0" w:space="0" w:color="auto"/>
      </w:divBdr>
    </w:div>
    <w:div w:id="1159273639">
      <w:bodyDiv w:val="1"/>
      <w:marLeft w:val="0"/>
      <w:marRight w:val="0"/>
      <w:marTop w:val="0"/>
      <w:marBottom w:val="0"/>
      <w:divBdr>
        <w:top w:val="none" w:sz="0" w:space="0" w:color="auto"/>
        <w:left w:val="none" w:sz="0" w:space="0" w:color="auto"/>
        <w:bottom w:val="none" w:sz="0" w:space="0" w:color="auto"/>
        <w:right w:val="none" w:sz="0" w:space="0" w:color="auto"/>
      </w:divBdr>
    </w:div>
    <w:div w:id="1173569534">
      <w:bodyDiv w:val="1"/>
      <w:marLeft w:val="0"/>
      <w:marRight w:val="0"/>
      <w:marTop w:val="0"/>
      <w:marBottom w:val="0"/>
      <w:divBdr>
        <w:top w:val="none" w:sz="0" w:space="0" w:color="auto"/>
        <w:left w:val="none" w:sz="0" w:space="0" w:color="auto"/>
        <w:bottom w:val="none" w:sz="0" w:space="0" w:color="auto"/>
        <w:right w:val="none" w:sz="0" w:space="0" w:color="auto"/>
      </w:divBdr>
    </w:div>
    <w:div w:id="1237670277">
      <w:bodyDiv w:val="1"/>
      <w:marLeft w:val="0"/>
      <w:marRight w:val="0"/>
      <w:marTop w:val="0"/>
      <w:marBottom w:val="0"/>
      <w:divBdr>
        <w:top w:val="none" w:sz="0" w:space="0" w:color="auto"/>
        <w:left w:val="none" w:sz="0" w:space="0" w:color="auto"/>
        <w:bottom w:val="none" w:sz="0" w:space="0" w:color="auto"/>
        <w:right w:val="none" w:sz="0" w:space="0" w:color="auto"/>
      </w:divBdr>
    </w:div>
    <w:div w:id="1265185996">
      <w:bodyDiv w:val="1"/>
      <w:marLeft w:val="0"/>
      <w:marRight w:val="0"/>
      <w:marTop w:val="0"/>
      <w:marBottom w:val="0"/>
      <w:divBdr>
        <w:top w:val="none" w:sz="0" w:space="0" w:color="auto"/>
        <w:left w:val="none" w:sz="0" w:space="0" w:color="auto"/>
        <w:bottom w:val="none" w:sz="0" w:space="0" w:color="auto"/>
        <w:right w:val="none" w:sz="0" w:space="0" w:color="auto"/>
      </w:divBdr>
    </w:div>
    <w:div w:id="1333607606">
      <w:bodyDiv w:val="1"/>
      <w:marLeft w:val="0"/>
      <w:marRight w:val="0"/>
      <w:marTop w:val="0"/>
      <w:marBottom w:val="0"/>
      <w:divBdr>
        <w:top w:val="none" w:sz="0" w:space="0" w:color="auto"/>
        <w:left w:val="none" w:sz="0" w:space="0" w:color="auto"/>
        <w:bottom w:val="none" w:sz="0" w:space="0" w:color="auto"/>
        <w:right w:val="none" w:sz="0" w:space="0" w:color="auto"/>
      </w:divBdr>
    </w:div>
    <w:div w:id="1386837252">
      <w:bodyDiv w:val="1"/>
      <w:marLeft w:val="0"/>
      <w:marRight w:val="0"/>
      <w:marTop w:val="0"/>
      <w:marBottom w:val="0"/>
      <w:divBdr>
        <w:top w:val="none" w:sz="0" w:space="0" w:color="auto"/>
        <w:left w:val="none" w:sz="0" w:space="0" w:color="auto"/>
        <w:bottom w:val="none" w:sz="0" w:space="0" w:color="auto"/>
        <w:right w:val="none" w:sz="0" w:space="0" w:color="auto"/>
      </w:divBdr>
    </w:div>
    <w:div w:id="1395930530">
      <w:bodyDiv w:val="1"/>
      <w:marLeft w:val="0"/>
      <w:marRight w:val="0"/>
      <w:marTop w:val="0"/>
      <w:marBottom w:val="0"/>
      <w:divBdr>
        <w:top w:val="none" w:sz="0" w:space="0" w:color="auto"/>
        <w:left w:val="none" w:sz="0" w:space="0" w:color="auto"/>
        <w:bottom w:val="none" w:sz="0" w:space="0" w:color="auto"/>
        <w:right w:val="none" w:sz="0" w:space="0" w:color="auto"/>
      </w:divBdr>
    </w:div>
    <w:div w:id="1409307750">
      <w:bodyDiv w:val="1"/>
      <w:marLeft w:val="0"/>
      <w:marRight w:val="0"/>
      <w:marTop w:val="0"/>
      <w:marBottom w:val="0"/>
      <w:divBdr>
        <w:top w:val="none" w:sz="0" w:space="0" w:color="auto"/>
        <w:left w:val="none" w:sz="0" w:space="0" w:color="auto"/>
        <w:bottom w:val="none" w:sz="0" w:space="0" w:color="auto"/>
        <w:right w:val="none" w:sz="0" w:space="0" w:color="auto"/>
      </w:divBdr>
    </w:div>
    <w:div w:id="1449859386">
      <w:bodyDiv w:val="1"/>
      <w:marLeft w:val="0"/>
      <w:marRight w:val="0"/>
      <w:marTop w:val="0"/>
      <w:marBottom w:val="0"/>
      <w:divBdr>
        <w:top w:val="none" w:sz="0" w:space="0" w:color="auto"/>
        <w:left w:val="none" w:sz="0" w:space="0" w:color="auto"/>
        <w:bottom w:val="none" w:sz="0" w:space="0" w:color="auto"/>
        <w:right w:val="none" w:sz="0" w:space="0" w:color="auto"/>
      </w:divBdr>
    </w:div>
    <w:div w:id="1496191669">
      <w:bodyDiv w:val="1"/>
      <w:marLeft w:val="0"/>
      <w:marRight w:val="0"/>
      <w:marTop w:val="0"/>
      <w:marBottom w:val="0"/>
      <w:divBdr>
        <w:top w:val="none" w:sz="0" w:space="0" w:color="auto"/>
        <w:left w:val="none" w:sz="0" w:space="0" w:color="auto"/>
        <w:bottom w:val="none" w:sz="0" w:space="0" w:color="auto"/>
        <w:right w:val="none" w:sz="0" w:space="0" w:color="auto"/>
      </w:divBdr>
    </w:div>
    <w:div w:id="1511800673">
      <w:bodyDiv w:val="1"/>
      <w:marLeft w:val="0"/>
      <w:marRight w:val="0"/>
      <w:marTop w:val="0"/>
      <w:marBottom w:val="0"/>
      <w:divBdr>
        <w:top w:val="none" w:sz="0" w:space="0" w:color="auto"/>
        <w:left w:val="none" w:sz="0" w:space="0" w:color="auto"/>
        <w:bottom w:val="none" w:sz="0" w:space="0" w:color="auto"/>
        <w:right w:val="none" w:sz="0" w:space="0" w:color="auto"/>
      </w:divBdr>
    </w:div>
    <w:div w:id="1512334736">
      <w:bodyDiv w:val="1"/>
      <w:marLeft w:val="0"/>
      <w:marRight w:val="0"/>
      <w:marTop w:val="0"/>
      <w:marBottom w:val="0"/>
      <w:divBdr>
        <w:top w:val="none" w:sz="0" w:space="0" w:color="auto"/>
        <w:left w:val="none" w:sz="0" w:space="0" w:color="auto"/>
        <w:bottom w:val="none" w:sz="0" w:space="0" w:color="auto"/>
        <w:right w:val="none" w:sz="0" w:space="0" w:color="auto"/>
      </w:divBdr>
    </w:div>
    <w:div w:id="1545360618">
      <w:bodyDiv w:val="1"/>
      <w:marLeft w:val="0"/>
      <w:marRight w:val="0"/>
      <w:marTop w:val="0"/>
      <w:marBottom w:val="0"/>
      <w:divBdr>
        <w:top w:val="none" w:sz="0" w:space="0" w:color="auto"/>
        <w:left w:val="none" w:sz="0" w:space="0" w:color="auto"/>
        <w:bottom w:val="none" w:sz="0" w:space="0" w:color="auto"/>
        <w:right w:val="none" w:sz="0" w:space="0" w:color="auto"/>
      </w:divBdr>
    </w:div>
    <w:div w:id="1551065876">
      <w:bodyDiv w:val="1"/>
      <w:marLeft w:val="0"/>
      <w:marRight w:val="0"/>
      <w:marTop w:val="0"/>
      <w:marBottom w:val="0"/>
      <w:divBdr>
        <w:top w:val="none" w:sz="0" w:space="0" w:color="auto"/>
        <w:left w:val="none" w:sz="0" w:space="0" w:color="auto"/>
        <w:bottom w:val="none" w:sz="0" w:space="0" w:color="auto"/>
        <w:right w:val="none" w:sz="0" w:space="0" w:color="auto"/>
      </w:divBdr>
    </w:div>
    <w:div w:id="1554928477">
      <w:bodyDiv w:val="1"/>
      <w:marLeft w:val="0"/>
      <w:marRight w:val="0"/>
      <w:marTop w:val="0"/>
      <w:marBottom w:val="0"/>
      <w:divBdr>
        <w:top w:val="none" w:sz="0" w:space="0" w:color="auto"/>
        <w:left w:val="none" w:sz="0" w:space="0" w:color="auto"/>
        <w:bottom w:val="none" w:sz="0" w:space="0" w:color="auto"/>
        <w:right w:val="none" w:sz="0" w:space="0" w:color="auto"/>
      </w:divBdr>
    </w:div>
    <w:div w:id="1595629407">
      <w:bodyDiv w:val="1"/>
      <w:marLeft w:val="0"/>
      <w:marRight w:val="0"/>
      <w:marTop w:val="0"/>
      <w:marBottom w:val="0"/>
      <w:divBdr>
        <w:top w:val="none" w:sz="0" w:space="0" w:color="auto"/>
        <w:left w:val="none" w:sz="0" w:space="0" w:color="auto"/>
        <w:bottom w:val="none" w:sz="0" w:space="0" w:color="auto"/>
        <w:right w:val="none" w:sz="0" w:space="0" w:color="auto"/>
      </w:divBdr>
    </w:div>
    <w:div w:id="1612980657">
      <w:bodyDiv w:val="1"/>
      <w:marLeft w:val="0"/>
      <w:marRight w:val="0"/>
      <w:marTop w:val="0"/>
      <w:marBottom w:val="0"/>
      <w:divBdr>
        <w:top w:val="none" w:sz="0" w:space="0" w:color="auto"/>
        <w:left w:val="none" w:sz="0" w:space="0" w:color="auto"/>
        <w:bottom w:val="none" w:sz="0" w:space="0" w:color="auto"/>
        <w:right w:val="none" w:sz="0" w:space="0" w:color="auto"/>
      </w:divBdr>
    </w:div>
    <w:div w:id="1638955298">
      <w:bodyDiv w:val="1"/>
      <w:marLeft w:val="0"/>
      <w:marRight w:val="0"/>
      <w:marTop w:val="0"/>
      <w:marBottom w:val="0"/>
      <w:divBdr>
        <w:top w:val="none" w:sz="0" w:space="0" w:color="auto"/>
        <w:left w:val="none" w:sz="0" w:space="0" w:color="auto"/>
        <w:bottom w:val="none" w:sz="0" w:space="0" w:color="auto"/>
        <w:right w:val="none" w:sz="0" w:space="0" w:color="auto"/>
      </w:divBdr>
    </w:div>
    <w:div w:id="1656569555">
      <w:bodyDiv w:val="1"/>
      <w:marLeft w:val="0"/>
      <w:marRight w:val="0"/>
      <w:marTop w:val="0"/>
      <w:marBottom w:val="0"/>
      <w:divBdr>
        <w:top w:val="none" w:sz="0" w:space="0" w:color="auto"/>
        <w:left w:val="none" w:sz="0" w:space="0" w:color="auto"/>
        <w:bottom w:val="none" w:sz="0" w:space="0" w:color="auto"/>
        <w:right w:val="none" w:sz="0" w:space="0" w:color="auto"/>
      </w:divBdr>
    </w:div>
    <w:div w:id="1663316227">
      <w:bodyDiv w:val="1"/>
      <w:marLeft w:val="0"/>
      <w:marRight w:val="0"/>
      <w:marTop w:val="0"/>
      <w:marBottom w:val="0"/>
      <w:divBdr>
        <w:top w:val="none" w:sz="0" w:space="0" w:color="auto"/>
        <w:left w:val="none" w:sz="0" w:space="0" w:color="auto"/>
        <w:bottom w:val="none" w:sz="0" w:space="0" w:color="auto"/>
        <w:right w:val="none" w:sz="0" w:space="0" w:color="auto"/>
      </w:divBdr>
    </w:div>
    <w:div w:id="1739786186">
      <w:bodyDiv w:val="1"/>
      <w:marLeft w:val="0"/>
      <w:marRight w:val="0"/>
      <w:marTop w:val="0"/>
      <w:marBottom w:val="0"/>
      <w:divBdr>
        <w:top w:val="none" w:sz="0" w:space="0" w:color="auto"/>
        <w:left w:val="none" w:sz="0" w:space="0" w:color="auto"/>
        <w:bottom w:val="none" w:sz="0" w:space="0" w:color="auto"/>
        <w:right w:val="none" w:sz="0" w:space="0" w:color="auto"/>
      </w:divBdr>
    </w:div>
    <w:div w:id="1744134537">
      <w:bodyDiv w:val="1"/>
      <w:marLeft w:val="0"/>
      <w:marRight w:val="0"/>
      <w:marTop w:val="0"/>
      <w:marBottom w:val="0"/>
      <w:divBdr>
        <w:top w:val="none" w:sz="0" w:space="0" w:color="auto"/>
        <w:left w:val="none" w:sz="0" w:space="0" w:color="auto"/>
        <w:bottom w:val="none" w:sz="0" w:space="0" w:color="auto"/>
        <w:right w:val="none" w:sz="0" w:space="0" w:color="auto"/>
      </w:divBdr>
    </w:div>
    <w:div w:id="1755782425">
      <w:bodyDiv w:val="1"/>
      <w:marLeft w:val="0"/>
      <w:marRight w:val="0"/>
      <w:marTop w:val="0"/>
      <w:marBottom w:val="0"/>
      <w:divBdr>
        <w:top w:val="none" w:sz="0" w:space="0" w:color="auto"/>
        <w:left w:val="none" w:sz="0" w:space="0" w:color="auto"/>
        <w:bottom w:val="none" w:sz="0" w:space="0" w:color="auto"/>
        <w:right w:val="none" w:sz="0" w:space="0" w:color="auto"/>
      </w:divBdr>
    </w:div>
    <w:div w:id="1775513458">
      <w:bodyDiv w:val="1"/>
      <w:marLeft w:val="0"/>
      <w:marRight w:val="0"/>
      <w:marTop w:val="0"/>
      <w:marBottom w:val="0"/>
      <w:divBdr>
        <w:top w:val="none" w:sz="0" w:space="0" w:color="auto"/>
        <w:left w:val="none" w:sz="0" w:space="0" w:color="auto"/>
        <w:bottom w:val="none" w:sz="0" w:space="0" w:color="auto"/>
        <w:right w:val="none" w:sz="0" w:space="0" w:color="auto"/>
      </w:divBdr>
    </w:div>
    <w:div w:id="1783913983">
      <w:bodyDiv w:val="1"/>
      <w:marLeft w:val="0"/>
      <w:marRight w:val="0"/>
      <w:marTop w:val="0"/>
      <w:marBottom w:val="0"/>
      <w:divBdr>
        <w:top w:val="none" w:sz="0" w:space="0" w:color="auto"/>
        <w:left w:val="none" w:sz="0" w:space="0" w:color="auto"/>
        <w:bottom w:val="none" w:sz="0" w:space="0" w:color="auto"/>
        <w:right w:val="none" w:sz="0" w:space="0" w:color="auto"/>
      </w:divBdr>
    </w:div>
    <w:div w:id="1830824748">
      <w:bodyDiv w:val="1"/>
      <w:marLeft w:val="0"/>
      <w:marRight w:val="0"/>
      <w:marTop w:val="0"/>
      <w:marBottom w:val="0"/>
      <w:divBdr>
        <w:top w:val="none" w:sz="0" w:space="0" w:color="auto"/>
        <w:left w:val="none" w:sz="0" w:space="0" w:color="auto"/>
        <w:bottom w:val="none" w:sz="0" w:space="0" w:color="auto"/>
        <w:right w:val="none" w:sz="0" w:space="0" w:color="auto"/>
      </w:divBdr>
    </w:div>
    <w:div w:id="1845633851">
      <w:bodyDiv w:val="1"/>
      <w:marLeft w:val="0"/>
      <w:marRight w:val="0"/>
      <w:marTop w:val="0"/>
      <w:marBottom w:val="0"/>
      <w:divBdr>
        <w:top w:val="none" w:sz="0" w:space="0" w:color="auto"/>
        <w:left w:val="none" w:sz="0" w:space="0" w:color="auto"/>
        <w:bottom w:val="none" w:sz="0" w:space="0" w:color="auto"/>
        <w:right w:val="none" w:sz="0" w:space="0" w:color="auto"/>
      </w:divBdr>
    </w:div>
    <w:div w:id="1857041063">
      <w:bodyDiv w:val="1"/>
      <w:marLeft w:val="0"/>
      <w:marRight w:val="0"/>
      <w:marTop w:val="0"/>
      <w:marBottom w:val="0"/>
      <w:divBdr>
        <w:top w:val="none" w:sz="0" w:space="0" w:color="auto"/>
        <w:left w:val="none" w:sz="0" w:space="0" w:color="auto"/>
        <w:bottom w:val="none" w:sz="0" w:space="0" w:color="auto"/>
        <w:right w:val="none" w:sz="0" w:space="0" w:color="auto"/>
      </w:divBdr>
    </w:div>
    <w:div w:id="1859201552">
      <w:bodyDiv w:val="1"/>
      <w:marLeft w:val="0"/>
      <w:marRight w:val="0"/>
      <w:marTop w:val="0"/>
      <w:marBottom w:val="0"/>
      <w:divBdr>
        <w:top w:val="none" w:sz="0" w:space="0" w:color="auto"/>
        <w:left w:val="none" w:sz="0" w:space="0" w:color="auto"/>
        <w:bottom w:val="none" w:sz="0" w:space="0" w:color="auto"/>
        <w:right w:val="none" w:sz="0" w:space="0" w:color="auto"/>
      </w:divBdr>
    </w:div>
    <w:div w:id="1902903929">
      <w:bodyDiv w:val="1"/>
      <w:marLeft w:val="0"/>
      <w:marRight w:val="0"/>
      <w:marTop w:val="0"/>
      <w:marBottom w:val="0"/>
      <w:divBdr>
        <w:top w:val="none" w:sz="0" w:space="0" w:color="auto"/>
        <w:left w:val="none" w:sz="0" w:space="0" w:color="auto"/>
        <w:bottom w:val="none" w:sz="0" w:space="0" w:color="auto"/>
        <w:right w:val="none" w:sz="0" w:space="0" w:color="auto"/>
      </w:divBdr>
    </w:div>
    <w:div w:id="1905725231">
      <w:bodyDiv w:val="1"/>
      <w:marLeft w:val="0"/>
      <w:marRight w:val="0"/>
      <w:marTop w:val="0"/>
      <w:marBottom w:val="0"/>
      <w:divBdr>
        <w:top w:val="none" w:sz="0" w:space="0" w:color="auto"/>
        <w:left w:val="none" w:sz="0" w:space="0" w:color="auto"/>
        <w:bottom w:val="none" w:sz="0" w:space="0" w:color="auto"/>
        <w:right w:val="none" w:sz="0" w:space="0" w:color="auto"/>
      </w:divBdr>
    </w:div>
    <w:div w:id="1908375241">
      <w:bodyDiv w:val="1"/>
      <w:marLeft w:val="0"/>
      <w:marRight w:val="0"/>
      <w:marTop w:val="0"/>
      <w:marBottom w:val="0"/>
      <w:divBdr>
        <w:top w:val="none" w:sz="0" w:space="0" w:color="auto"/>
        <w:left w:val="none" w:sz="0" w:space="0" w:color="auto"/>
        <w:bottom w:val="none" w:sz="0" w:space="0" w:color="auto"/>
        <w:right w:val="none" w:sz="0" w:space="0" w:color="auto"/>
      </w:divBdr>
    </w:div>
    <w:div w:id="1957904188">
      <w:bodyDiv w:val="1"/>
      <w:marLeft w:val="0"/>
      <w:marRight w:val="0"/>
      <w:marTop w:val="0"/>
      <w:marBottom w:val="0"/>
      <w:divBdr>
        <w:top w:val="none" w:sz="0" w:space="0" w:color="auto"/>
        <w:left w:val="none" w:sz="0" w:space="0" w:color="auto"/>
        <w:bottom w:val="none" w:sz="0" w:space="0" w:color="auto"/>
        <w:right w:val="none" w:sz="0" w:space="0" w:color="auto"/>
      </w:divBdr>
    </w:div>
    <w:div w:id="2027637210">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customXml" Target="../customXml/item3.xml"/><Relationship Id="rId21" Type="http://schemas.openxmlformats.org/officeDocument/2006/relationships/image" Target="media/image7.jpeg"/><Relationship Id="rId34" Type="http://schemas.openxmlformats.org/officeDocument/2006/relationships/hyperlink" Target="https://en.wikipedia.org/wiki/Golden_Lane_Estate"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en.wikipedia.org/wiki/University_of_Cambridge" TargetMode="External"/><Relationship Id="rId25" Type="http://schemas.openxmlformats.org/officeDocument/2006/relationships/image" Target="media/image11.jpeg"/><Relationship Id="rId33" Type="http://schemas.openxmlformats.org/officeDocument/2006/relationships/hyperlink" Target="https://en.wikipedia.org/wiki/Unit%C3%A9_d%27Habitation_of_Berlin" TargetMode="External"/><Relationship Id="rId2" Type="http://schemas.openxmlformats.org/officeDocument/2006/relationships/customXml" Target="../customXml/item2.xml"/><Relationship Id="rId16" Type="http://schemas.openxmlformats.org/officeDocument/2006/relationships/hyperlink" Target="https://en.wikipedia.org/wiki/Seeley_Historical_Library" TargetMode="External"/><Relationship Id="rId20" Type="http://schemas.openxmlformats.org/officeDocument/2006/relationships/image" Target="media/image6.jpeg"/><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jpeg"/><Relationship Id="rId32" Type="http://schemas.openxmlformats.org/officeDocument/2006/relationships/hyperlink" Target="https://en.wikipedia.org/wiki/Trellick_Tower" TargetMode="Externa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31" Type="http://schemas.openxmlformats.org/officeDocument/2006/relationships/image" Target="media/image1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fontTable" Target="fontTab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wnloads\UWTSD%20ESSAY%20Template%20Architectur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0bc5e67-24c2-4fc5-b969-f791d200abd2">
      <Terms xmlns="http://schemas.microsoft.com/office/infopath/2007/PartnerControls"/>
    </lcf76f155ced4ddcb4097134ff3c332f>
    <TaxCatchAll xmlns="497e3025-69b6-416a-8642-3c6d06f66ac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4854871C080D46AAF220054162EE49" ma:contentTypeVersion="13" ma:contentTypeDescription="Create a new document." ma:contentTypeScope="" ma:versionID="452e40474c34a89c9b80b5a5d1d64705">
  <xsd:schema xmlns:xsd="http://www.w3.org/2001/XMLSchema" xmlns:xs="http://www.w3.org/2001/XMLSchema" xmlns:p="http://schemas.microsoft.com/office/2006/metadata/properties" xmlns:ns2="c0bc5e67-24c2-4fc5-b969-f791d200abd2" xmlns:ns3="497e3025-69b6-416a-8642-3c6d06f66ac5" targetNamespace="http://schemas.microsoft.com/office/2006/metadata/properties" ma:root="true" ma:fieldsID="57af97b4ce8997a6b4974ee9c6945ff3" ns2:_="" ns3:_="">
    <xsd:import namespace="c0bc5e67-24c2-4fc5-b969-f791d200abd2"/>
    <xsd:import namespace="497e3025-69b6-416a-8642-3c6d06f66ac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bc5e67-24c2-4fc5-b969-f791d200ab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7e3025-69b6-416a-8642-3c6d06f66ac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78d10d2-9717-47ab-a942-6922e6a6c9e3}" ma:internalName="TaxCatchAll" ma:showField="CatchAllData" ma:web="497e3025-69b6-416a-8642-3c6d06f66ac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Liv24</b:Tag>
    <b:SourceType>InternetSite</b:SourceType>
    <b:Guid>{F3124D19-8014-4E02-9041-BE5D54411798}</b:Guid>
    <b:Title>Living London History</b:Title>
    <b:Year>2024</b:Year>
    <b:YearAccessed>2024</b:YearAccessed>
    <b:MonthAccessed>March</b:MonthAccessed>
    <b:DayAccessed>3</b:DayAccessed>
    <b:URL>https://livinglondonhistory.com/8-amazing-architectural-details-to-spot-at-the-barbican/</b:URL>
    <b:RefOrder>6</b:RefOrder>
  </b:Source>
  <b:Source>
    <b:Tag>Bar24</b:Tag>
    <b:SourceType>InternetSite</b:SourceType>
    <b:Guid>{BA05F653-D9D7-43AF-8F9D-E150BDB84D03}</b:Guid>
    <b:Author>
      <b:Author>
        <b:Corporate>Barbican Living</b:Corporate>
      </b:Author>
    </b:Author>
    <b:Title>Barbican Living</b:Title>
    <b:Year>2024</b:Year>
    <b:YearAccessed>2024</b:YearAccessed>
    <b:MonthAccessed>March</b:MonthAccessed>
    <b:DayAccessed>14</b:DayAccessed>
    <b:URL>https://www.barbicanliving.co.uk/barbican-story/tower-blocks/the-three-towers/</b:URL>
    <b:RefOrder>8</b:RefOrder>
  </b:Source>
  <b:Source>
    <b:Tag>Joh80</b:Tag>
    <b:SourceType>BookSection</b:SourceType>
    <b:Guid>{1CEFA8BE-3267-4B37-A89F-B7ACF02377F2}</b:Guid>
    <b:Title>London: The City - Churches Selected</b:Title>
    <b:Year>1980</b:Year>
    <b:Publisher>Collins</b:Publisher>
    <b:BookTitle>Collins Guide to Parish Churches of England &amp; Wales</b:BookTitle>
    <b:Author>
      <b:Editor>
        <b:NameList>
          <b:Person>
            <b:Last>Betjeman</b:Last>
            <b:First>John</b:First>
          </b:Person>
        </b:NameList>
      </b:Editor>
      <b:Author>
        <b:Corporate>Collins</b:Corporate>
      </b:Author>
    </b:Author>
    <b:Pages>281</b:Pages>
    <b:City>London</b:City>
    <b:RefOrder>10</b:RefOrder>
  </b:Source>
  <b:Source>
    <b:Tag>Gri18</b:Tag>
    <b:SourceType>Book</b:SourceType>
    <b:Guid>{11AA4556-7AE3-456D-AC6F-66AE10B61963}</b:Guid>
    <b:Title>How To Love Brutalism</b:Title>
    <b:BookTitle>How to love brutalism</b:BookTitle>
    <b:Year>2018</b:Year>
    <b:Pages>30-</b:Pages>
    <b:City>London</b:City>
    <b:Publisher>Batsford</b:Publisher>
    <b:Edition>1st</b:Edition>
    <b:Author>
      <b:Author>
        <b:NameList>
          <b:Person>
            <b:Last>Grindrod</b:Last>
            <b:First>John</b:First>
          </b:Person>
        </b:NameList>
      </b:Author>
    </b:Author>
    <b:RefOrder>2</b:RefOrder>
  </b:Source>
  <b:Source>
    <b:Tag>The24</b:Tag>
    <b:SourceType>InternetSite</b:SourceType>
    <b:Guid>{BC872324-A897-469B-BF84-8FE033618B1A}</b:Guid>
    <b:Title>Our Building</b:Title>
    <b:Year>2024</b:Year>
    <b:Author>
      <b:Author>
        <b:Corporate>The Barbican</b:Corporate>
      </b:Author>
    </b:Author>
    <b:YearAccessed>2024</b:YearAccessed>
    <b:MonthAccessed>March</b:MonthAccessed>
    <b:DayAccessed>15</b:DayAccessed>
    <b:URL>https://www.barbican.org.uk/our-story/architecture/our-building</b:URL>
    <b:RefOrder>15</b:RefOrder>
  </b:Source>
  <b:Source>
    <b:Tag>Arc18</b:Tag>
    <b:SourceType>InternetSite</b:SourceType>
    <b:Guid>{AB798566-BAB0-47AE-8400-D4299707F693}</b:Guid>
    <b:Author>
      <b:Author>
        <b:Corporate>Architectuul.</b:Corporate>
      </b:Author>
    </b:Author>
    <b:Title>Architectuul.</b:Title>
    <b:Year>2018</b:Year>
    <b:YearAccessed>2024</b:YearAccessed>
    <b:MonthAccessed>March</b:MonthAccessed>
    <b:DayAccessed>16</b:DayAccessed>
    <b:URL>https://architectuul.com/architecture/barbican-estate</b:URL>
    <b:RefOrder>16</b:RefOrder>
  </b:Source>
  <b:Source>
    <b:Tag>His01</b:Tag>
    <b:SourceType>InternetSite</b:SourceType>
    <b:Guid>{3130F4E8-DDE9-4896-A2EC-C322AF0E14F7}</b:Guid>
    <b:Title>Historic England</b:Title>
    <b:Year>2001</b:Year>
    <b:YearAccessed>2024</b:YearAccessed>
    <b:MonthAccessed>March</b:MonthAccessed>
    <b:DayAccessed>17</b:DayAccessed>
    <b:URL>https://historicengland.org.uk/listing/the-list/list-entry/1352667?section=official-list-entry</b:URL>
    <b:Author>
      <b:Author>
        <b:Corporate>Historic England</b:Corporate>
      </b:Author>
    </b:Author>
    <b:RefOrder>11</b:RefOrder>
  </b:Source>
  <b:Source>
    <b:Tag>Pas18</b:Tag>
    <b:SourceType>InternetSite</b:SourceType>
    <b:Guid>{B7428FBA-47CB-4006-962E-2165C5FF3BFC}</b:Guid>
    <b:Author>
      <b:Author>
        <b:Corporate>Past in the Present</b:Corporate>
      </b:Author>
    </b:Author>
    <b:Title>Past in the Present</b:Title>
    <b:Year>2018</b:Year>
    <b:YearAccessed>2024</b:YearAccessed>
    <b:MonthAccessed>March</b:MonthAccessed>
    <b:DayAccessed>18</b:DayAccessed>
    <b:URL>https://pastinthepresent.net/2015/07/01/barbican-londons-love-it-or-hate-it-neighbourhood/</b:URL>
    <b:RefOrder>9</b:RefOrder>
  </b:Source>
  <b:Source>
    <b:Tag>Twe14</b:Tag>
    <b:SourceType>Book</b:SourceType>
    <b:Guid>{D64C6C96-53AF-4376-BC17-8DEA02DBB572}</b:Guid>
    <b:Title>100 Buildings 100 Years</b:Title>
    <b:Year>2014</b:Year>
    <b:Author>
      <b:Author>
        <b:Corporate>Twentieth Century Society</b:Corporate>
      </b:Author>
    </b:Author>
    <b:City>London</b:City>
    <b:Publisher>Batsford</b:Publisher>
    <b:Edition>1st</b:Edition>
    <b:RefOrder>12</b:RefOrder>
  </b:Source>
  <b:Source>
    <b:Tag>AJ03</b:Tag>
    <b:SourceType>InternetSite</b:SourceType>
    <b:Guid>{D1B53302-1535-450C-AF33-721FE553C3FA}</b:Guid>
    <b:Title>Architects' Journal</b:Title>
    <b:Year>2003</b:Year>
    <b:Author>
      <b:Author>
        <b:Corporate>AJ</b:Corporate>
      </b:Author>
    </b:Author>
    <b:YearAccessed>2024</b:YearAccessed>
    <b:MonthAccessed>March</b:MonthAccessed>
    <b:DayAccessed>20</b:DayAccessed>
    <b:URL>https://www.architectsjournal.co.uk/archive/barbican-ugliest-building</b:URL>
    <b:RefOrder>14</b:RefOrder>
  </b:Source>
  <b:Source>
    <b:Tag>Sim17</b:Tag>
    <b:SourceType>Book</b:SourceType>
    <b:Guid>{A34C02D0-1442-40FA-80F4-46EFA902982E}</b:Guid>
    <b:Title>Redefining Brutalism</b:Title>
    <b:Year>2017</b:Year>
    <b:Author>
      <b:Author>
        <b:NameList>
          <b:Person>
            <b:Last>Henley</b:Last>
            <b:First>Simon</b:First>
          </b:Person>
        </b:NameList>
      </b:Author>
    </b:Author>
    <b:City>Newcastle upon Tyne</b:City>
    <b:Publisher>RIBA Publishing</b:Publisher>
    <b:Edition>1st</b:Edition>
    <b:RefOrder>3</b:RefOrder>
  </b:Source>
  <b:Source>
    <b:Tag>Hal12</b:Tag>
    <b:SourceType>Book</b:SourceType>
    <b:Guid>{144661E0-2C98-499E-B7C9-6C7F755630F5}</b:Guid>
    <b:Author>
      <b:Author>
        <b:NameList>
          <b:Person>
            <b:Last>Hall</b:Last>
            <b:First>William</b:First>
          </b:Person>
        </b:NameList>
      </b:Author>
    </b:Author>
    <b:Title>Concrete</b:Title>
    <b:Year>2012</b:Year>
    <b:City>London</b:City>
    <b:Publisher>Phaidon Press Limited</b:Publisher>
    <b:Edition>2nd</b:Edition>
    <b:RefOrder>5</b:RefOrder>
  </b:Source>
  <b:Source>
    <b:Tag>His22</b:Tag>
    <b:SourceType>InternetSite</b:SourceType>
    <b:Guid>{E0E4E29B-0030-43C5-9E1E-7685D7880260}</b:Guid>
    <b:Title>The Historic England Blog</b:Title>
    <b:Year>2022</b:Year>
    <b:Author>
      <b:Author>
        <b:Corporate>Historic England</b:Corporate>
      </b:Author>
    </b:Author>
    <b:YearAccessed>2024</b:YearAccessed>
    <b:MonthAccessed>March</b:MonthAccessed>
    <b:DayAccessed>10</b:DayAccessed>
    <b:URL>https://heritagecalling.com/2022/02/28/brutal-and-beautiful-the-story-of-londons-barbican/</b:URL>
    <b:RefOrder>4</b:RefOrder>
  </b:Source>
  <b:Source>
    <b:Tag>Arc16</b:Tag>
    <b:SourceType>InternetSite</b:SourceType>
    <b:Guid>{CAE2ADC6-94FB-44F9-B0FA-23776EF92646}</b:Guid>
    <b:Title>ArchDaily</b:Title>
    <b:Year>2016</b:Year>
    <b:YearAccessed>2024</b:YearAccessed>
    <b:MonthAccessed>March</b:MonthAccessed>
    <b:DayAccessed>12</b:DayAccessed>
    <b:URL>https://www.archdaily.com/790453/ad-classics-barbican-estate-london-chamberlin-powell-bon</b:URL>
    <b:Author>
      <b:Author>
        <b:Corporate>ArchDaily</b:Corporate>
      </b:Author>
    </b:Author>
    <b:RefOrder>7</b:RefOrder>
  </b:Source>
  <b:Source>
    <b:Tag>Amy14</b:Tag>
    <b:SourceType>InternetSite</b:SourceType>
    <b:Guid>{8CDE6550-72D1-4FFC-A3CD-1549999B37AD}</b:Guid>
    <b:Author>
      <b:Author>
        <b:NameList>
          <b:Person>
            <b:Last>Frearson</b:Last>
            <b:First>Amy</b:First>
          </b:Person>
        </b:NameList>
      </b:Author>
    </b:Author>
    <b:Title>dezeen</b:Title>
    <b:Year>2014</b:Year>
    <b:YearAccessed>2024</b:YearAccessed>
    <b:MonthAccessed>March</b:MonthAccessed>
    <b:DayAccessed>19</b:DayAccessed>
    <b:URL>https://www.dezeen.com/2014/09/13/brutalist-buildings-barbican-estate-chamberlin-powell-bon/</b:URL>
    <b:RefOrder>13</b:RefOrder>
  </b:Source>
  <b:Source>
    <b:Tag>Ang24</b:Tag>
    <b:SourceType>InternetSite</b:SourceType>
    <b:Guid>{E5538962-9932-4605-A3CA-C6085F1517A8}</b:Guid>
    <b:Author>
      <b:Author>
        <b:NameList>
          <b:Person>
            <b:Last>Lucia</b:Last>
            <b:First>Angelo</b:First>
            <b:Middle>Santa</b:Middle>
          </b:Person>
        </b:NameList>
      </b:Author>
    </b:Author>
    <b:Title>Monograph</b:Title>
    <b:Year>2024</b:Year>
    <b:YearAccessed>2024</b:YearAccessed>
    <b:MonthAccessed>March</b:MonthAccessed>
    <b:DayAccessed>10</b:DayAccessed>
    <b:URL>https://monograph.com/blog/brutalist-buildings#:~:text=While%20Villa%20G%C3%B6th%20may%20have,Smithdon%20Highschool%2C%20or%20as%20it</b:URL>
    <b:RefOrder>1</b:RefOrder>
  </b:Source>
</b:Sources>
</file>

<file path=customXml/itemProps1.xml><?xml version="1.0" encoding="utf-8"?>
<ds:datastoreItem xmlns:ds="http://schemas.openxmlformats.org/officeDocument/2006/customXml" ds:itemID="{6FA417A4-62D7-4993-BC78-57D73B4481D0}">
  <ds:schemaRefs>
    <ds:schemaRef ds:uri="http://schemas.microsoft.com/office/2006/metadata/properties"/>
    <ds:schemaRef ds:uri="http://schemas.microsoft.com/office/infopath/2007/PartnerControls"/>
    <ds:schemaRef ds:uri="c0bc5e67-24c2-4fc5-b969-f791d200abd2"/>
    <ds:schemaRef ds:uri="497e3025-69b6-416a-8642-3c6d06f66ac5"/>
  </ds:schemaRefs>
</ds:datastoreItem>
</file>

<file path=customXml/itemProps2.xml><?xml version="1.0" encoding="utf-8"?>
<ds:datastoreItem xmlns:ds="http://schemas.openxmlformats.org/officeDocument/2006/customXml" ds:itemID="{FA8C993B-4959-47F3-9CC3-2686B05E275F}">
  <ds:schemaRefs>
    <ds:schemaRef ds:uri="http://schemas.microsoft.com/sharepoint/v3/contenttype/forms"/>
  </ds:schemaRefs>
</ds:datastoreItem>
</file>

<file path=customXml/itemProps3.xml><?xml version="1.0" encoding="utf-8"?>
<ds:datastoreItem xmlns:ds="http://schemas.openxmlformats.org/officeDocument/2006/customXml" ds:itemID="{B43AB440-4296-4A67-B533-22418D7A6E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bc5e67-24c2-4fc5-b969-f791d200abd2"/>
    <ds:schemaRef ds:uri="497e3025-69b6-416a-8642-3c6d06f66a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7079CF-E473-465B-B219-1AC56938D178}">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(1)</Template>
  <TotalTime>1</TotalTime>
  <Pages>18</Pages>
  <Words>3423</Words>
  <Characters>19517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William Wilson</cp:lastModifiedBy>
  <cp:revision>2</cp:revision>
  <dcterms:created xsi:type="dcterms:W3CDTF">2024-03-22T23:14:00Z</dcterms:created>
  <dcterms:modified xsi:type="dcterms:W3CDTF">2024-03-22T23:14:00Z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0x010100964854871C080D46AAF220054162EE49</vt:lpwstr>
  </property>
</Properties>
</file>