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4C2D7" w14:textId="77777777" w:rsidR="0008438D" w:rsidRDefault="0008438D" w:rsidP="0008438D">
      <w:pPr>
        <w:spacing w:after="160" w:line="278" w:lineRule="auto"/>
        <w:jc w:val="center"/>
        <w:rPr>
          <w:b/>
          <w:bCs/>
        </w:rPr>
      </w:pPr>
    </w:p>
    <w:p w14:paraId="246DA770" w14:textId="77777777" w:rsidR="004A26B7" w:rsidRPr="00F54119" w:rsidRDefault="004A26B7" w:rsidP="007811EA">
      <w:pPr>
        <w:jc w:val="center"/>
        <w:rPr>
          <w:rFonts w:cs="Times New Roman"/>
          <w:b/>
          <w:sz w:val="32"/>
          <w:szCs w:val="32"/>
        </w:rPr>
      </w:pPr>
      <w:r w:rsidRPr="00F54119">
        <w:rPr>
          <w:rFonts w:cs="Times New Roman"/>
          <w:b/>
          <w:sz w:val="32"/>
          <w:szCs w:val="32"/>
        </w:rPr>
        <w:t>BA (Hons) Hospitality &amp; Hotel Management</w:t>
      </w:r>
    </w:p>
    <w:p w14:paraId="1DBD3FAB" w14:textId="77777777" w:rsidR="004A26B7" w:rsidRPr="00F54119" w:rsidRDefault="004A26B7" w:rsidP="007811EA">
      <w:pPr>
        <w:jc w:val="center"/>
        <w:rPr>
          <w:rFonts w:cs="Times New Roman"/>
          <w:b/>
          <w:sz w:val="32"/>
          <w:szCs w:val="32"/>
        </w:rPr>
      </w:pPr>
      <w:r w:rsidRPr="00F54119">
        <w:rPr>
          <w:rFonts w:cs="Times New Roman"/>
          <w:b/>
          <w:sz w:val="32"/>
          <w:szCs w:val="32"/>
        </w:rPr>
        <w:t>Contemporary Themes in the Hotel and Hospitality Sector</w:t>
      </w:r>
    </w:p>
    <w:p w14:paraId="00403DA5" w14:textId="77777777" w:rsidR="004A26B7" w:rsidRPr="00F54119" w:rsidRDefault="004A26B7" w:rsidP="007811EA">
      <w:pPr>
        <w:jc w:val="center"/>
        <w:rPr>
          <w:rFonts w:cs="Times New Roman"/>
          <w:b/>
          <w:sz w:val="32"/>
          <w:szCs w:val="32"/>
        </w:rPr>
      </w:pPr>
      <w:r w:rsidRPr="00F54119">
        <w:rPr>
          <w:rFonts w:cs="Times New Roman"/>
          <w:b/>
          <w:sz w:val="32"/>
          <w:szCs w:val="32"/>
        </w:rPr>
        <w:t>BMIH6001 Level 6</w:t>
      </w:r>
    </w:p>
    <w:p w14:paraId="3B899119" w14:textId="77777777" w:rsidR="004A26B7" w:rsidRDefault="004A26B7" w:rsidP="007811EA">
      <w:pPr>
        <w:jc w:val="center"/>
        <w:rPr>
          <w:rFonts w:cs="Times New Roman"/>
          <w:sz w:val="32"/>
          <w:szCs w:val="32"/>
        </w:rPr>
      </w:pPr>
      <w:r w:rsidRPr="00F54119">
        <w:rPr>
          <w:rFonts w:cs="Times New Roman"/>
          <w:b/>
          <w:sz w:val="32"/>
          <w:szCs w:val="32"/>
        </w:rPr>
        <w:t xml:space="preserve">Module Lead: </w:t>
      </w:r>
      <w:r w:rsidRPr="00F54119">
        <w:rPr>
          <w:rFonts w:cs="Times New Roman"/>
          <w:sz w:val="32"/>
          <w:szCs w:val="32"/>
        </w:rPr>
        <w:t xml:space="preserve">Dr Ernest </w:t>
      </w:r>
      <w:proofErr w:type="spellStart"/>
      <w:r w:rsidRPr="00F54119">
        <w:rPr>
          <w:rFonts w:cs="Times New Roman"/>
          <w:sz w:val="32"/>
          <w:szCs w:val="32"/>
        </w:rPr>
        <w:t>Balutie</w:t>
      </w:r>
      <w:proofErr w:type="spellEnd"/>
      <w:r w:rsidRPr="00F54119">
        <w:rPr>
          <w:rFonts w:cs="Times New Roman"/>
          <w:sz w:val="32"/>
          <w:szCs w:val="32"/>
        </w:rPr>
        <w:t xml:space="preserve"> </w:t>
      </w:r>
      <w:proofErr w:type="spellStart"/>
      <w:r w:rsidRPr="00F54119">
        <w:rPr>
          <w:rFonts w:cs="Times New Roman"/>
          <w:sz w:val="32"/>
          <w:szCs w:val="32"/>
        </w:rPr>
        <w:t>Wavei</w:t>
      </w:r>
      <w:proofErr w:type="spellEnd"/>
    </w:p>
    <w:p w14:paraId="279041BA" w14:textId="77777777" w:rsidR="004A26B7" w:rsidRPr="00B7771E" w:rsidRDefault="004A26B7" w:rsidP="007811EA">
      <w:pPr>
        <w:jc w:val="center"/>
        <w:rPr>
          <w:rFonts w:cs="Times New Roman"/>
          <w:sz w:val="32"/>
          <w:szCs w:val="32"/>
        </w:rPr>
      </w:pPr>
      <w:r>
        <w:rPr>
          <w:rFonts w:cs="Times New Roman"/>
          <w:b/>
          <w:bCs/>
          <w:sz w:val="32"/>
          <w:szCs w:val="32"/>
        </w:rPr>
        <w:t xml:space="preserve">Tutor Name : </w:t>
      </w:r>
      <w:r>
        <w:rPr>
          <w:rFonts w:cs="Times New Roman"/>
          <w:sz w:val="32"/>
          <w:szCs w:val="32"/>
        </w:rPr>
        <w:t xml:space="preserve">Natalie </w:t>
      </w:r>
      <w:proofErr w:type="spellStart"/>
      <w:r>
        <w:rPr>
          <w:rFonts w:cs="Times New Roman"/>
          <w:sz w:val="32"/>
          <w:szCs w:val="32"/>
        </w:rPr>
        <w:t>Brailsford</w:t>
      </w:r>
      <w:proofErr w:type="spellEnd"/>
    </w:p>
    <w:p w14:paraId="53436EA5" w14:textId="77777777" w:rsidR="00E94BF5" w:rsidRPr="00B20E42" w:rsidRDefault="00547660" w:rsidP="007811EA">
      <w:pPr>
        <w:spacing w:after="160" w:line="278" w:lineRule="auto"/>
        <w:jc w:val="center"/>
        <w:rPr>
          <w:rFonts w:asciiTheme="majorBidi" w:hAnsiTheme="majorBidi" w:cstheme="majorBidi"/>
          <w:sz w:val="32"/>
          <w:szCs w:val="32"/>
        </w:rPr>
      </w:pPr>
      <w:r>
        <w:rPr>
          <w:rFonts w:cs="Times New Roman"/>
          <w:b/>
          <w:bCs/>
          <w:sz w:val="32"/>
          <w:szCs w:val="32"/>
        </w:rPr>
        <w:t>Theme</w:t>
      </w:r>
      <w:r w:rsidR="004A26B7">
        <w:rPr>
          <w:rFonts w:cs="Times New Roman"/>
          <w:b/>
          <w:bCs/>
          <w:sz w:val="32"/>
          <w:szCs w:val="32"/>
        </w:rPr>
        <w:t>:</w:t>
      </w:r>
      <w:r w:rsidR="004A26B7" w:rsidRPr="00F54119">
        <w:rPr>
          <w:rFonts w:cs="Times New Roman"/>
          <w:b/>
          <w:bCs/>
          <w:sz w:val="32"/>
          <w:szCs w:val="32"/>
        </w:rPr>
        <w:t xml:space="preserve"> </w:t>
      </w:r>
      <w:r w:rsidR="00E94BF5" w:rsidRPr="00B20E42">
        <w:rPr>
          <w:rFonts w:asciiTheme="majorBidi" w:hAnsiTheme="majorBidi" w:cstheme="majorBidi"/>
          <w:sz w:val="32"/>
          <w:szCs w:val="32"/>
        </w:rPr>
        <w:t>The mounting financial pressures faced by the hospitality industry</w:t>
      </w:r>
    </w:p>
    <w:p w14:paraId="138F6C77" w14:textId="5CF8A3EE" w:rsidR="004A26B7" w:rsidRPr="00F54119" w:rsidRDefault="004A26B7" w:rsidP="00E94BF5">
      <w:pPr>
        <w:spacing w:after="160" w:line="278" w:lineRule="auto"/>
        <w:jc w:val="center"/>
        <w:rPr>
          <w:rFonts w:cs="Times New Roman"/>
          <w:bCs/>
          <w:sz w:val="32"/>
          <w:szCs w:val="32"/>
        </w:rPr>
      </w:pPr>
      <w:r w:rsidRPr="00007052">
        <w:rPr>
          <w:rFonts w:cs="Times New Roman"/>
          <w:b/>
          <w:sz w:val="32"/>
          <w:szCs w:val="32"/>
        </w:rPr>
        <w:t xml:space="preserve">Student </w:t>
      </w:r>
      <w:proofErr w:type="spellStart"/>
      <w:r w:rsidRPr="00007052">
        <w:rPr>
          <w:rFonts w:cs="Times New Roman"/>
          <w:b/>
          <w:sz w:val="32"/>
          <w:szCs w:val="32"/>
        </w:rPr>
        <w:t>Name</w:t>
      </w:r>
      <w:r w:rsidRPr="00F54119">
        <w:rPr>
          <w:rFonts w:cs="Times New Roman"/>
          <w:bCs/>
          <w:sz w:val="32"/>
          <w:szCs w:val="32"/>
        </w:rPr>
        <w:t>:</w:t>
      </w:r>
      <w:r>
        <w:rPr>
          <w:rFonts w:cs="Times New Roman"/>
          <w:bCs/>
          <w:sz w:val="32"/>
          <w:szCs w:val="32"/>
        </w:rPr>
        <w:t>Rehan</w:t>
      </w:r>
      <w:proofErr w:type="spellEnd"/>
      <w:r>
        <w:rPr>
          <w:rFonts w:cs="Times New Roman"/>
          <w:bCs/>
          <w:sz w:val="32"/>
          <w:szCs w:val="32"/>
        </w:rPr>
        <w:t xml:space="preserve"> Ali Shah</w:t>
      </w:r>
    </w:p>
    <w:p w14:paraId="0040D8DE" w14:textId="6795F9F6" w:rsidR="004A26B7" w:rsidRDefault="004A26B7" w:rsidP="007811EA">
      <w:pPr>
        <w:jc w:val="center"/>
        <w:rPr>
          <w:rFonts w:cs="Times New Roman"/>
          <w:bCs/>
          <w:sz w:val="32"/>
          <w:szCs w:val="32"/>
        </w:rPr>
      </w:pPr>
      <w:r w:rsidRPr="00007052">
        <w:rPr>
          <w:rFonts w:cs="Times New Roman"/>
          <w:b/>
          <w:sz w:val="32"/>
          <w:szCs w:val="32"/>
        </w:rPr>
        <w:t>Student Id</w:t>
      </w:r>
      <w:r>
        <w:rPr>
          <w:rFonts w:cs="Times New Roman"/>
          <w:bCs/>
          <w:sz w:val="32"/>
          <w:szCs w:val="32"/>
        </w:rPr>
        <w:t xml:space="preserve"> </w:t>
      </w:r>
      <w:r w:rsidRPr="00F54119">
        <w:rPr>
          <w:rFonts w:cs="Times New Roman"/>
          <w:bCs/>
          <w:sz w:val="32"/>
          <w:szCs w:val="32"/>
        </w:rPr>
        <w:t>:</w:t>
      </w:r>
      <w:r>
        <w:rPr>
          <w:rFonts w:cs="Times New Roman"/>
          <w:bCs/>
          <w:sz w:val="32"/>
          <w:szCs w:val="32"/>
        </w:rPr>
        <w:t>224126</w:t>
      </w:r>
      <w:r>
        <w:rPr>
          <w:rFonts w:cs="Times New Roman"/>
          <w:bCs/>
          <w:sz w:val="32"/>
          <w:szCs w:val="32"/>
        </w:rPr>
        <w:t>6</w:t>
      </w:r>
    </w:p>
    <w:p w14:paraId="52CC62A3" w14:textId="77777777" w:rsidR="004A26B7" w:rsidRPr="00F54119" w:rsidRDefault="004A26B7" w:rsidP="007811EA">
      <w:pPr>
        <w:jc w:val="center"/>
        <w:rPr>
          <w:rFonts w:cs="Times New Roman"/>
          <w:bCs/>
          <w:sz w:val="32"/>
          <w:szCs w:val="32"/>
        </w:rPr>
      </w:pPr>
      <w:r>
        <w:rPr>
          <w:rFonts w:cs="Times New Roman"/>
          <w:bCs/>
          <w:sz w:val="32"/>
          <w:szCs w:val="32"/>
        </w:rPr>
        <w:t>12-02-2026</w:t>
      </w:r>
    </w:p>
    <w:p w14:paraId="24F5BFAF" w14:textId="77777777" w:rsidR="0008438D" w:rsidRPr="00A81373" w:rsidRDefault="0008438D">
      <w:pPr>
        <w:spacing w:after="160" w:line="278" w:lineRule="auto"/>
        <w:jc w:val="left"/>
        <w:rPr>
          <w:b/>
        </w:rPr>
      </w:pPr>
      <w:r w:rsidRPr="00A81373">
        <w:br w:type="page"/>
      </w:r>
    </w:p>
    <w:p w14:paraId="4CB3255E" w14:textId="77777777" w:rsidR="00722093" w:rsidRPr="00A81373" w:rsidRDefault="00722093" w:rsidP="00B93A07">
      <w:pPr>
        <w:pStyle w:val="Heading1"/>
      </w:pPr>
      <w:bookmarkStart w:id="0" w:name="_Toc221038195"/>
      <w:r w:rsidRPr="00A81373">
        <w:t>Abstract</w:t>
      </w:r>
      <w:bookmarkEnd w:id="0"/>
    </w:p>
    <w:p w14:paraId="0FAD572D" w14:textId="7D2058B7" w:rsidR="008E09BB" w:rsidRPr="00A81373" w:rsidRDefault="00722093" w:rsidP="00722093">
      <w:r w:rsidRPr="00A81373">
        <w:t>This research paper is a critical evaluation of the mounting financial pressures that are presently rocking the global hospitality industry with a particular view to the convergence of rising operational expenses, unremitting labour shortages and the changing consumer demand. The research defines the structure weaknesses that pose threats to the long term sustainability of the industry in the light of a systemic review of current academic sources, and application of PESTLE analysis framework. The analysis brings out how different pressures, such as volatility of energy prices to wage inflation, have a varying effect on different sectors of the industry, and small to medium enterprises (SMEs) are the most at risk of insolvency. It is against fiscal strain that this paper makes strategic interventions proposals, such as the implementation of advanced revenue management systems and selective automation. The results highlight the fact that financial resilience is no longer considered as a peripheral issue but rather an essential need to survive in the ever more volatile economic environment.</w:t>
      </w:r>
    </w:p>
    <w:p w14:paraId="5E34F837" w14:textId="77777777" w:rsidR="00722093" w:rsidRPr="00A81373" w:rsidRDefault="00722093" w:rsidP="00722093"/>
    <w:p w14:paraId="34661EAA" w14:textId="77777777" w:rsidR="00722093" w:rsidRPr="00A81373" w:rsidRDefault="00722093" w:rsidP="00930C05">
      <w:pPr>
        <w:pStyle w:val="Heading1"/>
      </w:pPr>
    </w:p>
    <w:p w14:paraId="3BBD5B93" w14:textId="78C18DB4" w:rsidR="006E4CFB" w:rsidRPr="00A81373" w:rsidRDefault="00930C05" w:rsidP="00B93A07">
      <w:pPr>
        <w:pStyle w:val="Heading1"/>
        <w:numPr>
          <w:ilvl w:val="0"/>
          <w:numId w:val="1"/>
        </w:numPr>
      </w:pPr>
      <w:bookmarkStart w:id="1" w:name="_Toc221038196"/>
      <w:r w:rsidRPr="00A81373">
        <w:t>Introduction</w:t>
      </w:r>
      <w:bookmarkEnd w:id="1"/>
      <w:r w:rsidRPr="00A81373">
        <w:t xml:space="preserve"> </w:t>
      </w:r>
    </w:p>
    <w:p w14:paraId="059F9BA1" w14:textId="6E9612AF" w:rsidR="00930C05" w:rsidRPr="00A81373" w:rsidRDefault="00C664D2" w:rsidP="00930C05">
      <w:r w:rsidRPr="00A81373">
        <w:t>Currently, the hospitality industry is facing unprecedented financial pressures that occur due to economic, social, and structural convergences (</w:t>
      </w:r>
      <w:proofErr w:type="spellStart"/>
      <w:r w:rsidRPr="00A81373">
        <w:t>Holzberg</w:t>
      </w:r>
      <w:proofErr w:type="spellEnd"/>
      <w:r w:rsidRPr="00A81373">
        <w:t>, 2025). The increasing operating expenses, the lack of skilled labour, the unstable demand, and the inability to access capital markets all pose the long-term profitability and liquidity rates of hotels, restaurants, and other hospitality businesses (Alvarez &amp; </w:t>
      </w:r>
      <w:proofErr w:type="spellStart"/>
      <w:r w:rsidRPr="00A81373">
        <w:t>Marsal</w:t>
      </w:r>
      <w:proofErr w:type="spellEnd"/>
      <w:r w:rsidRPr="00A81373">
        <w:t>, 2025). The COVID19 crisis also shook the industry by creating a series of revenue losses and increasing debts, the impact of which are still felt in the recovery period (</w:t>
      </w:r>
      <w:proofErr w:type="spellStart"/>
      <w:r w:rsidRPr="00A81373">
        <w:t>Arrieta</w:t>
      </w:r>
      <w:proofErr w:type="spellEnd"/>
      <w:r w:rsidRPr="00A81373">
        <w:t>, 2022). The emerging macroeconomic pressures such as world inflation, skyrocketing energy prices, continuous disruptions in the supply chain and increased wage pressures due to labour shortages and regulatory alterations have intensified these pressures (Hoang et al., 2021). At the same time, the cost-of-living crisis has repressed discretionary spending, which influences the occupancy rates, average daily rates and demand in the industry in the downward direction. In this regard, hospitality organisations need to survive in the economic turbulence without compromising the quality of services and competitiveness. Nonetheless, the detailed studies of the interplay of these monetary pressures and its effects on strategic decision-making and operational sustainability, and long-term viability in the hospitality industry are few. Current literature mostly dwells upon recovery after the pandemic or short-term financial performance, thus creating a knowledge gap about the way organisations can plan to grow and address long-term and multi-pronged economic challenges.</w:t>
      </w:r>
    </w:p>
    <w:p w14:paraId="2843BEF4" w14:textId="77777777" w:rsidR="00C664D2" w:rsidRPr="00A81373" w:rsidRDefault="00C664D2" w:rsidP="00C664D2">
      <w:pPr>
        <w:rPr>
          <w:b/>
          <w:bCs/>
        </w:rPr>
      </w:pPr>
      <w:r w:rsidRPr="00A81373">
        <w:rPr>
          <w:b/>
          <w:bCs/>
        </w:rPr>
        <w:t>Research Aim</w:t>
      </w:r>
    </w:p>
    <w:p w14:paraId="4A01508F" w14:textId="44598806" w:rsidR="00C664D2" w:rsidRPr="00A81373" w:rsidRDefault="00C664D2" w:rsidP="00C664D2">
      <w:r w:rsidRPr="00A81373">
        <w:t>This research will critically analyse the increasing financial burdens that have been experienced by the hospitality sector and assess its consequences on the sustainability of organisations, strategic decision making and operational stability in the post-pandemic global economy.</w:t>
      </w:r>
    </w:p>
    <w:p w14:paraId="2F7C6773" w14:textId="77777777" w:rsidR="00C664D2" w:rsidRPr="00A81373" w:rsidRDefault="00C664D2" w:rsidP="00C664D2"/>
    <w:p w14:paraId="52997706" w14:textId="77777777" w:rsidR="00C664D2" w:rsidRPr="00A81373" w:rsidRDefault="00C664D2" w:rsidP="00C664D2">
      <w:pPr>
        <w:rPr>
          <w:b/>
          <w:bCs/>
        </w:rPr>
      </w:pPr>
      <w:r w:rsidRPr="00A81373">
        <w:rPr>
          <w:b/>
          <w:bCs/>
        </w:rPr>
        <w:t>Research Objectives</w:t>
      </w:r>
    </w:p>
    <w:p w14:paraId="64780F9F" w14:textId="77777777" w:rsidR="00C664D2" w:rsidRPr="00A81373" w:rsidRDefault="00C664D2" w:rsidP="00C664D2"/>
    <w:p w14:paraId="6CFC3CEC" w14:textId="14620636" w:rsidR="00C664D2" w:rsidRPr="00A81373" w:rsidRDefault="00C664D2" w:rsidP="00C664D2">
      <w:pPr>
        <w:pStyle w:val="ListParagraph"/>
        <w:numPr>
          <w:ilvl w:val="0"/>
          <w:numId w:val="1"/>
        </w:numPr>
      </w:pPr>
      <w:r w:rsidRPr="00A81373">
        <w:t>To determine and examine the key economic, structural and labour related pressures on the hospitality industry.</w:t>
      </w:r>
    </w:p>
    <w:p w14:paraId="23BA14BC" w14:textId="28D284DB" w:rsidR="00C664D2" w:rsidRPr="00A81373" w:rsidRDefault="00C664D2" w:rsidP="00C664D2">
      <w:pPr>
        <w:pStyle w:val="ListParagraph"/>
        <w:numPr>
          <w:ilvl w:val="0"/>
          <w:numId w:val="1"/>
        </w:numPr>
      </w:pPr>
      <w:r w:rsidRPr="00A81373">
        <w:t>To determine how these pressures affect performance in terms of operational, financial sustainability, and quality of services.</w:t>
      </w:r>
    </w:p>
    <w:p w14:paraId="56F606F0" w14:textId="5A89E989" w:rsidR="00C664D2" w:rsidRPr="00A81373" w:rsidRDefault="00C664D2" w:rsidP="00C664D2">
      <w:pPr>
        <w:pStyle w:val="ListParagraph"/>
        <w:numPr>
          <w:ilvl w:val="0"/>
          <w:numId w:val="1"/>
        </w:numPr>
      </w:pPr>
      <w:r w:rsidRPr="00A81373">
        <w:t>To investigate the strategic and managerial reactions that hospitality organisations have taken in order to reduce these pressures.</w:t>
      </w:r>
    </w:p>
    <w:p w14:paraId="21E86BCA" w14:textId="77777777" w:rsidR="00930C05" w:rsidRPr="00A81373" w:rsidRDefault="00930C05" w:rsidP="00930C05"/>
    <w:p w14:paraId="7A3D52E4" w14:textId="01E56FA1" w:rsidR="00930C05" w:rsidRPr="00A81373" w:rsidRDefault="00930C05" w:rsidP="00B93A07">
      <w:pPr>
        <w:pStyle w:val="Heading1"/>
        <w:numPr>
          <w:ilvl w:val="0"/>
          <w:numId w:val="1"/>
        </w:numPr>
      </w:pPr>
      <w:bookmarkStart w:id="2" w:name="_Toc221038197"/>
      <w:r w:rsidRPr="00A81373">
        <w:t>Literature Review</w:t>
      </w:r>
      <w:bookmarkEnd w:id="2"/>
      <w:r w:rsidRPr="00A81373">
        <w:t xml:space="preserve"> </w:t>
      </w:r>
    </w:p>
    <w:p w14:paraId="69226700" w14:textId="5435AD98" w:rsidR="00930C05" w:rsidRPr="00A81373" w:rsidRDefault="00930C05" w:rsidP="00930C05">
      <w:r w:rsidRPr="00A81373">
        <w:t xml:space="preserve">A combination of interconnected forces has brought forth financial sustainability as a challenge in the hospitality industry in recent years. Researchers and industry observers agree that the increase in operation costs, labour supply, decline in consumer discretionary spending, and debt or financing limitations are the leading stressors defining the modern </w:t>
      </w:r>
      <w:r w:rsidR="00C664D2" w:rsidRPr="00A81373">
        <w:t>performance (</w:t>
      </w:r>
      <w:r w:rsidR="00146A92" w:rsidRPr="00A81373">
        <w:t>Deloitte, 2024)</w:t>
      </w:r>
      <w:r w:rsidRPr="00A81373">
        <w:t>. This review critically discusses these determinants based on empirical evidence and counter-evidence in the literature published in the past five years, with emphasis on gaps in knowledge as well as vagueness in existing knowledge.</w:t>
      </w:r>
    </w:p>
    <w:p w14:paraId="201B851D" w14:textId="77777777" w:rsidR="00146A92" w:rsidRPr="00A81373" w:rsidRDefault="00146A92" w:rsidP="00930C05"/>
    <w:p w14:paraId="0F483FC1" w14:textId="39999059" w:rsidR="00930C05" w:rsidRPr="00A81373" w:rsidRDefault="00930C05" w:rsidP="00146A92">
      <w:pPr>
        <w:pStyle w:val="Heading2"/>
      </w:pPr>
      <w:bookmarkStart w:id="3" w:name="_Toc221038198"/>
      <w:r w:rsidRPr="00A81373">
        <w:t>Rising Operational Costs (Energy, Food, and Rent)</w:t>
      </w:r>
      <w:bookmarkEnd w:id="3"/>
    </w:p>
    <w:p w14:paraId="7C32E261" w14:textId="226588ED" w:rsidR="00930C05" w:rsidRPr="00A81373" w:rsidRDefault="00930C05" w:rsidP="00930C05">
      <w:pPr>
        <w:rPr>
          <w:lang w:val="en-US"/>
        </w:rPr>
      </w:pPr>
      <w:r w:rsidRPr="00A81373">
        <w:t>One of the current trends of the academic community is the relevant rise in operating costs. Increased prices of energy-consuming activities, especially since 2022, have disproportionately affected activities in the hospitality industry, which has a strong dependence on energy, squeezing profit margins</w:t>
      </w:r>
      <w:r w:rsidR="00146A92" w:rsidRPr="00A81373">
        <w:rPr>
          <w:rFonts w:eastAsia="Times New Roman" w:cs="Times New Roman"/>
          <w:kern w:val="0"/>
          <w:lang w:val="en-US"/>
          <w14:ligatures w14:val="none"/>
        </w:rPr>
        <w:t xml:space="preserve"> </w:t>
      </w:r>
      <w:r w:rsidR="00146A92" w:rsidRPr="00A81373">
        <w:rPr>
          <w:lang w:val="en-US"/>
        </w:rPr>
        <w:t xml:space="preserve">(Yagi and </w:t>
      </w:r>
      <w:proofErr w:type="spellStart"/>
      <w:r w:rsidR="00146A92" w:rsidRPr="00A81373">
        <w:rPr>
          <w:lang w:val="en-US"/>
        </w:rPr>
        <w:t>Managi</w:t>
      </w:r>
      <w:proofErr w:type="spellEnd"/>
      <w:r w:rsidR="00146A92" w:rsidRPr="00A81373">
        <w:rPr>
          <w:lang w:val="en-US"/>
        </w:rPr>
        <w:t xml:space="preserve">, 2023). </w:t>
      </w:r>
      <w:r w:rsidRPr="00A81373">
        <w:t>At the same time, food price inflation has soared up, which can be explained by unstable international supply chains and increased cost of agricultural inputs, in turn, leading to an increase in the price of goods sold by restaurants and hotels.</w:t>
      </w:r>
    </w:p>
    <w:p w14:paraId="4723A8E9" w14:textId="39EC79D1" w:rsidR="00930C05" w:rsidRPr="00A81373" w:rsidRDefault="00930C05" w:rsidP="00930C05">
      <w:r w:rsidRPr="00A81373">
        <w:t xml:space="preserve">Industry polls support the fact that wage and food and utilities are now placed as one of the primary concerns of the hospitality executive with a good number of them incapable of fully passing these higher costs to the customer at the expense of losing </w:t>
      </w:r>
      <w:r w:rsidR="00146A92" w:rsidRPr="00A81373">
        <w:t>demand (PWC, 2025)</w:t>
      </w:r>
      <w:r w:rsidRPr="00A81373">
        <w:t>. Indicatively, a sector survey of a great majority of respondents cited increased wage, food costs; most of the respondents also cited severe increases in insurance and energy costs. Detailed media coverage supports these comments: inflation of wages and food prices has been spiralling- out of control- with the addition of wider fiscal policies- which have been associated with job cuts, slow hiring and closing of businesses in places like the United Kingdom</w:t>
      </w:r>
      <w:r w:rsidR="00146A92" w:rsidRPr="00A81373">
        <w:t xml:space="preserve"> (Khan, 2024)</w:t>
      </w:r>
      <w:r w:rsidRPr="00A81373">
        <w:t>.</w:t>
      </w:r>
    </w:p>
    <w:p w14:paraId="0679A5AA" w14:textId="77777777" w:rsidR="00A01765" w:rsidRPr="00A81373" w:rsidRDefault="00930C05" w:rsidP="00930C05">
      <w:r w:rsidRPr="00A81373">
        <w:t>However, the critical examination of scholars</w:t>
      </w:r>
      <w:r w:rsidR="00D81010" w:rsidRPr="00A81373">
        <w:t xml:space="preserve"> like de et al. (2022)</w:t>
      </w:r>
      <w:r w:rsidRPr="00A81373">
        <w:t xml:space="preserve"> indicates some level of complication. Although margin erosion is important in high-profile analyses because of cost inflation, such accounts frequently cannot be inferred rigorously to differentiate structural effects of inflation (e.g. from inflationary procurement strategies) and firm-level managerial </w:t>
      </w:r>
      <w:r w:rsidR="00146A92" w:rsidRPr="00A81373">
        <w:t>behaviour</w:t>
      </w:r>
      <w:r w:rsidRPr="00A81373">
        <w:t xml:space="preserve"> (e.g. energy hedging). Evidence shows that companies that use advanced revenue management or operational strategies can possibly reduce the increase in costs more effectively than others, but these strategies are not spread uniformly throughout the industry</w:t>
      </w:r>
      <w:r w:rsidR="00D81010" w:rsidRPr="00A81373">
        <w:t xml:space="preserve"> (Yeoman, 2024)</w:t>
      </w:r>
      <w:r w:rsidRPr="00A81373">
        <w:t>.</w:t>
      </w:r>
    </w:p>
    <w:p w14:paraId="0AFE3455" w14:textId="21AEF402" w:rsidR="00930C05" w:rsidRPr="00A81373" w:rsidRDefault="00A01765" w:rsidP="00930C05">
      <w:r w:rsidRPr="00A81373">
        <w:t>The theory of Resilience provides an explanation of how hospitality companies respond to operational shocks like inflation of energy and food prices. Companies that acquire adaptive abilities such as dynamical pricing, energy hedging, supply-chain flexibility exhibit operational resilience and are capable of service quality during financial stress</w:t>
      </w:r>
      <w:r w:rsidR="008A0729" w:rsidRPr="00A81373">
        <w:t xml:space="preserve"> (Fan et al., 2025)</w:t>
      </w:r>
      <w:r w:rsidRPr="00A81373">
        <w:t>. The model clarifies why cost pressures do not have a homogenous impact on all businesses and the need to have strategic managers make decisions to reduce financial weaknesses</w:t>
      </w:r>
      <w:r w:rsidR="00930C05" w:rsidRPr="00A81373">
        <w:t>.</w:t>
      </w:r>
    </w:p>
    <w:p w14:paraId="552A50E8" w14:textId="77777777" w:rsidR="00930C05" w:rsidRPr="00A81373" w:rsidRDefault="00930C05" w:rsidP="00061388">
      <w:pPr>
        <w:pStyle w:val="Heading2"/>
      </w:pPr>
      <w:bookmarkStart w:id="4" w:name="_Toc221038199"/>
      <w:r w:rsidRPr="00A81373">
        <w:t>Labour Shortages and Wage Inflation</w:t>
      </w:r>
      <w:bookmarkEnd w:id="4"/>
    </w:p>
    <w:p w14:paraId="72C8B680" w14:textId="17446315" w:rsidR="00930C05" w:rsidRPr="00A81373" w:rsidRDefault="00930C05" w:rsidP="00930C05">
      <w:r w:rsidRPr="00A81373">
        <w:t>The hospitality labour market pressures are not only deep rooted but also growing. Recent qualitative studies</w:t>
      </w:r>
      <w:r w:rsidR="00D81010" w:rsidRPr="00A81373">
        <w:t xml:space="preserve"> like Singh and </w:t>
      </w:r>
      <w:proofErr w:type="spellStart"/>
      <w:r w:rsidR="00D81010" w:rsidRPr="00A81373">
        <w:t>Shuaibu</w:t>
      </w:r>
      <w:proofErr w:type="spellEnd"/>
      <w:r w:rsidR="00D81010" w:rsidRPr="00A81373">
        <w:t xml:space="preserve"> </w:t>
      </w:r>
      <w:proofErr w:type="spellStart"/>
      <w:r w:rsidR="00D81010" w:rsidRPr="00A81373">
        <w:t>Chiroma</w:t>
      </w:r>
      <w:proofErr w:type="spellEnd"/>
      <w:r w:rsidR="00D81010" w:rsidRPr="00A81373">
        <w:t xml:space="preserve"> Hassan (2024)</w:t>
      </w:r>
      <w:r w:rsidRPr="00A81373">
        <w:t xml:space="preserve"> have recognized acute skills gaps of experienced staff especially chefs and managers that hamper service provision and increasing labour expenses as companies fight over the limited talent. According to empirical surveys, a significant percentage of the operators indicate an increase in labour costs and recruitment challenges resulting in many opting to pay more to attract and retain </w:t>
      </w:r>
      <w:r w:rsidR="00075362" w:rsidRPr="00A81373">
        <w:t>employees</w:t>
      </w:r>
      <w:r w:rsidRPr="00A81373">
        <w:t>. This is a wage inflation that adds pressure on operational costs particularly in an industry where employment is a significant part of cost.</w:t>
      </w:r>
    </w:p>
    <w:p w14:paraId="5353F623" w14:textId="6B9E09DA" w:rsidR="00930C05" w:rsidRPr="00A81373" w:rsidRDefault="00930C05" w:rsidP="00930C05">
      <w:r w:rsidRPr="00A81373">
        <w:t>Research</w:t>
      </w:r>
      <w:r w:rsidR="00075362" w:rsidRPr="00A81373">
        <w:t xml:space="preserve"> like </w:t>
      </w:r>
      <w:proofErr w:type="spellStart"/>
      <w:r w:rsidR="00075362" w:rsidRPr="00A81373">
        <w:t>Xheni</w:t>
      </w:r>
      <w:proofErr w:type="spellEnd"/>
      <w:r w:rsidR="00075362" w:rsidRPr="00A81373">
        <w:t xml:space="preserve"> </w:t>
      </w:r>
      <w:proofErr w:type="spellStart"/>
      <w:r w:rsidR="00075362" w:rsidRPr="00A81373">
        <w:t>Rusi</w:t>
      </w:r>
      <w:proofErr w:type="spellEnd"/>
      <w:r w:rsidR="00075362" w:rsidRPr="00A81373">
        <w:t xml:space="preserve"> and </w:t>
      </w:r>
      <w:proofErr w:type="spellStart"/>
      <w:r w:rsidR="00075362" w:rsidRPr="00A81373">
        <w:t>Bastien</w:t>
      </w:r>
      <w:proofErr w:type="spellEnd"/>
      <w:r w:rsidR="00075362" w:rsidRPr="00A81373">
        <w:t xml:space="preserve"> </w:t>
      </w:r>
      <w:proofErr w:type="spellStart"/>
      <w:r w:rsidR="00075362" w:rsidRPr="00A81373">
        <w:t>Viollet</w:t>
      </w:r>
      <w:proofErr w:type="spellEnd"/>
      <w:r w:rsidR="00075362" w:rsidRPr="00A81373">
        <w:t xml:space="preserve"> (2024)</w:t>
      </w:r>
      <w:r w:rsidRPr="00A81373">
        <w:t xml:space="preserve"> also attributes high turnover and retention issues to poor job quality, which is defined by irregular working hours, poor pay, and low-quality working environments in a vicious cycle that increases shortages and cost pressure. Therefore, wage inflation can be considered to be partially the process of correcting historical under-compensation, and not necessarily the external price phenomenon.</w:t>
      </w:r>
    </w:p>
    <w:p w14:paraId="23F44A32" w14:textId="77777777" w:rsidR="00A01765" w:rsidRPr="00A81373" w:rsidRDefault="00930C05" w:rsidP="00930C05">
      <w:r w:rsidRPr="00A81373">
        <w:t>Opposing arguments</w:t>
      </w:r>
      <w:r w:rsidR="00075362" w:rsidRPr="00A81373">
        <w:t xml:space="preserve"> like Wang, </w:t>
      </w:r>
      <w:proofErr w:type="spellStart"/>
      <w:r w:rsidR="00075362" w:rsidRPr="00A81373">
        <w:t>Kinnucan</w:t>
      </w:r>
      <w:proofErr w:type="spellEnd"/>
      <w:r w:rsidR="00075362" w:rsidRPr="00A81373">
        <w:t xml:space="preserve"> and Duffy (2019)</w:t>
      </w:r>
      <w:r w:rsidRPr="00A81373">
        <w:t xml:space="preserve"> challenge naive views on the effect of labour costs</w:t>
      </w:r>
      <w:r w:rsidR="00075362" w:rsidRPr="00A81373">
        <w:t xml:space="preserve"> it</w:t>
      </w:r>
      <w:r w:rsidRPr="00A81373">
        <w:t xml:space="preserve"> </w:t>
      </w:r>
      <w:r w:rsidR="00075362" w:rsidRPr="00A81373">
        <w:t>indicates</w:t>
      </w:r>
      <w:r w:rsidRPr="00A81373">
        <w:t xml:space="preserve"> that an increase in wages, particularly in the economy-wide, can support consumer demand, which may </w:t>
      </w:r>
      <w:r w:rsidR="00D81010" w:rsidRPr="00A81373">
        <w:t>counteract</w:t>
      </w:r>
      <w:r w:rsidRPr="00A81373">
        <w:t xml:space="preserve"> decreased margins by increasing local markets. Even though hospitality compensation is still low compared with other industries, the wage growth would trigger discretionary expenditure, hence providing ancillary gains to service industries, in certain circumstances</w:t>
      </w:r>
      <w:r w:rsidR="00075362" w:rsidRPr="00A81373">
        <w:t xml:space="preserve"> (Henderson, 2024)</w:t>
      </w:r>
      <w:r w:rsidRPr="00A81373">
        <w:t>.</w:t>
      </w:r>
    </w:p>
    <w:p w14:paraId="2DAC9EE4" w14:textId="756FE8C7" w:rsidR="00930C05" w:rsidRPr="00A81373" w:rsidRDefault="00A01765" w:rsidP="00930C05">
      <w:r w:rsidRPr="00A81373">
        <w:t>The ways in which organizations react to acute labour shortages and wage pressures are explained by Crisis Management framework</w:t>
      </w:r>
      <w:r w:rsidR="008A0729" w:rsidRPr="00A81373">
        <w:t>s.</w:t>
      </w:r>
      <w:r w:rsidRPr="00A81373">
        <w:t xml:space="preserve"> The companies that prevent service interruptions by strategically planning workforce crises using succession planning, flexible scheduling, and focused retention can reduce the effect of service disruptions</w:t>
      </w:r>
      <w:r w:rsidR="008A0729" w:rsidRPr="00A81373">
        <w:t xml:space="preserve"> (Newman et al., 2023)</w:t>
      </w:r>
      <w:r w:rsidRPr="00A81373">
        <w:t>. This view does not just consider high turnover and wage inflation as problems affecting the economy but as issues that require strategic risk management at the human resources functions.</w:t>
      </w:r>
    </w:p>
    <w:p w14:paraId="3FCD1704" w14:textId="0A3FC317" w:rsidR="00930C05" w:rsidRPr="00A81373" w:rsidRDefault="00930C05" w:rsidP="00930C05"/>
    <w:p w14:paraId="39F8DB8E" w14:textId="77777777" w:rsidR="00930C05" w:rsidRPr="00A81373" w:rsidRDefault="00930C05" w:rsidP="00061388">
      <w:pPr>
        <w:pStyle w:val="Heading2"/>
      </w:pPr>
      <w:bookmarkStart w:id="5" w:name="_Toc221038200"/>
      <w:r w:rsidRPr="00A81373">
        <w:t>Consumer Spending Decline</w:t>
      </w:r>
      <w:bookmarkEnd w:id="5"/>
    </w:p>
    <w:p w14:paraId="12A54873" w14:textId="2010D3D7" w:rsidR="00930C05" w:rsidRPr="00A81373" w:rsidRDefault="00930C05" w:rsidP="00930C05">
      <w:pPr>
        <w:rPr>
          <w:lang w:val="en-US"/>
        </w:rPr>
      </w:pPr>
      <w:r w:rsidRPr="00A81373">
        <w:t>The reduction of discretionary consumption is extensively cited in the financial troubles of hospitality, especially amid the climate of pressure on the cost of living. According to research b</w:t>
      </w:r>
      <w:r w:rsidR="00075362" w:rsidRPr="00A81373">
        <w:t xml:space="preserve">y </w:t>
      </w:r>
      <w:r w:rsidR="00075362" w:rsidRPr="00A81373">
        <w:rPr>
          <w:lang w:val="en-US"/>
        </w:rPr>
        <w:t>International Monetary Fund (2023)</w:t>
      </w:r>
      <w:r w:rsidRPr="00A81373">
        <w:t xml:space="preserve"> high cost of living and interest rates has decimated disposable incomes forcing households to reduce consumption of restaurants and traveling. According to industry trackers, the frequency of eating out and demand in the hospitality industry is on the downward trend, further driving down revenue since the costs have been increasing.</w:t>
      </w:r>
    </w:p>
    <w:p w14:paraId="2CC84EF5" w14:textId="6E407EBF" w:rsidR="00930C05" w:rsidRPr="00A81373" w:rsidRDefault="00930C05" w:rsidP="00930C05">
      <w:r w:rsidRPr="00A81373">
        <w:t>Nevertheless, the studies on demand-dynamics paint a disjointed picture. Some of the hospitality market- particularly those that provide unique services of the experience-based type- remain attractive to the consumer taste, even during an economic headwind, which implies that the changes in spending are not uniform</w:t>
      </w:r>
      <w:r w:rsidR="00075362" w:rsidRPr="00A81373">
        <w:t xml:space="preserve"> (</w:t>
      </w:r>
      <w:proofErr w:type="spellStart"/>
      <w:r w:rsidR="00075362" w:rsidRPr="00A81373">
        <w:t>Abolghasemi</w:t>
      </w:r>
      <w:proofErr w:type="spellEnd"/>
      <w:r w:rsidR="00075362" w:rsidRPr="00A81373">
        <w:t xml:space="preserve"> et al., 2020)</w:t>
      </w:r>
      <w:r w:rsidRPr="00A81373">
        <w:t>. Besides, the switch to remote working is liable to change the footfall in the urban areas, which can disproportionately impact specific places (e.g. business lunch places) and leave others comparatively unharmed. The media coverage associates the norms of hybrid working with less patronage of the city hospitality businesses each day, an element that intensifies demand decrease in particular settings.</w:t>
      </w:r>
    </w:p>
    <w:p w14:paraId="09BF6A21" w14:textId="31FDF701" w:rsidR="00A01765" w:rsidRPr="00A81373" w:rsidRDefault="00A01765" w:rsidP="00930C05">
      <w:r w:rsidRPr="00A81373">
        <w:t>According to the consumer resilience theory, households place differently heterogeneous responses to household expenditures in reaction to economic stress (Henderson, 2024). Where mass-market food and city business sectors might record severe drop-offs, experience-based hospitality products and leisure travel will save the situation. The structure provides a subtle insight into the heterogeneity of demand that can be used to describe the varying effects of macroeconomic pressures on the hospitality industries.</w:t>
      </w:r>
    </w:p>
    <w:p w14:paraId="1B89CF3E" w14:textId="77777777" w:rsidR="00930C05" w:rsidRPr="00A81373" w:rsidRDefault="00930C05" w:rsidP="00061388">
      <w:pPr>
        <w:pStyle w:val="Heading2"/>
      </w:pPr>
      <w:bookmarkStart w:id="6" w:name="_Toc221038201"/>
      <w:r w:rsidRPr="00A81373">
        <w:t>Access to Finance and Debt Pressures</w:t>
      </w:r>
      <w:bookmarkEnd w:id="6"/>
    </w:p>
    <w:p w14:paraId="30AEB0A4" w14:textId="4D0C5FF4" w:rsidR="00061388" w:rsidRPr="00A81373" w:rsidRDefault="00061388" w:rsidP="00930C05">
      <w:pPr>
        <w:rPr>
          <w:lang w:val="en-US"/>
        </w:rPr>
      </w:pPr>
      <w:r w:rsidRPr="00A81373">
        <w:t>Availability of finance can also be seen as a point of pressure especially to small companies with limited cash holdings. Empirical research</w:t>
      </w:r>
      <w:r w:rsidR="00075362" w:rsidRPr="00A81373">
        <w:t xml:space="preserve"> by </w:t>
      </w:r>
      <w:proofErr w:type="spellStart"/>
      <w:r w:rsidR="00075362" w:rsidRPr="00A81373">
        <w:rPr>
          <w:lang w:val="en-US"/>
        </w:rPr>
        <w:t>Owusu</w:t>
      </w:r>
      <w:proofErr w:type="spellEnd"/>
      <w:r w:rsidR="00075362" w:rsidRPr="00A81373">
        <w:rPr>
          <w:lang w:val="en-US"/>
        </w:rPr>
        <w:t xml:space="preserve"> et al. (2021)</w:t>
      </w:r>
      <w:r w:rsidRPr="00A81373">
        <w:t xml:space="preserve"> on dynamic effects of the capital structure in crises indicates that hospitality firms, particularly small firms, privately owned firms raised their leverage in the times of crisis, thus making them more vulnerable to financial crises. Moreover, preliminary research on financial slack after the COVID-19 pandemic suggests that many hospitality firms went into the recovery period with empty liquidity reserves, thus limiting their ability to survive future shocks.</w:t>
      </w:r>
    </w:p>
    <w:p w14:paraId="478896D8" w14:textId="1985F512" w:rsidR="008A0729" w:rsidRPr="00A81373" w:rsidRDefault="00061388" w:rsidP="00930C05">
      <w:r w:rsidRPr="00A81373">
        <w:t xml:space="preserve"> Although high leverage may provide temporary salvation, it also increases the refinancing risk, particularly in case the consumer demand is still low or the interest rates are going up</w:t>
      </w:r>
      <w:r w:rsidR="00075362" w:rsidRPr="00A81373">
        <w:t xml:space="preserve"> (Cathcart et al., 2020)</w:t>
      </w:r>
      <w:r w:rsidRPr="00A81373">
        <w:t>. Companies having highly leveraged debt exposure are exposed to greater risk of insolvency, a trend being reported in business failure and insolvency forecasts in many markets. However, the literature</w:t>
      </w:r>
      <w:r w:rsidR="00075362" w:rsidRPr="00A81373">
        <w:t xml:space="preserve"> by </w:t>
      </w:r>
      <w:r w:rsidR="00075362" w:rsidRPr="00A81373">
        <w:rPr>
          <w:lang w:val="en-US"/>
        </w:rPr>
        <w:t>Liu, Chen and Xiao (2025)</w:t>
      </w:r>
      <w:r w:rsidRPr="00A81373">
        <w:t xml:space="preserve"> also indicates financial resilience heterogeneity bigger chains or those with multiplied revenue streams can access capital markets easier and hence can make further investment in technology, marketing or property improvements that smaller independents cannot. </w:t>
      </w:r>
      <w:r w:rsidR="008A0729" w:rsidRPr="00A81373">
        <w:t xml:space="preserve"> Analytical lenses of evaluating the financial shock absorption of firms are the Financial Resilience Models. Companies that are more liquid, have diversified income streams or access to the capital markets are able to make investments in technology and marketing to maintain competitiveness but small highly leveraged firms are more prone to insolvency risk. This points out to structural inequities in the industry and illustrates the strategic value of financial planning in aspects other than reactive measures.</w:t>
      </w:r>
    </w:p>
    <w:p w14:paraId="7158CDF2" w14:textId="4FD8B445" w:rsidR="00930C05" w:rsidRPr="00A81373" w:rsidRDefault="00061388" w:rsidP="00930C05">
      <w:pPr>
        <w:rPr>
          <w:lang w:val="en-US"/>
        </w:rPr>
      </w:pPr>
      <w:r w:rsidRPr="00A81373">
        <w:t>This divergence indicates the existence of a structural imbalance in the industry, in which access to finance, and not its cost, determines the opportunities to compete.</w:t>
      </w:r>
    </w:p>
    <w:p w14:paraId="76E1ABCE" w14:textId="6CE2B363" w:rsidR="00930C05" w:rsidRPr="00A81373" w:rsidRDefault="00930C05" w:rsidP="00930C05"/>
    <w:p w14:paraId="4A88F772" w14:textId="77777777" w:rsidR="00930C05" w:rsidRPr="00A81373" w:rsidRDefault="00930C05" w:rsidP="00061388">
      <w:pPr>
        <w:pStyle w:val="Heading2"/>
      </w:pPr>
      <w:bookmarkStart w:id="7" w:name="_Toc221038202"/>
      <w:r w:rsidRPr="00A81373">
        <w:t>Synthesis and Gaps</w:t>
      </w:r>
      <w:bookmarkEnd w:id="7"/>
    </w:p>
    <w:p w14:paraId="0389A2C4" w14:textId="03E1C0EE" w:rsidR="00930C05" w:rsidRPr="00A81373" w:rsidRDefault="008A0729" w:rsidP="00930C05">
      <w:r w:rsidRPr="00A81373">
        <w:t>The general observation is that, according to empirical data, operational expenses, labour pressures, deteriorating consumer spending, and limited funding are all major causes of financial stress in the hospitality industry. However, heterogeneity exists also within the framework of the literature with regard to the size of the company, the service segment, and the geographic location (Kou et al., 2023). Theoretical incorporation is still limited; there are not many studies that implement Resilience Theory, Crisis Management or Financial Resilience theories to describe differences in organizational responses. Moreover, a significant part of the evidence available is based on descriptive reports on industries or individual country research, thus restricting causation and generalizability. Future studies need to use multi-country studies based on empirically strong methodologies to investigate the interactions between financial pressures, as well as to determine what are the strategic responses that can best congruently increase resilience in different hospitality settings, including technology adoption, pricing changes, or restructuring of operations.</w:t>
      </w:r>
    </w:p>
    <w:p w14:paraId="70684CC0" w14:textId="38B28D82" w:rsidR="00722093" w:rsidRPr="00A81373" w:rsidRDefault="00722093" w:rsidP="00B93A07">
      <w:pPr>
        <w:pStyle w:val="Heading1"/>
        <w:numPr>
          <w:ilvl w:val="0"/>
          <w:numId w:val="1"/>
        </w:numPr>
      </w:pPr>
      <w:bookmarkStart w:id="8" w:name="_Toc221038203"/>
      <w:r w:rsidRPr="00A81373">
        <w:t>Method</w:t>
      </w:r>
      <w:bookmarkEnd w:id="8"/>
    </w:p>
    <w:p w14:paraId="6C5555F6" w14:textId="77777777" w:rsidR="00722093" w:rsidRPr="00A81373" w:rsidRDefault="00722093" w:rsidP="00722093">
      <w:r w:rsidRPr="00A81373">
        <w:t xml:space="preserve">The qualitative research approach in this study is a secondary research methodology which will explore the modern concept of financial pressure in the hospitality industry. The systematic search of the academic databases, in particular, the </w:t>
      </w:r>
      <w:proofErr w:type="spellStart"/>
      <w:r w:rsidRPr="00A81373">
        <w:t>ScienceDirect</w:t>
      </w:r>
      <w:proofErr w:type="spellEnd"/>
      <w:r w:rsidRPr="00A81373">
        <w:t xml:space="preserve">, Emerald Insight, and Google Scholar, was conducted to find peer-reviewed journal articles published within the period between 2020 and 2025 to guarantee the topicality of findings. Real-world context was also included by taking into consideration credible industry reports by organisations like Deloitte, PWC, and </w:t>
      </w:r>
      <w:proofErr w:type="spellStart"/>
      <w:r w:rsidRPr="00A81373">
        <w:t>UKHospitality</w:t>
      </w:r>
      <w:proofErr w:type="spellEnd"/>
      <w:r w:rsidRPr="00A81373">
        <w:t>.</w:t>
      </w:r>
    </w:p>
    <w:p w14:paraId="20CFB415" w14:textId="77777777" w:rsidR="00722093" w:rsidRPr="00A81373" w:rsidRDefault="00722093" w:rsidP="00722093">
      <w:r w:rsidRPr="00A81373">
        <w:t>It had two main stages of the analytical process:</w:t>
      </w:r>
    </w:p>
    <w:p w14:paraId="5B3C4AE4" w14:textId="77777777" w:rsidR="00722093" w:rsidRPr="00A81373" w:rsidRDefault="00722093" w:rsidP="00722093">
      <w:r w:rsidRPr="00A81373">
        <w:t>1.</w:t>
      </w:r>
      <w:r w:rsidRPr="00A81373">
        <w:tab/>
        <w:t>Literature Synthesis: Determine the common themes in existing literature on the topic of cost drivers and liquidity.</w:t>
      </w:r>
    </w:p>
    <w:p w14:paraId="3311EEB0" w14:textId="77777777" w:rsidR="00722093" w:rsidRPr="00A81373" w:rsidRDefault="00722093" w:rsidP="00722093">
      <w:r w:rsidRPr="00A81373">
        <w:t>2.</w:t>
      </w:r>
      <w:r w:rsidRPr="00A81373">
        <w:tab/>
        <w:t xml:space="preserve">Environmental Scanning: PESTLE analysis model has been used to classify and analyse the external macro-environmental forces that have been </w:t>
      </w:r>
      <w:proofErr w:type="spellStart"/>
      <w:r w:rsidRPr="00A81373">
        <w:t>fueling</w:t>
      </w:r>
      <w:proofErr w:type="spellEnd"/>
      <w:r w:rsidRPr="00A81373">
        <w:t xml:space="preserve"> financial turmoil.</w:t>
      </w:r>
    </w:p>
    <w:p w14:paraId="2E322A70" w14:textId="563A78DF" w:rsidR="00722093" w:rsidRPr="00A81373" w:rsidRDefault="00722093" w:rsidP="00722093">
      <w:r w:rsidRPr="00A81373">
        <w:t>This approach can be related to Level 6 academic standards since it involves combining theory with real-world industry data, which enables the critical assessment of both academic theories and existing industry practises.</w:t>
      </w:r>
    </w:p>
    <w:p w14:paraId="5592DAA3" w14:textId="2264A791" w:rsidR="00722093" w:rsidRPr="00A81373" w:rsidRDefault="00722093" w:rsidP="00B93A07">
      <w:pPr>
        <w:pStyle w:val="Heading1"/>
        <w:numPr>
          <w:ilvl w:val="0"/>
          <w:numId w:val="1"/>
        </w:numPr>
      </w:pPr>
      <w:bookmarkStart w:id="9" w:name="_Toc221038204"/>
      <w:r w:rsidRPr="00A81373">
        <w:t>Theme Impact Analysis</w:t>
      </w:r>
      <w:bookmarkEnd w:id="9"/>
    </w:p>
    <w:p w14:paraId="7DDA71C8" w14:textId="6A63C1A7" w:rsidR="00722093" w:rsidRPr="00A81373" w:rsidRDefault="00B93A07" w:rsidP="00B93A07">
      <w:pPr>
        <w:pStyle w:val="Heading2"/>
        <w:numPr>
          <w:ilvl w:val="1"/>
          <w:numId w:val="1"/>
        </w:numPr>
      </w:pPr>
      <w:r w:rsidRPr="00A81373">
        <w:t xml:space="preserve"> </w:t>
      </w:r>
      <w:bookmarkStart w:id="10" w:name="_Toc221038205"/>
      <w:r w:rsidR="00722093" w:rsidRPr="00A81373">
        <w:t>PESTLE Analysis Environmental Scanning</w:t>
      </w:r>
      <w:bookmarkEnd w:id="10"/>
    </w:p>
    <w:p w14:paraId="404C0C4D" w14:textId="4C5BAF43" w:rsidR="00722093" w:rsidRPr="00A81373" w:rsidRDefault="00722093" w:rsidP="00384AB0">
      <w:pPr>
        <w:rPr>
          <w:rFonts w:eastAsia="Times New Roman" w:cs="Times New Roman"/>
          <w:kern w:val="0"/>
          <w14:ligatures w14:val="none"/>
        </w:rPr>
      </w:pPr>
      <w:r w:rsidRPr="00A81373">
        <w:t>In order to comprehend the intensity of the financial pressures on the hospitality industry, the macro-environmental stressors need to be analysed using the PESTLE framework. On the political side, the industry is becoming more susceptible to changes in the fiscal policy and regulatory changes</w:t>
      </w:r>
      <w:r w:rsidR="007E7FD2" w:rsidRPr="00A81373">
        <w:t xml:space="preserve"> (</w:t>
      </w:r>
      <w:proofErr w:type="spellStart"/>
      <w:r w:rsidR="007E7FD2" w:rsidRPr="00A81373">
        <w:t>Şengel</w:t>
      </w:r>
      <w:proofErr w:type="spellEnd"/>
      <w:r w:rsidR="007E7FD2" w:rsidRPr="00A81373">
        <w:t xml:space="preserve"> et al., 2022)</w:t>
      </w:r>
      <w:r w:rsidRPr="00A81373">
        <w:t xml:space="preserve">. </w:t>
      </w:r>
      <w:r w:rsidR="007116BF" w:rsidRPr="00A81373">
        <w:t>T</w:t>
      </w:r>
      <w:r w:rsidR="007116BF" w:rsidRPr="00A81373">
        <w:rPr>
          <w:rStyle w:val="citation-259"/>
        </w:rPr>
        <w:t xml:space="preserve">he critical tension here lies in the disconnect between government-mandated national living wage increases and the industry’s actual capacity for absorption; while these policies aim for social equity, they create a "fixed-cost trap" that disproportionately impacts </w:t>
      </w:r>
      <w:proofErr w:type="spellStart"/>
      <w:r w:rsidR="007116BF" w:rsidRPr="00A81373">
        <w:rPr>
          <w:rStyle w:val="citation-259"/>
        </w:rPr>
        <w:t>labor-intensive</w:t>
      </w:r>
      <w:proofErr w:type="spellEnd"/>
      <w:r w:rsidR="007116BF" w:rsidRPr="00A81373">
        <w:rPr>
          <w:rStyle w:val="citation-259"/>
        </w:rPr>
        <w:t xml:space="preserve"> SMEs more than capital-intensive chains. </w:t>
      </w:r>
      <w:r w:rsidRPr="00A81373">
        <w:t>Also, unstable political conditions in major energy-producing states have resulted in unstable utility rates, which have made long-term financial planning and liquidity control extremely challenging to hotel and restaurant chains</w:t>
      </w:r>
      <w:r w:rsidR="00384AB0" w:rsidRPr="00A81373">
        <w:t xml:space="preserve"> </w:t>
      </w:r>
      <w:r w:rsidR="00384AB0" w:rsidRPr="00A81373">
        <w:rPr>
          <w:rFonts w:eastAsia="Times New Roman" w:cs="Times New Roman"/>
          <w:kern w:val="0"/>
          <w14:ligatures w14:val="none"/>
        </w:rPr>
        <w:t xml:space="preserve">(Smart Edward </w:t>
      </w:r>
      <w:proofErr w:type="spellStart"/>
      <w:r w:rsidR="00384AB0" w:rsidRPr="00A81373">
        <w:rPr>
          <w:rFonts w:eastAsia="Times New Roman" w:cs="Times New Roman"/>
          <w:kern w:val="0"/>
          <w14:ligatures w14:val="none"/>
        </w:rPr>
        <w:t>Amanfo</w:t>
      </w:r>
      <w:proofErr w:type="spellEnd"/>
      <w:r w:rsidR="00384AB0" w:rsidRPr="00A81373">
        <w:rPr>
          <w:rFonts w:eastAsia="Times New Roman" w:cs="Times New Roman"/>
          <w:kern w:val="0"/>
          <w14:ligatures w14:val="none"/>
        </w:rPr>
        <w:t xml:space="preserve"> and </w:t>
      </w:r>
      <w:proofErr w:type="spellStart"/>
      <w:r w:rsidR="00384AB0" w:rsidRPr="00A81373">
        <w:rPr>
          <w:rFonts w:eastAsia="Times New Roman" w:cs="Times New Roman"/>
          <w:kern w:val="0"/>
          <w14:ligatures w14:val="none"/>
        </w:rPr>
        <w:t>Puthenkalam</w:t>
      </w:r>
      <w:proofErr w:type="spellEnd"/>
      <w:r w:rsidR="00384AB0" w:rsidRPr="00A81373">
        <w:rPr>
          <w:rFonts w:eastAsia="Times New Roman" w:cs="Times New Roman"/>
          <w:kern w:val="0"/>
          <w14:ligatures w14:val="none"/>
        </w:rPr>
        <w:t>, 2024)</w:t>
      </w:r>
      <w:r w:rsidRPr="00A81373">
        <w:t>.</w:t>
      </w:r>
    </w:p>
    <w:p w14:paraId="0E65328A" w14:textId="38132369" w:rsidR="007116BF" w:rsidRPr="00A81373" w:rsidRDefault="00722093" w:rsidP="00722093">
      <w:r w:rsidRPr="00A81373">
        <w:t>The most direct threat to financial sustainability in the industry is economic factors. The world has experienced a twofold crisis due to the global inflationary pressures: the input crisis (increasing prices of raw materials and energy), and the demand crisis (cost-of-living squeeze)</w:t>
      </w:r>
      <w:r w:rsidR="00384AB0" w:rsidRPr="00A81373">
        <w:t xml:space="preserve"> (</w:t>
      </w:r>
      <w:proofErr w:type="spellStart"/>
      <w:r w:rsidR="00384AB0" w:rsidRPr="00A81373">
        <w:t>Stiglitz</w:t>
      </w:r>
      <w:proofErr w:type="spellEnd"/>
      <w:r w:rsidR="00384AB0" w:rsidRPr="00A81373">
        <w:t xml:space="preserve"> and </w:t>
      </w:r>
      <w:proofErr w:type="spellStart"/>
      <w:r w:rsidR="00384AB0" w:rsidRPr="00A81373">
        <w:t>Regmi</w:t>
      </w:r>
      <w:proofErr w:type="spellEnd"/>
      <w:r w:rsidR="00384AB0" w:rsidRPr="00A81373">
        <w:t>, 2023)</w:t>
      </w:r>
      <w:r w:rsidRPr="00A81373">
        <w:t xml:space="preserve">. </w:t>
      </w:r>
      <w:r w:rsidR="007116BF" w:rsidRPr="00A81373">
        <w:rPr>
          <w:rStyle w:val="citation-255"/>
        </w:rPr>
        <w:t>Empirically, the surge in interest rates to combat inflation has fundamentally altered the capital structure of the sector; the cost of servicing "pandemic-era survival debt" now consumes a higher percentage of Gross Operating Profit, effectively stalling the capital expenditure (CAPEX) cycles necessary for maintaining property standards</w:t>
      </w:r>
      <w:r w:rsidR="007116BF" w:rsidRPr="00A81373">
        <w:t xml:space="preserve"> </w:t>
      </w:r>
      <w:r w:rsidR="004D418F" w:rsidRPr="00A81373">
        <w:t>(</w:t>
      </w:r>
      <w:proofErr w:type="spellStart"/>
      <w:r w:rsidR="004D418F" w:rsidRPr="00A81373">
        <w:t>Haar</w:t>
      </w:r>
      <w:proofErr w:type="spellEnd"/>
      <w:r w:rsidR="004D418F" w:rsidRPr="00A81373">
        <w:t>, 2024)</w:t>
      </w:r>
      <w:r w:rsidRPr="00A81373">
        <w:t xml:space="preserve">. It is especially harmful to hospitality companies that gained a lot of leverage to withstand the pandemic. </w:t>
      </w:r>
    </w:p>
    <w:p w14:paraId="28A70514" w14:textId="28598C39" w:rsidR="00722093" w:rsidRPr="00A81373" w:rsidRDefault="00722093" w:rsidP="00722093">
      <w:r w:rsidRPr="00A81373">
        <w:t>Socially, the shift in the workforce demographics and changes in employee expectations have changed the very structure of costs in the industry. A post-pandemic reconsideration of work-life balance and the so-called Great Resignation have compelled hospitality employers to pay much more and provide better benefits to attract and retain talent</w:t>
      </w:r>
      <w:r w:rsidR="00984902" w:rsidRPr="00A81373">
        <w:t xml:space="preserve"> (</w:t>
      </w:r>
      <w:proofErr w:type="spellStart"/>
      <w:r w:rsidR="00984902" w:rsidRPr="00A81373">
        <w:t>Sowels</w:t>
      </w:r>
      <w:proofErr w:type="spellEnd"/>
      <w:r w:rsidR="00984902" w:rsidRPr="00A81373">
        <w:t>, 2022)</w:t>
      </w:r>
      <w:r w:rsidRPr="00A81373">
        <w:t>. These changes have exerted enormous pressures on profit margins of an industry where the traditionally low-cost labour is a major factor</w:t>
      </w:r>
      <w:r w:rsidR="004707EE" w:rsidRPr="00A81373">
        <w:t xml:space="preserve"> (</w:t>
      </w:r>
      <w:proofErr w:type="spellStart"/>
      <w:r w:rsidR="004707EE" w:rsidRPr="00A81373">
        <w:t>Bodendorf</w:t>
      </w:r>
      <w:proofErr w:type="spellEnd"/>
      <w:r w:rsidR="004707EE" w:rsidRPr="00A81373">
        <w:t xml:space="preserve"> et al., 2022)</w:t>
      </w:r>
      <w:r w:rsidRPr="00A81373">
        <w:t>. Moreover, the trend in consumer behaviour is towards the adoption of value-consciousness in which guests demand improved levels of service and sustainability in the face of cutting their total discretionary expenditure.</w:t>
      </w:r>
    </w:p>
    <w:p w14:paraId="2A7A943A" w14:textId="21BFA8F9" w:rsidR="00722093" w:rsidRPr="00A81373" w:rsidRDefault="00722093" w:rsidP="00722093">
      <w:r w:rsidRPr="00A81373">
        <w:t>The financial environment is also complicated by technological and legal factors. Though digital transformation is one of the avenues to efficiency, investments needed to implement it are a barrier to other smaller firms with less capital to invest</w:t>
      </w:r>
      <w:r w:rsidR="003B5486" w:rsidRPr="00A81373">
        <w:t xml:space="preserve"> (</w:t>
      </w:r>
      <w:proofErr w:type="spellStart"/>
      <w:r w:rsidR="003B5486" w:rsidRPr="00A81373">
        <w:t>Apoga</w:t>
      </w:r>
      <w:proofErr w:type="spellEnd"/>
      <w:r w:rsidR="003B5486" w:rsidRPr="00A81373">
        <w:t xml:space="preserve"> and </w:t>
      </w:r>
      <w:proofErr w:type="spellStart"/>
      <w:r w:rsidR="003B5486" w:rsidRPr="00A81373">
        <w:t>Petrovska</w:t>
      </w:r>
      <w:proofErr w:type="spellEnd"/>
      <w:r w:rsidR="003B5486" w:rsidRPr="00A81373">
        <w:t>, 2022)</w:t>
      </w:r>
      <w:r w:rsidRPr="00A81373">
        <w:t>. The industry is experiencing a rising cost of complying with environmental law and health and safety regulations, legally. Put together, these PESTLE influences mean the alteration of the economic paradigm of the industry, wherein classic high-volume, low-margin operations are turning less and less viable unless subjected to radical strategic action.</w:t>
      </w:r>
    </w:p>
    <w:p w14:paraId="3B95453F" w14:textId="077ADE21" w:rsidR="00722093" w:rsidRPr="00A81373" w:rsidRDefault="00B93A07" w:rsidP="00B93A07">
      <w:pPr>
        <w:pStyle w:val="Heading2"/>
        <w:numPr>
          <w:ilvl w:val="1"/>
          <w:numId w:val="1"/>
        </w:numPr>
      </w:pPr>
      <w:r w:rsidRPr="00A81373">
        <w:t xml:space="preserve"> </w:t>
      </w:r>
      <w:bookmarkStart w:id="11" w:name="_Toc221038206"/>
      <w:r w:rsidR="00722093" w:rsidRPr="00A81373">
        <w:t>Important Analysis of Industry Reactions</w:t>
      </w:r>
      <w:bookmarkEnd w:id="11"/>
    </w:p>
    <w:p w14:paraId="688E42FF" w14:textId="145B149B" w:rsidR="00722093" w:rsidRPr="00A81373" w:rsidRDefault="00722093" w:rsidP="00722093">
      <w:r w:rsidRPr="00A81373">
        <w:t xml:space="preserve">To deal with escalating financial strains, hospitality organisations have responded in varied ways, with the most prominent being the fast-tracked adoption of technology and automation. </w:t>
      </w:r>
      <w:r w:rsidR="007116BF" w:rsidRPr="00A81373">
        <w:t xml:space="preserve">While AI-driven revenue management systems theoretically optimize pricing, their effectiveness is limited by the digital divide; large-scale operators benefit from a "technological moat," using automated check-ins and digital concierges to slash front-of-house </w:t>
      </w:r>
      <w:proofErr w:type="spellStart"/>
      <w:r w:rsidR="007116BF" w:rsidRPr="00A81373">
        <w:t>labor</w:t>
      </w:r>
      <w:proofErr w:type="spellEnd"/>
      <w:r w:rsidR="007116BF" w:rsidRPr="00A81373">
        <w:t xml:space="preserve"> costs. </w:t>
      </w:r>
      <w:r w:rsidRPr="00A81373">
        <w:t>Automated che</w:t>
      </w:r>
      <w:r w:rsidR="00CA0DF0" w:rsidRPr="00A81373">
        <w:t>ck-in</w:t>
      </w:r>
      <w:r w:rsidRPr="00A81373">
        <w:t>, digital concierge and AI-based revenue management software has been adopted on a mass scale by large-scale hotel operators</w:t>
      </w:r>
      <w:r w:rsidR="00CA0DF0" w:rsidRPr="00A81373">
        <w:t xml:space="preserve"> (C, P. </w:t>
      </w:r>
      <w:proofErr w:type="spellStart"/>
      <w:r w:rsidR="00CA0DF0" w:rsidRPr="00A81373">
        <w:t>Vidhyapriya</w:t>
      </w:r>
      <w:proofErr w:type="spellEnd"/>
      <w:r w:rsidR="00CA0DF0" w:rsidRPr="00A81373">
        <w:t xml:space="preserve"> and P, 2024)</w:t>
      </w:r>
      <w:r w:rsidRPr="00A81373">
        <w:t xml:space="preserve">. There, however, is one important drawback of over-automation, namely the risk of losing the hospitality </w:t>
      </w:r>
      <w:r w:rsidR="00F16A31" w:rsidRPr="00A81373">
        <w:t>jobs (Abdullah, 2025)</w:t>
      </w:r>
      <w:r w:rsidRPr="00A81373">
        <w:t>. In luxury and boutique markets human touch can reduce the perceived luxury of the brand, loss of pricing power and loss of guest loyalty that undo the cost savings attained by technology.</w:t>
      </w:r>
    </w:p>
    <w:p w14:paraId="1661BCB9" w14:textId="1E6E3FDA" w:rsidR="00722093" w:rsidRPr="00A81373" w:rsidRDefault="00722093" w:rsidP="00930C05">
      <w:r w:rsidRPr="00A81373">
        <w:t>Aggressive menu engineering and supply chain rationalisation is another reaction widely employed in the industry. The impact of food price inflation and supply chain volatility has forced many restaurant operators towards smaller, high margin menus and local sourcing</w:t>
      </w:r>
      <w:r w:rsidR="001F3D2A" w:rsidRPr="00A81373">
        <w:t xml:space="preserve"> (Mitchell, 2025)</w:t>
      </w:r>
      <w:r w:rsidRPr="00A81373">
        <w:t xml:space="preserve">. </w:t>
      </w:r>
      <w:r w:rsidR="00917E7D" w:rsidRPr="00A81373">
        <w:t xml:space="preserve">However, the long-term effectiveness of "menu shrinking" is debatable. </w:t>
      </w:r>
      <w:r w:rsidR="00917E7D" w:rsidRPr="00A81373">
        <w:rPr>
          <w:rStyle w:val="citation-248"/>
        </w:rPr>
        <w:t>While it safeguards immediate margins without always raising headline prices, it can lead to "menu fatigue" and a loss of market share to more diversified competitors</w:t>
      </w:r>
      <w:r w:rsidR="00917E7D" w:rsidRPr="00A81373">
        <w:t xml:space="preserve">. </w:t>
      </w:r>
      <w:r w:rsidRPr="00A81373">
        <w:t>Businesses can continue to be profitable even when the cost of inputs increases through concentration on dishes with a lower cost of goods sold</w:t>
      </w:r>
      <w:r w:rsidR="009A34E3" w:rsidRPr="00A81373">
        <w:t xml:space="preserve"> (Wan </w:t>
      </w:r>
      <w:proofErr w:type="spellStart"/>
      <w:r w:rsidR="009A34E3" w:rsidRPr="00A81373">
        <w:t>Mohd</w:t>
      </w:r>
      <w:proofErr w:type="spellEnd"/>
      <w:r w:rsidR="009A34E3" w:rsidRPr="00A81373">
        <w:t xml:space="preserve"> Zain et al., 2023)</w:t>
      </w:r>
      <w:r w:rsidRPr="00A81373">
        <w:t>. The weakness though is that when the menu is over simplified it can also turn away ordinary customers and hinder the competitive edge of the restaurant and especially in a market where consumers are becoming more and more interested in unique and diverse food experiences.</w:t>
      </w:r>
    </w:p>
    <w:p w14:paraId="21F83C6C" w14:textId="6764009D" w:rsidR="00B93A07" w:rsidRPr="00A81373" w:rsidRDefault="00B93A07" w:rsidP="00930C05">
      <w:r w:rsidRPr="00A81373">
        <w:t>In the end, these industry reactions though exhibiting a great deal of agility and innovation signify a widening gap in the industry. Technology and diversification enable larger corporations that can successfully manoeuvre the financial strains due to their access to capital markets. Conversely, independent operators and SMEs do not have the liquidity to affect these expensive strategic changes, which exposes them more to insolvency. This implies that the existing financial strain is not a transient period but a driver of an enormous market consolidation and a lasting revolution of the manner in which hospitality services are provided and priced.</w:t>
      </w:r>
    </w:p>
    <w:p w14:paraId="5620CD10" w14:textId="77777777" w:rsidR="00061388" w:rsidRPr="00A81373" w:rsidRDefault="00061388" w:rsidP="00B93A07">
      <w:pPr>
        <w:pStyle w:val="Heading1"/>
        <w:numPr>
          <w:ilvl w:val="0"/>
          <w:numId w:val="1"/>
        </w:numPr>
      </w:pPr>
      <w:bookmarkStart w:id="12" w:name="_Toc221038207"/>
      <w:r w:rsidRPr="00A81373">
        <w:t>Conclusion</w:t>
      </w:r>
      <w:bookmarkEnd w:id="12"/>
      <w:r w:rsidRPr="00A81373">
        <w:t xml:space="preserve">  </w:t>
      </w:r>
    </w:p>
    <w:p w14:paraId="66AE77AB" w14:textId="7AC0EBBE" w:rsidR="00061388" w:rsidRPr="00A81373" w:rsidRDefault="00061388" w:rsidP="00930C05">
      <w:r w:rsidRPr="00A81373">
        <w:t>The current paper has critically discussed the growing financial burdens facing the hospitality industry in addressing the combined effect of increased cost of operation, labour shortages, declining consumer demand, and tight access to funds. These pressures, as the literature shows, are mostly pushed by the external economic factors, but at the same time, these pressures are disproportionately distributed throughout the sector, making smaller operators highly susceptible. The discussion also highlights the fact that financial strains are not merely a transient change but a structural issue that requires strategic adjustment. It is important to mitigate these pressures in order to protect the long-term resilience, competitiveness, and sustainability of hospitality businesses.</w:t>
      </w:r>
    </w:p>
    <w:p w14:paraId="0189345B" w14:textId="33F913A0" w:rsidR="00061388" w:rsidRPr="00A81373" w:rsidRDefault="00061388" w:rsidP="00B93A07">
      <w:pPr>
        <w:pStyle w:val="Heading1"/>
        <w:numPr>
          <w:ilvl w:val="0"/>
          <w:numId w:val="1"/>
        </w:numPr>
      </w:pPr>
      <w:bookmarkStart w:id="13" w:name="_Toc221038208"/>
      <w:r w:rsidRPr="00A81373">
        <w:t>Recommendations</w:t>
      </w:r>
      <w:bookmarkEnd w:id="13"/>
    </w:p>
    <w:p w14:paraId="526F574D" w14:textId="77777777" w:rsidR="008A0729" w:rsidRPr="00A81373" w:rsidRDefault="008A0729" w:rsidP="008A0729">
      <w:r w:rsidRPr="00A81373">
        <w:t>To resolve the identified financial pressures in this study, the hospitality organizations are advised to take proactive, evidence-based, and prioritized measures that can be implemented and guarantee resilience without compromising the quality of services and competitiveness. Recommendations listed below are prioritized in terms of the urgency of operational needs and is followed by the medium and prolonged workforce and revenue interventions as well as financial sustainability.</w:t>
      </w:r>
    </w:p>
    <w:p w14:paraId="14750841" w14:textId="77777777" w:rsidR="008A0729" w:rsidRPr="00A81373" w:rsidRDefault="008A0729" w:rsidP="008A0729"/>
    <w:p w14:paraId="68CA72F0" w14:textId="77777777" w:rsidR="008A0729" w:rsidRPr="00A81373" w:rsidRDefault="008A0729" w:rsidP="008A0729">
      <w:pPr>
        <w:pStyle w:val="Heading2"/>
      </w:pPr>
      <w:r w:rsidRPr="00A81373">
        <w:t>1. Immediate Priority: Operational Cost Efficiency.</w:t>
      </w:r>
    </w:p>
    <w:p w14:paraId="39A84C69" w14:textId="77777777" w:rsidR="008A0729" w:rsidRPr="00A81373" w:rsidRDefault="008A0729" w:rsidP="008A0729"/>
    <w:p w14:paraId="08882F37" w14:textId="77777777" w:rsidR="008A0729" w:rsidRPr="00A81373" w:rsidRDefault="008A0729" w:rsidP="008A0729">
      <w:r w:rsidRPr="00A81373">
        <w:t>Cost efficiency should be given priority on hospitality firms and at the same time, the service quality should be maintained. Technologies that consume less energy (like low-consumption equipment, intelligent HVAC, and real-time energy access) can be used to significantly address the risk of utility price volatility (KPMG, 2023). Supplier negotiation, menu engineering, and waste-reduction programmes can also be used to further optimize food and operation costs without affecting customer satisfaction (Cho et al., 2021).</w:t>
      </w:r>
    </w:p>
    <w:p w14:paraId="6B880700" w14:textId="77777777" w:rsidR="008A0729" w:rsidRPr="00A81373" w:rsidRDefault="008A0729" w:rsidP="008A0729"/>
    <w:p w14:paraId="5C8189C7" w14:textId="77777777" w:rsidR="008A0729" w:rsidRPr="00A81373" w:rsidRDefault="008A0729" w:rsidP="008A0729">
      <w:r w:rsidRPr="00A81373">
        <w:t>Issues of implementation: Small and medium-sized enterprises (SMEs) may require large initial capital amounts. Companies are advised to scrutinize the payback period of investments and reconsider the option of the gradual implementation or leasing to reduce the initial capital expenditures.</w:t>
      </w:r>
    </w:p>
    <w:p w14:paraId="708F7E04" w14:textId="77777777" w:rsidR="008A0729" w:rsidRPr="00A81373" w:rsidRDefault="008A0729" w:rsidP="008A0729"/>
    <w:p w14:paraId="4BE260C7" w14:textId="77777777" w:rsidR="008A0729" w:rsidRPr="00A81373" w:rsidRDefault="008A0729" w:rsidP="008A0729">
      <w:pPr>
        <w:pStyle w:val="Heading2"/>
      </w:pPr>
      <w:r w:rsidRPr="00A81373">
        <w:t>2. Workforce Planning and Retention (Medium-Term Priority)</w:t>
      </w:r>
    </w:p>
    <w:p w14:paraId="46A79FEA" w14:textId="77777777" w:rsidR="008A0729" w:rsidRPr="00A81373" w:rsidRDefault="008A0729" w:rsidP="008A0729"/>
    <w:p w14:paraId="27AEA3E2" w14:textId="77777777" w:rsidR="008A0729" w:rsidRPr="00A81373" w:rsidRDefault="008A0729" w:rsidP="008A0729">
      <w:r w:rsidRPr="00A81373">
        <w:t>Firms should move away with reactive recruitment to adopt proactive approach to workforce planning in order to overcome labour shortages and wage inflation. Among these strategies, there are structured training programmes, open career paths, flexible schedules, and improving workplace culture and environment (Ghani et al., 2022). Repetitive or administration work can be augmented with selective automation, and this method will release staff to more valuable work with customers.</w:t>
      </w:r>
    </w:p>
    <w:p w14:paraId="71D1E0B4" w14:textId="77777777" w:rsidR="008A0729" w:rsidRPr="00A81373" w:rsidRDefault="008A0729" w:rsidP="008A0729"/>
    <w:p w14:paraId="1BA63DCC" w14:textId="77777777" w:rsidR="008A0729" w:rsidRPr="00A81373" w:rsidRDefault="008A0729" w:rsidP="008A0729">
      <w:r w:rsidRPr="00A81373">
        <w:t>Implementation issues: The short-term cost may increase as a result of investment in training and retention programmes and needs a strong managerial control. The achievement will depend on the involvement of the employees and the ability to introduce automation without negatively affecting the quality of the services.</w:t>
      </w:r>
    </w:p>
    <w:p w14:paraId="539D7DDF" w14:textId="77777777" w:rsidR="008A0729" w:rsidRPr="00A81373" w:rsidRDefault="008A0729" w:rsidP="008A0729"/>
    <w:p w14:paraId="5BF2A7C8" w14:textId="77777777" w:rsidR="008A0729" w:rsidRPr="00A81373" w:rsidRDefault="008A0729" w:rsidP="008A0729">
      <w:pPr>
        <w:pStyle w:val="Heading2"/>
      </w:pPr>
      <w:r w:rsidRPr="00A81373">
        <w:t>3. Revenue Management and Flexibility in Pricing (Medium-Term Priority).</w:t>
      </w:r>
    </w:p>
    <w:p w14:paraId="071B8059" w14:textId="77777777" w:rsidR="008A0729" w:rsidRPr="00A81373" w:rsidRDefault="008A0729" w:rsidP="008A0729"/>
    <w:p w14:paraId="3145906F" w14:textId="04BEDD23" w:rsidR="008A0729" w:rsidRPr="00A81373" w:rsidRDefault="008A0729" w:rsidP="008A0729">
      <w:r w:rsidRPr="00A81373">
        <w:t>These are dynamic pricing models, promotions with clear targets, and offerings based on the experience, which allow organisations to react to the changing consumer demand and remain profitable during the times of lowered discretionary expenditures (Yeoman, 2024b). The companies are expected to focus on value creation instead of just competing on prices, and resort to unique experiences to retain margins and retain customers.</w:t>
      </w:r>
    </w:p>
    <w:p w14:paraId="54C2CEC9" w14:textId="77777777" w:rsidR="008A0729" w:rsidRPr="00A81373" w:rsidRDefault="008A0729" w:rsidP="008A0729">
      <w:r w:rsidRPr="00A81373">
        <w:t>Implementation issues: To do accurate forecasts, the company requires sophisticated data analytics, which might be unavailable in minor operators. Revenue management systems should then be trained and invested in.</w:t>
      </w:r>
    </w:p>
    <w:p w14:paraId="5083D467" w14:textId="77777777" w:rsidR="008A0729" w:rsidRPr="00A81373" w:rsidRDefault="008A0729" w:rsidP="008A0729"/>
    <w:p w14:paraId="6C785605" w14:textId="77777777" w:rsidR="008A0729" w:rsidRPr="00A81373" w:rsidRDefault="008A0729" w:rsidP="008A0729">
      <w:pPr>
        <w:pStyle w:val="Heading2"/>
      </w:pPr>
      <w:r w:rsidRPr="00A81373">
        <w:t>4. Government and Industry Support (Policy-Level Priority)</w:t>
      </w:r>
    </w:p>
    <w:p w14:paraId="5F88FF84" w14:textId="77777777" w:rsidR="008A0729" w:rsidRPr="00A81373" w:rsidRDefault="008A0729" w:rsidP="008A0729"/>
    <w:p w14:paraId="382BD57C" w14:textId="005CD75E" w:rsidR="008A0729" w:rsidRPr="00A81373" w:rsidRDefault="008A0729" w:rsidP="008A0729">
      <w:r w:rsidRPr="00A81373">
        <w:t>Industry agencies and policy makers must provide specific assistance, especially to those who are small and independent. Some of the measures that are proposed include temporary tax relief, energy subsidies, low-interest financing, and technology upgrades grants (Gaspar et al., 2022). The industry associations will be able to provide knowledge sharing and best practices of cost management, workforce planning, and financial resilience.</w:t>
      </w:r>
    </w:p>
    <w:p w14:paraId="692E40E6" w14:textId="0B0BCBC5" w:rsidR="00812B2E" w:rsidRPr="00A81373" w:rsidRDefault="008A0729" w:rsidP="008A0729">
      <w:r w:rsidRPr="00A81373">
        <w:t>Issues related to implementation: The effectiveness of the policy will also depend on the eligibility criteria, clear evaluation procedures and prompt implementation. Hospitality organizations are expected to engage in monitoring and participating in policy programmes so that they can achieve maximum benefit.</w:t>
      </w:r>
    </w:p>
    <w:p w14:paraId="3B9A1FE0" w14:textId="77777777" w:rsidR="00812B2E" w:rsidRPr="00A81373" w:rsidRDefault="00812B2E">
      <w:pPr>
        <w:spacing w:after="160" w:line="278" w:lineRule="auto"/>
        <w:jc w:val="left"/>
      </w:pPr>
      <w:r w:rsidRPr="00A81373">
        <w:br w:type="page"/>
      </w:r>
    </w:p>
    <w:p w14:paraId="496FFF66" w14:textId="50D48134" w:rsidR="00930C05" w:rsidRPr="00A81373" w:rsidRDefault="00812B2E" w:rsidP="00B93A07">
      <w:pPr>
        <w:pStyle w:val="Heading1"/>
        <w:numPr>
          <w:ilvl w:val="0"/>
          <w:numId w:val="1"/>
        </w:numPr>
      </w:pPr>
      <w:bookmarkStart w:id="14" w:name="_Toc221038209"/>
      <w:r w:rsidRPr="00A81373">
        <w:t>References</w:t>
      </w:r>
      <w:bookmarkEnd w:id="14"/>
      <w:r w:rsidRPr="00A81373">
        <w:t xml:space="preserve"> </w:t>
      </w:r>
    </w:p>
    <w:p w14:paraId="25C9B55B" w14:textId="77777777" w:rsidR="0098119B" w:rsidRPr="00A81373" w:rsidRDefault="0098119B" w:rsidP="00F23F38">
      <w:pPr>
        <w:pStyle w:val="NormalWeb"/>
        <w:spacing w:before="0" w:beforeAutospacing="0" w:after="240" w:afterAutospacing="0" w:line="360" w:lineRule="auto"/>
        <w:ind w:left="720" w:hanging="720"/>
      </w:pPr>
      <w:r w:rsidRPr="00A81373">
        <w:t xml:space="preserve">Abdullah (2025). </w:t>
      </w:r>
      <w:r w:rsidRPr="00A81373">
        <w:rPr>
          <w:i/>
          <w:iCs/>
        </w:rPr>
        <w:t>AI and Job Futures: Exploring Public Sentiments on Technological Impact in YouTube Comments - ProQuest</w:t>
      </w:r>
      <w:r w:rsidRPr="00A81373">
        <w:t>. [online] Proquest.com. Available at: https://search.proquest.com/openview/250c3740c54e14715ae17b4d518560a6/1?pq-origsite=gscholar&amp;cbl=2026366&amp;diss=y&amp;casa_token=-aJOQC3WFP8AAAAA:Nwh7nOi-kxSwbAx86mKxXvGSW9OcmSv7NbOYELKydzJvn5z4Bs1PCr1lQEurASMeKbiZCsmKV0Lk [Accessed 3 Feb. 2026].</w:t>
      </w:r>
    </w:p>
    <w:p w14:paraId="463F2A91"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Abolghasemi</w:t>
      </w:r>
      <w:proofErr w:type="spellEnd"/>
      <w:r w:rsidRPr="00A81373">
        <w:t xml:space="preserve">, M., </w:t>
      </w:r>
      <w:proofErr w:type="spellStart"/>
      <w:r w:rsidRPr="00A81373">
        <w:t>Beh</w:t>
      </w:r>
      <w:proofErr w:type="spellEnd"/>
      <w:r w:rsidRPr="00A81373">
        <w:t xml:space="preserve">, E., </w:t>
      </w:r>
      <w:proofErr w:type="spellStart"/>
      <w:r w:rsidRPr="00A81373">
        <w:t>Tarr</w:t>
      </w:r>
      <w:proofErr w:type="spellEnd"/>
      <w:r w:rsidRPr="00A81373">
        <w:t xml:space="preserve">, G. and </w:t>
      </w:r>
      <w:proofErr w:type="spellStart"/>
      <w:r w:rsidRPr="00A81373">
        <w:t>Gerlach</w:t>
      </w:r>
      <w:proofErr w:type="spellEnd"/>
      <w:r w:rsidRPr="00A81373">
        <w:t xml:space="preserve">, R. (2020). Demand Forecasting in Supply chain: the Impact of Demand Volatility in the Presence of Promotion. </w:t>
      </w:r>
      <w:r w:rsidRPr="00A81373">
        <w:rPr>
          <w:i/>
          <w:iCs/>
        </w:rPr>
        <w:t>Computers &amp; Industrial Engineering</w:t>
      </w:r>
      <w:r w:rsidRPr="00A81373">
        <w:t xml:space="preserve">, [online] 142(106380), p.106380. </w:t>
      </w:r>
      <w:proofErr w:type="spellStart"/>
      <w:r w:rsidRPr="00A81373">
        <w:t>doi:https</w:t>
      </w:r>
      <w:proofErr w:type="spellEnd"/>
      <w:r w:rsidRPr="00A81373">
        <w:t>://doi.org/10.1016/j.cie.2020.106380.</w:t>
      </w:r>
    </w:p>
    <w:p w14:paraId="0050D399" w14:textId="77777777" w:rsidR="0098119B" w:rsidRPr="00A81373" w:rsidRDefault="0098119B" w:rsidP="00F23F38">
      <w:pPr>
        <w:pStyle w:val="NormalWeb"/>
        <w:spacing w:before="0" w:beforeAutospacing="0" w:after="240" w:afterAutospacing="0" w:line="360" w:lineRule="auto"/>
        <w:ind w:left="720" w:hanging="720"/>
      </w:pPr>
      <w:r w:rsidRPr="00A81373">
        <w:t xml:space="preserve">Alvarez and </w:t>
      </w:r>
      <w:proofErr w:type="spellStart"/>
      <w:r w:rsidRPr="00A81373">
        <w:t>Marsal</w:t>
      </w:r>
      <w:proofErr w:type="spellEnd"/>
      <w:r w:rsidRPr="00A81373">
        <w:t xml:space="preserve"> (2025). </w:t>
      </w:r>
      <w:r w:rsidRPr="00A81373">
        <w:rPr>
          <w:i/>
          <w:iCs/>
        </w:rPr>
        <w:t>Navigating the Future of the Hospitality Industry: Overcoming Challenges for Sustainable Growth</w:t>
      </w:r>
      <w:r w:rsidRPr="00A81373">
        <w:t xml:space="preserve">. [online] Alvarez &amp; </w:t>
      </w:r>
      <w:proofErr w:type="spellStart"/>
      <w:r w:rsidRPr="00A81373">
        <w:t>Marsal</w:t>
      </w:r>
      <w:proofErr w:type="spellEnd"/>
      <w:r w:rsidRPr="00A81373">
        <w:t xml:space="preserve"> | Management Consulting | Professional Services. Available at: https://www.alvarezandmarsal.com/insights/navigating-future-hospitality-industry-overcoming-challenges-sustainable-growth.</w:t>
      </w:r>
    </w:p>
    <w:p w14:paraId="37D23CAB"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Apoga</w:t>
      </w:r>
      <w:proofErr w:type="spellEnd"/>
      <w:r w:rsidRPr="00A81373">
        <w:t xml:space="preserve">, R.R. and </w:t>
      </w:r>
      <w:proofErr w:type="spellStart"/>
      <w:r w:rsidRPr="00A81373">
        <w:t>Petrovska</w:t>
      </w:r>
      <w:proofErr w:type="spellEnd"/>
      <w:r w:rsidRPr="00A81373">
        <w:t xml:space="preserve">, K. (2022). Barriers to Sustainable Digital Transformation in Micro-, Small-, and Medium-Sized Enterprises. </w:t>
      </w:r>
      <w:r w:rsidRPr="00A81373">
        <w:rPr>
          <w:i/>
          <w:iCs/>
        </w:rPr>
        <w:t>Sustainability</w:t>
      </w:r>
      <w:r w:rsidRPr="00A81373">
        <w:t xml:space="preserve">, 14(20), p.13558. </w:t>
      </w:r>
      <w:proofErr w:type="spellStart"/>
      <w:r w:rsidRPr="00A81373">
        <w:t>doi:https</w:t>
      </w:r>
      <w:proofErr w:type="spellEnd"/>
      <w:r w:rsidRPr="00A81373">
        <w:t>://doi.org/10.3390/su142013558.</w:t>
      </w:r>
    </w:p>
    <w:p w14:paraId="176E4CC8"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Arrieta</w:t>
      </w:r>
      <w:proofErr w:type="spellEnd"/>
      <w:r w:rsidRPr="00A81373">
        <w:t xml:space="preserve">, T. (2022). Austerity in the United Kingdom and Its legacy: Lessons from the COVID-19 Pandemic. </w:t>
      </w:r>
      <w:r w:rsidRPr="00A81373">
        <w:rPr>
          <w:i/>
          <w:iCs/>
        </w:rPr>
        <w:t xml:space="preserve">The Economic and </w:t>
      </w:r>
      <w:proofErr w:type="spellStart"/>
      <w:r w:rsidRPr="00A81373">
        <w:rPr>
          <w:i/>
          <w:iCs/>
        </w:rPr>
        <w:t>Labour</w:t>
      </w:r>
      <w:proofErr w:type="spellEnd"/>
      <w:r w:rsidRPr="00A81373">
        <w:rPr>
          <w:i/>
          <w:iCs/>
        </w:rPr>
        <w:t xml:space="preserve"> Relations Review</w:t>
      </w:r>
      <w:r w:rsidRPr="00A81373">
        <w:t xml:space="preserve">, [online] 33(2), pp.238–255. </w:t>
      </w:r>
      <w:proofErr w:type="spellStart"/>
      <w:r w:rsidRPr="00A81373">
        <w:t>doi:https</w:t>
      </w:r>
      <w:proofErr w:type="spellEnd"/>
      <w:r w:rsidRPr="00A81373">
        <w:t>://doi.org/10.1177/10353046221083051.</w:t>
      </w:r>
    </w:p>
    <w:p w14:paraId="7D8462A7"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Belete</w:t>
      </w:r>
      <w:proofErr w:type="spellEnd"/>
      <w:r w:rsidRPr="00A81373">
        <w:t xml:space="preserve"> AK (2018). </w:t>
      </w:r>
      <w:r w:rsidRPr="00A81373">
        <w:rPr>
          <w:i/>
          <w:iCs/>
        </w:rPr>
        <w:t>(PDF) Turnover Intention Influencing Factors of Employees: An Empirical Work Review</w:t>
      </w:r>
      <w:r w:rsidRPr="00A81373">
        <w:t xml:space="preserve">. [online] </w:t>
      </w:r>
      <w:proofErr w:type="spellStart"/>
      <w:r w:rsidRPr="00A81373">
        <w:t>ResearchGate</w:t>
      </w:r>
      <w:proofErr w:type="spellEnd"/>
      <w:r w:rsidRPr="00A81373">
        <w:t>. Available at: https://www.researchgate.net/publication/330470850_Turnover_Intention_Influencing_Factors_of_Employees_An_Empirical_Work_Review.</w:t>
      </w:r>
    </w:p>
    <w:p w14:paraId="5AC9A43E"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Bodendorf</w:t>
      </w:r>
      <w:proofErr w:type="spellEnd"/>
      <w:r w:rsidRPr="00A81373">
        <w:t xml:space="preserve">, F., </w:t>
      </w:r>
      <w:proofErr w:type="spellStart"/>
      <w:r w:rsidRPr="00A81373">
        <w:t>Wonn</w:t>
      </w:r>
      <w:proofErr w:type="spellEnd"/>
      <w:r w:rsidRPr="00A81373">
        <w:t xml:space="preserve">, F., Simon, K. and Franke, J. (2022). Indicators and countermeasures of modern slavery in global supply chains: Pathway to a social supply chain management framework. </w:t>
      </w:r>
      <w:r w:rsidRPr="00A81373">
        <w:rPr>
          <w:i/>
          <w:iCs/>
        </w:rPr>
        <w:t>Business Strategy and the Environment</w:t>
      </w:r>
      <w:r w:rsidRPr="00A81373">
        <w:t xml:space="preserve">, 32(4). </w:t>
      </w:r>
      <w:proofErr w:type="spellStart"/>
      <w:r w:rsidRPr="00A81373">
        <w:t>doi:https</w:t>
      </w:r>
      <w:proofErr w:type="spellEnd"/>
      <w:r w:rsidRPr="00A81373">
        <w:t>://doi.org/10.1002/bse.3236.</w:t>
      </w:r>
    </w:p>
    <w:p w14:paraId="04AEB6DE" w14:textId="77777777" w:rsidR="0098119B" w:rsidRPr="00A81373" w:rsidRDefault="0098119B" w:rsidP="00F23F38">
      <w:pPr>
        <w:pStyle w:val="NormalWeb"/>
        <w:spacing w:before="0" w:beforeAutospacing="0" w:after="240" w:afterAutospacing="0" w:line="360" w:lineRule="auto"/>
        <w:ind w:left="720" w:hanging="720"/>
      </w:pPr>
      <w:r w:rsidRPr="00A81373">
        <w:t xml:space="preserve">C, V.S., P. </w:t>
      </w:r>
      <w:proofErr w:type="spellStart"/>
      <w:r w:rsidRPr="00A81373">
        <w:t>Vidhyapriya</w:t>
      </w:r>
      <w:proofErr w:type="spellEnd"/>
      <w:r w:rsidRPr="00A81373">
        <w:t xml:space="preserve"> and P, A.V. (2024). AI-Driven Solutions for Crowd Management in Tourism. </w:t>
      </w:r>
      <w:r w:rsidRPr="00A81373">
        <w:rPr>
          <w:i/>
          <w:iCs/>
        </w:rPr>
        <w:t>Advances in hospitality, tourism and the services industry (AHTSI) book series</w:t>
      </w:r>
      <w:r w:rsidRPr="00A81373">
        <w:t xml:space="preserve">, [online] pp.83–112. </w:t>
      </w:r>
      <w:proofErr w:type="spellStart"/>
      <w:r w:rsidRPr="00A81373">
        <w:t>doi:https</w:t>
      </w:r>
      <w:proofErr w:type="spellEnd"/>
      <w:r w:rsidRPr="00A81373">
        <w:t>://doi.org/10.4018/979-8-3693-5678-4.ch004.</w:t>
      </w:r>
    </w:p>
    <w:p w14:paraId="3DAA1C0B"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Cathcart</w:t>
      </w:r>
      <w:proofErr w:type="spellEnd"/>
      <w:r w:rsidRPr="00A81373">
        <w:t xml:space="preserve">, L., </w:t>
      </w:r>
      <w:proofErr w:type="spellStart"/>
      <w:r w:rsidRPr="00A81373">
        <w:t>Dufour</w:t>
      </w:r>
      <w:proofErr w:type="spellEnd"/>
      <w:r w:rsidRPr="00A81373">
        <w:t xml:space="preserve">, A., Rossi, L. and </w:t>
      </w:r>
      <w:proofErr w:type="spellStart"/>
      <w:r w:rsidRPr="00A81373">
        <w:t>Varotto</w:t>
      </w:r>
      <w:proofErr w:type="spellEnd"/>
      <w:r w:rsidRPr="00A81373">
        <w:t xml:space="preserve">, S. (2020). The differential impact of leverage on the default risk of small and large firms. </w:t>
      </w:r>
      <w:r w:rsidRPr="00A81373">
        <w:rPr>
          <w:i/>
          <w:iCs/>
        </w:rPr>
        <w:t>Journal of Corporate Finance</w:t>
      </w:r>
      <w:r w:rsidRPr="00A81373">
        <w:t xml:space="preserve">, [online] 60, p.101541. </w:t>
      </w:r>
      <w:proofErr w:type="spellStart"/>
      <w:r w:rsidRPr="00A81373">
        <w:t>doi:https</w:t>
      </w:r>
      <w:proofErr w:type="spellEnd"/>
      <w:r w:rsidRPr="00A81373">
        <w:t>://doi.org/10.1016/j.jcorpfin.2019.101541.</w:t>
      </w:r>
    </w:p>
    <w:p w14:paraId="4202B115" w14:textId="77777777" w:rsidR="0098119B" w:rsidRPr="00A81373" w:rsidRDefault="0098119B" w:rsidP="00F23F38">
      <w:pPr>
        <w:pStyle w:val="NormalWeb"/>
        <w:spacing w:before="0" w:beforeAutospacing="0" w:after="240" w:afterAutospacing="0" w:line="360" w:lineRule="auto"/>
        <w:ind w:left="720" w:hanging="720"/>
      </w:pPr>
      <w:r w:rsidRPr="00A81373">
        <w:rPr>
          <w:lang w:val="it-IT"/>
        </w:rPr>
        <w:t xml:space="preserve">Cho, M., Bonn, M.A., Giunipero, L. and Jaggi, J.S. (2021). </w:t>
      </w:r>
      <w:r w:rsidRPr="00A81373">
        <w:t xml:space="preserve">Supplier selection and partnerships: Effects upon restaurant operational and strategic benefits and performance. </w:t>
      </w:r>
      <w:r w:rsidRPr="00A81373">
        <w:rPr>
          <w:i/>
          <w:iCs/>
        </w:rPr>
        <w:t>International Journal of Hospitality Management</w:t>
      </w:r>
      <w:r w:rsidRPr="00A81373">
        <w:t xml:space="preserve">, 94, p.102781. </w:t>
      </w:r>
      <w:proofErr w:type="spellStart"/>
      <w:r w:rsidRPr="00A81373">
        <w:t>doi:https</w:t>
      </w:r>
      <w:proofErr w:type="spellEnd"/>
      <w:r w:rsidRPr="00A81373">
        <w:t>://doi.org/10.1016/j.ijhm.2020.102781.</w:t>
      </w:r>
    </w:p>
    <w:p w14:paraId="7C50395C" w14:textId="77777777" w:rsidR="0098119B" w:rsidRPr="00A81373" w:rsidRDefault="0098119B" w:rsidP="00F23F38">
      <w:pPr>
        <w:pStyle w:val="NormalWeb"/>
        <w:spacing w:before="0" w:beforeAutospacing="0" w:after="240" w:afterAutospacing="0" w:line="360" w:lineRule="auto"/>
        <w:ind w:left="720" w:hanging="720"/>
      </w:pPr>
      <w:r w:rsidRPr="00A81373">
        <w:t xml:space="preserve">de, V., Maria, K., Pereira, M. and Martins, T. (2022). Investigation and Quantification of Erosions in the Margins of Water Bodies: A Systematic Review. </w:t>
      </w:r>
      <w:r w:rsidRPr="00A81373">
        <w:rPr>
          <w:i/>
          <w:iCs/>
        </w:rPr>
        <w:t>Water</w:t>
      </w:r>
      <w:r w:rsidRPr="00A81373">
        <w:t xml:space="preserve">, 14(11), pp.1693–1693. </w:t>
      </w:r>
      <w:proofErr w:type="spellStart"/>
      <w:r w:rsidRPr="00A81373">
        <w:t>doi:https</w:t>
      </w:r>
      <w:proofErr w:type="spellEnd"/>
      <w:r w:rsidRPr="00A81373">
        <w:t>://doi.org/10.3390/w14111693.</w:t>
      </w:r>
    </w:p>
    <w:p w14:paraId="2CB56A3F" w14:textId="77777777" w:rsidR="0098119B" w:rsidRPr="00A81373" w:rsidRDefault="0098119B" w:rsidP="00F23F38">
      <w:pPr>
        <w:pStyle w:val="NormalWeb"/>
        <w:spacing w:before="0" w:beforeAutospacing="0" w:after="240" w:afterAutospacing="0" w:line="360" w:lineRule="auto"/>
        <w:ind w:left="720" w:hanging="720"/>
      </w:pPr>
      <w:r w:rsidRPr="00A81373">
        <w:t xml:space="preserve">Deloitte (2024). </w:t>
      </w:r>
      <w:r w:rsidRPr="00A81373">
        <w:rPr>
          <w:i/>
          <w:iCs/>
        </w:rPr>
        <w:t>2025 Manufacturing Industry Outlook</w:t>
      </w:r>
      <w:r w:rsidRPr="00A81373">
        <w:t>. [online] Deloitte Insights. Available at: https://www.deloitte.com/us/en/insights/industry/manufacturing-industrial-products/manufacturing-industry-outlook.html.</w:t>
      </w:r>
    </w:p>
    <w:p w14:paraId="46B9B50C" w14:textId="77777777" w:rsidR="0098119B" w:rsidRPr="00A81373" w:rsidRDefault="0098119B" w:rsidP="00F23F38">
      <w:pPr>
        <w:pStyle w:val="NormalWeb"/>
        <w:spacing w:before="0" w:beforeAutospacing="0" w:after="240" w:afterAutospacing="0" w:line="360" w:lineRule="auto"/>
        <w:ind w:left="720" w:hanging="720"/>
      </w:pPr>
      <w:r w:rsidRPr="00A81373">
        <w:rPr>
          <w:lang w:val="it-IT"/>
        </w:rPr>
        <w:t xml:space="preserve">Gaspar, V., Lam, R., Mauro, P. and Piazza, R. (2022). </w:t>
      </w:r>
      <w:r w:rsidRPr="00A81373">
        <w:rPr>
          <w:i/>
          <w:iCs/>
        </w:rPr>
        <w:t>Fiscal Policy Can Help People Rebound From Cost of Living Crisis</w:t>
      </w:r>
      <w:r w:rsidRPr="00A81373">
        <w:t>. [online] IMF. Available at: https://www.imf.org/en/Blogs/Articles/2022/10/12/fiscal-policy-can-help-people-rebound-from-cost-of-living-crisis.</w:t>
      </w:r>
    </w:p>
    <w:p w14:paraId="5D63761C" w14:textId="77777777" w:rsidR="0098119B" w:rsidRPr="00A81373" w:rsidRDefault="0098119B" w:rsidP="00F23F38">
      <w:pPr>
        <w:pStyle w:val="NormalWeb"/>
        <w:spacing w:before="0" w:beforeAutospacing="0" w:after="240" w:afterAutospacing="0" w:line="360" w:lineRule="auto"/>
        <w:ind w:left="720" w:hanging="720"/>
      </w:pPr>
      <w:r w:rsidRPr="00A81373">
        <w:t xml:space="preserve">Ghani, B., </w:t>
      </w:r>
      <w:proofErr w:type="spellStart"/>
      <w:r w:rsidRPr="00A81373">
        <w:t>Zada</w:t>
      </w:r>
      <w:proofErr w:type="spellEnd"/>
      <w:r w:rsidRPr="00A81373">
        <w:t xml:space="preserve">, M., </w:t>
      </w:r>
      <w:proofErr w:type="spellStart"/>
      <w:r w:rsidRPr="00A81373">
        <w:t>Memon</w:t>
      </w:r>
      <w:proofErr w:type="spellEnd"/>
      <w:r w:rsidRPr="00A81373">
        <w:t xml:space="preserve">, K.R., </w:t>
      </w:r>
      <w:proofErr w:type="spellStart"/>
      <w:r w:rsidRPr="00A81373">
        <w:t>Ullah</w:t>
      </w:r>
      <w:proofErr w:type="spellEnd"/>
      <w:r w:rsidRPr="00A81373">
        <w:t xml:space="preserve">, R., </w:t>
      </w:r>
      <w:proofErr w:type="spellStart"/>
      <w:r w:rsidRPr="00A81373">
        <w:t>Khattak</w:t>
      </w:r>
      <w:proofErr w:type="spellEnd"/>
      <w:r w:rsidRPr="00A81373">
        <w:t xml:space="preserve">, A., Han, H., Montes, A.A. and Castillo, L.A. (2022). Challenges and strategies for employee retention in the hospitality industry: A review. </w:t>
      </w:r>
      <w:r w:rsidRPr="00A81373">
        <w:rPr>
          <w:i/>
          <w:iCs/>
        </w:rPr>
        <w:t>Sustainability</w:t>
      </w:r>
      <w:r w:rsidRPr="00A81373">
        <w:t xml:space="preserve">, [online] 14(5), pp.1–26. </w:t>
      </w:r>
      <w:proofErr w:type="spellStart"/>
      <w:r w:rsidRPr="00A81373">
        <w:t>doi:https</w:t>
      </w:r>
      <w:proofErr w:type="spellEnd"/>
      <w:r w:rsidRPr="00A81373">
        <w:t>://doi.org/10.3390/su14052885.</w:t>
      </w:r>
    </w:p>
    <w:p w14:paraId="4BB6E777"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Haar</w:t>
      </w:r>
      <w:proofErr w:type="spellEnd"/>
      <w:r w:rsidRPr="00A81373">
        <w:t xml:space="preserve">, C. (2024). Fighting recent inflation: An empirical literature review of monetary and governmental policies. </w:t>
      </w:r>
      <w:r w:rsidRPr="00A81373">
        <w:rPr>
          <w:i/>
          <w:iCs/>
        </w:rPr>
        <w:t>Managerial Economics</w:t>
      </w:r>
      <w:r w:rsidRPr="00A81373">
        <w:t>, [online] 25(1), pp.7–53. Available at: https://www.ceeol.com/search/article-detail?id=1287456.</w:t>
      </w:r>
    </w:p>
    <w:p w14:paraId="42DA8B29" w14:textId="77777777" w:rsidR="0098119B" w:rsidRPr="00A81373" w:rsidRDefault="0098119B" w:rsidP="00F23F38">
      <w:pPr>
        <w:pStyle w:val="NormalWeb"/>
        <w:spacing w:before="0" w:beforeAutospacing="0" w:after="240" w:afterAutospacing="0" w:line="360" w:lineRule="auto"/>
        <w:ind w:left="720" w:hanging="720"/>
      </w:pPr>
      <w:r w:rsidRPr="00A81373">
        <w:t xml:space="preserve">Henderson, T. (2024). </w:t>
      </w:r>
      <w:r w:rsidRPr="00A81373">
        <w:rPr>
          <w:i/>
          <w:iCs/>
        </w:rPr>
        <w:t>Hospitality workers’ wages are rising faster than high earners’ in most states • Stateline</w:t>
      </w:r>
      <w:r w:rsidRPr="00A81373">
        <w:t>. [online] Stateline. Available at: https://stateline.org/2024/01/09/hospitality-workers-wages-are-rising-faster-than-high-earners-in-most-states/.</w:t>
      </w:r>
    </w:p>
    <w:p w14:paraId="55196FF2" w14:textId="77777777" w:rsidR="0098119B" w:rsidRPr="00A81373" w:rsidRDefault="0098119B" w:rsidP="00F23F38">
      <w:pPr>
        <w:pStyle w:val="NormalWeb"/>
        <w:spacing w:before="0" w:beforeAutospacing="0" w:after="240" w:afterAutospacing="0" w:line="360" w:lineRule="auto"/>
        <w:ind w:left="720" w:hanging="720"/>
      </w:pPr>
      <w:r w:rsidRPr="00A81373">
        <w:t xml:space="preserve">Hoang, A.T., </w:t>
      </w:r>
      <w:proofErr w:type="spellStart"/>
      <w:r w:rsidRPr="00A81373">
        <w:t>Nižetić</w:t>
      </w:r>
      <w:proofErr w:type="spellEnd"/>
      <w:r w:rsidRPr="00A81373">
        <w:t xml:space="preserve">, S., </w:t>
      </w:r>
      <w:proofErr w:type="spellStart"/>
      <w:r w:rsidRPr="00A81373">
        <w:t>Olcer</w:t>
      </w:r>
      <w:proofErr w:type="spellEnd"/>
      <w:r w:rsidRPr="00A81373">
        <w:t xml:space="preserve">, A.I., Ong, H.C., Chen, W.-H., Chong, C.T., Thomas, S., Bandh, S.A. and Nguyen, X.P. (2021). Impacts of COVID-19 pandemic on the global energy system and the shift progress to renewable energy: Opportunities, challenges, and policy implications. </w:t>
      </w:r>
      <w:r w:rsidRPr="00A81373">
        <w:rPr>
          <w:i/>
          <w:iCs/>
        </w:rPr>
        <w:t>Energy Policy</w:t>
      </w:r>
      <w:r w:rsidRPr="00A81373">
        <w:t xml:space="preserve">, [online] 154(112322), p.112322. </w:t>
      </w:r>
      <w:proofErr w:type="spellStart"/>
      <w:r w:rsidRPr="00A81373">
        <w:t>doi:https</w:t>
      </w:r>
      <w:proofErr w:type="spellEnd"/>
      <w:r w:rsidRPr="00A81373">
        <w:t>://doi.org/10.1016/j.enpol.2021.112322.</w:t>
      </w:r>
    </w:p>
    <w:p w14:paraId="4BE87EC4"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Holzberg</w:t>
      </w:r>
      <w:proofErr w:type="spellEnd"/>
      <w:r w:rsidRPr="00A81373">
        <w:t xml:space="preserve">, M. (2025). </w:t>
      </w:r>
      <w:r w:rsidRPr="00A81373">
        <w:rPr>
          <w:i/>
          <w:iCs/>
        </w:rPr>
        <w:t>What Businesses Can Learn From Hotels’ Response To Economic Shocks</w:t>
      </w:r>
      <w:r w:rsidRPr="00A81373">
        <w:t>. [online] Forbes. Available at: https://www.forbes.com/councils/forbestechcouncil/2025/06/18/resilience-under-pressure-what-businesses-can-learn-from-hotels-response-to-economic-shocks/.</w:t>
      </w:r>
    </w:p>
    <w:p w14:paraId="3153F59A" w14:textId="77777777" w:rsidR="0098119B" w:rsidRPr="00A81373" w:rsidRDefault="0098119B" w:rsidP="00F23F38">
      <w:pPr>
        <w:pStyle w:val="NormalWeb"/>
        <w:spacing w:before="0" w:beforeAutospacing="0" w:after="240" w:afterAutospacing="0" w:line="360" w:lineRule="auto"/>
        <w:ind w:left="720" w:hanging="720"/>
      </w:pPr>
      <w:r w:rsidRPr="00A81373">
        <w:t xml:space="preserve">International Monetary Fund (2023). </w:t>
      </w:r>
      <w:r w:rsidRPr="00A81373">
        <w:rPr>
          <w:i/>
          <w:iCs/>
        </w:rPr>
        <w:t>Cost Of Living Crisis | IMF Annual Report 2023</w:t>
      </w:r>
      <w:r w:rsidRPr="00A81373">
        <w:t>. [online] www.imf.org. Available at: https://www.imf.org/external/pubs/ft/ar/2023/in-focus/cost-of-living-crisis/.</w:t>
      </w:r>
    </w:p>
    <w:p w14:paraId="7D01EAF6" w14:textId="77777777" w:rsidR="0098119B" w:rsidRPr="00A81373" w:rsidRDefault="0098119B" w:rsidP="00F23F38">
      <w:pPr>
        <w:pStyle w:val="NormalWeb"/>
        <w:spacing w:before="0" w:beforeAutospacing="0" w:after="240" w:afterAutospacing="0" w:line="360" w:lineRule="auto"/>
        <w:ind w:left="720" w:hanging="720"/>
      </w:pPr>
      <w:r w:rsidRPr="00A81373">
        <w:t xml:space="preserve">Khan, A.H. (2024). </w:t>
      </w:r>
      <w:r w:rsidRPr="00A81373">
        <w:rPr>
          <w:i/>
          <w:iCs/>
        </w:rPr>
        <w:t>Unpacking inflation and wage crisis in Pakistan</w:t>
      </w:r>
      <w:r w:rsidRPr="00A81373">
        <w:t>. [online] DAWN.COM. Available at: https://www.dawn.com/news/1845947.</w:t>
      </w:r>
    </w:p>
    <w:p w14:paraId="4D9FCD49" w14:textId="77777777" w:rsidR="0098119B" w:rsidRPr="00A81373" w:rsidRDefault="0098119B" w:rsidP="00F23F38">
      <w:pPr>
        <w:pStyle w:val="NormalWeb"/>
        <w:spacing w:before="0" w:beforeAutospacing="0" w:after="240" w:afterAutospacing="0" w:line="360" w:lineRule="auto"/>
        <w:ind w:left="720" w:hanging="720"/>
      </w:pPr>
      <w:r w:rsidRPr="00A81373">
        <w:t xml:space="preserve">Kou, Y., Chen, H., Liu, K. and Xu, H. (2023). Multinational Corporations and Technological Innovation Development of China’s High-Tech Industries: A Heterogeneity-Based Threshold Effect Analysis. </w:t>
      </w:r>
      <w:r w:rsidRPr="00A81373">
        <w:rPr>
          <w:i/>
          <w:iCs/>
        </w:rPr>
        <w:t>Sustainability</w:t>
      </w:r>
      <w:r w:rsidRPr="00A81373">
        <w:t xml:space="preserve">, [online] 15(9), p.7089. </w:t>
      </w:r>
      <w:proofErr w:type="spellStart"/>
      <w:r w:rsidRPr="00A81373">
        <w:t>doi:https</w:t>
      </w:r>
      <w:proofErr w:type="spellEnd"/>
      <w:r w:rsidRPr="00A81373">
        <w:t>://doi.org/10.3390/su15097089.</w:t>
      </w:r>
    </w:p>
    <w:p w14:paraId="06935558" w14:textId="77777777" w:rsidR="0098119B" w:rsidRPr="00A81373" w:rsidRDefault="0098119B" w:rsidP="00F23F38">
      <w:pPr>
        <w:pStyle w:val="NormalWeb"/>
        <w:spacing w:before="0" w:beforeAutospacing="0" w:after="240" w:afterAutospacing="0" w:line="360" w:lineRule="auto"/>
        <w:ind w:left="720" w:hanging="720"/>
      </w:pPr>
      <w:r w:rsidRPr="00A81373">
        <w:t xml:space="preserve">KPMG (2023). </w:t>
      </w:r>
      <w:r w:rsidRPr="00A81373">
        <w:rPr>
          <w:i/>
          <w:iCs/>
        </w:rPr>
        <w:t>Build a cost efficiency strategy that drives growth and value</w:t>
      </w:r>
      <w:r w:rsidRPr="00A81373">
        <w:t>. [online] kpmg.com. Available at: https://kpmg.com/us/en/articles/2023/cost-efficiency-strategy.html.</w:t>
      </w:r>
    </w:p>
    <w:p w14:paraId="5D3DD30E" w14:textId="77777777" w:rsidR="0098119B" w:rsidRPr="00A81373" w:rsidRDefault="0098119B" w:rsidP="00F23F38">
      <w:pPr>
        <w:pStyle w:val="NormalWeb"/>
        <w:spacing w:before="0" w:beforeAutospacing="0" w:after="240" w:afterAutospacing="0" w:line="360" w:lineRule="auto"/>
        <w:ind w:left="720" w:hanging="720"/>
      </w:pPr>
      <w:r w:rsidRPr="00A81373">
        <w:t xml:space="preserve">Liu, Z., Chen, J.-K. and Xiao, J.J. (2025). Financial resilience: a scoping review, conceptual synthesis and theoretical framework. </w:t>
      </w:r>
      <w:r w:rsidRPr="00A81373">
        <w:rPr>
          <w:i/>
          <w:iCs/>
        </w:rPr>
        <w:t>International Journal of Bank Marketing</w:t>
      </w:r>
      <w:r w:rsidRPr="00A81373">
        <w:t xml:space="preserve">. </w:t>
      </w:r>
      <w:proofErr w:type="spellStart"/>
      <w:r w:rsidRPr="00A81373">
        <w:t>doi:https</w:t>
      </w:r>
      <w:proofErr w:type="spellEnd"/>
      <w:r w:rsidRPr="00A81373">
        <w:t>://doi.org/10.1108/ijbm-12-2024-0735.</w:t>
      </w:r>
    </w:p>
    <w:p w14:paraId="27D6A1DF" w14:textId="77777777" w:rsidR="0098119B" w:rsidRPr="00A81373" w:rsidRDefault="0098119B" w:rsidP="00F23F38">
      <w:pPr>
        <w:pStyle w:val="NormalWeb"/>
        <w:spacing w:before="0" w:beforeAutospacing="0" w:after="240" w:afterAutospacing="0" w:line="360" w:lineRule="auto"/>
        <w:ind w:left="720" w:hanging="720"/>
      </w:pPr>
      <w:r w:rsidRPr="00A81373">
        <w:t xml:space="preserve">Mitchell, E. (2025). A Qualitative Study of the Impacts of Globalization on Supply Chains in Conventional Italian Restaurants. [online] </w:t>
      </w:r>
      <w:proofErr w:type="spellStart"/>
      <w:r w:rsidRPr="00A81373">
        <w:t>doi:https</w:t>
      </w:r>
      <w:proofErr w:type="spellEnd"/>
      <w:r w:rsidRPr="00A81373">
        <w:t>://doi.org/10.2139/ssrn.5079269.</w:t>
      </w:r>
    </w:p>
    <w:p w14:paraId="700C9D0F"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Owusu</w:t>
      </w:r>
      <w:proofErr w:type="spellEnd"/>
      <w:r w:rsidRPr="00A81373">
        <w:t xml:space="preserve">, J., </w:t>
      </w:r>
      <w:proofErr w:type="spellStart"/>
      <w:r w:rsidRPr="00A81373">
        <w:t>Owusu</w:t>
      </w:r>
      <w:proofErr w:type="spellEnd"/>
      <w:r w:rsidRPr="00A81373">
        <w:t xml:space="preserve"> </w:t>
      </w:r>
      <w:proofErr w:type="spellStart"/>
      <w:r w:rsidRPr="00A81373">
        <w:t>Ansah</w:t>
      </w:r>
      <w:proofErr w:type="spellEnd"/>
      <w:r w:rsidRPr="00A81373">
        <w:t xml:space="preserve">, W., </w:t>
      </w:r>
      <w:proofErr w:type="spellStart"/>
      <w:r w:rsidRPr="00A81373">
        <w:t>Djan</w:t>
      </w:r>
      <w:proofErr w:type="spellEnd"/>
      <w:r w:rsidRPr="00A81373">
        <w:t xml:space="preserve">, K.O. and </w:t>
      </w:r>
      <w:proofErr w:type="spellStart"/>
      <w:r w:rsidRPr="00A81373">
        <w:t>Anin</w:t>
      </w:r>
      <w:proofErr w:type="spellEnd"/>
      <w:r w:rsidRPr="00A81373">
        <w:t xml:space="preserve">, E.K. (2021). Impact of financial resource building effort on financial resource availability among small and medium enterprises. </w:t>
      </w:r>
      <w:r w:rsidRPr="00A81373">
        <w:rPr>
          <w:i/>
          <w:iCs/>
        </w:rPr>
        <w:t>Cogent Business &amp; Management</w:t>
      </w:r>
      <w:r w:rsidRPr="00A81373">
        <w:t>, 8(1), p.1920676.</w:t>
      </w:r>
    </w:p>
    <w:p w14:paraId="2EF2395E" w14:textId="77777777" w:rsidR="0098119B" w:rsidRPr="00A81373" w:rsidRDefault="0098119B" w:rsidP="00F23F38">
      <w:pPr>
        <w:pStyle w:val="NormalWeb"/>
        <w:spacing w:before="0" w:beforeAutospacing="0" w:after="240" w:afterAutospacing="0" w:line="360" w:lineRule="auto"/>
        <w:ind w:left="720" w:hanging="720"/>
      </w:pPr>
      <w:r w:rsidRPr="00A81373">
        <w:t xml:space="preserve">PWC (2025). </w:t>
      </w:r>
      <w:r w:rsidRPr="00A81373">
        <w:rPr>
          <w:i/>
          <w:iCs/>
        </w:rPr>
        <w:t>A new recipe for the food industry</w:t>
      </w:r>
      <w:r w:rsidRPr="00A81373">
        <w:t>. [online] Available at: https://www.pwc.com/gx/en/issues/c-suite-insights/pwc-voice-of-the-consumer-survey-2025.pdf.</w:t>
      </w:r>
    </w:p>
    <w:p w14:paraId="1D8F9ACD"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Şengel</w:t>
      </w:r>
      <w:proofErr w:type="spellEnd"/>
      <w:r w:rsidRPr="00A81373">
        <w:t xml:space="preserve">, Ü., </w:t>
      </w:r>
      <w:proofErr w:type="spellStart"/>
      <w:r w:rsidRPr="00A81373">
        <w:t>Işkın</w:t>
      </w:r>
      <w:proofErr w:type="spellEnd"/>
      <w:r w:rsidRPr="00A81373">
        <w:t xml:space="preserve">, M., </w:t>
      </w:r>
      <w:proofErr w:type="spellStart"/>
      <w:r w:rsidRPr="00A81373">
        <w:t>Çevrimkaya</w:t>
      </w:r>
      <w:proofErr w:type="spellEnd"/>
      <w:r w:rsidRPr="00A81373">
        <w:t xml:space="preserve">, M. and </w:t>
      </w:r>
      <w:proofErr w:type="spellStart"/>
      <w:r w:rsidRPr="00A81373">
        <w:t>Genç</w:t>
      </w:r>
      <w:proofErr w:type="spellEnd"/>
      <w:r w:rsidRPr="00A81373">
        <w:t xml:space="preserve">, G. (2022). Fiscal and monetary policies supporting the tourism industry during COVID-19. </w:t>
      </w:r>
      <w:r w:rsidRPr="00A81373">
        <w:rPr>
          <w:i/>
          <w:iCs/>
        </w:rPr>
        <w:t>Journal of Hospitality and Tourism Insights</w:t>
      </w:r>
      <w:r w:rsidRPr="00A81373">
        <w:t xml:space="preserve">, ahead-of-print(ahead-of-print). </w:t>
      </w:r>
      <w:proofErr w:type="spellStart"/>
      <w:r w:rsidRPr="00A81373">
        <w:t>doi:https</w:t>
      </w:r>
      <w:proofErr w:type="spellEnd"/>
      <w:r w:rsidRPr="00A81373">
        <w:t>://doi.org/10.1108/jhti-08-2021-0209.</w:t>
      </w:r>
    </w:p>
    <w:p w14:paraId="2932612C" w14:textId="77777777" w:rsidR="0098119B" w:rsidRPr="00A81373" w:rsidRDefault="0098119B" w:rsidP="00F23F38">
      <w:pPr>
        <w:pStyle w:val="NormalWeb"/>
        <w:spacing w:before="0" w:beforeAutospacing="0" w:after="240" w:afterAutospacing="0" w:line="360" w:lineRule="auto"/>
        <w:ind w:left="720" w:hanging="720"/>
      </w:pPr>
      <w:r w:rsidRPr="00A81373">
        <w:t xml:space="preserve">Singh, A. and </w:t>
      </w:r>
      <w:proofErr w:type="spellStart"/>
      <w:r w:rsidRPr="00A81373">
        <w:t>Shuaibu</w:t>
      </w:r>
      <w:proofErr w:type="spellEnd"/>
      <w:r w:rsidRPr="00A81373">
        <w:t xml:space="preserve"> </w:t>
      </w:r>
      <w:proofErr w:type="spellStart"/>
      <w:r w:rsidRPr="00A81373">
        <w:t>Chiroma</w:t>
      </w:r>
      <w:proofErr w:type="spellEnd"/>
      <w:r w:rsidRPr="00A81373">
        <w:t xml:space="preserve"> Hassan (2024). Identifying the Skill Gap in the Workplace and Their Challenges in Hospitality and Tourism </w:t>
      </w:r>
      <w:proofErr w:type="spellStart"/>
      <w:r w:rsidRPr="00A81373">
        <w:t>Organisations</w:t>
      </w:r>
      <w:proofErr w:type="spellEnd"/>
      <w:r w:rsidRPr="00A81373">
        <w:t xml:space="preserve">. </w:t>
      </w:r>
      <w:r w:rsidRPr="00A81373">
        <w:rPr>
          <w:i/>
          <w:iCs/>
        </w:rPr>
        <w:t>Contemporary studies in economic and financial analysis</w:t>
      </w:r>
      <w:r w:rsidRPr="00A81373">
        <w:t xml:space="preserve">, pp.101–114. </w:t>
      </w:r>
      <w:proofErr w:type="spellStart"/>
      <w:r w:rsidRPr="00A81373">
        <w:t>doi:https</w:t>
      </w:r>
      <w:proofErr w:type="spellEnd"/>
      <w:r w:rsidRPr="00A81373">
        <w:t>://doi.org/10.1108/s1569-37592024000112b006.</w:t>
      </w:r>
    </w:p>
    <w:p w14:paraId="0CC69F64" w14:textId="77777777" w:rsidR="0098119B" w:rsidRPr="00A81373" w:rsidRDefault="0098119B" w:rsidP="00F23F38">
      <w:pPr>
        <w:pStyle w:val="NormalWeb"/>
        <w:spacing w:before="0" w:beforeAutospacing="0" w:after="240" w:afterAutospacing="0" w:line="360" w:lineRule="auto"/>
        <w:ind w:left="720" w:hanging="720"/>
      </w:pPr>
      <w:r w:rsidRPr="00A81373">
        <w:t xml:space="preserve">Smart Edward </w:t>
      </w:r>
      <w:proofErr w:type="spellStart"/>
      <w:r w:rsidRPr="00A81373">
        <w:t>Amanfo</w:t>
      </w:r>
      <w:proofErr w:type="spellEnd"/>
      <w:r w:rsidRPr="00A81373">
        <w:t xml:space="preserve"> and </w:t>
      </w:r>
      <w:proofErr w:type="spellStart"/>
      <w:r w:rsidRPr="00A81373">
        <w:t>Puthenkalam</w:t>
      </w:r>
      <w:proofErr w:type="spellEnd"/>
      <w:r w:rsidRPr="00A81373">
        <w:t xml:space="preserve">, J.J. (2024). Perspective Chapter: The Regime Matters – A Multidisciplinary Perspective on Energy Security in the Era of Climate Change and Growing Uncertainties for Resilience in Sustainable Energy Development. </w:t>
      </w:r>
      <w:proofErr w:type="spellStart"/>
      <w:r w:rsidRPr="00A81373">
        <w:rPr>
          <w:i/>
          <w:iCs/>
        </w:rPr>
        <w:t>IntechOpen</w:t>
      </w:r>
      <w:proofErr w:type="spellEnd"/>
      <w:r w:rsidRPr="00A81373">
        <w:rPr>
          <w:i/>
          <w:iCs/>
        </w:rPr>
        <w:t xml:space="preserve"> eBooks</w:t>
      </w:r>
      <w:r w:rsidRPr="00A81373">
        <w:t xml:space="preserve">. [online] </w:t>
      </w:r>
      <w:proofErr w:type="spellStart"/>
      <w:r w:rsidRPr="00A81373">
        <w:t>doi:https</w:t>
      </w:r>
      <w:proofErr w:type="spellEnd"/>
      <w:r w:rsidRPr="00A81373">
        <w:t>://doi.org/10.5772/intechopen.1003092.</w:t>
      </w:r>
    </w:p>
    <w:p w14:paraId="3ADD80F7"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Sowels</w:t>
      </w:r>
      <w:proofErr w:type="spellEnd"/>
      <w:r w:rsidRPr="00A81373">
        <w:t xml:space="preserve">, N. (2022). </w:t>
      </w:r>
      <w:r w:rsidRPr="00A81373">
        <w:rPr>
          <w:i/>
          <w:iCs/>
        </w:rPr>
        <w:t>The ”Great Resignation”: the Changing Wage-Nexus in the United States and the United Kingdom after the Covid-19 Pandemic</w:t>
      </w:r>
      <w:r w:rsidRPr="00A81373">
        <w:t xml:space="preserve">. [online] HAL Archives </w:t>
      </w:r>
      <w:proofErr w:type="spellStart"/>
      <w:r w:rsidRPr="00A81373">
        <w:t>Ouvertes</w:t>
      </w:r>
      <w:proofErr w:type="spellEnd"/>
      <w:r w:rsidRPr="00A81373">
        <w:t>. Available at: https://hal.science/hal-04172216/.</w:t>
      </w:r>
    </w:p>
    <w:p w14:paraId="5EA96210"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Stiglitz</w:t>
      </w:r>
      <w:proofErr w:type="spellEnd"/>
      <w:r w:rsidRPr="00A81373">
        <w:t xml:space="preserve">, J.E. and </w:t>
      </w:r>
      <w:proofErr w:type="spellStart"/>
      <w:r w:rsidRPr="00A81373">
        <w:t>Regmi</w:t>
      </w:r>
      <w:proofErr w:type="spellEnd"/>
      <w:r w:rsidRPr="00A81373">
        <w:t xml:space="preserve">, I. (2023). The causes of and responses to today’s inflation. </w:t>
      </w:r>
      <w:r w:rsidRPr="00A81373">
        <w:rPr>
          <w:i/>
          <w:iCs/>
        </w:rPr>
        <w:t>Industrial and Corporate Change</w:t>
      </w:r>
      <w:r w:rsidRPr="00A81373">
        <w:t xml:space="preserve">, 32(2). </w:t>
      </w:r>
      <w:proofErr w:type="spellStart"/>
      <w:r w:rsidRPr="00A81373">
        <w:t>doi:https</w:t>
      </w:r>
      <w:proofErr w:type="spellEnd"/>
      <w:r w:rsidRPr="00A81373">
        <w:t>://doi.org/10.1093/icc/dtad009.</w:t>
      </w:r>
    </w:p>
    <w:p w14:paraId="2323F3F4" w14:textId="77777777" w:rsidR="0098119B" w:rsidRPr="00A81373" w:rsidRDefault="0098119B" w:rsidP="00F23F38">
      <w:pPr>
        <w:pStyle w:val="NormalWeb"/>
        <w:spacing w:before="0" w:beforeAutospacing="0" w:after="240" w:afterAutospacing="0" w:line="360" w:lineRule="auto"/>
        <w:ind w:left="720" w:hanging="720"/>
      </w:pPr>
      <w:r w:rsidRPr="00A81373">
        <w:t xml:space="preserve">Wan </w:t>
      </w:r>
      <w:proofErr w:type="spellStart"/>
      <w:r w:rsidRPr="00A81373">
        <w:t>Mohd</w:t>
      </w:r>
      <w:proofErr w:type="spellEnd"/>
      <w:r w:rsidRPr="00A81373">
        <w:t xml:space="preserve"> Zain, W.M.A., </w:t>
      </w:r>
      <w:proofErr w:type="spellStart"/>
      <w:r w:rsidRPr="00A81373">
        <w:t>Azinuddin</w:t>
      </w:r>
      <w:proofErr w:type="spellEnd"/>
      <w:r w:rsidRPr="00A81373">
        <w:t xml:space="preserve">, M., </w:t>
      </w:r>
      <w:proofErr w:type="spellStart"/>
      <w:r w:rsidRPr="00A81373">
        <w:t>Mior</w:t>
      </w:r>
      <w:proofErr w:type="spellEnd"/>
      <w:r w:rsidRPr="00A81373">
        <w:t xml:space="preserve"> </w:t>
      </w:r>
      <w:proofErr w:type="spellStart"/>
      <w:r w:rsidRPr="00A81373">
        <w:t>Sharifuddin</w:t>
      </w:r>
      <w:proofErr w:type="spellEnd"/>
      <w:r w:rsidRPr="00A81373">
        <w:t xml:space="preserve">, N.S. and Ab. Ghani, H.H. (2023). CAPITALISING LOCAL FOOD FOR GASTRO-TOURISM DEVELOPMENT. </w:t>
      </w:r>
      <w:r w:rsidRPr="00A81373">
        <w:rPr>
          <w:i/>
          <w:iCs/>
        </w:rPr>
        <w:t>PLANNING MALAYSIA</w:t>
      </w:r>
      <w:r w:rsidRPr="00A81373">
        <w:t xml:space="preserve">, 21. </w:t>
      </w:r>
      <w:proofErr w:type="spellStart"/>
      <w:r w:rsidRPr="00A81373">
        <w:t>doi:https</w:t>
      </w:r>
      <w:proofErr w:type="spellEnd"/>
      <w:r w:rsidRPr="00A81373">
        <w:t>://doi.org/10.21837/pm.v21i25.1231.</w:t>
      </w:r>
    </w:p>
    <w:p w14:paraId="35529FF3" w14:textId="77777777" w:rsidR="0098119B" w:rsidRPr="00A81373" w:rsidRDefault="0098119B" w:rsidP="00F23F38">
      <w:pPr>
        <w:pStyle w:val="NormalWeb"/>
        <w:spacing w:before="0" w:beforeAutospacing="0" w:after="240" w:afterAutospacing="0" w:line="360" w:lineRule="auto"/>
        <w:ind w:left="720" w:hanging="720"/>
      </w:pPr>
      <w:r w:rsidRPr="00A81373">
        <w:t xml:space="preserve">Wang, P., </w:t>
      </w:r>
      <w:proofErr w:type="spellStart"/>
      <w:r w:rsidRPr="00A81373">
        <w:t>Kinnucan</w:t>
      </w:r>
      <w:proofErr w:type="spellEnd"/>
      <w:r w:rsidRPr="00A81373">
        <w:t xml:space="preserve">, H.W. and Duffy, P.A. (2019). The effects of rising </w:t>
      </w:r>
      <w:proofErr w:type="spellStart"/>
      <w:r w:rsidRPr="00A81373">
        <w:t>labour</w:t>
      </w:r>
      <w:proofErr w:type="spellEnd"/>
      <w:r w:rsidRPr="00A81373">
        <w:t xml:space="preserve"> costs on global supply chains: the case of China’s cotton yarn industry. </w:t>
      </w:r>
      <w:r w:rsidRPr="00A81373">
        <w:rPr>
          <w:i/>
          <w:iCs/>
        </w:rPr>
        <w:t>Applied Economics</w:t>
      </w:r>
      <w:r w:rsidRPr="00A81373">
        <w:t xml:space="preserve">, 51(33), pp.3608–3623. </w:t>
      </w:r>
      <w:proofErr w:type="spellStart"/>
      <w:r w:rsidRPr="00A81373">
        <w:t>doi:https</w:t>
      </w:r>
      <w:proofErr w:type="spellEnd"/>
      <w:r w:rsidRPr="00A81373">
        <w:t>://doi.org/10.1080/00036846.2019.1584372.</w:t>
      </w:r>
    </w:p>
    <w:p w14:paraId="3DCEEB9E" w14:textId="77777777" w:rsidR="0098119B" w:rsidRPr="00A81373" w:rsidRDefault="0098119B" w:rsidP="00F23F38">
      <w:pPr>
        <w:pStyle w:val="NormalWeb"/>
        <w:spacing w:before="0" w:beforeAutospacing="0" w:after="240" w:afterAutospacing="0" w:line="360" w:lineRule="auto"/>
        <w:ind w:left="720" w:hanging="720"/>
      </w:pPr>
      <w:proofErr w:type="spellStart"/>
      <w:r w:rsidRPr="00A81373">
        <w:t>Xheni</w:t>
      </w:r>
      <w:proofErr w:type="spellEnd"/>
      <w:r w:rsidRPr="00A81373">
        <w:t xml:space="preserve"> </w:t>
      </w:r>
      <w:proofErr w:type="spellStart"/>
      <w:r w:rsidRPr="00A81373">
        <w:t>Rusi</w:t>
      </w:r>
      <w:proofErr w:type="spellEnd"/>
      <w:r w:rsidRPr="00A81373">
        <w:t xml:space="preserve"> and </w:t>
      </w:r>
      <w:proofErr w:type="spellStart"/>
      <w:r w:rsidRPr="00A81373">
        <w:t>Bastien</w:t>
      </w:r>
      <w:proofErr w:type="spellEnd"/>
      <w:r w:rsidRPr="00A81373">
        <w:t xml:space="preserve"> </w:t>
      </w:r>
      <w:proofErr w:type="spellStart"/>
      <w:r w:rsidRPr="00A81373">
        <w:t>Viollet</w:t>
      </w:r>
      <w:proofErr w:type="spellEnd"/>
      <w:r w:rsidRPr="00A81373">
        <w:t xml:space="preserve"> (2024). </w:t>
      </w:r>
      <w:r w:rsidRPr="00A81373">
        <w:rPr>
          <w:i/>
          <w:iCs/>
        </w:rPr>
        <w:t>Factors Affecting Employee Turnover: A Systematic Literature Review</w:t>
      </w:r>
      <w:r w:rsidRPr="00A81373">
        <w:t xml:space="preserve">. [online] </w:t>
      </w:r>
      <w:proofErr w:type="spellStart"/>
      <w:r w:rsidRPr="00A81373">
        <w:t>ResearchGate</w:t>
      </w:r>
      <w:proofErr w:type="spellEnd"/>
      <w:r w:rsidRPr="00A81373">
        <w:t>. Available at: https://www.researchgate.net/publication/383741842_Factors_Affecting_Employee_Turnover_A_Systematic_Literature_Review.</w:t>
      </w:r>
    </w:p>
    <w:p w14:paraId="4631EB08" w14:textId="77777777" w:rsidR="0098119B" w:rsidRPr="00A81373" w:rsidRDefault="0098119B" w:rsidP="00F23F38">
      <w:pPr>
        <w:pStyle w:val="NormalWeb"/>
        <w:spacing w:before="0" w:beforeAutospacing="0" w:after="240" w:afterAutospacing="0" w:line="360" w:lineRule="auto"/>
        <w:ind w:left="720" w:hanging="720"/>
      </w:pPr>
      <w:r w:rsidRPr="00A81373">
        <w:t xml:space="preserve">Yagi, M. and </w:t>
      </w:r>
      <w:proofErr w:type="spellStart"/>
      <w:r w:rsidRPr="00A81373">
        <w:t>Managi</w:t>
      </w:r>
      <w:proofErr w:type="spellEnd"/>
      <w:r w:rsidRPr="00A81373">
        <w:t xml:space="preserve">, S. (2023). The spillover effects of rising energy prices following 2022 Russian invasion of Ukraine. </w:t>
      </w:r>
      <w:r w:rsidRPr="00A81373">
        <w:rPr>
          <w:i/>
          <w:iCs/>
        </w:rPr>
        <w:t>Economic Analysis and Policy</w:t>
      </w:r>
      <w:r w:rsidRPr="00A81373">
        <w:t xml:space="preserve">, 77(77), pp.680–695. </w:t>
      </w:r>
      <w:proofErr w:type="spellStart"/>
      <w:r w:rsidRPr="00A81373">
        <w:t>doi:https</w:t>
      </w:r>
      <w:proofErr w:type="spellEnd"/>
      <w:r w:rsidRPr="00A81373">
        <w:t>://doi.org/10.1016/j.eap.2022.12.025.</w:t>
      </w:r>
    </w:p>
    <w:p w14:paraId="04127B8F" w14:textId="77777777" w:rsidR="0098119B" w:rsidRPr="00A81373" w:rsidRDefault="0098119B" w:rsidP="00F23F38">
      <w:pPr>
        <w:pStyle w:val="NormalWeb"/>
        <w:spacing w:before="0" w:beforeAutospacing="0" w:after="240" w:afterAutospacing="0" w:line="360" w:lineRule="auto"/>
        <w:ind w:left="720" w:hanging="720"/>
      </w:pPr>
      <w:r w:rsidRPr="00A81373">
        <w:t xml:space="preserve">Yeoman, I. (2024a). Furthering the science of revenue management. </w:t>
      </w:r>
      <w:r w:rsidRPr="00A81373">
        <w:rPr>
          <w:i/>
          <w:iCs/>
        </w:rPr>
        <w:t>Journal of revenue and pricing management</w:t>
      </w:r>
      <w:r w:rsidRPr="00A81373">
        <w:t xml:space="preserve">, 23(2), pp.81–82. </w:t>
      </w:r>
      <w:proofErr w:type="spellStart"/>
      <w:r w:rsidRPr="00A81373">
        <w:t>doi:https</w:t>
      </w:r>
      <w:proofErr w:type="spellEnd"/>
      <w:r w:rsidRPr="00A81373">
        <w:t>://doi.org/10.1057/s41272-024-00476-8.</w:t>
      </w:r>
    </w:p>
    <w:p w14:paraId="541AD4C5" w14:textId="77777777" w:rsidR="0098119B" w:rsidRPr="00A81373" w:rsidRDefault="0098119B" w:rsidP="00F23F38">
      <w:pPr>
        <w:pStyle w:val="NormalWeb"/>
        <w:spacing w:before="0" w:beforeAutospacing="0" w:after="240" w:afterAutospacing="0" w:line="360" w:lineRule="auto"/>
        <w:ind w:left="720" w:hanging="720"/>
      </w:pPr>
      <w:r w:rsidRPr="00A81373">
        <w:t xml:space="preserve">Yeoman, I. (2024b). Furthering the science of revenue management. </w:t>
      </w:r>
      <w:r w:rsidRPr="00A81373">
        <w:rPr>
          <w:i/>
          <w:iCs/>
        </w:rPr>
        <w:t>Journal of revenue and pricing management</w:t>
      </w:r>
      <w:r w:rsidRPr="00A81373">
        <w:t xml:space="preserve">, 23(2), pp.81–82. </w:t>
      </w:r>
      <w:proofErr w:type="spellStart"/>
      <w:r w:rsidRPr="00A81373">
        <w:t>doi:https</w:t>
      </w:r>
      <w:proofErr w:type="spellEnd"/>
      <w:r w:rsidRPr="00A81373">
        <w:t>://doi.org/10.1057/s41272-024-00476-8.</w:t>
      </w:r>
    </w:p>
    <w:p w14:paraId="2C30C044" w14:textId="77777777" w:rsidR="00B20594" w:rsidRPr="00A81373" w:rsidRDefault="00B20594" w:rsidP="00F23F38">
      <w:pPr>
        <w:pStyle w:val="NormalWeb"/>
        <w:spacing w:after="240" w:line="360" w:lineRule="auto"/>
        <w:ind w:left="720" w:hanging="720"/>
      </w:pPr>
      <w:r w:rsidRPr="00A81373">
        <w:t xml:space="preserve">Fan, D. X., </w:t>
      </w:r>
      <w:proofErr w:type="spellStart"/>
      <w:r w:rsidRPr="00A81373">
        <w:t>Theofanous</w:t>
      </w:r>
      <w:proofErr w:type="spellEnd"/>
      <w:r w:rsidRPr="00A81373">
        <w:t xml:space="preserve">, G., </w:t>
      </w:r>
      <w:proofErr w:type="spellStart"/>
      <w:r w:rsidRPr="00A81373">
        <w:t>Bozat</w:t>
      </w:r>
      <w:proofErr w:type="spellEnd"/>
      <w:r w:rsidRPr="00A81373">
        <w:t xml:space="preserve">, M., </w:t>
      </w:r>
      <w:proofErr w:type="spellStart"/>
      <w:r w:rsidRPr="00A81373">
        <w:t>Efthymiou</w:t>
      </w:r>
      <w:proofErr w:type="spellEnd"/>
      <w:r w:rsidRPr="00A81373">
        <w:t xml:space="preserve">, L., </w:t>
      </w:r>
      <w:proofErr w:type="spellStart"/>
      <w:r w:rsidRPr="00A81373">
        <w:t>Thrassou</w:t>
      </w:r>
      <w:proofErr w:type="spellEnd"/>
      <w:r w:rsidRPr="00A81373">
        <w:t xml:space="preserve">, A., &amp; </w:t>
      </w:r>
      <w:proofErr w:type="spellStart"/>
      <w:r w:rsidRPr="00A81373">
        <w:t>Vrontis</w:t>
      </w:r>
      <w:proofErr w:type="spellEnd"/>
      <w:r w:rsidRPr="00A81373">
        <w:t xml:space="preserve">, D. (2025). Elucidating Strategies for Global Tourism and Hospitality Resilience: A systematic Literature Review. </w:t>
      </w:r>
      <w:r w:rsidRPr="00A81373">
        <w:rPr>
          <w:i/>
          <w:iCs/>
        </w:rPr>
        <w:t>Palgrave Intersections of Business and the Sciences, in Association with Gnosis Mediterranean Institute for Management Science</w:t>
      </w:r>
      <w:r w:rsidRPr="00A81373">
        <w:t>, 299–342. https://doi.org/10.1007/978-3-031-92405-7_11</w:t>
      </w:r>
    </w:p>
    <w:p w14:paraId="654CB1AA" w14:textId="77777777" w:rsidR="00B20594" w:rsidRPr="00B20594" w:rsidRDefault="00B20594" w:rsidP="00F23F38">
      <w:pPr>
        <w:pStyle w:val="NormalWeb"/>
        <w:spacing w:after="240" w:line="360" w:lineRule="auto"/>
        <w:ind w:left="720" w:hanging="720"/>
      </w:pPr>
      <w:r w:rsidRPr="00A81373">
        <w:t xml:space="preserve">Newman, A., Ferrer, J., Andresen, M., &amp; Zhang, Y. (2023). Human resource management in times of crisis: what have we learnt from the recent pandemic? </w:t>
      </w:r>
      <w:r w:rsidRPr="00A81373">
        <w:rPr>
          <w:i/>
          <w:iCs/>
        </w:rPr>
        <w:t>The International Journal of Human Resource Management</w:t>
      </w:r>
      <w:r w:rsidRPr="00A81373">
        <w:t xml:space="preserve">, </w:t>
      </w:r>
      <w:r w:rsidRPr="00A81373">
        <w:rPr>
          <w:i/>
          <w:iCs/>
        </w:rPr>
        <w:t>34</w:t>
      </w:r>
      <w:r w:rsidRPr="00A81373">
        <w:t>(15), 1–19.</w:t>
      </w:r>
    </w:p>
    <w:p w14:paraId="7403616A" w14:textId="77777777" w:rsidR="00B20594" w:rsidRDefault="00B20594" w:rsidP="00812B2E">
      <w:pPr>
        <w:pStyle w:val="NormalWeb"/>
        <w:spacing w:before="0" w:beforeAutospacing="0" w:after="240" w:afterAutospacing="0" w:line="360" w:lineRule="auto"/>
      </w:pPr>
    </w:p>
    <w:sectPr w:rsidR="00B2059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7DA63" w14:textId="77777777" w:rsidR="00554820" w:rsidRDefault="00554820" w:rsidP="0008438D">
      <w:pPr>
        <w:spacing w:line="240" w:lineRule="auto"/>
      </w:pPr>
      <w:r>
        <w:separator/>
      </w:r>
    </w:p>
  </w:endnote>
  <w:endnote w:type="continuationSeparator" w:id="0">
    <w:p w14:paraId="348D93CA" w14:textId="77777777" w:rsidR="00554820" w:rsidRDefault="00554820" w:rsidP="000843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83496" w14:textId="77777777" w:rsidR="00554820" w:rsidRDefault="00554820" w:rsidP="0008438D">
      <w:pPr>
        <w:spacing w:line="240" w:lineRule="auto"/>
      </w:pPr>
      <w:r>
        <w:separator/>
      </w:r>
    </w:p>
  </w:footnote>
  <w:footnote w:type="continuationSeparator" w:id="0">
    <w:p w14:paraId="2DBD7CCC" w14:textId="77777777" w:rsidR="00554820" w:rsidRDefault="00554820" w:rsidP="000843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961530"/>
      <w:docPartObj>
        <w:docPartGallery w:val="Page Numbers (Top of Page)"/>
        <w:docPartUnique/>
      </w:docPartObj>
    </w:sdtPr>
    <w:sdtEndPr>
      <w:rPr>
        <w:noProof/>
      </w:rPr>
    </w:sdtEndPr>
    <w:sdtContent>
      <w:p w14:paraId="4CF3E3C9" w14:textId="310D23D6" w:rsidR="0008438D" w:rsidRDefault="0008438D">
        <w:pPr>
          <w:pStyle w:val="Header"/>
          <w:jc w:val="right"/>
        </w:pPr>
        <w:r>
          <w:fldChar w:fldCharType="begin"/>
        </w:r>
        <w:r>
          <w:instrText xml:space="preserve"> PAGE   \* MERGEFORMAT </w:instrText>
        </w:r>
        <w:r>
          <w:fldChar w:fldCharType="separate"/>
        </w:r>
        <w:r w:rsidR="00F23F38">
          <w:rPr>
            <w:noProof/>
          </w:rPr>
          <w:t>14</w:t>
        </w:r>
        <w:r>
          <w:rPr>
            <w:noProof/>
          </w:rPr>
          <w:fldChar w:fldCharType="end"/>
        </w:r>
      </w:p>
    </w:sdtContent>
  </w:sdt>
  <w:p w14:paraId="439DB414" w14:textId="77777777" w:rsidR="0008438D" w:rsidRDefault="000843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44BA8"/>
    <w:multiLevelType w:val="multilevel"/>
    <w:tmpl w:val="46466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FB0898"/>
    <w:multiLevelType w:val="multilevel"/>
    <w:tmpl w:val="2D56C478"/>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25849156">
    <w:abstractNumId w:val="1"/>
  </w:num>
  <w:num w:numId="2" w16cid:durableId="1019965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G1MLewNDQxM7IwMTJU0lEKTi0uzszPAykwrAUA95VfqywAAAA="/>
  </w:docVars>
  <w:rsids>
    <w:rsidRoot w:val="00930C05"/>
    <w:rsid w:val="00061388"/>
    <w:rsid w:val="000674F1"/>
    <w:rsid w:val="00075362"/>
    <w:rsid w:val="0008438D"/>
    <w:rsid w:val="00096FAC"/>
    <w:rsid w:val="00146A92"/>
    <w:rsid w:val="00191BB3"/>
    <w:rsid w:val="001D0083"/>
    <w:rsid w:val="001F3D2A"/>
    <w:rsid w:val="0033149A"/>
    <w:rsid w:val="00347254"/>
    <w:rsid w:val="003779FA"/>
    <w:rsid w:val="00384AB0"/>
    <w:rsid w:val="003B5486"/>
    <w:rsid w:val="0044657F"/>
    <w:rsid w:val="004707EE"/>
    <w:rsid w:val="0049330E"/>
    <w:rsid w:val="004A26B7"/>
    <w:rsid w:val="004D418F"/>
    <w:rsid w:val="00547660"/>
    <w:rsid w:val="00554820"/>
    <w:rsid w:val="006E4CFB"/>
    <w:rsid w:val="007116BF"/>
    <w:rsid w:val="00722093"/>
    <w:rsid w:val="007E7FD2"/>
    <w:rsid w:val="00812B2E"/>
    <w:rsid w:val="00825C8C"/>
    <w:rsid w:val="008328D3"/>
    <w:rsid w:val="00832BA0"/>
    <w:rsid w:val="008A0729"/>
    <w:rsid w:val="008A763B"/>
    <w:rsid w:val="008E09BB"/>
    <w:rsid w:val="008F095D"/>
    <w:rsid w:val="00917E7D"/>
    <w:rsid w:val="00930C05"/>
    <w:rsid w:val="0098119B"/>
    <w:rsid w:val="00984902"/>
    <w:rsid w:val="009A3065"/>
    <w:rsid w:val="009A34E3"/>
    <w:rsid w:val="00A01765"/>
    <w:rsid w:val="00A44BBD"/>
    <w:rsid w:val="00A618CA"/>
    <w:rsid w:val="00A81373"/>
    <w:rsid w:val="00AB5150"/>
    <w:rsid w:val="00B20594"/>
    <w:rsid w:val="00B20E42"/>
    <w:rsid w:val="00B7747C"/>
    <w:rsid w:val="00B93A07"/>
    <w:rsid w:val="00BA28EE"/>
    <w:rsid w:val="00BC1E5A"/>
    <w:rsid w:val="00BC2D76"/>
    <w:rsid w:val="00BC6A18"/>
    <w:rsid w:val="00C30F60"/>
    <w:rsid w:val="00C664D2"/>
    <w:rsid w:val="00CA0DF0"/>
    <w:rsid w:val="00D05B9D"/>
    <w:rsid w:val="00D2132A"/>
    <w:rsid w:val="00D81010"/>
    <w:rsid w:val="00D93588"/>
    <w:rsid w:val="00DB1FD1"/>
    <w:rsid w:val="00DB37EA"/>
    <w:rsid w:val="00E541C6"/>
    <w:rsid w:val="00E77385"/>
    <w:rsid w:val="00E77F73"/>
    <w:rsid w:val="00E94BF5"/>
    <w:rsid w:val="00ED57CC"/>
    <w:rsid w:val="00EE721E"/>
    <w:rsid w:val="00F14721"/>
    <w:rsid w:val="00F16A31"/>
    <w:rsid w:val="00F23F3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5AB6D"/>
  <w15:chartTrackingRefBased/>
  <w15:docId w15:val="{8DD5716A-2275-43E1-8471-41FCAEE40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C05"/>
    <w:pPr>
      <w:spacing w:after="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930C05"/>
    <w:pPr>
      <w:outlineLvl w:val="0"/>
    </w:pPr>
    <w:rPr>
      <w:b/>
    </w:rPr>
  </w:style>
  <w:style w:type="paragraph" w:styleId="Heading2">
    <w:name w:val="heading 2"/>
    <w:basedOn w:val="Heading1"/>
    <w:next w:val="Normal"/>
    <w:link w:val="Heading2Char"/>
    <w:uiPriority w:val="9"/>
    <w:unhideWhenUsed/>
    <w:qFormat/>
    <w:rsid w:val="00930C05"/>
    <w:pPr>
      <w:outlineLvl w:val="1"/>
    </w:pPr>
    <w:rPr>
      <w:i/>
    </w:rPr>
  </w:style>
  <w:style w:type="paragraph" w:styleId="Heading3">
    <w:name w:val="heading 3"/>
    <w:basedOn w:val="Normal"/>
    <w:next w:val="Normal"/>
    <w:link w:val="Heading3Char"/>
    <w:uiPriority w:val="9"/>
    <w:semiHidden/>
    <w:unhideWhenUsed/>
    <w:qFormat/>
    <w:rsid w:val="00930C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0C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0C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0C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C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C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C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C05"/>
    <w:rPr>
      <w:rFonts w:ascii="Times New Roman" w:hAnsi="Times New Roman"/>
      <w:b/>
    </w:rPr>
  </w:style>
  <w:style w:type="character" w:customStyle="1" w:styleId="Heading2Char">
    <w:name w:val="Heading 2 Char"/>
    <w:basedOn w:val="DefaultParagraphFont"/>
    <w:link w:val="Heading2"/>
    <w:uiPriority w:val="9"/>
    <w:rsid w:val="00930C05"/>
    <w:rPr>
      <w:rFonts w:ascii="Times New Roman" w:hAnsi="Times New Roman"/>
      <w:b/>
      <w:i/>
    </w:rPr>
  </w:style>
  <w:style w:type="character" w:customStyle="1" w:styleId="Heading3Char">
    <w:name w:val="Heading 3 Char"/>
    <w:basedOn w:val="DefaultParagraphFont"/>
    <w:link w:val="Heading3"/>
    <w:uiPriority w:val="9"/>
    <w:semiHidden/>
    <w:rsid w:val="00930C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0C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0C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0C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C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C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C05"/>
    <w:rPr>
      <w:rFonts w:eastAsiaTheme="majorEastAsia" w:cstheme="majorBidi"/>
      <w:color w:val="272727" w:themeColor="text1" w:themeTint="D8"/>
    </w:rPr>
  </w:style>
  <w:style w:type="paragraph" w:styleId="Title">
    <w:name w:val="Title"/>
    <w:basedOn w:val="Normal"/>
    <w:next w:val="Normal"/>
    <w:link w:val="TitleChar"/>
    <w:uiPriority w:val="10"/>
    <w:qFormat/>
    <w:rsid w:val="00930C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C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C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C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C05"/>
    <w:pPr>
      <w:spacing w:before="160"/>
      <w:jc w:val="center"/>
    </w:pPr>
    <w:rPr>
      <w:i/>
      <w:iCs/>
      <w:color w:val="404040" w:themeColor="text1" w:themeTint="BF"/>
    </w:rPr>
  </w:style>
  <w:style w:type="character" w:customStyle="1" w:styleId="QuoteChar">
    <w:name w:val="Quote Char"/>
    <w:basedOn w:val="DefaultParagraphFont"/>
    <w:link w:val="Quote"/>
    <w:uiPriority w:val="29"/>
    <w:rsid w:val="00930C05"/>
    <w:rPr>
      <w:i/>
      <w:iCs/>
      <w:color w:val="404040" w:themeColor="text1" w:themeTint="BF"/>
    </w:rPr>
  </w:style>
  <w:style w:type="paragraph" w:styleId="ListParagraph">
    <w:name w:val="List Paragraph"/>
    <w:basedOn w:val="Normal"/>
    <w:uiPriority w:val="34"/>
    <w:qFormat/>
    <w:rsid w:val="00930C05"/>
    <w:pPr>
      <w:ind w:left="720"/>
      <w:contextualSpacing/>
    </w:pPr>
  </w:style>
  <w:style w:type="character" w:styleId="IntenseEmphasis">
    <w:name w:val="Intense Emphasis"/>
    <w:basedOn w:val="DefaultParagraphFont"/>
    <w:uiPriority w:val="21"/>
    <w:qFormat/>
    <w:rsid w:val="00930C05"/>
    <w:rPr>
      <w:i/>
      <w:iCs/>
      <w:color w:val="2F5496" w:themeColor="accent1" w:themeShade="BF"/>
    </w:rPr>
  </w:style>
  <w:style w:type="paragraph" w:styleId="IntenseQuote">
    <w:name w:val="Intense Quote"/>
    <w:basedOn w:val="Normal"/>
    <w:next w:val="Normal"/>
    <w:link w:val="IntenseQuoteChar"/>
    <w:uiPriority w:val="30"/>
    <w:qFormat/>
    <w:rsid w:val="00930C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0C05"/>
    <w:rPr>
      <w:i/>
      <w:iCs/>
      <w:color w:val="2F5496" w:themeColor="accent1" w:themeShade="BF"/>
    </w:rPr>
  </w:style>
  <w:style w:type="character" w:styleId="IntenseReference">
    <w:name w:val="Intense Reference"/>
    <w:basedOn w:val="DefaultParagraphFont"/>
    <w:uiPriority w:val="32"/>
    <w:qFormat/>
    <w:rsid w:val="00930C05"/>
    <w:rPr>
      <w:b/>
      <w:bCs/>
      <w:smallCaps/>
      <w:color w:val="2F5496" w:themeColor="accent1" w:themeShade="BF"/>
      <w:spacing w:val="5"/>
    </w:rPr>
  </w:style>
  <w:style w:type="paragraph" w:styleId="NormalWeb">
    <w:name w:val="Normal (Web)"/>
    <w:basedOn w:val="Normal"/>
    <w:uiPriority w:val="99"/>
    <w:semiHidden/>
    <w:unhideWhenUsed/>
    <w:rsid w:val="00812B2E"/>
    <w:pPr>
      <w:spacing w:before="100" w:beforeAutospacing="1" w:after="100" w:afterAutospacing="1" w:line="240" w:lineRule="auto"/>
      <w:jc w:val="left"/>
    </w:pPr>
    <w:rPr>
      <w:rFonts w:eastAsia="Times New Roman" w:cs="Times New Roman"/>
      <w:kern w:val="0"/>
      <w:lang w:val="en-US"/>
      <w14:ligatures w14:val="none"/>
    </w:rPr>
  </w:style>
  <w:style w:type="paragraph" w:styleId="Header">
    <w:name w:val="header"/>
    <w:basedOn w:val="Normal"/>
    <w:link w:val="HeaderChar"/>
    <w:uiPriority w:val="99"/>
    <w:unhideWhenUsed/>
    <w:rsid w:val="0008438D"/>
    <w:pPr>
      <w:tabs>
        <w:tab w:val="center" w:pos="4680"/>
        <w:tab w:val="right" w:pos="9360"/>
      </w:tabs>
      <w:spacing w:line="240" w:lineRule="auto"/>
    </w:pPr>
  </w:style>
  <w:style w:type="character" w:customStyle="1" w:styleId="HeaderChar">
    <w:name w:val="Header Char"/>
    <w:basedOn w:val="DefaultParagraphFont"/>
    <w:link w:val="Header"/>
    <w:uiPriority w:val="99"/>
    <w:rsid w:val="0008438D"/>
    <w:rPr>
      <w:rFonts w:ascii="Times New Roman" w:hAnsi="Times New Roman"/>
      <w:lang w:val="en-GB"/>
    </w:rPr>
  </w:style>
  <w:style w:type="paragraph" w:styleId="Footer">
    <w:name w:val="footer"/>
    <w:basedOn w:val="Normal"/>
    <w:link w:val="FooterChar"/>
    <w:uiPriority w:val="99"/>
    <w:unhideWhenUsed/>
    <w:rsid w:val="0008438D"/>
    <w:pPr>
      <w:tabs>
        <w:tab w:val="center" w:pos="4680"/>
        <w:tab w:val="right" w:pos="9360"/>
      </w:tabs>
      <w:spacing w:line="240" w:lineRule="auto"/>
    </w:pPr>
  </w:style>
  <w:style w:type="character" w:customStyle="1" w:styleId="FooterChar">
    <w:name w:val="Footer Char"/>
    <w:basedOn w:val="DefaultParagraphFont"/>
    <w:link w:val="Footer"/>
    <w:uiPriority w:val="99"/>
    <w:rsid w:val="0008438D"/>
    <w:rPr>
      <w:rFonts w:ascii="Times New Roman" w:hAnsi="Times New Roman"/>
      <w:lang w:val="en-GB"/>
    </w:rPr>
  </w:style>
  <w:style w:type="paragraph" w:styleId="TOCHeading">
    <w:name w:val="TOC Heading"/>
    <w:basedOn w:val="Heading1"/>
    <w:next w:val="Normal"/>
    <w:uiPriority w:val="39"/>
    <w:unhideWhenUsed/>
    <w:qFormat/>
    <w:rsid w:val="008E09BB"/>
    <w:pPr>
      <w:keepNext/>
      <w:keepLines/>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E09BB"/>
    <w:pPr>
      <w:spacing w:after="100"/>
    </w:pPr>
  </w:style>
  <w:style w:type="paragraph" w:styleId="TOC2">
    <w:name w:val="toc 2"/>
    <w:basedOn w:val="Normal"/>
    <w:next w:val="Normal"/>
    <w:autoRedefine/>
    <w:uiPriority w:val="39"/>
    <w:unhideWhenUsed/>
    <w:rsid w:val="008E09BB"/>
    <w:pPr>
      <w:spacing w:after="100"/>
      <w:ind w:left="240"/>
    </w:pPr>
  </w:style>
  <w:style w:type="character" w:styleId="Hyperlink">
    <w:name w:val="Hyperlink"/>
    <w:basedOn w:val="DefaultParagraphFont"/>
    <w:uiPriority w:val="99"/>
    <w:unhideWhenUsed/>
    <w:rsid w:val="008E09BB"/>
    <w:rPr>
      <w:color w:val="0563C1" w:themeColor="hyperlink"/>
      <w:u w:val="single"/>
    </w:rPr>
  </w:style>
  <w:style w:type="character" w:styleId="CommentReference">
    <w:name w:val="annotation reference"/>
    <w:basedOn w:val="DefaultParagraphFont"/>
    <w:uiPriority w:val="99"/>
    <w:semiHidden/>
    <w:unhideWhenUsed/>
    <w:rsid w:val="009A3065"/>
    <w:rPr>
      <w:sz w:val="16"/>
      <w:szCs w:val="16"/>
    </w:rPr>
  </w:style>
  <w:style w:type="paragraph" w:styleId="CommentText">
    <w:name w:val="annotation text"/>
    <w:basedOn w:val="Normal"/>
    <w:link w:val="CommentTextChar"/>
    <w:uiPriority w:val="99"/>
    <w:unhideWhenUsed/>
    <w:rsid w:val="009A3065"/>
    <w:pPr>
      <w:spacing w:line="240" w:lineRule="auto"/>
    </w:pPr>
    <w:rPr>
      <w:sz w:val="20"/>
      <w:szCs w:val="20"/>
    </w:rPr>
  </w:style>
  <w:style w:type="character" w:customStyle="1" w:styleId="CommentTextChar">
    <w:name w:val="Comment Text Char"/>
    <w:basedOn w:val="DefaultParagraphFont"/>
    <w:link w:val="CommentText"/>
    <w:uiPriority w:val="99"/>
    <w:rsid w:val="009A3065"/>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9A3065"/>
    <w:rPr>
      <w:b/>
      <w:bCs/>
    </w:rPr>
  </w:style>
  <w:style w:type="character" w:customStyle="1" w:styleId="CommentSubjectChar">
    <w:name w:val="Comment Subject Char"/>
    <w:basedOn w:val="CommentTextChar"/>
    <w:link w:val="CommentSubject"/>
    <w:uiPriority w:val="99"/>
    <w:semiHidden/>
    <w:rsid w:val="009A3065"/>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9A306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3065"/>
    <w:rPr>
      <w:rFonts w:ascii="Segoe UI" w:hAnsi="Segoe UI" w:cs="Segoe UI"/>
      <w:sz w:val="18"/>
      <w:szCs w:val="18"/>
      <w:lang w:val="en-GB"/>
    </w:rPr>
  </w:style>
  <w:style w:type="character" w:styleId="Strong">
    <w:name w:val="Strong"/>
    <w:basedOn w:val="DefaultParagraphFont"/>
    <w:uiPriority w:val="22"/>
    <w:qFormat/>
    <w:rsid w:val="009A3065"/>
    <w:rPr>
      <w:b/>
      <w:bCs/>
    </w:rPr>
  </w:style>
  <w:style w:type="character" w:customStyle="1" w:styleId="citation-259">
    <w:name w:val="citation-259"/>
    <w:basedOn w:val="DefaultParagraphFont"/>
    <w:rsid w:val="007116BF"/>
  </w:style>
  <w:style w:type="character" w:customStyle="1" w:styleId="citation-258">
    <w:name w:val="citation-258"/>
    <w:basedOn w:val="DefaultParagraphFont"/>
    <w:rsid w:val="007116BF"/>
  </w:style>
  <w:style w:type="character" w:customStyle="1" w:styleId="citation-255">
    <w:name w:val="citation-255"/>
    <w:basedOn w:val="DefaultParagraphFont"/>
    <w:rsid w:val="007116BF"/>
  </w:style>
  <w:style w:type="character" w:customStyle="1" w:styleId="citation-248">
    <w:name w:val="citation-248"/>
    <w:basedOn w:val="DefaultParagraphFont"/>
    <w:rsid w:val="00917E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824663">
      <w:bodyDiv w:val="1"/>
      <w:marLeft w:val="0"/>
      <w:marRight w:val="0"/>
      <w:marTop w:val="0"/>
      <w:marBottom w:val="0"/>
      <w:divBdr>
        <w:top w:val="none" w:sz="0" w:space="0" w:color="auto"/>
        <w:left w:val="none" w:sz="0" w:space="0" w:color="auto"/>
        <w:bottom w:val="none" w:sz="0" w:space="0" w:color="auto"/>
        <w:right w:val="none" w:sz="0" w:space="0" w:color="auto"/>
      </w:divBdr>
    </w:div>
    <w:div w:id="267811803">
      <w:bodyDiv w:val="1"/>
      <w:marLeft w:val="0"/>
      <w:marRight w:val="0"/>
      <w:marTop w:val="0"/>
      <w:marBottom w:val="0"/>
      <w:divBdr>
        <w:top w:val="none" w:sz="0" w:space="0" w:color="auto"/>
        <w:left w:val="none" w:sz="0" w:space="0" w:color="auto"/>
        <w:bottom w:val="none" w:sz="0" w:space="0" w:color="auto"/>
        <w:right w:val="none" w:sz="0" w:space="0" w:color="auto"/>
      </w:divBdr>
    </w:div>
    <w:div w:id="446045398">
      <w:bodyDiv w:val="1"/>
      <w:marLeft w:val="0"/>
      <w:marRight w:val="0"/>
      <w:marTop w:val="0"/>
      <w:marBottom w:val="0"/>
      <w:divBdr>
        <w:top w:val="none" w:sz="0" w:space="0" w:color="auto"/>
        <w:left w:val="none" w:sz="0" w:space="0" w:color="auto"/>
        <w:bottom w:val="none" w:sz="0" w:space="0" w:color="auto"/>
        <w:right w:val="none" w:sz="0" w:space="0" w:color="auto"/>
      </w:divBdr>
    </w:div>
    <w:div w:id="483739152">
      <w:bodyDiv w:val="1"/>
      <w:marLeft w:val="0"/>
      <w:marRight w:val="0"/>
      <w:marTop w:val="0"/>
      <w:marBottom w:val="0"/>
      <w:divBdr>
        <w:top w:val="none" w:sz="0" w:space="0" w:color="auto"/>
        <w:left w:val="none" w:sz="0" w:space="0" w:color="auto"/>
        <w:bottom w:val="none" w:sz="0" w:space="0" w:color="auto"/>
        <w:right w:val="none" w:sz="0" w:space="0" w:color="auto"/>
      </w:divBdr>
    </w:div>
    <w:div w:id="641469990">
      <w:bodyDiv w:val="1"/>
      <w:marLeft w:val="0"/>
      <w:marRight w:val="0"/>
      <w:marTop w:val="0"/>
      <w:marBottom w:val="0"/>
      <w:divBdr>
        <w:top w:val="none" w:sz="0" w:space="0" w:color="auto"/>
        <w:left w:val="none" w:sz="0" w:space="0" w:color="auto"/>
        <w:bottom w:val="none" w:sz="0" w:space="0" w:color="auto"/>
        <w:right w:val="none" w:sz="0" w:space="0" w:color="auto"/>
      </w:divBdr>
    </w:div>
    <w:div w:id="648022696">
      <w:bodyDiv w:val="1"/>
      <w:marLeft w:val="0"/>
      <w:marRight w:val="0"/>
      <w:marTop w:val="0"/>
      <w:marBottom w:val="0"/>
      <w:divBdr>
        <w:top w:val="none" w:sz="0" w:space="0" w:color="auto"/>
        <w:left w:val="none" w:sz="0" w:space="0" w:color="auto"/>
        <w:bottom w:val="none" w:sz="0" w:space="0" w:color="auto"/>
        <w:right w:val="none" w:sz="0" w:space="0" w:color="auto"/>
      </w:divBdr>
    </w:div>
    <w:div w:id="664669470">
      <w:bodyDiv w:val="1"/>
      <w:marLeft w:val="0"/>
      <w:marRight w:val="0"/>
      <w:marTop w:val="0"/>
      <w:marBottom w:val="0"/>
      <w:divBdr>
        <w:top w:val="none" w:sz="0" w:space="0" w:color="auto"/>
        <w:left w:val="none" w:sz="0" w:space="0" w:color="auto"/>
        <w:bottom w:val="none" w:sz="0" w:space="0" w:color="auto"/>
        <w:right w:val="none" w:sz="0" w:space="0" w:color="auto"/>
      </w:divBdr>
    </w:div>
    <w:div w:id="668752529">
      <w:bodyDiv w:val="1"/>
      <w:marLeft w:val="0"/>
      <w:marRight w:val="0"/>
      <w:marTop w:val="0"/>
      <w:marBottom w:val="0"/>
      <w:divBdr>
        <w:top w:val="none" w:sz="0" w:space="0" w:color="auto"/>
        <w:left w:val="none" w:sz="0" w:space="0" w:color="auto"/>
        <w:bottom w:val="none" w:sz="0" w:space="0" w:color="auto"/>
        <w:right w:val="none" w:sz="0" w:space="0" w:color="auto"/>
      </w:divBdr>
    </w:div>
    <w:div w:id="698550420">
      <w:bodyDiv w:val="1"/>
      <w:marLeft w:val="0"/>
      <w:marRight w:val="0"/>
      <w:marTop w:val="0"/>
      <w:marBottom w:val="0"/>
      <w:divBdr>
        <w:top w:val="none" w:sz="0" w:space="0" w:color="auto"/>
        <w:left w:val="none" w:sz="0" w:space="0" w:color="auto"/>
        <w:bottom w:val="none" w:sz="0" w:space="0" w:color="auto"/>
        <w:right w:val="none" w:sz="0" w:space="0" w:color="auto"/>
      </w:divBdr>
    </w:div>
    <w:div w:id="895242263">
      <w:bodyDiv w:val="1"/>
      <w:marLeft w:val="0"/>
      <w:marRight w:val="0"/>
      <w:marTop w:val="0"/>
      <w:marBottom w:val="0"/>
      <w:divBdr>
        <w:top w:val="none" w:sz="0" w:space="0" w:color="auto"/>
        <w:left w:val="none" w:sz="0" w:space="0" w:color="auto"/>
        <w:bottom w:val="none" w:sz="0" w:space="0" w:color="auto"/>
        <w:right w:val="none" w:sz="0" w:space="0" w:color="auto"/>
      </w:divBdr>
    </w:div>
    <w:div w:id="896092613">
      <w:bodyDiv w:val="1"/>
      <w:marLeft w:val="0"/>
      <w:marRight w:val="0"/>
      <w:marTop w:val="0"/>
      <w:marBottom w:val="0"/>
      <w:divBdr>
        <w:top w:val="none" w:sz="0" w:space="0" w:color="auto"/>
        <w:left w:val="none" w:sz="0" w:space="0" w:color="auto"/>
        <w:bottom w:val="none" w:sz="0" w:space="0" w:color="auto"/>
        <w:right w:val="none" w:sz="0" w:space="0" w:color="auto"/>
      </w:divBdr>
    </w:div>
    <w:div w:id="974990650">
      <w:bodyDiv w:val="1"/>
      <w:marLeft w:val="0"/>
      <w:marRight w:val="0"/>
      <w:marTop w:val="0"/>
      <w:marBottom w:val="0"/>
      <w:divBdr>
        <w:top w:val="none" w:sz="0" w:space="0" w:color="auto"/>
        <w:left w:val="none" w:sz="0" w:space="0" w:color="auto"/>
        <w:bottom w:val="none" w:sz="0" w:space="0" w:color="auto"/>
        <w:right w:val="none" w:sz="0" w:space="0" w:color="auto"/>
      </w:divBdr>
    </w:div>
    <w:div w:id="1046416737">
      <w:bodyDiv w:val="1"/>
      <w:marLeft w:val="0"/>
      <w:marRight w:val="0"/>
      <w:marTop w:val="0"/>
      <w:marBottom w:val="0"/>
      <w:divBdr>
        <w:top w:val="none" w:sz="0" w:space="0" w:color="auto"/>
        <w:left w:val="none" w:sz="0" w:space="0" w:color="auto"/>
        <w:bottom w:val="none" w:sz="0" w:space="0" w:color="auto"/>
        <w:right w:val="none" w:sz="0" w:space="0" w:color="auto"/>
      </w:divBdr>
    </w:div>
    <w:div w:id="1188517730">
      <w:bodyDiv w:val="1"/>
      <w:marLeft w:val="0"/>
      <w:marRight w:val="0"/>
      <w:marTop w:val="0"/>
      <w:marBottom w:val="0"/>
      <w:divBdr>
        <w:top w:val="none" w:sz="0" w:space="0" w:color="auto"/>
        <w:left w:val="none" w:sz="0" w:space="0" w:color="auto"/>
        <w:bottom w:val="none" w:sz="0" w:space="0" w:color="auto"/>
        <w:right w:val="none" w:sz="0" w:space="0" w:color="auto"/>
      </w:divBdr>
    </w:div>
    <w:div w:id="1209957825">
      <w:bodyDiv w:val="1"/>
      <w:marLeft w:val="0"/>
      <w:marRight w:val="0"/>
      <w:marTop w:val="0"/>
      <w:marBottom w:val="0"/>
      <w:divBdr>
        <w:top w:val="none" w:sz="0" w:space="0" w:color="auto"/>
        <w:left w:val="none" w:sz="0" w:space="0" w:color="auto"/>
        <w:bottom w:val="none" w:sz="0" w:space="0" w:color="auto"/>
        <w:right w:val="none" w:sz="0" w:space="0" w:color="auto"/>
      </w:divBdr>
    </w:div>
    <w:div w:id="1308586804">
      <w:bodyDiv w:val="1"/>
      <w:marLeft w:val="0"/>
      <w:marRight w:val="0"/>
      <w:marTop w:val="0"/>
      <w:marBottom w:val="0"/>
      <w:divBdr>
        <w:top w:val="none" w:sz="0" w:space="0" w:color="auto"/>
        <w:left w:val="none" w:sz="0" w:space="0" w:color="auto"/>
        <w:bottom w:val="none" w:sz="0" w:space="0" w:color="auto"/>
        <w:right w:val="none" w:sz="0" w:space="0" w:color="auto"/>
      </w:divBdr>
    </w:div>
    <w:div w:id="1442266277">
      <w:bodyDiv w:val="1"/>
      <w:marLeft w:val="0"/>
      <w:marRight w:val="0"/>
      <w:marTop w:val="0"/>
      <w:marBottom w:val="0"/>
      <w:divBdr>
        <w:top w:val="none" w:sz="0" w:space="0" w:color="auto"/>
        <w:left w:val="none" w:sz="0" w:space="0" w:color="auto"/>
        <w:bottom w:val="none" w:sz="0" w:space="0" w:color="auto"/>
        <w:right w:val="none" w:sz="0" w:space="0" w:color="auto"/>
      </w:divBdr>
    </w:div>
    <w:div w:id="1533617011">
      <w:bodyDiv w:val="1"/>
      <w:marLeft w:val="0"/>
      <w:marRight w:val="0"/>
      <w:marTop w:val="0"/>
      <w:marBottom w:val="0"/>
      <w:divBdr>
        <w:top w:val="none" w:sz="0" w:space="0" w:color="auto"/>
        <w:left w:val="none" w:sz="0" w:space="0" w:color="auto"/>
        <w:bottom w:val="none" w:sz="0" w:space="0" w:color="auto"/>
        <w:right w:val="none" w:sz="0" w:space="0" w:color="auto"/>
      </w:divBdr>
    </w:div>
    <w:div w:id="1542595407">
      <w:bodyDiv w:val="1"/>
      <w:marLeft w:val="0"/>
      <w:marRight w:val="0"/>
      <w:marTop w:val="0"/>
      <w:marBottom w:val="0"/>
      <w:divBdr>
        <w:top w:val="none" w:sz="0" w:space="0" w:color="auto"/>
        <w:left w:val="none" w:sz="0" w:space="0" w:color="auto"/>
        <w:bottom w:val="none" w:sz="0" w:space="0" w:color="auto"/>
        <w:right w:val="none" w:sz="0" w:space="0" w:color="auto"/>
      </w:divBdr>
    </w:div>
    <w:div w:id="1558588144">
      <w:bodyDiv w:val="1"/>
      <w:marLeft w:val="0"/>
      <w:marRight w:val="0"/>
      <w:marTop w:val="0"/>
      <w:marBottom w:val="0"/>
      <w:divBdr>
        <w:top w:val="none" w:sz="0" w:space="0" w:color="auto"/>
        <w:left w:val="none" w:sz="0" w:space="0" w:color="auto"/>
        <w:bottom w:val="none" w:sz="0" w:space="0" w:color="auto"/>
        <w:right w:val="none" w:sz="0" w:space="0" w:color="auto"/>
      </w:divBdr>
    </w:div>
    <w:div w:id="1783378165">
      <w:bodyDiv w:val="1"/>
      <w:marLeft w:val="0"/>
      <w:marRight w:val="0"/>
      <w:marTop w:val="0"/>
      <w:marBottom w:val="0"/>
      <w:divBdr>
        <w:top w:val="none" w:sz="0" w:space="0" w:color="auto"/>
        <w:left w:val="none" w:sz="0" w:space="0" w:color="auto"/>
        <w:bottom w:val="none" w:sz="0" w:space="0" w:color="auto"/>
        <w:right w:val="none" w:sz="0" w:space="0" w:color="auto"/>
      </w:divBdr>
    </w:div>
    <w:div w:id="2019190440">
      <w:bodyDiv w:val="1"/>
      <w:marLeft w:val="0"/>
      <w:marRight w:val="0"/>
      <w:marTop w:val="0"/>
      <w:marBottom w:val="0"/>
      <w:divBdr>
        <w:top w:val="none" w:sz="0" w:space="0" w:color="auto"/>
        <w:left w:val="none" w:sz="0" w:space="0" w:color="auto"/>
        <w:bottom w:val="none" w:sz="0" w:space="0" w:color="auto"/>
        <w:right w:val="none" w:sz="0" w:space="0" w:color="auto"/>
      </w:divBdr>
    </w:div>
    <w:div w:id="2120250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XSL" StyleName="Harvard - Anglia*" Version="1"/>
</file>

<file path=customXml/itemProps1.xml><?xml version="1.0" encoding="utf-8"?>
<ds:datastoreItem xmlns:ds="http://schemas.openxmlformats.org/officeDocument/2006/customXml" ds:itemID="{3A54ABDD-C95D-49CC-90B4-7B0E699398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5289</Words>
  <Characters>30148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 TECH</dc:creator>
  <cp:keywords/>
  <dc:description/>
  <cp:lastModifiedBy>Zakhra Batool</cp:lastModifiedBy>
  <cp:revision>2</cp:revision>
  <dcterms:created xsi:type="dcterms:W3CDTF">2026-02-12T20:13:00Z</dcterms:created>
  <dcterms:modified xsi:type="dcterms:W3CDTF">2026-02-12T20:13:00Z</dcterms:modified>
</cp:coreProperties>
</file>