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76434DC" w14:textId="77777777" w:rsidR="00B306BF" w:rsidRPr="006B5B03" w:rsidRDefault="00B306BF" w:rsidP="00B306BF">
      <w:pPr>
        <w:jc w:val="center"/>
        <w:rPr>
          <w:sz w:val="28"/>
          <w:szCs w:val="28"/>
        </w:rPr>
      </w:pPr>
      <w:bookmarkStart w:id="0" w:name="_GoBack"/>
      <w:r w:rsidRPr="006B5B03">
        <w:rPr>
          <w:sz w:val="28"/>
          <w:szCs w:val="28"/>
        </w:rPr>
        <w:t>Describe and analyse the function of the depiction of Achilles’ education and/or upbringing in</w:t>
      </w:r>
    </w:p>
    <w:p w14:paraId="6A4CBAEE" w14:textId="77777777" w:rsidR="00B50C1B" w:rsidRPr="006B5B03" w:rsidRDefault="00B306BF" w:rsidP="00B306BF">
      <w:pPr>
        <w:jc w:val="center"/>
        <w:rPr>
          <w:sz w:val="28"/>
          <w:szCs w:val="28"/>
        </w:rPr>
      </w:pPr>
      <w:r w:rsidRPr="006B5B03">
        <w:rPr>
          <w:sz w:val="28"/>
          <w:szCs w:val="28"/>
        </w:rPr>
        <w:t>any one or two Latin texts focussed upon in this module.</w:t>
      </w:r>
      <w:r w:rsidRPr="006B5B03">
        <w:rPr>
          <w:sz w:val="28"/>
          <w:szCs w:val="28"/>
        </w:rPr>
        <w:cr/>
      </w:r>
    </w:p>
    <w:bookmarkEnd w:id="0"/>
    <w:p w14:paraId="3702CABF" w14:textId="77777777" w:rsidR="00B306BF" w:rsidRDefault="00B306BF" w:rsidP="00B306BF"/>
    <w:p w14:paraId="5AF0A2C4" w14:textId="0E495E3A" w:rsidR="003F52E6" w:rsidRPr="00500FD0" w:rsidRDefault="00B306BF" w:rsidP="00B306BF">
      <w:r>
        <w:t xml:space="preserve">Statius’s </w:t>
      </w:r>
      <w:proofErr w:type="spellStart"/>
      <w:r>
        <w:rPr>
          <w:i/>
          <w:iCs/>
        </w:rPr>
        <w:t>Achilleid</w:t>
      </w:r>
      <w:proofErr w:type="spellEnd"/>
      <w:r>
        <w:rPr>
          <w:i/>
          <w:iCs/>
        </w:rPr>
        <w:t xml:space="preserve"> </w:t>
      </w:r>
      <w:r>
        <w:t xml:space="preserve">describes how, in his early years, </w:t>
      </w:r>
      <w:r w:rsidR="00CB6F54">
        <w:t>Achilles is raised and educated on the island of Thessaly by the centaur Chiron</w:t>
      </w:r>
      <w:r w:rsidR="00BB0027">
        <w:t xml:space="preserve"> after his divine mother, Thetis, is denied divine assistance in preventing Achilles from taking part in the Trojan War as she foresees. After this, Thetis secrets Achilles disguised as a girl on the island of Skyros where he rapes Deidamia, the daughter of the king </w:t>
      </w:r>
      <w:proofErr w:type="spellStart"/>
      <w:r w:rsidR="00BB0027">
        <w:t>Lycomedes</w:t>
      </w:r>
      <w:proofErr w:type="spellEnd"/>
      <w:r w:rsidR="00BB0027">
        <w:t>, and is revealed by Odysseus</w:t>
      </w:r>
      <w:r w:rsidR="00CB6F54">
        <w:t xml:space="preserve">. </w:t>
      </w:r>
      <w:r w:rsidR="00C31EBF">
        <w:t xml:space="preserve">While we only have the first book and a small section the second, we can see even in these early passages that Statius is attempting essentially to deconstruct the hero of Achilles, and he does this by providing explanations for the sulking warrior that appears in the </w:t>
      </w:r>
      <w:proofErr w:type="spellStart"/>
      <w:r w:rsidR="00C31EBF" w:rsidRPr="00C31EBF">
        <w:rPr>
          <w:i/>
          <w:iCs/>
        </w:rPr>
        <w:t>Illiad</w:t>
      </w:r>
      <w:proofErr w:type="spellEnd"/>
      <w:r w:rsidR="00C31EBF">
        <w:t xml:space="preserve">. He does this primarily through the </w:t>
      </w:r>
      <w:r w:rsidR="00500FD0">
        <w:t>exploration of nature versus nurture</w:t>
      </w:r>
      <w:r w:rsidR="00144128">
        <w:rPr>
          <w:rStyle w:val="FootnoteReference"/>
        </w:rPr>
        <w:footnoteReference w:id="1"/>
      </w:r>
      <w:r w:rsidR="00500FD0">
        <w:t xml:space="preserve"> – as Bernstein says, “Statius’ </w:t>
      </w:r>
      <w:proofErr w:type="spellStart"/>
      <w:r w:rsidR="00500FD0">
        <w:rPr>
          <w:i/>
          <w:iCs/>
        </w:rPr>
        <w:t>Achilleid</w:t>
      </w:r>
      <w:proofErr w:type="spellEnd"/>
      <w:r w:rsidR="00500FD0">
        <w:rPr>
          <w:i/>
          <w:iCs/>
        </w:rPr>
        <w:t xml:space="preserve"> </w:t>
      </w:r>
      <w:r w:rsidR="00500FD0">
        <w:t>investigates the complex relationship between the inherited and the achieved aspects of social identity, the ‘given’ and the ‘made’.”</w:t>
      </w:r>
      <w:r w:rsidR="00500FD0">
        <w:rPr>
          <w:rStyle w:val="FootnoteReference"/>
        </w:rPr>
        <w:footnoteReference w:id="2"/>
      </w:r>
      <w:r w:rsidR="00500FD0">
        <w:t xml:space="preserve">. </w:t>
      </w:r>
    </w:p>
    <w:p w14:paraId="2D91DA12" w14:textId="77777777" w:rsidR="003F52E6" w:rsidRDefault="003F52E6" w:rsidP="00B306BF"/>
    <w:p w14:paraId="07FA0D75" w14:textId="7D331B63" w:rsidR="001D122B" w:rsidRDefault="001D122B" w:rsidP="00B306BF">
      <w:r>
        <w:t>To understand the function of Achilles’ education, we must understand the function of Achilles’ educator.</w:t>
      </w:r>
      <w:r w:rsidR="003F52E6">
        <w:t xml:space="preserve"> </w:t>
      </w:r>
      <w:r w:rsidR="00500FD0">
        <w:t>The concept of entrusting the care of a child to a foreign or servile caregiver is not unheard of to the Romans (though unfavourable to the elite)</w:t>
      </w:r>
      <w:r w:rsidR="00500FD0">
        <w:rPr>
          <w:rStyle w:val="FootnoteReference"/>
        </w:rPr>
        <w:footnoteReference w:id="3"/>
      </w:r>
      <w:r w:rsidR="00500FD0">
        <w:t xml:space="preserve">, and a caregiver in a half man half horse being is conceptually as foreign as possible.  However, </w:t>
      </w:r>
      <w:r w:rsidR="003F52E6">
        <w:t xml:space="preserve">Chiron in the </w:t>
      </w:r>
      <w:proofErr w:type="spellStart"/>
      <w:r w:rsidR="003F52E6" w:rsidRPr="00C31EBF">
        <w:rPr>
          <w:i/>
          <w:iCs/>
        </w:rPr>
        <w:t>Illiad</w:t>
      </w:r>
      <w:proofErr w:type="spellEnd"/>
      <w:r w:rsidR="003F52E6">
        <w:t xml:space="preserve"> is described as ‘the most righteous of the Centaurs’</w:t>
      </w:r>
      <w:r w:rsidR="003F52E6">
        <w:rPr>
          <w:rStyle w:val="FootnoteReference"/>
        </w:rPr>
        <w:footnoteReference w:id="4"/>
      </w:r>
      <w:r w:rsidR="00C31EBF">
        <w:rPr>
          <w:i/>
          <w:iCs/>
        </w:rPr>
        <w:t xml:space="preserve"> </w:t>
      </w:r>
      <w:r w:rsidR="00C31EBF">
        <w:t>and Statius continues this tradition – Chiron is ‘</w:t>
      </w:r>
      <w:r w:rsidR="00C31EBF" w:rsidRPr="00C31EBF">
        <w:t>far different from those of his wicked brethren. Here are no spears that have tasted human blood, nor ashen clubs broken in festal conflict</w:t>
      </w:r>
      <w:r w:rsidR="00C31EBF">
        <w:t>’</w:t>
      </w:r>
      <w:r w:rsidR="00C31EBF">
        <w:rPr>
          <w:rStyle w:val="FootnoteReference"/>
        </w:rPr>
        <w:footnoteReference w:id="5"/>
      </w:r>
      <w:r w:rsidR="00C31EBF">
        <w:t xml:space="preserve">. We must then understand Chiron as a </w:t>
      </w:r>
      <w:r w:rsidR="00500FD0">
        <w:t>capable and respected individual – indeed, Chiron is the first person Thetis goes to for help in protecting Achilles after being rejected by Neptune</w:t>
      </w:r>
      <w:r w:rsidR="00791983">
        <w:t>, and while it could be understood that Thetis chooses Chiron only as he is out of the way     (after all, her lament of “…</w:t>
      </w:r>
      <w:r w:rsidR="00791983" w:rsidRPr="00791983">
        <w:t>soon will my Achilles be sought for by land and sea, ay, and himself will wish to follow them.</w:t>
      </w:r>
      <w:r w:rsidR="00791983">
        <w:t>”</w:t>
      </w:r>
      <w:r w:rsidR="00791983">
        <w:rPr>
          <w:rStyle w:val="FootnoteReference"/>
        </w:rPr>
        <w:footnoteReference w:id="6"/>
      </w:r>
      <w:r w:rsidR="00791983">
        <w:t xml:space="preserve"> is not necessarily a problem that requires competent stewardship rather than sequestering Achilles in a cave), we must assume that Chiron is chosen for his capability.</w:t>
      </w:r>
    </w:p>
    <w:p w14:paraId="2CAE8F38" w14:textId="3FB91143" w:rsidR="007C02FB" w:rsidRDefault="007C02FB" w:rsidP="00B306BF"/>
    <w:p w14:paraId="39D820D7" w14:textId="7B5B8960" w:rsidR="007C02FB" w:rsidRDefault="007C02FB" w:rsidP="00B306BF">
      <w:r>
        <w:t>What then did Achilles’ education from Chiron consist of? The direct narrative of Statius tells us that “[Chiron’s] only labour was to know herbs that bring health to living things in doubtful case or to limn with his lyre the heroes of old for his pupil.”</w:t>
      </w:r>
      <w:r>
        <w:rPr>
          <w:rStyle w:val="FootnoteReference"/>
        </w:rPr>
        <w:footnoteReference w:id="7"/>
      </w:r>
      <w:r>
        <w:t xml:space="preserve">. However, as </w:t>
      </w:r>
      <w:proofErr w:type="spellStart"/>
      <w:r>
        <w:t>Fantham</w:t>
      </w:r>
      <w:proofErr w:type="spellEnd"/>
      <w:r>
        <w:t xml:space="preserve"> tells us, this is not the only account available, as she outlines the “difference and similarities between Statius’ direct </w:t>
      </w:r>
      <w:r>
        <w:lastRenderedPageBreak/>
        <w:t>narrative…in book 1 and Achilles’ personal reminiscences…in book 2”</w:t>
      </w:r>
      <w:r>
        <w:rPr>
          <w:rStyle w:val="FootnoteReference"/>
        </w:rPr>
        <w:footnoteReference w:id="8"/>
      </w:r>
      <w:r>
        <w:t>.</w:t>
      </w:r>
      <w:r w:rsidR="00A90412">
        <w:t xml:space="preserve"> </w:t>
      </w:r>
      <w:r w:rsidR="00267D20">
        <w:t>According to Achilles himself, h</w:t>
      </w:r>
      <w:r w:rsidR="00A90412">
        <w:t>e ate meat</w:t>
      </w:r>
      <w:r w:rsidR="00A90412">
        <w:rPr>
          <w:rStyle w:val="FootnoteReference"/>
        </w:rPr>
        <w:footnoteReference w:id="9"/>
      </w:r>
      <w:r w:rsidR="00A90412">
        <w:t>, learned fearlessness in the face of nature</w:t>
      </w:r>
      <w:r w:rsidR="00A90412">
        <w:rPr>
          <w:rStyle w:val="FootnoteReference"/>
        </w:rPr>
        <w:footnoteReference w:id="10"/>
      </w:r>
      <w:r w:rsidR="00267D20">
        <w:t xml:space="preserve"> and</w:t>
      </w:r>
      <w:r w:rsidR="00A90412">
        <w:t xml:space="preserve"> gained his famed </w:t>
      </w:r>
      <w:r w:rsidR="009614FA">
        <w:t>swift footedness</w:t>
      </w:r>
      <w:r w:rsidR="00A90412">
        <w:rPr>
          <w:rStyle w:val="FootnoteReference"/>
        </w:rPr>
        <w:footnoteReference w:id="11"/>
      </w:r>
      <w:r w:rsidR="00267D20">
        <w:t>. In contrary to the peaceful image of</w:t>
      </w:r>
      <w:r w:rsidR="0088732B">
        <w:t xml:space="preserve"> the teachings of</w:t>
      </w:r>
      <w:r w:rsidR="00267D20">
        <w:t xml:space="preserve"> Chiron presented before, Achilles talks of “</w:t>
      </w:r>
      <w:proofErr w:type="spellStart"/>
      <w:r w:rsidR="00267D20">
        <w:t>rous</w:t>
      </w:r>
      <w:proofErr w:type="spellEnd"/>
      <w:r w:rsidR="00267D20">
        <w:t>[</w:t>
      </w:r>
      <w:proofErr w:type="spellStart"/>
      <w:r w:rsidR="00267D20">
        <w:t>ing</w:t>
      </w:r>
      <w:proofErr w:type="spellEnd"/>
      <w:r w:rsidR="00267D20">
        <w:t>] grim boars” or disturbing “mighty tigress’ lair”</w:t>
      </w:r>
      <w:r w:rsidR="0088732B">
        <w:rPr>
          <w:rStyle w:val="FootnoteReference"/>
        </w:rPr>
        <w:footnoteReference w:id="12"/>
      </w:r>
      <w:r w:rsidR="0088732B">
        <w:t>, and how he learned the use of various weapons from neighbouring peoples</w:t>
      </w:r>
      <w:r w:rsidR="0088732B">
        <w:rPr>
          <w:rStyle w:val="FootnoteReference"/>
        </w:rPr>
        <w:footnoteReference w:id="13"/>
      </w:r>
      <w:r w:rsidR="0088732B">
        <w:t>. Only after these and his recounting of Chiron “tell[</w:t>
      </w:r>
      <w:proofErr w:type="spellStart"/>
      <w:r w:rsidR="0088732B">
        <w:t>ing</w:t>
      </w:r>
      <w:proofErr w:type="spellEnd"/>
      <w:r w:rsidR="0088732B">
        <w:t xml:space="preserve">] [him] to get in where the torrent’s [of the river </w:t>
      </w:r>
      <w:proofErr w:type="spellStart"/>
      <w:r w:rsidR="0088732B">
        <w:t>Sperchios</w:t>
      </w:r>
      <w:proofErr w:type="spellEnd"/>
      <w:r w:rsidR="0088732B">
        <w:t>] was fiercest and stand against it, repelling the swollen waves that [Chiron] himself would hardly have withstood with so many feet”</w:t>
      </w:r>
      <w:r w:rsidR="0088732B">
        <w:rPr>
          <w:rStyle w:val="FootnoteReference"/>
        </w:rPr>
        <w:footnoteReference w:id="14"/>
      </w:r>
      <w:r w:rsidR="0088732B">
        <w:t xml:space="preserve"> does Achilles mention the music and the herbology that were the entirety of what Statius’ narrative told us of Chiron’s teachings</w:t>
      </w:r>
      <w:r w:rsidR="0088732B">
        <w:rPr>
          <w:rStyle w:val="FootnoteReference"/>
        </w:rPr>
        <w:footnoteReference w:id="15"/>
      </w:r>
      <w:r w:rsidR="0013234F">
        <w:t>.</w:t>
      </w:r>
    </w:p>
    <w:p w14:paraId="01B22EC0" w14:textId="200BA25B" w:rsidR="0013234F" w:rsidRDefault="0013234F" w:rsidP="00B306BF">
      <w:r>
        <w:t>How can we account for this difference in the recollection of Achilles’ education? Narratively, such a question seems to have a relatively simple answer – Achilles has just been revealed as male after being secreted as a girl by Thetis, and here he attempts to prove his masculinity. The purpose of this discrepancy however should be understood as furthering the objective of</w:t>
      </w:r>
      <w:r w:rsidR="00112042">
        <w:t xml:space="preserve"> the</w:t>
      </w:r>
      <w:r>
        <w:t xml:space="preserve"> deconstruction</w:t>
      </w:r>
      <w:r w:rsidR="00112042">
        <w:t xml:space="preserve"> of the Homeric / heroic tradition. </w:t>
      </w:r>
      <w:r w:rsidR="0003284C">
        <w:t xml:space="preserve">The phrase that promotes the best understanding of this is Achilles “marvel[ling] at the glories of the men of old”. Here, Statius is referring very directly to tradition, and then through Achilles retelling of formative events that mirror events or attributes in the </w:t>
      </w:r>
      <w:proofErr w:type="spellStart"/>
      <w:r w:rsidR="0003284C">
        <w:rPr>
          <w:i/>
          <w:iCs/>
        </w:rPr>
        <w:t>Illiad</w:t>
      </w:r>
      <w:proofErr w:type="spellEnd"/>
      <w:r w:rsidR="0003284C">
        <w:rPr>
          <w:rStyle w:val="FootnoteReference"/>
          <w:i/>
          <w:iCs/>
        </w:rPr>
        <w:footnoteReference w:id="16"/>
      </w:r>
      <w:r w:rsidR="0003284C">
        <w:t xml:space="preserve"> forces us to consider exactly how Achilles became the person he did</w:t>
      </w:r>
      <w:r w:rsidR="002D5782">
        <w:t>, and he himself became one of the famed ‘men of old’</w:t>
      </w:r>
      <w:r w:rsidR="0003284C">
        <w:t>.</w:t>
      </w:r>
      <w:r w:rsidR="00221B91">
        <w:t xml:space="preserve"> Was it not the purpose of education by Chiron that Achilles was to avoid war? Yet, we know Achilles is fated for the Trojan war of the </w:t>
      </w:r>
      <w:proofErr w:type="spellStart"/>
      <w:r w:rsidR="00221B91">
        <w:rPr>
          <w:i/>
          <w:iCs/>
        </w:rPr>
        <w:t>Illiad</w:t>
      </w:r>
      <w:proofErr w:type="spellEnd"/>
      <w:r w:rsidR="00221B91">
        <w:t xml:space="preserve">, and we can see that even with Chiron’s </w:t>
      </w:r>
      <w:r w:rsidR="002D5782">
        <w:t>‘</w:t>
      </w:r>
      <w:r w:rsidR="00221B91">
        <w:t>peaceful</w:t>
      </w:r>
      <w:r w:rsidR="002D5782">
        <w:t>’</w:t>
      </w:r>
      <w:r w:rsidR="00221B91">
        <w:t xml:space="preserve"> education</w:t>
      </w:r>
      <w:r w:rsidR="00221B91">
        <w:rPr>
          <w:rStyle w:val="FootnoteReference"/>
        </w:rPr>
        <w:footnoteReference w:id="17"/>
      </w:r>
      <w:r w:rsidR="002D5782">
        <w:t xml:space="preserve"> Achilles takes on many of these warlike attributes at an early age. </w:t>
      </w:r>
      <w:r w:rsidR="00BB0027">
        <w:t xml:space="preserve">This, it would seem, is a key part of the deconstruction of the Achilles tradition via the conflict of nurture versus nature – as Bernstein says, </w:t>
      </w:r>
      <w:r w:rsidR="00BB0027" w:rsidRPr="00BB0027">
        <w:t xml:space="preserve">“central aspects of Achilles’ identity are viewed as the </w:t>
      </w:r>
      <w:r w:rsidR="00BB0027" w:rsidRPr="00BB0027">
        <w:lastRenderedPageBreak/>
        <w:t>results both of his divine descent and of the education that he receives from his fosterer Chiron.”</w:t>
      </w:r>
      <w:r w:rsidR="00BB0027">
        <w:rPr>
          <w:rStyle w:val="FootnoteReference"/>
        </w:rPr>
        <w:footnoteReference w:id="18"/>
      </w:r>
      <w:r w:rsidR="00BB0027">
        <w:t xml:space="preserve">. </w:t>
      </w:r>
      <w:r w:rsidR="0067005B">
        <w:t>This conflict is not hidden within the narrative – Chiron comments on Achilles straying from nurture towards his nature</w:t>
      </w:r>
      <w:r w:rsidR="0067005B">
        <w:rPr>
          <w:rStyle w:val="FootnoteReference"/>
        </w:rPr>
        <w:footnoteReference w:id="19"/>
      </w:r>
      <w:r w:rsidR="0067005B">
        <w:t xml:space="preserve">. Chiron himself is also used partially metaphorically, as </w:t>
      </w:r>
      <w:proofErr w:type="spellStart"/>
      <w:r w:rsidR="0067005B">
        <w:t>Fantham</w:t>
      </w:r>
      <w:proofErr w:type="spellEnd"/>
      <w:r w:rsidR="0067005B">
        <w:rPr>
          <w:rStyle w:val="FootnoteReference"/>
        </w:rPr>
        <w:footnoteReference w:id="20"/>
      </w:r>
      <w:r w:rsidR="009579C3">
        <w:t xml:space="preserve"> points out, in the description of his cave</w:t>
      </w:r>
      <w:r w:rsidR="009579C3">
        <w:rPr>
          <w:rStyle w:val="FootnoteReference"/>
        </w:rPr>
        <w:footnoteReference w:id="21"/>
      </w:r>
      <w:r w:rsidR="009579C3">
        <w:t>. The nature of Chiron as a centaur, warlike and vicious, is countered by his culture, making him peaceful and learned.</w:t>
      </w:r>
    </w:p>
    <w:p w14:paraId="79603939" w14:textId="530BA8B6" w:rsidR="009579C3" w:rsidRDefault="009579C3" w:rsidP="00B306BF">
      <w:r>
        <w:t xml:space="preserve">The actions of Thetis must also be considered. In the respect previously discussed, Thetis represents the divine nature of Achilles contrasted to the nurture of Chiron. </w:t>
      </w:r>
      <w:r w:rsidR="00EB41B4">
        <w:t xml:space="preserve">As Achilles recalls, he “took no ordinary food nor satisfied hunger from nurturing </w:t>
      </w:r>
      <w:proofErr w:type="gramStart"/>
      <w:r w:rsidR="00EB41B4">
        <w:t>breasts, but</w:t>
      </w:r>
      <w:proofErr w:type="gramEnd"/>
      <w:r w:rsidR="00EB41B4">
        <w:t xml:space="preserve"> tore at the tough flesh of lions…this was my first bread…thus that father of mine [Chiron] used to feed [him]”</w:t>
      </w:r>
      <w:r w:rsidR="004B7C5B">
        <w:t xml:space="preserve">. Bernstein tells us that </w:t>
      </w:r>
      <w:r w:rsidR="00144128">
        <w:t>“Achilles’ description of his good emphasizes his fosterer’s displacement of his parents. Chiron’s savage diet nourishes Achilles as an infant in place of Thetis’ maternal breast.”</w:t>
      </w:r>
      <w:r w:rsidR="00144128">
        <w:rPr>
          <w:rStyle w:val="FootnoteReference"/>
        </w:rPr>
        <w:footnoteReference w:id="22"/>
      </w:r>
      <w:r w:rsidR="00144128">
        <w:t xml:space="preserve">. In this Achilles rejects the element of his divine nature that is Thetis in place for the new parental figure in Chiron. However, other segments contrast this in that Thetis is seen to herself reject Achilles’ fate or nature in order to protect him. </w:t>
      </w:r>
      <w:r w:rsidR="002D576B">
        <w:t xml:space="preserve">This occurs in two instances – one in Achilles’ education with Chiron, and the other in the </w:t>
      </w:r>
      <w:r w:rsidR="00020E55">
        <w:t xml:space="preserve">cross-dressing hiding on the island of Skyros. </w:t>
      </w:r>
    </w:p>
    <w:p w14:paraId="015431ED" w14:textId="03848A55" w:rsidR="00020E55" w:rsidRDefault="00020E55" w:rsidP="00B306BF">
      <w:r>
        <w:t xml:space="preserve">Thetis outlines </w:t>
      </w:r>
      <w:r w:rsidR="001B19F2">
        <w:t>her motives and plans for Achilles when they arrive at Skyros, saying that “…</w:t>
      </w:r>
      <w:r w:rsidR="001B19F2" w:rsidRPr="001B19F2">
        <w:t>nor a celestial mother should I fear the lowly Fates or the destinies of earth. But now unequal is thy birth, my son, and only on thy mother’s side is the way of death barred for thee; moreover, times of terror draw nigh, and peril hovers about the utmost goal.</w:t>
      </w:r>
      <w:r w:rsidR="001B19F2">
        <w:t>”</w:t>
      </w:r>
      <w:r w:rsidR="00B57DAF">
        <w:rPr>
          <w:rStyle w:val="FootnoteReference"/>
        </w:rPr>
        <w:footnoteReference w:id="23"/>
      </w:r>
      <w:r w:rsidR="001B19F2">
        <w:t>. Thetis again shows her fears of Achilles meeting with his natural end in war, and so she dresses her son in woman’s clothing</w:t>
      </w:r>
      <w:r w:rsidR="001B19F2">
        <w:rPr>
          <w:rStyle w:val="FootnoteReference"/>
        </w:rPr>
        <w:footnoteReference w:id="24"/>
      </w:r>
      <w:r w:rsidR="001B19F2">
        <w:t xml:space="preserve">. Immediately we should be aware of the </w:t>
      </w:r>
      <w:r w:rsidR="00C76364">
        <w:t xml:space="preserve">Roman attitudes towards gender – as </w:t>
      </w:r>
      <w:proofErr w:type="spellStart"/>
      <w:r w:rsidR="00C76364">
        <w:t>Barchiesi</w:t>
      </w:r>
      <w:proofErr w:type="spellEnd"/>
      <w:r w:rsidR="00C76364">
        <w:t xml:space="preserve"> says, “education to masculinity had been for a long time a serious issue of cultural identity and social distinction”</w:t>
      </w:r>
      <w:r w:rsidR="00C76364">
        <w:rPr>
          <w:rStyle w:val="FootnoteReference"/>
        </w:rPr>
        <w:footnoteReference w:id="25"/>
      </w:r>
      <w:r w:rsidR="00C76364">
        <w:t>. What we observe then is a clear attempt at further intervention of the nature of Achilles in one of the most basic ways, by displacing his inherent masculinity as a man with performative feminine gender identity</w:t>
      </w:r>
      <w:r w:rsidR="00DD5722">
        <w:rPr>
          <w:rStyle w:val="FootnoteReference"/>
        </w:rPr>
        <w:footnoteReference w:id="26"/>
      </w:r>
      <w:r w:rsidR="00C76364">
        <w:rPr>
          <w:rStyle w:val="FootnoteReference"/>
        </w:rPr>
        <w:footnoteReference w:id="27"/>
      </w:r>
      <w:r w:rsidR="00C76364">
        <w:t>. Achilles is obviously troubled by this, when Thetis asks “Why does thou turn away? What means that glance? Art though ashamed to soften thee in this garb?”</w:t>
      </w:r>
      <w:r w:rsidR="00C76364">
        <w:rPr>
          <w:rStyle w:val="FootnoteReference"/>
        </w:rPr>
        <w:footnoteReference w:id="28"/>
      </w:r>
      <w:r w:rsidR="00B57DAF">
        <w:t xml:space="preserve">, and Statius </w:t>
      </w:r>
      <w:r w:rsidR="00B57DAF">
        <w:lastRenderedPageBreak/>
        <w:t xml:space="preserve">intends for the reader to be troubled too. </w:t>
      </w:r>
      <w:proofErr w:type="spellStart"/>
      <w:r w:rsidR="00B57DAF">
        <w:t>Barchiesi</w:t>
      </w:r>
      <w:proofErr w:type="spellEnd"/>
      <w:r w:rsidR="00B57DAF">
        <w:t xml:space="preserve"> continues to say that “The episode shows simultaneously that masculinity cannot be forever dissimulated, but also that the greatest of heroes had once been raised as a </w:t>
      </w:r>
      <w:proofErr w:type="gramStart"/>
      <w:r w:rsidR="00B57DAF">
        <w:t>girl, and</w:t>
      </w:r>
      <w:proofErr w:type="gramEnd"/>
      <w:r w:rsidR="00B57DAF">
        <w:t xml:space="preserve"> mistaken for one.”</w:t>
      </w:r>
      <w:r w:rsidR="00B57DAF">
        <w:rPr>
          <w:rStyle w:val="FootnoteReference"/>
        </w:rPr>
        <w:footnoteReference w:id="29"/>
      </w:r>
      <w:r w:rsidR="00B57DAF">
        <w:t xml:space="preserve">. This furthers Statius’ goal of deconstruction </w:t>
      </w:r>
      <w:r w:rsidR="004567B1">
        <w:t>in forcing the audience to consider Achilles, traditionally a paragon for all things masculine</w:t>
      </w:r>
      <w:r w:rsidR="004567B1">
        <w:rPr>
          <w:rStyle w:val="FootnoteReference"/>
        </w:rPr>
        <w:footnoteReference w:id="30"/>
      </w:r>
      <w:r w:rsidR="004567B1">
        <w:t>, as formed partially by experiences of the feminine.</w:t>
      </w:r>
      <w:r w:rsidR="004675BA">
        <w:t xml:space="preserve"> However, much in the same way that Achilles</w:t>
      </w:r>
      <w:r w:rsidR="00F7156D">
        <w:t>’ nature shone through his training, Achilles’ masculine nature rejects the feminine persona in perhaps the most masculine of fashions – the rape and impregnation of Deidamia. Indeed, in the speech by Achilles to Deidamia after the deed is done, he inducts Deidamia into the same duality that he is part of – “You have joined the great sea, a daughter-in-law…you shall bear mighty grandsons for the sky.”</w:t>
      </w:r>
      <w:r w:rsidR="00F7156D">
        <w:rPr>
          <w:rStyle w:val="FootnoteReference"/>
        </w:rPr>
        <w:footnoteReference w:id="31"/>
      </w:r>
      <w:r w:rsidR="00F7156D">
        <w:t xml:space="preserve">. He even, in his threats to </w:t>
      </w:r>
      <w:proofErr w:type="spellStart"/>
      <w:r w:rsidR="00F7156D">
        <w:t>Lycomedes</w:t>
      </w:r>
      <w:proofErr w:type="spellEnd"/>
      <w:r w:rsidR="00F7156D">
        <w:rPr>
          <w:rStyle w:val="FootnoteReference"/>
        </w:rPr>
        <w:footnoteReference w:id="32"/>
      </w:r>
      <w:r w:rsidR="00F7156D">
        <w:t>, rejects Deidamia’s father</w:t>
      </w:r>
      <w:r w:rsidR="00F7156D">
        <w:rPr>
          <w:rStyle w:val="FootnoteReference"/>
        </w:rPr>
        <w:footnoteReference w:id="33"/>
      </w:r>
      <w:r w:rsidR="00F7156D">
        <w:t xml:space="preserve"> and intends to bring Deidamia into a familial situation more </w:t>
      </w:r>
      <w:proofErr w:type="gramStart"/>
      <w:r w:rsidR="00F7156D">
        <w:t>similar to</w:t>
      </w:r>
      <w:proofErr w:type="gramEnd"/>
      <w:r w:rsidR="00F7156D">
        <w:t xml:space="preserve"> his own.</w:t>
      </w:r>
    </w:p>
    <w:p w14:paraId="4AA8E0AB" w14:textId="2A170E51" w:rsidR="004567B1" w:rsidRPr="00221B91" w:rsidRDefault="004567B1" w:rsidP="00B306BF">
      <w:r>
        <w:t xml:space="preserve">This concept of duality is visited time and time again by Statius – “The text is obsessed with </w:t>
      </w:r>
      <w:proofErr w:type="spellStart"/>
      <w:r>
        <w:t>doubleness</w:t>
      </w:r>
      <w:proofErr w:type="spellEnd"/>
      <w:r>
        <w:t xml:space="preserve"> and hybridisation”</w:t>
      </w:r>
      <w:r>
        <w:rPr>
          <w:rStyle w:val="FootnoteReference"/>
        </w:rPr>
        <w:footnoteReference w:id="34"/>
      </w:r>
      <w:r>
        <w:t xml:space="preserve">. Achilles is the </w:t>
      </w:r>
      <w:r w:rsidR="00FA1A55">
        <w:t>son of Thetis of divine origin, and Peleus of mortal origin</w:t>
      </w:r>
      <w:r w:rsidR="00FA1A55">
        <w:rPr>
          <w:rStyle w:val="FootnoteReference"/>
        </w:rPr>
        <w:footnoteReference w:id="35"/>
      </w:r>
      <w:r w:rsidR="00D259CF">
        <w:t>.</w:t>
      </w:r>
      <w:r w:rsidR="00FA1A55">
        <w:t xml:space="preserve"> Chiron is one of the epitomic half man half beast hybrids, the centaurs</w:t>
      </w:r>
      <w:r w:rsidR="00FA1A55">
        <w:rPr>
          <w:rStyle w:val="FootnoteReference"/>
        </w:rPr>
        <w:footnoteReference w:id="36"/>
      </w:r>
      <w:r w:rsidR="00FA1A55">
        <w:t>.</w:t>
      </w:r>
      <w:r w:rsidR="00DD5722">
        <w:t xml:space="preserve"> Even the text itself, being a Roman retelling of a Greek story, is a hybrid. </w:t>
      </w:r>
      <w:r w:rsidR="00D259CF">
        <w:t>Statius essentially presents Achilles in two different forms</w:t>
      </w:r>
      <w:r w:rsidR="004675BA">
        <w:t xml:space="preserve"> and attempts to create a new understanding of Achilles that lies between the two forms.</w:t>
      </w:r>
    </w:p>
    <w:p w14:paraId="462F4B07" w14:textId="65C289B6" w:rsidR="0013234F" w:rsidRDefault="00005B65" w:rsidP="00B306BF">
      <w:r>
        <w:t xml:space="preserve">In the </w:t>
      </w:r>
      <w:proofErr w:type="spellStart"/>
      <w:r>
        <w:rPr>
          <w:i/>
          <w:iCs/>
        </w:rPr>
        <w:t>Achilleid</w:t>
      </w:r>
      <w:proofErr w:type="spellEnd"/>
      <w:r>
        <w:t>, Statius took a deep look at the mythical tradition of Achilles and tried to pry apart the details to present a different image of Achilles – not one that is contrary to the tradition but a more relatable evolution of it.</w:t>
      </w:r>
      <w:r w:rsidR="001B6D0C">
        <w:t xml:space="preserve"> He took the mythical elements of Achilles – his masculinity, his combat prowess, his ferocity - and he </w:t>
      </w:r>
      <w:r w:rsidR="0085461F">
        <w:t>rooted them in conflicts of nature versus nurture in a way that made them relevant to contemporary Roman thought. Even in the short segment of what was meant to be a much longer epic encompassing all of Achilles’ life</w:t>
      </w:r>
      <w:r w:rsidR="0085461F">
        <w:rPr>
          <w:rStyle w:val="FootnoteReference"/>
        </w:rPr>
        <w:footnoteReference w:id="37"/>
      </w:r>
      <w:r w:rsidR="00514597">
        <w:t>, we can see myriad ways in which Statius achieves his goal.</w:t>
      </w:r>
    </w:p>
    <w:p w14:paraId="7329F331" w14:textId="51761D37" w:rsidR="00514597" w:rsidRDefault="00514597" w:rsidP="00B306BF"/>
    <w:p w14:paraId="3B4BB87F" w14:textId="62F1C118" w:rsidR="00514597" w:rsidRDefault="00514597" w:rsidP="00B306BF"/>
    <w:p w14:paraId="6F899134" w14:textId="7FD9A63D" w:rsidR="00514597" w:rsidRPr="00514597" w:rsidRDefault="00514597" w:rsidP="00B306BF">
      <w:pPr>
        <w:rPr>
          <w:sz w:val="28"/>
          <w:szCs w:val="28"/>
          <w:u w:val="single"/>
        </w:rPr>
      </w:pPr>
      <w:r w:rsidRPr="00514597">
        <w:rPr>
          <w:sz w:val="28"/>
          <w:szCs w:val="28"/>
          <w:u w:val="single"/>
        </w:rPr>
        <w:t>Bibliography</w:t>
      </w:r>
    </w:p>
    <w:p w14:paraId="5BCB62DA" w14:textId="3872F54C" w:rsidR="00514597" w:rsidRDefault="00514597" w:rsidP="00B306BF">
      <w:pPr>
        <w:rPr>
          <w:sz w:val="24"/>
          <w:szCs w:val="24"/>
          <w:u w:val="single"/>
        </w:rPr>
      </w:pPr>
      <w:r>
        <w:rPr>
          <w:sz w:val="24"/>
          <w:szCs w:val="24"/>
          <w:u w:val="single"/>
        </w:rPr>
        <w:t>Primary</w:t>
      </w:r>
    </w:p>
    <w:p w14:paraId="2D393430" w14:textId="19078D31" w:rsidR="00514597" w:rsidRDefault="00514597" w:rsidP="00514597">
      <w:pPr>
        <w:rPr>
          <w:sz w:val="20"/>
          <w:szCs w:val="20"/>
        </w:rPr>
      </w:pPr>
      <w:r>
        <w:rPr>
          <w:sz w:val="20"/>
          <w:szCs w:val="20"/>
        </w:rPr>
        <w:t xml:space="preserve">Statius. </w:t>
      </w:r>
      <w:proofErr w:type="spellStart"/>
      <w:r>
        <w:rPr>
          <w:i/>
          <w:iCs/>
          <w:sz w:val="20"/>
          <w:szCs w:val="20"/>
        </w:rPr>
        <w:t>Achilleid</w:t>
      </w:r>
      <w:proofErr w:type="spellEnd"/>
      <w:r>
        <w:rPr>
          <w:i/>
          <w:iCs/>
          <w:sz w:val="20"/>
          <w:szCs w:val="20"/>
        </w:rPr>
        <w:t>.</w:t>
      </w:r>
      <w:r>
        <w:rPr>
          <w:sz w:val="20"/>
          <w:szCs w:val="20"/>
        </w:rPr>
        <w:t xml:space="preserve"> Translated by J.H. </w:t>
      </w:r>
      <w:proofErr w:type="spellStart"/>
      <w:r>
        <w:rPr>
          <w:sz w:val="20"/>
          <w:szCs w:val="20"/>
        </w:rPr>
        <w:t>Mozley</w:t>
      </w:r>
      <w:proofErr w:type="spellEnd"/>
      <w:r>
        <w:rPr>
          <w:sz w:val="20"/>
          <w:szCs w:val="20"/>
        </w:rPr>
        <w:t xml:space="preserve">. </w:t>
      </w:r>
      <w:r w:rsidR="00E35206" w:rsidRPr="00E35206">
        <w:rPr>
          <w:sz w:val="20"/>
          <w:szCs w:val="20"/>
        </w:rPr>
        <w:t>Cambridge, MA., Harvard University Press; London, William Heinemann, Ltd.</w:t>
      </w:r>
      <w:r>
        <w:rPr>
          <w:sz w:val="20"/>
          <w:szCs w:val="20"/>
        </w:rPr>
        <w:t xml:space="preserve"> 1928. Available from: </w:t>
      </w:r>
      <w:hyperlink r:id="rId7" w:history="1">
        <w:r w:rsidRPr="004E7CE2">
          <w:rPr>
            <w:rStyle w:val="Hyperlink"/>
            <w:sz w:val="20"/>
            <w:szCs w:val="20"/>
          </w:rPr>
          <w:t>https://www.theoi.com/Text/StatiusAchilleid1A.html</w:t>
        </w:r>
      </w:hyperlink>
      <w:r>
        <w:rPr>
          <w:sz w:val="20"/>
          <w:szCs w:val="20"/>
        </w:rPr>
        <w:t xml:space="preserve"> [Accessed 31 January 2020]</w:t>
      </w:r>
    </w:p>
    <w:p w14:paraId="425342BD" w14:textId="27FAF8E5" w:rsidR="00514597" w:rsidRDefault="00514597" w:rsidP="00514597">
      <w:pPr>
        <w:rPr>
          <w:sz w:val="20"/>
          <w:szCs w:val="20"/>
        </w:rPr>
      </w:pPr>
      <w:r w:rsidRPr="00514597">
        <w:rPr>
          <w:sz w:val="20"/>
          <w:szCs w:val="20"/>
        </w:rPr>
        <w:t xml:space="preserve">Homer. </w:t>
      </w:r>
      <w:r w:rsidRPr="00514597">
        <w:rPr>
          <w:i/>
          <w:iCs/>
          <w:sz w:val="20"/>
          <w:szCs w:val="20"/>
        </w:rPr>
        <w:t>The Iliad</w:t>
      </w:r>
      <w:r>
        <w:rPr>
          <w:i/>
          <w:iCs/>
          <w:sz w:val="20"/>
          <w:szCs w:val="20"/>
        </w:rPr>
        <w:t>.</w:t>
      </w:r>
      <w:r w:rsidRPr="00514597">
        <w:rPr>
          <w:sz w:val="20"/>
          <w:szCs w:val="20"/>
        </w:rPr>
        <w:t xml:space="preserve"> </w:t>
      </w:r>
      <w:r>
        <w:rPr>
          <w:sz w:val="20"/>
          <w:szCs w:val="20"/>
        </w:rPr>
        <w:t>Translated</w:t>
      </w:r>
      <w:r w:rsidRPr="00514597">
        <w:rPr>
          <w:sz w:val="20"/>
          <w:szCs w:val="20"/>
        </w:rPr>
        <w:t xml:space="preserve"> by A.T. Murray, Ph.D. Cambridge, MA., Harvard University Press; London, William Heinemann, Ltd. 1924.</w:t>
      </w:r>
      <w:r w:rsidR="00E35206">
        <w:rPr>
          <w:sz w:val="20"/>
          <w:szCs w:val="20"/>
        </w:rPr>
        <w:t xml:space="preserve"> Available from: </w:t>
      </w:r>
      <w:hyperlink r:id="rId8" w:history="1">
        <w:r w:rsidR="00E35206" w:rsidRPr="004E7CE2">
          <w:rPr>
            <w:rStyle w:val="Hyperlink"/>
            <w:sz w:val="20"/>
            <w:szCs w:val="20"/>
          </w:rPr>
          <w:t>http://www.perseus.tufts.edu/hopper/text?doc=urn:cts:greekLit:tlg0012.tlg001.perseus-eng1:21</w:t>
        </w:r>
      </w:hyperlink>
      <w:r w:rsidR="00E35206">
        <w:rPr>
          <w:sz w:val="20"/>
          <w:szCs w:val="20"/>
        </w:rPr>
        <w:t xml:space="preserve"> [Accessed 31 January 2020]</w:t>
      </w:r>
    </w:p>
    <w:p w14:paraId="622B2236" w14:textId="77777777" w:rsidR="00E35206" w:rsidRPr="00514597" w:rsidRDefault="00E35206" w:rsidP="00514597">
      <w:pPr>
        <w:rPr>
          <w:sz w:val="20"/>
          <w:szCs w:val="20"/>
        </w:rPr>
      </w:pPr>
    </w:p>
    <w:p w14:paraId="71D2E2CA" w14:textId="531158B6" w:rsidR="00514597" w:rsidRDefault="00E35206" w:rsidP="00514597">
      <w:pPr>
        <w:rPr>
          <w:sz w:val="24"/>
          <w:szCs w:val="24"/>
          <w:u w:val="single"/>
        </w:rPr>
      </w:pPr>
      <w:r>
        <w:rPr>
          <w:sz w:val="24"/>
          <w:szCs w:val="24"/>
          <w:u w:val="single"/>
        </w:rPr>
        <w:t>Scholarship</w:t>
      </w:r>
    </w:p>
    <w:p w14:paraId="0A99E37E" w14:textId="7D30CF67" w:rsidR="007F5322" w:rsidRDefault="007F5322" w:rsidP="00514597">
      <w:pPr>
        <w:rPr>
          <w:sz w:val="20"/>
          <w:szCs w:val="20"/>
        </w:rPr>
      </w:pPr>
      <w:proofErr w:type="spellStart"/>
      <w:r w:rsidRPr="007F5322">
        <w:rPr>
          <w:sz w:val="20"/>
          <w:szCs w:val="20"/>
        </w:rPr>
        <w:t>Barchiesi</w:t>
      </w:r>
      <w:proofErr w:type="spellEnd"/>
      <w:r w:rsidRPr="007F5322">
        <w:rPr>
          <w:sz w:val="20"/>
          <w:szCs w:val="20"/>
        </w:rPr>
        <w:t>, Alessandro ‘Masculinity in the 90s: The Education of Achilles in Statius and Quintilian,’ in Roman and Greek Imperial Epic ed Michael Paschalis (2005) 47-75</w:t>
      </w:r>
    </w:p>
    <w:p w14:paraId="5B853254" w14:textId="4231C686" w:rsidR="00E35206" w:rsidRDefault="00E35206" w:rsidP="00514597">
      <w:pPr>
        <w:rPr>
          <w:sz w:val="20"/>
          <w:szCs w:val="20"/>
        </w:rPr>
      </w:pPr>
      <w:r>
        <w:rPr>
          <w:sz w:val="20"/>
          <w:szCs w:val="20"/>
        </w:rPr>
        <w:t xml:space="preserve">Bernstein, N. (2008). </w:t>
      </w:r>
      <w:r>
        <w:rPr>
          <w:i/>
          <w:iCs/>
          <w:sz w:val="20"/>
          <w:szCs w:val="20"/>
        </w:rPr>
        <w:t xml:space="preserve">In the Image of the Ancestors: Narrative of Kinship in Flavian Epic. </w:t>
      </w:r>
      <w:r>
        <w:rPr>
          <w:sz w:val="20"/>
          <w:szCs w:val="20"/>
        </w:rPr>
        <w:t xml:space="preserve">University of Toronto Press: Toronto, Canada. </w:t>
      </w:r>
    </w:p>
    <w:p w14:paraId="071F6320" w14:textId="4A4E077E" w:rsidR="0097270C" w:rsidRPr="00E35206" w:rsidRDefault="007F5322" w:rsidP="00514597">
      <w:pPr>
        <w:rPr>
          <w:sz w:val="20"/>
          <w:szCs w:val="20"/>
        </w:rPr>
      </w:pPr>
      <w:proofErr w:type="spellStart"/>
      <w:r w:rsidRPr="007F5322">
        <w:rPr>
          <w:sz w:val="20"/>
          <w:szCs w:val="20"/>
        </w:rPr>
        <w:t>Fantham</w:t>
      </w:r>
      <w:proofErr w:type="spellEnd"/>
      <w:r w:rsidRPr="007F5322">
        <w:rPr>
          <w:sz w:val="20"/>
          <w:szCs w:val="20"/>
        </w:rPr>
        <w:t xml:space="preserve">, E., ‘Chiron: The Best of Teachers’ in A. F. </w:t>
      </w:r>
      <w:proofErr w:type="spellStart"/>
      <w:r w:rsidRPr="007F5322">
        <w:rPr>
          <w:sz w:val="20"/>
          <w:szCs w:val="20"/>
        </w:rPr>
        <w:t>Basson</w:t>
      </w:r>
      <w:proofErr w:type="spellEnd"/>
      <w:r w:rsidRPr="007F5322">
        <w:rPr>
          <w:sz w:val="20"/>
          <w:szCs w:val="20"/>
        </w:rPr>
        <w:t xml:space="preserve"> and W. J. Dominik (eds) Literature, Art, History: Studies on Classical Antiquity and Tradition in honour of W. J. Henderson, (Frankfurt, 2003), 111-122</w:t>
      </w:r>
    </w:p>
    <w:p w14:paraId="38F30EA1" w14:textId="77777777" w:rsidR="00514597" w:rsidRPr="00514597" w:rsidRDefault="00514597" w:rsidP="00B306BF">
      <w:pPr>
        <w:rPr>
          <w:sz w:val="24"/>
          <w:szCs w:val="24"/>
          <w:u w:val="single"/>
        </w:rPr>
      </w:pPr>
    </w:p>
    <w:p w14:paraId="2AAE2657" w14:textId="77777777" w:rsidR="00514597" w:rsidRPr="00514597" w:rsidRDefault="00514597" w:rsidP="00B306BF">
      <w:pPr>
        <w:rPr>
          <w:sz w:val="24"/>
          <w:szCs w:val="24"/>
        </w:rPr>
      </w:pPr>
    </w:p>
    <w:p w14:paraId="61B9D6CD" w14:textId="77777777" w:rsidR="001D122B" w:rsidRPr="00B306BF" w:rsidRDefault="001D122B" w:rsidP="00B306BF"/>
    <w:p w14:paraId="57A0DC32" w14:textId="77777777" w:rsidR="003F52E6" w:rsidRDefault="003F52E6" w:rsidP="00B306BF"/>
    <w:p w14:paraId="2DFCA0B6" w14:textId="77777777" w:rsidR="003F52E6" w:rsidRDefault="003F52E6" w:rsidP="00B306BF"/>
    <w:p w14:paraId="6ADB4B8B" w14:textId="77777777" w:rsidR="003F52E6" w:rsidRDefault="003F52E6" w:rsidP="00B306BF"/>
    <w:p w14:paraId="3CC733BD" w14:textId="77777777" w:rsidR="003F52E6" w:rsidRDefault="003F52E6" w:rsidP="00B306BF"/>
    <w:p w14:paraId="6B210D61" w14:textId="77777777" w:rsidR="003F52E6" w:rsidRDefault="003F52E6" w:rsidP="00B306BF"/>
    <w:p w14:paraId="3C15B371" w14:textId="77777777" w:rsidR="003F52E6" w:rsidRDefault="003F52E6" w:rsidP="00B306BF"/>
    <w:p w14:paraId="62CDCE98" w14:textId="77777777" w:rsidR="00B306BF" w:rsidRDefault="00B306BF" w:rsidP="00B306BF"/>
    <w:p w14:paraId="1CAC2297" w14:textId="32A4806D" w:rsidR="00B306BF" w:rsidRDefault="00B306BF" w:rsidP="00B306BF"/>
    <w:p w14:paraId="2EBA43C3" w14:textId="77777777" w:rsidR="00B306BF" w:rsidRDefault="00B306BF" w:rsidP="00B306BF"/>
    <w:sectPr w:rsidR="00B306B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42B7CC6" w14:textId="77777777" w:rsidR="009B105D" w:rsidRDefault="009B105D" w:rsidP="001D122B">
      <w:pPr>
        <w:spacing w:after="0" w:line="240" w:lineRule="auto"/>
      </w:pPr>
      <w:r>
        <w:separator/>
      </w:r>
    </w:p>
  </w:endnote>
  <w:endnote w:type="continuationSeparator" w:id="0">
    <w:p w14:paraId="37A1AE16" w14:textId="77777777" w:rsidR="009B105D" w:rsidRDefault="009B105D" w:rsidP="001D12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EE5728E" w14:textId="77777777" w:rsidR="009B105D" w:rsidRDefault="009B105D" w:rsidP="001D122B">
      <w:pPr>
        <w:spacing w:after="0" w:line="240" w:lineRule="auto"/>
      </w:pPr>
      <w:r>
        <w:separator/>
      </w:r>
    </w:p>
  </w:footnote>
  <w:footnote w:type="continuationSeparator" w:id="0">
    <w:p w14:paraId="21D58B94" w14:textId="77777777" w:rsidR="009B105D" w:rsidRDefault="009B105D" w:rsidP="001D122B">
      <w:pPr>
        <w:spacing w:after="0" w:line="240" w:lineRule="auto"/>
      </w:pPr>
      <w:r>
        <w:continuationSeparator/>
      </w:r>
    </w:p>
  </w:footnote>
  <w:footnote w:id="1">
    <w:p w14:paraId="2FB090EB" w14:textId="62B21639" w:rsidR="00144128" w:rsidRDefault="00144128">
      <w:pPr>
        <w:pStyle w:val="FootnoteText"/>
      </w:pPr>
      <w:r>
        <w:rPr>
          <w:rStyle w:val="FootnoteReference"/>
        </w:rPr>
        <w:footnoteRef/>
      </w:r>
      <w:r>
        <w:t xml:space="preserve"> This conflict is not unknown to the Romans. Bernstein (2008) says that “Writers of the first century AD locate the relative benefits of nature and nurture in the context of the creation of distinction among the upper class. They assert that the products of nurture, especially intellectual accomplishments, can be the source of nobility.”</w:t>
      </w:r>
    </w:p>
  </w:footnote>
  <w:footnote w:id="2">
    <w:p w14:paraId="1C3CD4AC" w14:textId="7D582569" w:rsidR="00500FD0" w:rsidRDefault="00500FD0">
      <w:pPr>
        <w:pStyle w:val="FootnoteText"/>
      </w:pPr>
      <w:r>
        <w:rPr>
          <w:rStyle w:val="FootnoteReference"/>
        </w:rPr>
        <w:footnoteRef/>
      </w:r>
      <w:r>
        <w:t xml:space="preserve"> Bernstein, 2008</w:t>
      </w:r>
    </w:p>
  </w:footnote>
  <w:footnote w:id="3">
    <w:p w14:paraId="6C0E3CCB" w14:textId="77777777" w:rsidR="00500FD0" w:rsidRPr="001D122B" w:rsidRDefault="00500FD0" w:rsidP="00500FD0">
      <w:pPr>
        <w:pStyle w:val="FootnoteText"/>
      </w:pPr>
      <w:r>
        <w:rPr>
          <w:rStyle w:val="FootnoteReference"/>
        </w:rPr>
        <w:footnoteRef/>
      </w:r>
      <w:r>
        <w:t xml:space="preserve"> Bernstein (2008) notes </w:t>
      </w:r>
      <w:proofErr w:type="spellStart"/>
      <w:r>
        <w:t>Favorinus’s</w:t>
      </w:r>
      <w:proofErr w:type="spellEnd"/>
      <w:r>
        <w:t xml:space="preserve"> condemnation in </w:t>
      </w:r>
      <w:proofErr w:type="spellStart"/>
      <w:r>
        <w:t>Gell</w:t>
      </w:r>
      <w:proofErr w:type="spellEnd"/>
      <w:r>
        <w:t xml:space="preserve">. 12.1 and </w:t>
      </w:r>
      <w:proofErr w:type="spellStart"/>
      <w:r>
        <w:t>Messalla’s</w:t>
      </w:r>
      <w:proofErr w:type="spellEnd"/>
      <w:r>
        <w:t xml:space="preserve"> condemnation in Tac. </w:t>
      </w:r>
      <w:r>
        <w:rPr>
          <w:i/>
          <w:iCs/>
        </w:rPr>
        <w:t>Dial</w:t>
      </w:r>
      <w:r>
        <w:t>. 28-9.</w:t>
      </w:r>
    </w:p>
  </w:footnote>
  <w:footnote w:id="4">
    <w:p w14:paraId="041BD7A5" w14:textId="7DF0910E" w:rsidR="003F52E6" w:rsidRPr="003F52E6" w:rsidRDefault="003F52E6">
      <w:pPr>
        <w:pStyle w:val="FootnoteText"/>
      </w:pPr>
      <w:r>
        <w:rPr>
          <w:rStyle w:val="FootnoteReference"/>
        </w:rPr>
        <w:footnoteRef/>
      </w:r>
      <w:r>
        <w:t xml:space="preserve"> </w:t>
      </w:r>
      <w:proofErr w:type="spellStart"/>
      <w:r>
        <w:t>Hom</w:t>
      </w:r>
      <w:proofErr w:type="spellEnd"/>
      <w:r>
        <w:t xml:space="preserve">. </w:t>
      </w:r>
      <w:r>
        <w:rPr>
          <w:i/>
          <w:iCs/>
        </w:rPr>
        <w:t>Il.</w:t>
      </w:r>
      <w:r>
        <w:t xml:space="preserve"> 11.832</w:t>
      </w:r>
    </w:p>
  </w:footnote>
  <w:footnote w:id="5">
    <w:p w14:paraId="3ABFA5AB" w14:textId="6B6D8C12" w:rsidR="00C31EBF" w:rsidRPr="00C31EBF" w:rsidRDefault="00C31EBF">
      <w:pPr>
        <w:pStyle w:val="FootnoteText"/>
      </w:pPr>
      <w:r>
        <w:rPr>
          <w:rStyle w:val="FootnoteReference"/>
        </w:rPr>
        <w:footnoteRef/>
      </w:r>
      <w:r>
        <w:t xml:space="preserve"> Stat. </w:t>
      </w:r>
      <w:proofErr w:type="spellStart"/>
      <w:r>
        <w:rPr>
          <w:i/>
          <w:iCs/>
        </w:rPr>
        <w:t>Achil</w:t>
      </w:r>
      <w:proofErr w:type="spellEnd"/>
      <w:r>
        <w:rPr>
          <w:i/>
          <w:iCs/>
        </w:rPr>
        <w:t>.</w:t>
      </w:r>
      <w:r>
        <w:t xml:space="preserve"> 1.95-119</w:t>
      </w:r>
    </w:p>
  </w:footnote>
  <w:footnote w:id="6">
    <w:p w14:paraId="45EA3FE5" w14:textId="194F944F" w:rsidR="00791983" w:rsidRPr="00791983" w:rsidRDefault="00791983">
      <w:pPr>
        <w:pStyle w:val="FootnoteText"/>
      </w:pPr>
      <w:r>
        <w:rPr>
          <w:rStyle w:val="FootnoteReference"/>
        </w:rPr>
        <w:footnoteRef/>
      </w:r>
      <w:r>
        <w:t xml:space="preserve"> Stat. </w:t>
      </w:r>
      <w:proofErr w:type="spellStart"/>
      <w:r>
        <w:rPr>
          <w:i/>
          <w:iCs/>
        </w:rPr>
        <w:t>Achil</w:t>
      </w:r>
      <w:proofErr w:type="spellEnd"/>
      <w:r>
        <w:rPr>
          <w:i/>
          <w:iCs/>
        </w:rPr>
        <w:t>.</w:t>
      </w:r>
      <w:r>
        <w:t xml:space="preserve"> 1.30-51</w:t>
      </w:r>
    </w:p>
  </w:footnote>
  <w:footnote w:id="7">
    <w:p w14:paraId="531EF0B7" w14:textId="30C45144" w:rsidR="007C02FB" w:rsidRPr="007C02FB" w:rsidRDefault="007C02FB">
      <w:pPr>
        <w:pStyle w:val="FootnoteText"/>
      </w:pPr>
      <w:r>
        <w:rPr>
          <w:rStyle w:val="FootnoteReference"/>
        </w:rPr>
        <w:footnoteRef/>
      </w:r>
      <w:r>
        <w:t xml:space="preserve"> Stat. </w:t>
      </w:r>
      <w:proofErr w:type="spellStart"/>
      <w:r>
        <w:rPr>
          <w:i/>
          <w:iCs/>
        </w:rPr>
        <w:t>Achil</w:t>
      </w:r>
      <w:proofErr w:type="spellEnd"/>
      <w:r>
        <w:rPr>
          <w:i/>
          <w:iCs/>
        </w:rPr>
        <w:t>.</w:t>
      </w:r>
      <w:r>
        <w:t xml:space="preserve"> 1.112-18</w:t>
      </w:r>
    </w:p>
  </w:footnote>
  <w:footnote w:id="8">
    <w:p w14:paraId="38CDDF88" w14:textId="5C08A8EB" w:rsidR="007C02FB" w:rsidRDefault="007C02FB">
      <w:pPr>
        <w:pStyle w:val="FootnoteText"/>
      </w:pPr>
      <w:r>
        <w:rPr>
          <w:rStyle w:val="FootnoteReference"/>
        </w:rPr>
        <w:footnoteRef/>
      </w:r>
      <w:r>
        <w:t xml:space="preserve"> </w:t>
      </w:r>
      <w:proofErr w:type="spellStart"/>
      <w:r>
        <w:t>Fantham</w:t>
      </w:r>
      <w:proofErr w:type="spellEnd"/>
      <w:r>
        <w:t>, 2003</w:t>
      </w:r>
    </w:p>
  </w:footnote>
  <w:footnote w:id="9">
    <w:p w14:paraId="1A6B91EF" w14:textId="3519A358" w:rsidR="00A90412" w:rsidRPr="00A90412" w:rsidRDefault="00A90412">
      <w:pPr>
        <w:pStyle w:val="FootnoteText"/>
      </w:pPr>
      <w:r>
        <w:rPr>
          <w:rStyle w:val="FootnoteReference"/>
        </w:rPr>
        <w:footnoteRef/>
      </w:r>
      <w:r>
        <w:t xml:space="preserve"> “I took no ordinary food nor satisfied hunger from nurturing </w:t>
      </w:r>
      <w:proofErr w:type="gramStart"/>
      <w:r>
        <w:t>breasts, but</w:t>
      </w:r>
      <w:proofErr w:type="gramEnd"/>
      <w:r>
        <w:t xml:space="preserve"> tore at the tough flesh of lions” Stat. </w:t>
      </w:r>
      <w:proofErr w:type="spellStart"/>
      <w:r>
        <w:rPr>
          <w:i/>
          <w:iCs/>
        </w:rPr>
        <w:t>Achil</w:t>
      </w:r>
      <w:proofErr w:type="spellEnd"/>
      <w:r>
        <w:rPr>
          <w:i/>
          <w:iCs/>
        </w:rPr>
        <w:t>.</w:t>
      </w:r>
      <w:r>
        <w:t xml:space="preserve"> 2.94-110</w:t>
      </w:r>
    </w:p>
  </w:footnote>
  <w:footnote w:id="10">
    <w:p w14:paraId="56130C1C" w14:textId="7719DF12" w:rsidR="00A90412" w:rsidRPr="00A90412" w:rsidRDefault="00A90412">
      <w:pPr>
        <w:pStyle w:val="FootnoteText"/>
      </w:pPr>
      <w:r>
        <w:rPr>
          <w:rStyle w:val="FootnoteReference"/>
        </w:rPr>
        <w:footnoteRef/>
      </w:r>
      <w:r>
        <w:t xml:space="preserve"> “He taught me to go with him through the trackless wilderness…and [taught me] to laugh when I saw wild beasts and not to fear rocks shattered by rushing torrents and the silences of the vast forest” Stat. </w:t>
      </w:r>
      <w:proofErr w:type="spellStart"/>
      <w:r>
        <w:rPr>
          <w:i/>
          <w:iCs/>
        </w:rPr>
        <w:t>Achil</w:t>
      </w:r>
      <w:proofErr w:type="spellEnd"/>
      <w:r>
        <w:rPr>
          <w:i/>
          <w:iCs/>
        </w:rPr>
        <w:t xml:space="preserve">. </w:t>
      </w:r>
      <w:r>
        <w:t>2.94-110</w:t>
      </w:r>
    </w:p>
  </w:footnote>
  <w:footnote w:id="11">
    <w:p w14:paraId="377FB16B" w14:textId="210908EF" w:rsidR="00A90412" w:rsidRPr="00A90412" w:rsidRDefault="00A90412">
      <w:pPr>
        <w:pStyle w:val="FootnoteText"/>
      </w:pPr>
      <w:r>
        <w:rPr>
          <w:rStyle w:val="FootnoteReference"/>
        </w:rPr>
        <w:footnoteRef/>
      </w:r>
      <w:r>
        <w:t xml:space="preserve"> “</w:t>
      </w:r>
      <w:r w:rsidRPr="00A90412">
        <w:t xml:space="preserve">Scarce had my raw youth turned the wheel of twice six years, when already he made me outpace swift hinds and </w:t>
      </w:r>
      <w:proofErr w:type="spellStart"/>
      <w:r w:rsidRPr="00A90412">
        <w:t>Lapith</w:t>
      </w:r>
      <w:proofErr w:type="spellEnd"/>
      <w:r w:rsidRPr="00A90412">
        <w:t xml:space="preserve"> steeds and running overtake the flung dart; often Chiron himself, while yet he was swift of foot, chased me at full gallop with headlong speed o’er all the plains</w:t>
      </w:r>
      <w:r>
        <w:t xml:space="preserve">” Stat. </w:t>
      </w:r>
      <w:proofErr w:type="spellStart"/>
      <w:r>
        <w:rPr>
          <w:i/>
          <w:iCs/>
        </w:rPr>
        <w:t>Achil</w:t>
      </w:r>
      <w:proofErr w:type="spellEnd"/>
      <w:r>
        <w:rPr>
          <w:i/>
          <w:iCs/>
        </w:rPr>
        <w:t xml:space="preserve">. </w:t>
      </w:r>
      <w:r>
        <w:t>2.110-29</w:t>
      </w:r>
      <w:r w:rsidR="0013234F">
        <w:t>. Additionally,</w:t>
      </w:r>
      <w:r>
        <w:t xml:space="preserve"> ‘Swift-footed Achilles’ was a common epithet</w:t>
      </w:r>
      <w:r w:rsidR="0013234F">
        <w:t xml:space="preserve"> in the </w:t>
      </w:r>
      <w:proofErr w:type="spellStart"/>
      <w:r w:rsidR="0013234F">
        <w:rPr>
          <w:i/>
          <w:iCs/>
        </w:rPr>
        <w:t>Illiad</w:t>
      </w:r>
      <w:proofErr w:type="spellEnd"/>
      <w:r>
        <w:t xml:space="preserve"> – see </w:t>
      </w:r>
      <w:proofErr w:type="spellStart"/>
      <w:r>
        <w:t>Hom</w:t>
      </w:r>
      <w:proofErr w:type="spellEnd"/>
      <w:r>
        <w:t xml:space="preserve">. </w:t>
      </w:r>
      <w:r>
        <w:rPr>
          <w:i/>
          <w:iCs/>
        </w:rPr>
        <w:t xml:space="preserve">Il. </w:t>
      </w:r>
      <w:r>
        <w:t>1.58, 1.489</w:t>
      </w:r>
    </w:p>
  </w:footnote>
  <w:footnote w:id="12">
    <w:p w14:paraId="01D6D849" w14:textId="2C9BCA72" w:rsidR="0088732B" w:rsidRPr="0088732B" w:rsidRDefault="0088732B">
      <w:pPr>
        <w:pStyle w:val="FootnoteText"/>
      </w:pPr>
      <w:r>
        <w:rPr>
          <w:rStyle w:val="FootnoteReference"/>
        </w:rPr>
        <w:footnoteRef/>
      </w:r>
      <w:r>
        <w:t xml:space="preserve"> Stat. </w:t>
      </w:r>
      <w:proofErr w:type="spellStart"/>
      <w:r>
        <w:rPr>
          <w:i/>
          <w:iCs/>
        </w:rPr>
        <w:t>Achil</w:t>
      </w:r>
      <w:proofErr w:type="spellEnd"/>
      <w:r>
        <w:rPr>
          <w:i/>
          <w:iCs/>
        </w:rPr>
        <w:t>.</w:t>
      </w:r>
      <w:r>
        <w:t xml:space="preserve"> 2.110-29</w:t>
      </w:r>
    </w:p>
  </w:footnote>
  <w:footnote w:id="13">
    <w:p w14:paraId="782913CA" w14:textId="3C602042" w:rsidR="0088732B" w:rsidRPr="0088732B" w:rsidRDefault="0088732B">
      <w:pPr>
        <w:pStyle w:val="FootnoteText"/>
      </w:pPr>
      <w:r>
        <w:rPr>
          <w:rStyle w:val="FootnoteReference"/>
        </w:rPr>
        <w:footnoteRef/>
      </w:r>
      <w:r>
        <w:t xml:space="preserve"> “I learned how the </w:t>
      </w:r>
      <w:proofErr w:type="spellStart"/>
      <w:r>
        <w:t>Paeonians</w:t>
      </w:r>
      <w:proofErr w:type="spellEnd"/>
      <w:r>
        <w:t xml:space="preserve"> whirl their arms, how the </w:t>
      </w:r>
      <w:proofErr w:type="spellStart"/>
      <w:r>
        <w:t>Macetae</w:t>
      </w:r>
      <w:proofErr w:type="spellEnd"/>
      <w:r>
        <w:t xml:space="preserve"> speed their javelins, with what a spin the Sarmatian plies his stake, the </w:t>
      </w:r>
      <w:proofErr w:type="spellStart"/>
      <w:r>
        <w:t>Gete</w:t>
      </w:r>
      <w:proofErr w:type="spellEnd"/>
      <w:r>
        <w:t xml:space="preserve"> his falchion, the </w:t>
      </w:r>
      <w:proofErr w:type="spellStart"/>
      <w:r>
        <w:t>Gelonian</w:t>
      </w:r>
      <w:proofErr w:type="spellEnd"/>
      <w:r>
        <w:t xml:space="preserve"> his bow, how the Balearic driver of the twisted sling swings his missile aloft with balanced pull” Stat. </w:t>
      </w:r>
      <w:proofErr w:type="spellStart"/>
      <w:r>
        <w:rPr>
          <w:i/>
          <w:iCs/>
        </w:rPr>
        <w:t>Achil</w:t>
      </w:r>
      <w:proofErr w:type="spellEnd"/>
      <w:r>
        <w:rPr>
          <w:i/>
          <w:iCs/>
        </w:rPr>
        <w:t xml:space="preserve">. </w:t>
      </w:r>
      <w:r>
        <w:t>2.129-45</w:t>
      </w:r>
    </w:p>
  </w:footnote>
  <w:footnote w:id="14">
    <w:p w14:paraId="7FC66570" w14:textId="4648268D" w:rsidR="0088732B" w:rsidRPr="0088732B" w:rsidRDefault="0088732B">
      <w:pPr>
        <w:pStyle w:val="FootnoteText"/>
      </w:pPr>
      <w:r>
        <w:rPr>
          <w:rStyle w:val="FootnoteReference"/>
        </w:rPr>
        <w:footnoteRef/>
      </w:r>
      <w:r>
        <w:t xml:space="preserve"> Stat. </w:t>
      </w:r>
      <w:proofErr w:type="spellStart"/>
      <w:r>
        <w:rPr>
          <w:i/>
          <w:iCs/>
        </w:rPr>
        <w:t>Achil</w:t>
      </w:r>
      <w:proofErr w:type="spellEnd"/>
      <w:r>
        <w:rPr>
          <w:i/>
          <w:iCs/>
        </w:rPr>
        <w:t>.</w:t>
      </w:r>
      <w:r>
        <w:t xml:space="preserve"> 2.145-59.</w:t>
      </w:r>
    </w:p>
  </w:footnote>
  <w:footnote w:id="15">
    <w:p w14:paraId="7DD050DA" w14:textId="71F184E6" w:rsidR="0088732B" w:rsidRPr="0013234F" w:rsidRDefault="0088732B">
      <w:pPr>
        <w:pStyle w:val="FootnoteText"/>
      </w:pPr>
      <w:r>
        <w:rPr>
          <w:rStyle w:val="FootnoteReference"/>
        </w:rPr>
        <w:footnoteRef/>
      </w:r>
      <w:r>
        <w:t xml:space="preserve"> “toil therein no greater </w:t>
      </w:r>
      <w:r w:rsidR="0013234F">
        <w:t xml:space="preserve">than when I plucked the sounding strings with Apollo’s quill and marvelled at the glories of the men of old. He even taught me of juices and grasses to aid in sickness, of medicine to staunch fast-flowing blood, what closes gaping wounds, what plague should be checked by steel, what yields to herbs” Stat. </w:t>
      </w:r>
      <w:proofErr w:type="spellStart"/>
      <w:r w:rsidR="0013234F">
        <w:rPr>
          <w:i/>
          <w:iCs/>
        </w:rPr>
        <w:t>Achil</w:t>
      </w:r>
      <w:proofErr w:type="spellEnd"/>
      <w:r w:rsidR="0013234F">
        <w:rPr>
          <w:i/>
          <w:iCs/>
        </w:rPr>
        <w:t>.</w:t>
      </w:r>
      <w:r w:rsidR="0013234F">
        <w:t xml:space="preserve"> 2.159</w:t>
      </w:r>
    </w:p>
  </w:footnote>
  <w:footnote w:id="16">
    <w:p w14:paraId="7D27C0F4" w14:textId="0EE62306" w:rsidR="0003284C" w:rsidRPr="0003284C" w:rsidRDefault="0003284C">
      <w:pPr>
        <w:pStyle w:val="FootnoteText"/>
      </w:pPr>
      <w:r>
        <w:rPr>
          <w:rStyle w:val="FootnoteReference"/>
        </w:rPr>
        <w:footnoteRef/>
      </w:r>
      <w:r>
        <w:t xml:space="preserve"> Statius provides an explanation for Achilles gaining his famed swift footedness, his aptitude for war / combat and the detail of him besting the torrents of the </w:t>
      </w:r>
      <w:proofErr w:type="spellStart"/>
      <w:r>
        <w:t>Sperchios</w:t>
      </w:r>
      <w:proofErr w:type="spellEnd"/>
      <w:r>
        <w:t xml:space="preserve"> directly mirrors the episode of the </w:t>
      </w:r>
      <w:proofErr w:type="spellStart"/>
      <w:r>
        <w:rPr>
          <w:i/>
          <w:iCs/>
        </w:rPr>
        <w:t>Illiad</w:t>
      </w:r>
      <w:proofErr w:type="spellEnd"/>
      <w:r>
        <w:t xml:space="preserve"> in which Achilles chokes the Xanthos / Scamander with bodies and blood and then directly fights the deity / personification of the river who is upset by his defilement – </w:t>
      </w:r>
      <w:proofErr w:type="spellStart"/>
      <w:r>
        <w:t>Hom</w:t>
      </w:r>
      <w:proofErr w:type="spellEnd"/>
      <w:r>
        <w:t xml:space="preserve">. </w:t>
      </w:r>
      <w:r>
        <w:rPr>
          <w:i/>
          <w:iCs/>
        </w:rPr>
        <w:t>Ill.</w:t>
      </w:r>
      <w:r>
        <w:t xml:space="preserve"> 21</w:t>
      </w:r>
    </w:p>
  </w:footnote>
  <w:footnote w:id="17">
    <w:p w14:paraId="289EB4F3" w14:textId="02CA769D" w:rsidR="00221B91" w:rsidRDefault="00221B91">
      <w:pPr>
        <w:pStyle w:val="FootnoteText"/>
      </w:pPr>
      <w:r>
        <w:rPr>
          <w:rStyle w:val="FootnoteReference"/>
        </w:rPr>
        <w:footnoteRef/>
      </w:r>
      <w:r>
        <w:t xml:space="preserve"> It may be worth noting that the ‘truth’ of Chiron’s education is supported by the tradition of ‘just’ Chiron, as well as the presumed infallibility of Statius as narrator. While this may usually be enough, the self-reflective nature of this passage in which Achilles talks directly about epic tradition while deconstructing his own epic image might well lead towards a more neutral middle ground than assuming the narratives absolute truth and Achilles’ own retelling. Achilles is not shown to be a liar (and even when he is forced to via hiding as a girl, he is not particularly good at it)</w:t>
      </w:r>
      <w:r w:rsidR="002D5782">
        <w:t xml:space="preserve"> and we should assume that the truth lies between the two accounts.</w:t>
      </w:r>
    </w:p>
  </w:footnote>
  <w:footnote w:id="18">
    <w:p w14:paraId="7765318C" w14:textId="57D4AD58" w:rsidR="00BB0027" w:rsidRDefault="00BB0027">
      <w:pPr>
        <w:pStyle w:val="FootnoteText"/>
      </w:pPr>
      <w:r>
        <w:rPr>
          <w:rStyle w:val="FootnoteReference"/>
        </w:rPr>
        <w:footnoteRef/>
      </w:r>
      <w:r>
        <w:t xml:space="preserve"> Bernstein, 2008</w:t>
      </w:r>
    </w:p>
  </w:footnote>
  <w:footnote w:id="19">
    <w:p w14:paraId="740EBAEE" w14:textId="0F3D2DF2" w:rsidR="0067005B" w:rsidRPr="0067005B" w:rsidRDefault="0067005B">
      <w:pPr>
        <w:pStyle w:val="FootnoteText"/>
      </w:pPr>
      <w:r>
        <w:rPr>
          <w:rStyle w:val="FootnoteReference"/>
        </w:rPr>
        <w:footnoteRef/>
      </w:r>
      <w:r>
        <w:t xml:space="preserve"> “His precocious force is brewing something big…going beyond his scanty years. Once he would bear threats and eagerly hear commands, nor go far from my cave. Now Ossa does not contain him, nor huge Pelion, nor </w:t>
      </w:r>
      <w:proofErr w:type="spellStart"/>
      <w:r>
        <w:t>Pharsalian</w:t>
      </w:r>
      <w:proofErr w:type="spellEnd"/>
      <w:r>
        <w:t xml:space="preserve"> snows. The centaurs themselves often complain to me of plundered homes and cattle carried off before their eyes and themselves driven from fields and rivers” Stat. </w:t>
      </w:r>
      <w:proofErr w:type="spellStart"/>
      <w:r>
        <w:rPr>
          <w:i/>
          <w:iCs/>
        </w:rPr>
        <w:t>Achil</w:t>
      </w:r>
      <w:proofErr w:type="spellEnd"/>
      <w:r>
        <w:rPr>
          <w:i/>
          <w:iCs/>
        </w:rPr>
        <w:t>.</w:t>
      </w:r>
      <w:r>
        <w:t xml:space="preserve"> 1.146-58</w:t>
      </w:r>
    </w:p>
  </w:footnote>
  <w:footnote w:id="20">
    <w:p w14:paraId="2DD000DE" w14:textId="47CD3107" w:rsidR="0067005B" w:rsidRDefault="0067005B">
      <w:pPr>
        <w:pStyle w:val="FootnoteText"/>
      </w:pPr>
      <w:r>
        <w:rPr>
          <w:rStyle w:val="FootnoteReference"/>
        </w:rPr>
        <w:footnoteRef/>
      </w:r>
      <w:r>
        <w:t xml:space="preserve"> </w:t>
      </w:r>
      <w:proofErr w:type="spellStart"/>
      <w:r>
        <w:t>Fantham</w:t>
      </w:r>
      <w:proofErr w:type="spellEnd"/>
      <w:r>
        <w:t>, 2003, pp.</w:t>
      </w:r>
      <w:r w:rsidR="009579C3">
        <w:t>118</w:t>
      </w:r>
    </w:p>
  </w:footnote>
  <w:footnote w:id="21">
    <w:p w14:paraId="6003ADBE" w14:textId="260EAC49" w:rsidR="009579C3" w:rsidRPr="009579C3" w:rsidRDefault="009579C3">
      <w:pPr>
        <w:pStyle w:val="FootnoteText"/>
      </w:pPr>
      <w:r>
        <w:rPr>
          <w:rStyle w:val="FootnoteReference"/>
        </w:rPr>
        <w:footnoteRef/>
      </w:r>
      <w:r>
        <w:t xml:space="preserve"> “</w:t>
      </w:r>
      <w:r w:rsidRPr="009579C3">
        <w:t>Yet the images and couches of the gods are shown, and the places that each had sanctified by his reclining and his sacred presence; within are the Centaur’s wide and lofty stalls, far different from those of his wicked brethren. Here are no spears that have tasted human blood, nor ashen clubs broken in festal conflict, nor mixing-bowls shattered upon kindred foemen, but innocent quivers and mighty hides of beasts.</w:t>
      </w:r>
      <w:r>
        <w:t xml:space="preserve">” Stat. </w:t>
      </w:r>
      <w:proofErr w:type="spellStart"/>
      <w:r>
        <w:rPr>
          <w:i/>
          <w:iCs/>
        </w:rPr>
        <w:t>Achil</w:t>
      </w:r>
      <w:proofErr w:type="spellEnd"/>
      <w:r>
        <w:rPr>
          <w:i/>
          <w:iCs/>
        </w:rPr>
        <w:t>.</w:t>
      </w:r>
      <w:r>
        <w:t xml:space="preserve"> 110-17</w:t>
      </w:r>
    </w:p>
  </w:footnote>
  <w:footnote w:id="22">
    <w:p w14:paraId="1195CF63" w14:textId="336E366D" w:rsidR="00144128" w:rsidRDefault="00144128">
      <w:pPr>
        <w:pStyle w:val="FootnoteText"/>
      </w:pPr>
      <w:r>
        <w:rPr>
          <w:rStyle w:val="FootnoteReference"/>
        </w:rPr>
        <w:footnoteRef/>
      </w:r>
      <w:r>
        <w:t xml:space="preserve"> Ber</w:t>
      </w:r>
      <w:r w:rsidR="00DD5722">
        <w:t>n</w:t>
      </w:r>
      <w:r>
        <w:t>stein, 2008, pp.122</w:t>
      </w:r>
    </w:p>
  </w:footnote>
  <w:footnote w:id="23">
    <w:p w14:paraId="5BA1F931" w14:textId="448942E5" w:rsidR="00B57DAF" w:rsidRDefault="00B57DAF">
      <w:pPr>
        <w:pStyle w:val="FootnoteText"/>
      </w:pPr>
      <w:r>
        <w:rPr>
          <w:rStyle w:val="FootnoteReference"/>
        </w:rPr>
        <w:footnoteRef/>
      </w:r>
      <w:r>
        <w:t xml:space="preserve"> </w:t>
      </w:r>
      <w:r w:rsidRPr="00B57DAF">
        <w:t>Stat</w:t>
      </w:r>
      <w:r w:rsidRPr="00B57DAF">
        <w:rPr>
          <w:i/>
          <w:iCs/>
        </w:rPr>
        <w:t xml:space="preserve">. </w:t>
      </w:r>
      <w:proofErr w:type="spellStart"/>
      <w:r w:rsidRPr="00B57DAF">
        <w:rPr>
          <w:i/>
          <w:iCs/>
        </w:rPr>
        <w:t>Achil</w:t>
      </w:r>
      <w:proofErr w:type="spellEnd"/>
      <w:r w:rsidRPr="00B57DAF">
        <w:t>. 1.242-74</w:t>
      </w:r>
    </w:p>
  </w:footnote>
  <w:footnote w:id="24">
    <w:p w14:paraId="09AE8794" w14:textId="3C411AE8" w:rsidR="001B19F2" w:rsidRDefault="001B19F2">
      <w:pPr>
        <w:pStyle w:val="FootnoteText"/>
      </w:pPr>
      <w:r>
        <w:rPr>
          <w:rStyle w:val="FootnoteReference"/>
        </w:rPr>
        <w:footnoteRef/>
      </w:r>
      <w:r>
        <w:t xml:space="preserve"> Statius also refers to the myth of Achilles invulnerability – “</w:t>
      </w:r>
      <w:r w:rsidRPr="001B19F2">
        <w:t>I fortified thee with the stern waters of Styx</w:t>
      </w:r>
      <w:r>
        <w:t xml:space="preserve">” – in passing, leading to the assumption that the audience would already be familiar with the myth as part of the tradition of Achilles. This is also another instance in which Thetis seeks to interfere </w:t>
      </w:r>
      <w:proofErr w:type="gramStart"/>
      <w:r>
        <w:t>in the nature of Achilles</w:t>
      </w:r>
      <w:proofErr w:type="gramEnd"/>
      <w:r>
        <w:t>, though in this instance by reinforcing his divinity.</w:t>
      </w:r>
    </w:p>
  </w:footnote>
  <w:footnote w:id="25">
    <w:p w14:paraId="62FDC780" w14:textId="7AD5CF7D" w:rsidR="00C76364" w:rsidRDefault="00C76364">
      <w:pPr>
        <w:pStyle w:val="FootnoteText"/>
      </w:pPr>
      <w:r>
        <w:rPr>
          <w:rStyle w:val="FootnoteReference"/>
        </w:rPr>
        <w:footnoteRef/>
      </w:r>
      <w:r>
        <w:t xml:space="preserve"> </w:t>
      </w:r>
      <w:proofErr w:type="spellStart"/>
      <w:r>
        <w:t>Barchiesi</w:t>
      </w:r>
      <w:proofErr w:type="spellEnd"/>
      <w:r>
        <w:t>, 2005</w:t>
      </w:r>
      <w:r w:rsidR="00B57DAF">
        <w:t>, pp.48</w:t>
      </w:r>
    </w:p>
  </w:footnote>
  <w:footnote w:id="26">
    <w:p w14:paraId="7E23BB53" w14:textId="02862DC7" w:rsidR="00DD5722" w:rsidRDefault="00DD5722">
      <w:pPr>
        <w:pStyle w:val="FootnoteText"/>
      </w:pPr>
      <w:r>
        <w:rPr>
          <w:rStyle w:val="FootnoteReference"/>
        </w:rPr>
        <w:footnoteRef/>
      </w:r>
      <w:r>
        <w:t xml:space="preserve"> Bernstein (2008) quotes the </w:t>
      </w:r>
      <w:r w:rsidRPr="00DD5722">
        <w:t>“irony implicit in Thetis’s failed efforts to arrest her son’s development into a warrior”.</w:t>
      </w:r>
    </w:p>
  </w:footnote>
  <w:footnote w:id="27">
    <w:p w14:paraId="1663F823" w14:textId="17815639" w:rsidR="00C76364" w:rsidRDefault="00C76364">
      <w:pPr>
        <w:pStyle w:val="FootnoteText"/>
      </w:pPr>
      <w:r>
        <w:rPr>
          <w:rStyle w:val="FootnoteReference"/>
        </w:rPr>
        <w:footnoteRef/>
      </w:r>
      <w:r>
        <w:t xml:space="preserve"> It seems unlikely that Statius as a Roman would have necessarily understood a difference between gender and sex in the sense that many modern audiences do.</w:t>
      </w:r>
    </w:p>
  </w:footnote>
  <w:footnote w:id="28">
    <w:p w14:paraId="7F7CA041" w14:textId="263F4998" w:rsidR="00C76364" w:rsidRPr="00C76364" w:rsidRDefault="00C76364">
      <w:pPr>
        <w:pStyle w:val="FootnoteText"/>
      </w:pPr>
      <w:r>
        <w:rPr>
          <w:rStyle w:val="FootnoteReference"/>
        </w:rPr>
        <w:footnoteRef/>
      </w:r>
      <w:r>
        <w:t xml:space="preserve"> Stat. </w:t>
      </w:r>
      <w:proofErr w:type="spellStart"/>
      <w:r>
        <w:rPr>
          <w:i/>
          <w:iCs/>
        </w:rPr>
        <w:t>Achil</w:t>
      </w:r>
      <w:proofErr w:type="spellEnd"/>
      <w:r>
        <w:rPr>
          <w:i/>
          <w:iCs/>
        </w:rPr>
        <w:t xml:space="preserve">. </w:t>
      </w:r>
      <w:r w:rsidR="00B57DAF">
        <w:rPr>
          <w:i/>
          <w:iCs/>
        </w:rPr>
        <w:t>1.</w:t>
      </w:r>
      <w:r>
        <w:t>242-</w:t>
      </w:r>
      <w:r w:rsidR="00B57DAF">
        <w:t>74</w:t>
      </w:r>
    </w:p>
  </w:footnote>
  <w:footnote w:id="29">
    <w:p w14:paraId="33788A12" w14:textId="3570170F" w:rsidR="00B57DAF" w:rsidRDefault="00B57DAF">
      <w:pPr>
        <w:pStyle w:val="FootnoteText"/>
      </w:pPr>
      <w:r>
        <w:rPr>
          <w:rStyle w:val="FootnoteReference"/>
        </w:rPr>
        <w:footnoteRef/>
      </w:r>
      <w:r>
        <w:t xml:space="preserve"> </w:t>
      </w:r>
      <w:proofErr w:type="spellStart"/>
      <w:r>
        <w:t>Barchiesi</w:t>
      </w:r>
      <w:proofErr w:type="spellEnd"/>
      <w:r>
        <w:t>, 2005, pp.48</w:t>
      </w:r>
    </w:p>
  </w:footnote>
  <w:footnote w:id="30">
    <w:p w14:paraId="550BD2C8" w14:textId="0E5AD332" w:rsidR="004567B1" w:rsidRDefault="004567B1">
      <w:pPr>
        <w:pStyle w:val="FootnoteText"/>
      </w:pPr>
      <w:r>
        <w:rPr>
          <w:rStyle w:val="FootnoteReference"/>
        </w:rPr>
        <w:footnoteRef/>
      </w:r>
      <w:r>
        <w:t xml:space="preserve"> There was a school of Roman thought that considered certain aspects of the Homeric Achilles less masculine, referring to the sulking Achilles playing music and the vengeful Achilles dragging the corpse of Hector around the walls of Troy.</w:t>
      </w:r>
    </w:p>
  </w:footnote>
  <w:footnote w:id="31">
    <w:p w14:paraId="37572A41" w14:textId="08FEE254" w:rsidR="00F7156D" w:rsidRPr="00F7156D" w:rsidRDefault="00F7156D">
      <w:pPr>
        <w:pStyle w:val="FootnoteText"/>
      </w:pPr>
      <w:r>
        <w:rPr>
          <w:rStyle w:val="FootnoteReference"/>
        </w:rPr>
        <w:footnoteRef/>
      </w:r>
      <w:r>
        <w:t xml:space="preserve"> Stat. </w:t>
      </w:r>
      <w:proofErr w:type="spellStart"/>
      <w:r>
        <w:rPr>
          <w:i/>
          <w:iCs/>
        </w:rPr>
        <w:t>Achil</w:t>
      </w:r>
      <w:proofErr w:type="spellEnd"/>
      <w:r>
        <w:rPr>
          <w:i/>
          <w:iCs/>
        </w:rPr>
        <w:t>.</w:t>
      </w:r>
      <w:r>
        <w:t xml:space="preserve"> 1.640-661</w:t>
      </w:r>
    </w:p>
  </w:footnote>
  <w:footnote w:id="32">
    <w:p w14:paraId="461548DB" w14:textId="6101E671" w:rsidR="00F7156D" w:rsidRDefault="00F7156D">
      <w:pPr>
        <w:pStyle w:val="FootnoteText"/>
      </w:pPr>
      <w:r>
        <w:rPr>
          <w:rStyle w:val="FootnoteReference"/>
        </w:rPr>
        <w:footnoteRef/>
      </w:r>
      <w:r>
        <w:t xml:space="preserve"> “As for your father – Scyros shall lie razed by fire and sword and these walls be overturned and pass into swollen tempests before you shall expiate my nuptials by a cruel death.” </w:t>
      </w:r>
      <w:r w:rsidRPr="00F7156D">
        <w:t xml:space="preserve">Stat. </w:t>
      </w:r>
      <w:proofErr w:type="spellStart"/>
      <w:r w:rsidRPr="00F7156D">
        <w:rPr>
          <w:i/>
          <w:iCs/>
        </w:rPr>
        <w:t>Achil</w:t>
      </w:r>
      <w:proofErr w:type="spellEnd"/>
      <w:r w:rsidRPr="00F7156D">
        <w:t>. 1.640-661</w:t>
      </w:r>
    </w:p>
  </w:footnote>
  <w:footnote w:id="33">
    <w:p w14:paraId="166A7493" w14:textId="2F6FAD08" w:rsidR="00F7156D" w:rsidRDefault="00F7156D">
      <w:pPr>
        <w:pStyle w:val="FootnoteText"/>
      </w:pPr>
      <w:r>
        <w:rPr>
          <w:rStyle w:val="FootnoteReference"/>
        </w:rPr>
        <w:footnoteRef/>
      </w:r>
      <w:r>
        <w:t xml:space="preserve"> As is often the case, the male is making the decision for the female.</w:t>
      </w:r>
    </w:p>
  </w:footnote>
  <w:footnote w:id="34">
    <w:p w14:paraId="01D89492" w14:textId="61F404D0" w:rsidR="004567B1" w:rsidRDefault="004567B1">
      <w:pPr>
        <w:pStyle w:val="FootnoteText"/>
      </w:pPr>
      <w:r>
        <w:rPr>
          <w:rStyle w:val="FootnoteReference"/>
        </w:rPr>
        <w:footnoteRef/>
      </w:r>
      <w:r>
        <w:t xml:space="preserve"> </w:t>
      </w:r>
      <w:proofErr w:type="spellStart"/>
      <w:r>
        <w:t>Barchiesi</w:t>
      </w:r>
      <w:proofErr w:type="spellEnd"/>
      <w:r>
        <w:t>, 2005, pp.52</w:t>
      </w:r>
    </w:p>
  </w:footnote>
  <w:footnote w:id="35">
    <w:p w14:paraId="4BE9A0C6" w14:textId="09B24DEC" w:rsidR="00FA1A55" w:rsidRPr="00FA1A55" w:rsidRDefault="00FA1A55">
      <w:pPr>
        <w:pStyle w:val="FootnoteText"/>
      </w:pPr>
      <w:r>
        <w:rPr>
          <w:rStyle w:val="FootnoteReference"/>
        </w:rPr>
        <w:footnoteRef/>
      </w:r>
      <w:r>
        <w:t xml:space="preserve"> “</w:t>
      </w:r>
      <w:r w:rsidRPr="00FA1A55">
        <w:t>But now unequal is thy birth, my son, and only on thy mother’s side is the way of death barred for thee</w:t>
      </w:r>
      <w:r>
        <w:t xml:space="preserve">” Stat. </w:t>
      </w:r>
      <w:proofErr w:type="spellStart"/>
      <w:r>
        <w:rPr>
          <w:i/>
          <w:iCs/>
        </w:rPr>
        <w:t>Achil</w:t>
      </w:r>
      <w:proofErr w:type="spellEnd"/>
      <w:r>
        <w:rPr>
          <w:i/>
          <w:iCs/>
        </w:rPr>
        <w:t xml:space="preserve">. </w:t>
      </w:r>
      <w:r>
        <w:t>1.256-7</w:t>
      </w:r>
    </w:p>
  </w:footnote>
  <w:footnote w:id="36">
    <w:p w14:paraId="15A25526" w14:textId="19C4B4AE" w:rsidR="00FA1A55" w:rsidRPr="00D259CF" w:rsidRDefault="00FA1A55">
      <w:pPr>
        <w:pStyle w:val="FootnoteText"/>
      </w:pPr>
      <w:r>
        <w:rPr>
          <w:rStyle w:val="FootnoteReference"/>
        </w:rPr>
        <w:footnoteRef/>
      </w:r>
      <w:r>
        <w:t xml:space="preserve"> Bernstein (2008) describes how this bestial duality is also explored for Achilles</w:t>
      </w:r>
      <w:r w:rsidR="00D259CF">
        <w:t xml:space="preserve">, noting how the </w:t>
      </w:r>
      <w:proofErr w:type="spellStart"/>
      <w:r w:rsidR="00D259CF">
        <w:rPr>
          <w:i/>
          <w:iCs/>
        </w:rPr>
        <w:t>Illiad</w:t>
      </w:r>
      <w:proofErr w:type="spellEnd"/>
      <w:r w:rsidR="00D259CF">
        <w:t xml:space="preserve"> frequently refers to Achilles as a lion</w:t>
      </w:r>
      <w:r>
        <w:t>.</w:t>
      </w:r>
      <w:r w:rsidR="00D259CF">
        <w:t xml:space="preserve"> Furthermore,</w:t>
      </w:r>
      <w:r>
        <w:t xml:space="preserve"> Statius contrasts Achilles’ threat to consume Hector’s flesh in the </w:t>
      </w:r>
      <w:proofErr w:type="spellStart"/>
      <w:r>
        <w:rPr>
          <w:i/>
          <w:iCs/>
        </w:rPr>
        <w:t>Illiad</w:t>
      </w:r>
      <w:proofErr w:type="spellEnd"/>
      <w:r>
        <w:t xml:space="preserve"> (</w:t>
      </w:r>
      <w:proofErr w:type="spellStart"/>
      <w:r>
        <w:t>Hom</w:t>
      </w:r>
      <w:proofErr w:type="spellEnd"/>
      <w:r>
        <w:t xml:space="preserve">. </w:t>
      </w:r>
      <w:r>
        <w:rPr>
          <w:i/>
          <w:iCs/>
        </w:rPr>
        <w:t>Il.</w:t>
      </w:r>
      <w:r>
        <w:t xml:space="preserve"> 22.346-7), credited to his superhuman rage at the death of Patroclus, to the </w:t>
      </w:r>
      <w:r>
        <w:rPr>
          <w:i/>
          <w:iCs/>
        </w:rPr>
        <w:t>paideia</w:t>
      </w:r>
      <w:r>
        <w:t xml:space="preserve"> of the </w:t>
      </w:r>
      <w:proofErr w:type="spellStart"/>
      <w:r>
        <w:rPr>
          <w:i/>
          <w:iCs/>
        </w:rPr>
        <w:t>Achilleid</w:t>
      </w:r>
      <w:proofErr w:type="spellEnd"/>
      <w:r>
        <w:t xml:space="preserve"> in which his savagery was essentially trained into him by Chiron.</w:t>
      </w:r>
      <w:r w:rsidR="00D259CF">
        <w:t xml:space="preserve"> Achilles, in rejecting the feminine clothing, is compared to an unbroken horse – “</w:t>
      </w:r>
      <w:r w:rsidR="00D259CF" w:rsidRPr="00D259CF">
        <w:t xml:space="preserve">So doth she </w:t>
      </w:r>
      <w:proofErr w:type="gramStart"/>
      <w:r w:rsidR="00D259CF" w:rsidRPr="00D259CF">
        <w:t>work</w:t>
      </w:r>
      <w:proofErr w:type="gramEnd"/>
      <w:r w:rsidR="00D259CF" w:rsidRPr="00D259CF">
        <w:t xml:space="preserve"> on his rough heart, vainly cajoling; the thought of his sire and his great teacher oppose her prayer and the rude beginnings of his mighty spirit. Even so, should one try to subdue with earliest rein a horse full of the mettlesome fire of ungoverned youth, he having long delighted in stream and meadow and his own proud beauty, gives not his neck to the yoke, nor his fierce mouth to the bridle, and snorts with rage at passing beneath a master’s sway and marvels that he learns another gait.</w:t>
      </w:r>
      <w:r w:rsidR="00D259CF">
        <w:t xml:space="preserve">” Stat. </w:t>
      </w:r>
      <w:proofErr w:type="spellStart"/>
      <w:r w:rsidR="00D259CF">
        <w:rPr>
          <w:i/>
          <w:iCs/>
        </w:rPr>
        <w:t>Achil</w:t>
      </w:r>
      <w:proofErr w:type="spellEnd"/>
      <w:r w:rsidR="00D259CF">
        <w:rPr>
          <w:i/>
          <w:iCs/>
        </w:rPr>
        <w:t>.</w:t>
      </w:r>
      <w:r w:rsidR="00D259CF">
        <w:t xml:space="preserve"> 1.274-282</w:t>
      </w:r>
    </w:p>
  </w:footnote>
  <w:footnote w:id="37">
    <w:p w14:paraId="07511E94" w14:textId="415B87C8" w:rsidR="0085461F" w:rsidRPr="0085461F" w:rsidRDefault="0085461F">
      <w:pPr>
        <w:pStyle w:val="FootnoteText"/>
      </w:pPr>
      <w:r>
        <w:rPr>
          <w:rStyle w:val="FootnoteReference"/>
        </w:rPr>
        <w:footnoteRef/>
      </w:r>
      <w:r>
        <w:t xml:space="preserve"> “…</w:t>
      </w:r>
      <w:r w:rsidRPr="0085461F">
        <w:t xml:space="preserve">suffer me – for such is my desire – to recount the whole story of the hero, to summon him forth from his hiding-place in Scyros with the </w:t>
      </w:r>
      <w:proofErr w:type="spellStart"/>
      <w:r w:rsidRPr="0085461F">
        <w:t>Dulichian</w:t>
      </w:r>
      <w:proofErr w:type="spellEnd"/>
      <w:r w:rsidRPr="0085461F">
        <w:t xml:space="preserve"> trumpet, and not to stop short at the dragging of Hector, but to lead the youth through the whole tale of Troy.</w:t>
      </w:r>
      <w:r>
        <w:t xml:space="preserve">” Stat. </w:t>
      </w:r>
      <w:proofErr w:type="spellStart"/>
      <w:r>
        <w:rPr>
          <w:i/>
          <w:iCs/>
        </w:rPr>
        <w:t>Achil</w:t>
      </w:r>
      <w:proofErr w:type="spellEnd"/>
      <w:r>
        <w:rPr>
          <w:i/>
          <w:iCs/>
        </w:rPr>
        <w:t>.</w:t>
      </w:r>
      <w:r>
        <w:t xml:space="preserve"> 1.1-13</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06BF"/>
    <w:rsid w:val="0000214E"/>
    <w:rsid w:val="00005B65"/>
    <w:rsid w:val="00020E55"/>
    <w:rsid w:val="0003284C"/>
    <w:rsid w:val="00112042"/>
    <w:rsid w:val="0013234F"/>
    <w:rsid w:val="00144128"/>
    <w:rsid w:val="001A17CE"/>
    <w:rsid w:val="001B19F2"/>
    <w:rsid w:val="001B6D0C"/>
    <w:rsid w:val="001D122B"/>
    <w:rsid w:val="00221B91"/>
    <w:rsid w:val="00267D20"/>
    <w:rsid w:val="002A4689"/>
    <w:rsid w:val="002D576B"/>
    <w:rsid w:val="002D5782"/>
    <w:rsid w:val="003F52E6"/>
    <w:rsid w:val="004567B1"/>
    <w:rsid w:val="004675BA"/>
    <w:rsid w:val="004B7C5B"/>
    <w:rsid w:val="00500FD0"/>
    <w:rsid w:val="00514597"/>
    <w:rsid w:val="0067005B"/>
    <w:rsid w:val="00695BC0"/>
    <w:rsid w:val="006B5B03"/>
    <w:rsid w:val="00791983"/>
    <w:rsid w:val="007C02FB"/>
    <w:rsid w:val="007F47E9"/>
    <w:rsid w:val="007F5322"/>
    <w:rsid w:val="0085461F"/>
    <w:rsid w:val="0088732B"/>
    <w:rsid w:val="009579C3"/>
    <w:rsid w:val="009614FA"/>
    <w:rsid w:val="0097270C"/>
    <w:rsid w:val="009B105D"/>
    <w:rsid w:val="00A90412"/>
    <w:rsid w:val="00B306BF"/>
    <w:rsid w:val="00B50C1B"/>
    <w:rsid w:val="00B57DAF"/>
    <w:rsid w:val="00BB0027"/>
    <w:rsid w:val="00C07AD2"/>
    <w:rsid w:val="00C31EBF"/>
    <w:rsid w:val="00C76364"/>
    <w:rsid w:val="00CB6F54"/>
    <w:rsid w:val="00D259CF"/>
    <w:rsid w:val="00DD5722"/>
    <w:rsid w:val="00E35206"/>
    <w:rsid w:val="00EB41B4"/>
    <w:rsid w:val="00F311CA"/>
    <w:rsid w:val="00F7156D"/>
    <w:rsid w:val="00FA1A55"/>
    <w:rsid w:val="00FC5B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C0F600"/>
  <w15:chartTrackingRefBased/>
  <w15:docId w15:val="{4000DEF9-940E-4671-B2FB-01DC01B31E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1D122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D122B"/>
    <w:rPr>
      <w:sz w:val="20"/>
      <w:szCs w:val="20"/>
    </w:rPr>
  </w:style>
  <w:style w:type="character" w:styleId="FootnoteReference">
    <w:name w:val="footnote reference"/>
    <w:basedOn w:val="DefaultParagraphFont"/>
    <w:uiPriority w:val="99"/>
    <w:semiHidden/>
    <w:unhideWhenUsed/>
    <w:rsid w:val="001D122B"/>
    <w:rPr>
      <w:vertAlign w:val="superscript"/>
    </w:rPr>
  </w:style>
  <w:style w:type="character" w:styleId="Hyperlink">
    <w:name w:val="Hyperlink"/>
    <w:basedOn w:val="DefaultParagraphFont"/>
    <w:uiPriority w:val="99"/>
    <w:unhideWhenUsed/>
    <w:rsid w:val="00514597"/>
    <w:rPr>
      <w:color w:val="0563C1" w:themeColor="hyperlink"/>
      <w:u w:val="single"/>
    </w:rPr>
  </w:style>
  <w:style w:type="character" w:styleId="UnresolvedMention">
    <w:name w:val="Unresolved Mention"/>
    <w:basedOn w:val="DefaultParagraphFont"/>
    <w:uiPriority w:val="99"/>
    <w:semiHidden/>
    <w:unhideWhenUsed/>
    <w:rsid w:val="0051459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perseus.tufts.edu/hopper/text?doc=urn:cts:greekLit:tlg0012.tlg001.perseus-eng1:21" TargetMode="External"/><Relationship Id="rId3" Type="http://schemas.openxmlformats.org/officeDocument/2006/relationships/settings" Target="settings.xml"/><Relationship Id="rId7" Type="http://schemas.openxmlformats.org/officeDocument/2006/relationships/hyperlink" Target="https://www.theoi.com/Text/StatiusAchilleid1A.html"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AD6C42-7EC8-428A-9312-2F192D8A74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1587</TotalTime>
  <Pages>5</Pages>
  <Words>1602</Words>
  <Characters>9136</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Manton (1801747)</dc:creator>
  <cp:keywords/>
  <dc:description/>
  <cp:lastModifiedBy>Paul Manton (1801747)</cp:lastModifiedBy>
  <cp:revision>12</cp:revision>
  <dcterms:created xsi:type="dcterms:W3CDTF">2020-01-26T10:54:00Z</dcterms:created>
  <dcterms:modified xsi:type="dcterms:W3CDTF">2020-01-31T12:50:00Z</dcterms:modified>
</cp:coreProperties>
</file>