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DBD8F6F" w14:textId="66436F79" w:rsidR="00503E4B" w:rsidRDefault="00503E4B" w:rsidP="004861F1">
      <w:pPr>
        <w:jc w:val="center"/>
        <w:rPr>
          <w:noProof/>
          <w:lang w:val="en-US"/>
        </w:rPr>
      </w:pPr>
    </w:p>
    <w:p w14:paraId="74A7AD5D" w14:textId="7FF34CAA" w:rsidR="00734C61" w:rsidRDefault="00734C61" w:rsidP="004861F1">
      <w:pPr>
        <w:jc w:val="center"/>
        <w:rPr>
          <w:lang w:val="en-US"/>
        </w:rPr>
      </w:pPr>
      <w:r>
        <w:rPr>
          <w:noProof/>
          <w:lang w:val="en-US"/>
        </w:rPr>
        <w:drawing>
          <wp:inline distT="0" distB="0" distL="0" distR="0" wp14:anchorId="5964E1A1" wp14:editId="09DA86FA">
            <wp:extent cx="3204926" cy="1063009"/>
            <wp:effectExtent l="0" t="0" r="0" b="3810"/>
            <wp:docPr id="1979320308"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UniNet proj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6913" cy="1066985"/>
                    </a:xfrm>
                    <a:prstGeom prst="rect">
                      <a:avLst/>
                    </a:prstGeom>
                    <a:noFill/>
                    <a:ln>
                      <a:noFill/>
                    </a:ln>
                  </pic:spPr>
                </pic:pic>
              </a:graphicData>
            </a:graphic>
          </wp:inline>
        </w:drawing>
      </w:r>
    </w:p>
    <w:p w14:paraId="3C345AEF" w14:textId="77777777" w:rsidR="004861F1" w:rsidRDefault="004861F1" w:rsidP="004861F1">
      <w:pPr>
        <w:jc w:val="center"/>
        <w:rPr>
          <w:b/>
          <w:bCs/>
        </w:rPr>
      </w:pPr>
    </w:p>
    <w:p w14:paraId="029E3CB4" w14:textId="77777777" w:rsidR="00734C61" w:rsidRDefault="00734C61" w:rsidP="004861F1">
      <w:pPr>
        <w:jc w:val="center"/>
        <w:rPr>
          <w:b/>
          <w:bCs/>
          <w:sz w:val="32"/>
          <w:szCs w:val="28"/>
        </w:rPr>
      </w:pPr>
    </w:p>
    <w:p w14:paraId="3F9152D9" w14:textId="763F40EA" w:rsidR="004861F1" w:rsidRPr="00734C61" w:rsidRDefault="00380418" w:rsidP="004861F1">
      <w:pPr>
        <w:jc w:val="center"/>
        <w:rPr>
          <w:b/>
          <w:bCs/>
          <w:sz w:val="32"/>
          <w:szCs w:val="28"/>
        </w:rPr>
      </w:pPr>
      <w:proofErr w:type="gramStart"/>
      <w:r w:rsidRPr="008C6744">
        <w:rPr>
          <w:rFonts w:cs="Arial"/>
          <w:b/>
          <w:bCs/>
          <w:sz w:val="36"/>
          <w:szCs w:val="36"/>
        </w:rPr>
        <w:t>Programme</w:t>
      </w:r>
      <w:r>
        <w:rPr>
          <w:rFonts w:cs="Arial"/>
          <w:b/>
          <w:bCs/>
          <w:sz w:val="36"/>
          <w:szCs w:val="36"/>
        </w:rPr>
        <w:t xml:space="preserve"> :</w:t>
      </w:r>
      <w:proofErr w:type="gramEnd"/>
      <w:r w:rsidRPr="00734C61">
        <w:rPr>
          <w:b/>
          <w:bCs/>
          <w:sz w:val="32"/>
          <w:szCs w:val="28"/>
        </w:rPr>
        <w:t xml:space="preserve"> </w:t>
      </w:r>
      <w:r w:rsidR="00BB0E4D" w:rsidRPr="00734C61">
        <w:rPr>
          <w:b/>
          <w:bCs/>
          <w:sz w:val="32"/>
          <w:szCs w:val="28"/>
        </w:rPr>
        <w:t>Master of Business Administration</w:t>
      </w:r>
    </w:p>
    <w:p w14:paraId="4524285F" w14:textId="4707FC9C" w:rsidR="004861F1" w:rsidRDefault="00380418" w:rsidP="004861F1">
      <w:pPr>
        <w:jc w:val="center"/>
        <w:rPr>
          <w:b/>
          <w:bCs/>
          <w:sz w:val="32"/>
          <w:szCs w:val="28"/>
        </w:rPr>
      </w:pPr>
      <w:proofErr w:type="gramStart"/>
      <w:r w:rsidRPr="008C6744">
        <w:rPr>
          <w:rFonts w:cs="Arial"/>
          <w:b/>
          <w:bCs/>
          <w:sz w:val="36"/>
          <w:szCs w:val="36"/>
        </w:rPr>
        <w:t>Module</w:t>
      </w:r>
      <w:r w:rsidRPr="00734C61">
        <w:rPr>
          <w:b/>
          <w:bCs/>
          <w:sz w:val="32"/>
          <w:szCs w:val="28"/>
        </w:rPr>
        <w:t xml:space="preserve"> </w:t>
      </w:r>
      <w:r>
        <w:rPr>
          <w:b/>
          <w:bCs/>
          <w:sz w:val="32"/>
          <w:szCs w:val="28"/>
        </w:rPr>
        <w:t>:</w:t>
      </w:r>
      <w:proofErr w:type="gramEnd"/>
      <w:r>
        <w:rPr>
          <w:b/>
          <w:bCs/>
          <w:sz w:val="32"/>
          <w:szCs w:val="28"/>
        </w:rPr>
        <w:t xml:space="preserve"> </w:t>
      </w:r>
      <w:r w:rsidR="00BB0E4D" w:rsidRPr="00734C61">
        <w:rPr>
          <w:b/>
          <w:bCs/>
          <w:sz w:val="32"/>
          <w:szCs w:val="28"/>
        </w:rPr>
        <w:t>Financial Management</w:t>
      </w:r>
    </w:p>
    <w:p w14:paraId="172DA0AD" w14:textId="1E5FF9C9" w:rsidR="004861F1" w:rsidRPr="00734C61" w:rsidRDefault="00380418" w:rsidP="00380418">
      <w:pPr>
        <w:rPr>
          <w:b/>
          <w:bCs/>
          <w:sz w:val="32"/>
          <w:szCs w:val="28"/>
        </w:rPr>
      </w:pPr>
      <w:r>
        <w:rPr>
          <w:b/>
          <w:bCs/>
          <w:sz w:val="32"/>
          <w:szCs w:val="28"/>
        </w:rPr>
        <w:t xml:space="preserve">                            </w:t>
      </w:r>
      <w:r w:rsidRPr="008C6744">
        <w:rPr>
          <w:rFonts w:cs="Arial"/>
          <w:b/>
          <w:bCs/>
          <w:sz w:val="36"/>
          <w:szCs w:val="36"/>
        </w:rPr>
        <w:t xml:space="preserve">Module </w:t>
      </w:r>
      <w:proofErr w:type="gramStart"/>
      <w:r w:rsidRPr="008C6744">
        <w:rPr>
          <w:rFonts w:cs="Arial"/>
          <w:b/>
          <w:bCs/>
          <w:sz w:val="36"/>
          <w:szCs w:val="36"/>
        </w:rPr>
        <w:t>code</w:t>
      </w:r>
      <w:r>
        <w:rPr>
          <w:b/>
          <w:bCs/>
          <w:sz w:val="32"/>
          <w:szCs w:val="28"/>
        </w:rPr>
        <w:t xml:space="preserve"> :</w:t>
      </w:r>
      <w:proofErr w:type="gramEnd"/>
      <w:r>
        <w:rPr>
          <w:b/>
          <w:bCs/>
          <w:sz w:val="32"/>
          <w:szCs w:val="28"/>
        </w:rPr>
        <w:t xml:space="preserve"> </w:t>
      </w:r>
      <w:r w:rsidR="00BB0E4D" w:rsidRPr="00734C61">
        <w:rPr>
          <w:b/>
          <w:bCs/>
          <w:sz w:val="32"/>
          <w:szCs w:val="28"/>
        </w:rPr>
        <w:t>LCMB7002</w:t>
      </w:r>
    </w:p>
    <w:p w14:paraId="783B2625" w14:textId="7E9901B6" w:rsidR="004861F1" w:rsidRPr="00D16D5B" w:rsidRDefault="00380418" w:rsidP="00380418">
      <w:pPr>
        <w:rPr>
          <w:b/>
          <w:bCs/>
          <w:sz w:val="32"/>
          <w:szCs w:val="28"/>
        </w:rPr>
      </w:pPr>
      <w:r>
        <w:rPr>
          <w:b/>
          <w:bCs/>
          <w:sz w:val="28"/>
          <w:szCs w:val="24"/>
        </w:rPr>
        <w:t xml:space="preserve">                   </w:t>
      </w:r>
      <w:r w:rsidR="00BB0E4D" w:rsidRPr="00D16D5B">
        <w:rPr>
          <w:b/>
          <w:bCs/>
          <w:sz w:val="32"/>
          <w:szCs w:val="28"/>
        </w:rPr>
        <w:t xml:space="preserve">Financial </w:t>
      </w:r>
      <w:r w:rsidR="00734C61" w:rsidRPr="00D16D5B">
        <w:rPr>
          <w:b/>
          <w:bCs/>
          <w:sz w:val="32"/>
          <w:szCs w:val="28"/>
        </w:rPr>
        <w:t>Performance and Management</w:t>
      </w:r>
    </w:p>
    <w:p w14:paraId="103359A6" w14:textId="1DB097EF" w:rsidR="004861F1" w:rsidRDefault="00BB0E4D" w:rsidP="004861F1">
      <w:pPr>
        <w:jc w:val="center"/>
        <w:rPr>
          <w:b/>
          <w:bCs/>
          <w:sz w:val="32"/>
          <w:szCs w:val="28"/>
        </w:rPr>
      </w:pPr>
      <w:r w:rsidRPr="00D16D5B">
        <w:rPr>
          <w:b/>
          <w:bCs/>
          <w:sz w:val="32"/>
          <w:szCs w:val="28"/>
        </w:rPr>
        <w:t xml:space="preserve">Case </w:t>
      </w:r>
      <w:r w:rsidR="00734C61" w:rsidRPr="00D16D5B">
        <w:rPr>
          <w:b/>
          <w:bCs/>
          <w:sz w:val="32"/>
          <w:szCs w:val="28"/>
        </w:rPr>
        <w:t xml:space="preserve">Analysis of </w:t>
      </w:r>
      <w:r w:rsidRPr="00D16D5B">
        <w:rPr>
          <w:b/>
          <w:bCs/>
          <w:sz w:val="32"/>
          <w:szCs w:val="28"/>
        </w:rPr>
        <w:t>BYD</w:t>
      </w:r>
    </w:p>
    <w:p w14:paraId="7B22F426" w14:textId="0BB1A13C" w:rsidR="00380418" w:rsidRDefault="00380418" w:rsidP="00380418">
      <w:pPr>
        <w:jc w:val="center"/>
        <w:rPr>
          <w:b/>
          <w:sz w:val="32"/>
          <w:szCs w:val="32"/>
        </w:rPr>
      </w:pPr>
      <w:proofErr w:type="gramStart"/>
      <w:r>
        <w:rPr>
          <w:b/>
          <w:sz w:val="32"/>
          <w:szCs w:val="32"/>
        </w:rPr>
        <w:t>Lecturer :</w:t>
      </w:r>
      <w:proofErr w:type="gramEnd"/>
      <w:r>
        <w:rPr>
          <w:b/>
          <w:sz w:val="32"/>
          <w:szCs w:val="32"/>
        </w:rPr>
        <w:t xml:space="preserve"> </w:t>
      </w:r>
      <w:proofErr w:type="spellStart"/>
      <w:r w:rsidRPr="00380418">
        <w:rPr>
          <w:b/>
          <w:sz w:val="32"/>
          <w:szCs w:val="32"/>
        </w:rPr>
        <w:t>Dr.</w:t>
      </w:r>
      <w:proofErr w:type="spellEnd"/>
      <w:r>
        <w:rPr>
          <w:b/>
          <w:sz w:val="32"/>
          <w:szCs w:val="32"/>
        </w:rPr>
        <w:t xml:space="preserve"> </w:t>
      </w:r>
      <w:proofErr w:type="spellStart"/>
      <w:r>
        <w:rPr>
          <w:b/>
          <w:sz w:val="32"/>
          <w:szCs w:val="32"/>
        </w:rPr>
        <w:t>Shengfeng</w:t>
      </w:r>
      <w:proofErr w:type="spellEnd"/>
      <w:r>
        <w:rPr>
          <w:b/>
          <w:sz w:val="32"/>
          <w:szCs w:val="32"/>
        </w:rPr>
        <w:t xml:space="preserve"> M</w:t>
      </w:r>
      <w:r w:rsidRPr="00380418">
        <w:rPr>
          <w:b/>
          <w:sz w:val="32"/>
          <w:szCs w:val="32"/>
        </w:rPr>
        <w:t>ei</w:t>
      </w:r>
    </w:p>
    <w:p w14:paraId="5FC098C4" w14:textId="0BB1A13C" w:rsidR="00380418" w:rsidRPr="00380418" w:rsidRDefault="00380418" w:rsidP="00380418">
      <w:pPr>
        <w:rPr>
          <w:b/>
          <w:sz w:val="32"/>
          <w:szCs w:val="32"/>
        </w:rPr>
      </w:pPr>
      <w:r>
        <w:rPr>
          <w:b/>
          <w:bCs/>
          <w:sz w:val="32"/>
          <w:szCs w:val="28"/>
        </w:rPr>
        <w:t xml:space="preserve">          </w:t>
      </w:r>
      <w:r w:rsidRPr="00380418">
        <w:rPr>
          <w:b/>
          <w:bCs/>
          <w:sz w:val="32"/>
          <w:szCs w:val="32"/>
        </w:rPr>
        <w:t xml:space="preserve">Student </w:t>
      </w:r>
      <w:proofErr w:type="gramStart"/>
      <w:r w:rsidRPr="00380418">
        <w:rPr>
          <w:b/>
          <w:bCs/>
          <w:sz w:val="32"/>
          <w:szCs w:val="32"/>
        </w:rPr>
        <w:t>Name</w:t>
      </w:r>
      <w:r>
        <w:rPr>
          <w:b/>
          <w:bCs/>
          <w:sz w:val="32"/>
          <w:szCs w:val="32"/>
        </w:rPr>
        <w:t xml:space="preserve"> :</w:t>
      </w:r>
      <w:proofErr w:type="gramEnd"/>
      <w:r>
        <w:rPr>
          <w:b/>
          <w:bCs/>
          <w:sz w:val="32"/>
          <w:szCs w:val="32"/>
        </w:rPr>
        <w:t xml:space="preserve"> </w:t>
      </w:r>
      <w:proofErr w:type="spellStart"/>
      <w:r>
        <w:rPr>
          <w:b/>
          <w:sz w:val="32"/>
          <w:szCs w:val="32"/>
        </w:rPr>
        <w:t>Abhishekkumar</w:t>
      </w:r>
      <w:proofErr w:type="spellEnd"/>
      <w:r>
        <w:rPr>
          <w:b/>
          <w:sz w:val="32"/>
          <w:szCs w:val="32"/>
        </w:rPr>
        <w:t xml:space="preserve"> </w:t>
      </w:r>
      <w:proofErr w:type="spellStart"/>
      <w:r>
        <w:rPr>
          <w:b/>
          <w:sz w:val="32"/>
          <w:szCs w:val="32"/>
        </w:rPr>
        <w:t>Vinubhai</w:t>
      </w:r>
      <w:proofErr w:type="spellEnd"/>
      <w:r>
        <w:rPr>
          <w:b/>
          <w:sz w:val="32"/>
          <w:szCs w:val="32"/>
        </w:rPr>
        <w:t xml:space="preserve"> </w:t>
      </w:r>
      <w:proofErr w:type="spellStart"/>
      <w:r>
        <w:rPr>
          <w:b/>
          <w:sz w:val="32"/>
          <w:szCs w:val="32"/>
        </w:rPr>
        <w:t>Pethani</w:t>
      </w:r>
      <w:proofErr w:type="spellEnd"/>
    </w:p>
    <w:p w14:paraId="527C4DB6" w14:textId="73018EAA" w:rsidR="004861F1" w:rsidRPr="00380418" w:rsidRDefault="00380418" w:rsidP="00380418">
      <w:pPr>
        <w:rPr>
          <w:b/>
          <w:bCs/>
          <w:sz w:val="32"/>
          <w:szCs w:val="32"/>
        </w:rPr>
      </w:pPr>
      <w:r>
        <w:rPr>
          <w:b/>
          <w:bCs/>
          <w:sz w:val="32"/>
          <w:szCs w:val="32"/>
        </w:rPr>
        <w:t xml:space="preserve">                                </w:t>
      </w:r>
      <w:bookmarkStart w:id="0" w:name="_GoBack"/>
      <w:bookmarkEnd w:id="0"/>
      <w:r>
        <w:rPr>
          <w:b/>
          <w:bCs/>
          <w:sz w:val="32"/>
          <w:szCs w:val="32"/>
        </w:rPr>
        <w:t xml:space="preserve"> </w:t>
      </w:r>
      <w:r w:rsidRPr="00380418">
        <w:rPr>
          <w:b/>
          <w:bCs/>
          <w:sz w:val="32"/>
          <w:szCs w:val="32"/>
        </w:rPr>
        <w:t>Student ID</w:t>
      </w:r>
      <w:r>
        <w:rPr>
          <w:b/>
          <w:bCs/>
          <w:sz w:val="32"/>
          <w:szCs w:val="32"/>
        </w:rPr>
        <w:t xml:space="preserve"> : </w:t>
      </w:r>
      <w:r>
        <w:rPr>
          <w:b/>
          <w:sz w:val="32"/>
          <w:szCs w:val="32"/>
        </w:rPr>
        <w:t>2525424</w:t>
      </w:r>
    </w:p>
    <w:p w14:paraId="05BE319D" w14:textId="660AAD4B" w:rsidR="004861F1" w:rsidRPr="00380418" w:rsidRDefault="00BB0E4D" w:rsidP="004861F1">
      <w:pPr>
        <w:jc w:val="center"/>
        <w:rPr>
          <w:b/>
          <w:bCs/>
          <w:sz w:val="32"/>
          <w:szCs w:val="32"/>
        </w:rPr>
      </w:pPr>
      <w:r w:rsidRPr="00380418">
        <w:rPr>
          <w:b/>
          <w:bCs/>
          <w:sz w:val="32"/>
          <w:szCs w:val="32"/>
        </w:rPr>
        <w:t>Word Count:</w:t>
      </w:r>
      <w:r w:rsidR="002D22FC" w:rsidRPr="00380418">
        <w:rPr>
          <w:b/>
          <w:bCs/>
          <w:sz w:val="32"/>
          <w:szCs w:val="32"/>
        </w:rPr>
        <w:t xml:space="preserve"> 4953</w:t>
      </w:r>
    </w:p>
    <w:p w14:paraId="6C81F620" w14:textId="77777777" w:rsidR="004861F1" w:rsidRDefault="004861F1" w:rsidP="00DB49E9">
      <w:pPr>
        <w:rPr>
          <w:lang w:val="en-US"/>
        </w:rPr>
      </w:pPr>
    </w:p>
    <w:p w14:paraId="0B6E2189" w14:textId="1B094E34" w:rsidR="00DB49E9" w:rsidRDefault="00DB49E9">
      <w:pPr>
        <w:spacing w:line="259" w:lineRule="auto"/>
        <w:jc w:val="left"/>
        <w:rPr>
          <w:lang w:val="en-US"/>
        </w:rPr>
      </w:pPr>
      <w:r>
        <w:rPr>
          <w:lang w:val="en-US"/>
        </w:rPr>
        <w:br w:type="page"/>
      </w:r>
    </w:p>
    <w:sdt>
      <w:sdtPr>
        <w:rPr>
          <w:rFonts w:ascii="Arial" w:eastAsiaTheme="minorHAnsi" w:hAnsi="Arial" w:cstheme="minorBidi"/>
          <w:color w:val="auto"/>
          <w:sz w:val="24"/>
          <w:szCs w:val="22"/>
          <w:lang w:val="en-GB"/>
        </w:rPr>
        <w:id w:val="-1944518228"/>
        <w:docPartObj>
          <w:docPartGallery w:val="Table of Contents"/>
          <w:docPartUnique/>
        </w:docPartObj>
      </w:sdtPr>
      <w:sdtEndPr>
        <w:rPr>
          <w:b/>
          <w:bCs/>
          <w:noProof/>
        </w:rPr>
      </w:sdtEndPr>
      <w:sdtContent>
        <w:p w14:paraId="0F2C2B51" w14:textId="2A52D048" w:rsidR="00DB49E9" w:rsidRPr="00DB49E9" w:rsidRDefault="00DB49E9" w:rsidP="00734C61">
          <w:pPr>
            <w:pStyle w:val="TOCHeading"/>
            <w:spacing w:line="360" w:lineRule="auto"/>
            <w:jc w:val="center"/>
            <w:rPr>
              <w:rFonts w:ascii="Arial" w:hAnsi="Arial" w:cs="Arial"/>
              <w:b/>
              <w:bCs/>
              <w:color w:val="auto"/>
              <w:sz w:val="28"/>
              <w:szCs w:val="28"/>
            </w:rPr>
          </w:pPr>
          <w:r w:rsidRPr="00DB49E9">
            <w:rPr>
              <w:rFonts w:ascii="Arial" w:hAnsi="Arial" w:cs="Arial"/>
              <w:b/>
              <w:bCs/>
              <w:color w:val="auto"/>
              <w:sz w:val="28"/>
              <w:szCs w:val="28"/>
            </w:rPr>
            <w:t>Table of Contents</w:t>
          </w:r>
        </w:p>
        <w:p w14:paraId="5D0218B0" w14:textId="2B6E7F36" w:rsidR="008D61B9" w:rsidRPr="002D22FC" w:rsidRDefault="00DB49E9" w:rsidP="002D22FC">
          <w:pPr>
            <w:pStyle w:val="TOC1"/>
            <w:rPr>
              <w:rFonts w:asciiTheme="minorHAnsi" w:eastAsiaTheme="minorEastAsia" w:hAnsiTheme="minorHAnsi"/>
              <w:kern w:val="2"/>
              <w:szCs w:val="24"/>
              <w:lang w:eastAsia="en-GB"/>
              <w14:ligatures w14:val="standardContextual"/>
            </w:rPr>
          </w:pPr>
          <w:r>
            <w:rPr>
              <w:noProof w:val="0"/>
            </w:rPr>
            <w:fldChar w:fldCharType="begin"/>
          </w:r>
          <w:r>
            <w:instrText xml:space="preserve"> TOC \o "1-3" \h \z \u </w:instrText>
          </w:r>
          <w:r>
            <w:rPr>
              <w:noProof w:val="0"/>
            </w:rPr>
            <w:fldChar w:fldCharType="separate"/>
          </w:r>
          <w:hyperlink w:anchor="_Toc227090047" w:history="1">
            <w:r w:rsidR="008D61B9" w:rsidRPr="002D22FC">
              <w:rPr>
                <w:rStyle w:val="Hyperlink"/>
              </w:rPr>
              <w:t>1. Financial Health Check</w:t>
            </w:r>
            <w:r w:rsidR="008D61B9" w:rsidRPr="002D22FC">
              <w:rPr>
                <w:webHidden/>
              </w:rPr>
              <w:tab/>
            </w:r>
            <w:r w:rsidR="008D61B9" w:rsidRPr="002D22FC">
              <w:rPr>
                <w:webHidden/>
              </w:rPr>
              <w:fldChar w:fldCharType="begin"/>
            </w:r>
            <w:r w:rsidR="008D61B9" w:rsidRPr="002D22FC">
              <w:rPr>
                <w:webHidden/>
              </w:rPr>
              <w:instrText xml:space="preserve"> PAGEREF _Toc227090047 \h </w:instrText>
            </w:r>
            <w:r w:rsidR="008D61B9" w:rsidRPr="002D22FC">
              <w:rPr>
                <w:webHidden/>
              </w:rPr>
            </w:r>
            <w:r w:rsidR="008D61B9" w:rsidRPr="002D22FC">
              <w:rPr>
                <w:webHidden/>
              </w:rPr>
              <w:fldChar w:fldCharType="separate"/>
            </w:r>
            <w:r w:rsidR="008D61B9" w:rsidRPr="002D22FC">
              <w:rPr>
                <w:webHidden/>
              </w:rPr>
              <w:t>4</w:t>
            </w:r>
            <w:r w:rsidR="008D61B9" w:rsidRPr="002D22FC">
              <w:rPr>
                <w:webHidden/>
              </w:rPr>
              <w:fldChar w:fldCharType="end"/>
            </w:r>
          </w:hyperlink>
        </w:p>
        <w:p w14:paraId="3479EEB5" w14:textId="7B7D8440"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48" w:history="1">
            <w:r w:rsidR="008D61B9" w:rsidRPr="005A6C2D">
              <w:rPr>
                <w:rStyle w:val="Hyperlink"/>
                <w:noProof/>
                <w:lang w:val="en-US"/>
              </w:rPr>
              <w:t>1.1 Profitability Analysis</w:t>
            </w:r>
            <w:r w:rsidR="008D61B9">
              <w:rPr>
                <w:noProof/>
                <w:webHidden/>
              </w:rPr>
              <w:tab/>
            </w:r>
            <w:r w:rsidR="008D61B9">
              <w:rPr>
                <w:noProof/>
                <w:webHidden/>
              </w:rPr>
              <w:fldChar w:fldCharType="begin"/>
            </w:r>
            <w:r w:rsidR="008D61B9">
              <w:rPr>
                <w:noProof/>
                <w:webHidden/>
              </w:rPr>
              <w:instrText xml:space="preserve"> PAGEREF _Toc227090048 \h </w:instrText>
            </w:r>
            <w:r w:rsidR="008D61B9">
              <w:rPr>
                <w:noProof/>
                <w:webHidden/>
              </w:rPr>
            </w:r>
            <w:r w:rsidR="008D61B9">
              <w:rPr>
                <w:noProof/>
                <w:webHidden/>
              </w:rPr>
              <w:fldChar w:fldCharType="separate"/>
            </w:r>
            <w:r w:rsidR="008D61B9">
              <w:rPr>
                <w:noProof/>
                <w:webHidden/>
              </w:rPr>
              <w:t>4</w:t>
            </w:r>
            <w:r w:rsidR="008D61B9">
              <w:rPr>
                <w:noProof/>
                <w:webHidden/>
              </w:rPr>
              <w:fldChar w:fldCharType="end"/>
            </w:r>
          </w:hyperlink>
        </w:p>
        <w:p w14:paraId="44C75644" w14:textId="68F45081"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49" w:history="1">
            <w:r w:rsidR="008D61B9" w:rsidRPr="005A6C2D">
              <w:rPr>
                <w:rStyle w:val="Hyperlink"/>
                <w:noProof/>
                <w:lang w:val="en-US"/>
              </w:rPr>
              <w:t>1.2 Liquidity Analysis</w:t>
            </w:r>
            <w:r w:rsidR="008D61B9">
              <w:rPr>
                <w:noProof/>
                <w:webHidden/>
              </w:rPr>
              <w:tab/>
            </w:r>
            <w:r w:rsidR="008D61B9">
              <w:rPr>
                <w:noProof/>
                <w:webHidden/>
              </w:rPr>
              <w:fldChar w:fldCharType="begin"/>
            </w:r>
            <w:r w:rsidR="008D61B9">
              <w:rPr>
                <w:noProof/>
                <w:webHidden/>
              </w:rPr>
              <w:instrText xml:space="preserve"> PAGEREF _Toc227090049 \h </w:instrText>
            </w:r>
            <w:r w:rsidR="008D61B9">
              <w:rPr>
                <w:noProof/>
                <w:webHidden/>
              </w:rPr>
            </w:r>
            <w:r w:rsidR="008D61B9">
              <w:rPr>
                <w:noProof/>
                <w:webHidden/>
              </w:rPr>
              <w:fldChar w:fldCharType="separate"/>
            </w:r>
            <w:r w:rsidR="008D61B9">
              <w:rPr>
                <w:noProof/>
                <w:webHidden/>
              </w:rPr>
              <w:t>5</w:t>
            </w:r>
            <w:r w:rsidR="008D61B9">
              <w:rPr>
                <w:noProof/>
                <w:webHidden/>
              </w:rPr>
              <w:fldChar w:fldCharType="end"/>
            </w:r>
          </w:hyperlink>
        </w:p>
        <w:p w14:paraId="2E45579B" w14:textId="35585C80"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50" w:history="1">
            <w:r w:rsidR="008D61B9" w:rsidRPr="005A6C2D">
              <w:rPr>
                <w:rStyle w:val="Hyperlink"/>
                <w:noProof/>
                <w:lang w:val="en-US"/>
              </w:rPr>
              <w:t>1.3 Efficiency Analysis</w:t>
            </w:r>
            <w:r w:rsidR="008D61B9">
              <w:rPr>
                <w:noProof/>
                <w:webHidden/>
              </w:rPr>
              <w:tab/>
            </w:r>
            <w:r w:rsidR="008D61B9">
              <w:rPr>
                <w:noProof/>
                <w:webHidden/>
              </w:rPr>
              <w:fldChar w:fldCharType="begin"/>
            </w:r>
            <w:r w:rsidR="008D61B9">
              <w:rPr>
                <w:noProof/>
                <w:webHidden/>
              </w:rPr>
              <w:instrText xml:space="preserve"> PAGEREF _Toc227090050 \h </w:instrText>
            </w:r>
            <w:r w:rsidR="008D61B9">
              <w:rPr>
                <w:noProof/>
                <w:webHidden/>
              </w:rPr>
            </w:r>
            <w:r w:rsidR="008D61B9">
              <w:rPr>
                <w:noProof/>
                <w:webHidden/>
              </w:rPr>
              <w:fldChar w:fldCharType="separate"/>
            </w:r>
            <w:r w:rsidR="008D61B9">
              <w:rPr>
                <w:noProof/>
                <w:webHidden/>
              </w:rPr>
              <w:t>6</w:t>
            </w:r>
            <w:r w:rsidR="008D61B9">
              <w:rPr>
                <w:noProof/>
                <w:webHidden/>
              </w:rPr>
              <w:fldChar w:fldCharType="end"/>
            </w:r>
          </w:hyperlink>
        </w:p>
        <w:p w14:paraId="353E942D" w14:textId="78B4C539"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51" w:history="1">
            <w:r w:rsidR="008D61B9" w:rsidRPr="005A6C2D">
              <w:rPr>
                <w:rStyle w:val="Hyperlink"/>
                <w:noProof/>
                <w:lang w:val="en-US"/>
              </w:rPr>
              <w:t>1.4 Capital Structure and Gearing</w:t>
            </w:r>
            <w:r w:rsidR="008D61B9">
              <w:rPr>
                <w:noProof/>
                <w:webHidden/>
              </w:rPr>
              <w:tab/>
            </w:r>
            <w:r w:rsidR="008D61B9">
              <w:rPr>
                <w:noProof/>
                <w:webHidden/>
              </w:rPr>
              <w:fldChar w:fldCharType="begin"/>
            </w:r>
            <w:r w:rsidR="008D61B9">
              <w:rPr>
                <w:noProof/>
                <w:webHidden/>
              </w:rPr>
              <w:instrText xml:space="preserve"> PAGEREF _Toc227090051 \h </w:instrText>
            </w:r>
            <w:r w:rsidR="008D61B9">
              <w:rPr>
                <w:noProof/>
                <w:webHidden/>
              </w:rPr>
            </w:r>
            <w:r w:rsidR="008D61B9">
              <w:rPr>
                <w:noProof/>
                <w:webHidden/>
              </w:rPr>
              <w:fldChar w:fldCharType="separate"/>
            </w:r>
            <w:r w:rsidR="008D61B9">
              <w:rPr>
                <w:noProof/>
                <w:webHidden/>
              </w:rPr>
              <w:t>7</w:t>
            </w:r>
            <w:r w:rsidR="008D61B9">
              <w:rPr>
                <w:noProof/>
                <w:webHidden/>
              </w:rPr>
              <w:fldChar w:fldCharType="end"/>
            </w:r>
          </w:hyperlink>
        </w:p>
        <w:p w14:paraId="3CC74509" w14:textId="5A77100C"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52" w:history="1">
            <w:r w:rsidR="008D61B9" w:rsidRPr="005A6C2D">
              <w:rPr>
                <w:rStyle w:val="Hyperlink"/>
                <w:noProof/>
                <w:lang w:val="en-US"/>
              </w:rPr>
              <w:t>1.5 Market Investment Performance</w:t>
            </w:r>
            <w:r w:rsidR="008D61B9">
              <w:rPr>
                <w:noProof/>
                <w:webHidden/>
              </w:rPr>
              <w:tab/>
            </w:r>
            <w:r w:rsidR="008D61B9">
              <w:rPr>
                <w:noProof/>
                <w:webHidden/>
              </w:rPr>
              <w:fldChar w:fldCharType="begin"/>
            </w:r>
            <w:r w:rsidR="008D61B9">
              <w:rPr>
                <w:noProof/>
                <w:webHidden/>
              </w:rPr>
              <w:instrText xml:space="preserve"> PAGEREF _Toc227090052 \h </w:instrText>
            </w:r>
            <w:r w:rsidR="008D61B9">
              <w:rPr>
                <w:noProof/>
                <w:webHidden/>
              </w:rPr>
            </w:r>
            <w:r w:rsidR="008D61B9">
              <w:rPr>
                <w:noProof/>
                <w:webHidden/>
              </w:rPr>
              <w:fldChar w:fldCharType="separate"/>
            </w:r>
            <w:r w:rsidR="008D61B9">
              <w:rPr>
                <w:noProof/>
                <w:webHidden/>
              </w:rPr>
              <w:t>8</w:t>
            </w:r>
            <w:r w:rsidR="008D61B9">
              <w:rPr>
                <w:noProof/>
                <w:webHidden/>
              </w:rPr>
              <w:fldChar w:fldCharType="end"/>
            </w:r>
          </w:hyperlink>
        </w:p>
        <w:p w14:paraId="43B03712" w14:textId="7A8CF1BD"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53" w:history="1">
            <w:r w:rsidR="008D61B9" w:rsidRPr="005A6C2D">
              <w:rPr>
                <w:rStyle w:val="Hyperlink"/>
                <w:noProof/>
                <w:lang w:val="en-US"/>
              </w:rPr>
              <w:t>1.6 Cash Flow Analysis</w:t>
            </w:r>
            <w:r w:rsidR="008D61B9">
              <w:rPr>
                <w:noProof/>
                <w:webHidden/>
              </w:rPr>
              <w:tab/>
            </w:r>
            <w:r w:rsidR="008D61B9">
              <w:rPr>
                <w:noProof/>
                <w:webHidden/>
              </w:rPr>
              <w:fldChar w:fldCharType="begin"/>
            </w:r>
            <w:r w:rsidR="008D61B9">
              <w:rPr>
                <w:noProof/>
                <w:webHidden/>
              </w:rPr>
              <w:instrText xml:space="preserve"> PAGEREF _Toc227090053 \h </w:instrText>
            </w:r>
            <w:r w:rsidR="008D61B9">
              <w:rPr>
                <w:noProof/>
                <w:webHidden/>
              </w:rPr>
            </w:r>
            <w:r w:rsidR="008D61B9">
              <w:rPr>
                <w:noProof/>
                <w:webHidden/>
              </w:rPr>
              <w:fldChar w:fldCharType="separate"/>
            </w:r>
            <w:r w:rsidR="008D61B9">
              <w:rPr>
                <w:noProof/>
                <w:webHidden/>
              </w:rPr>
              <w:t>9</w:t>
            </w:r>
            <w:r w:rsidR="008D61B9">
              <w:rPr>
                <w:noProof/>
                <w:webHidden/>
              </w:rPr>
              <w:fldChar w:fldCharType="end"/>
            </w:r>
          </w:hyperlink>
        </w:p>
        <w:p w14:paraId="5A3D8E58" w14:textId="30A55673"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54" w:history="1">
            <w:r w:rsidR="008D61B9" w:rsidRPr="005A6C2D">
              <w:rPr>
                <w:rStyle w:val="Hyperlink"/>
                <w:noProof/>
                <w:lang w:val="en-US"/>
              </w:rPr>
              <w:t>1.7 General Financial Position and Major Issues</w:t>
            </w:r>
            <w:r w:rsidR="008D61B9">
              <w:rPr>
                <w:noProof/>
                <w:webHidden/>
              </w:rPr>
              <w:tab/>
            </w:r>
            <w:r w:rsidR="008D61B9">
              <w:rPr>
                <w:noProof/>
                <w:webHidden/>
              </w:rPr>
              <w:fldChar w:fldCharType="begin"/>
            </w:r>
            <w:r w:rsidR="008D61B9">
              <w:rPr>
                <w:noProof/>
                <w:webHidden/>
              </w:rPr>
              <w:instrText xml:space="preserve"> PAGEREF _Toc227090054 \h </w:instrText>
            </w:r>
            <w:r w:rsidR="008D61B9">
              <w:rPr>
                <w:noProof/>
                <w:webHidden/>
              </w:rPr>
            </w:r>
            <w:r w:rsidR="008D61B9">
              <w:rPr>
                <w:noProof/>
                <w:webHidden/>
              </w:rPr>
              <w:fldChar w:fldCharType="separate"/>
            </w:r>
            <w:r w:rsidR="008D61B9">
              <w:rPr>
                <w:noProof/>
                <w:webHidden/>
              </w:rPr>
              <w:t>9</w:t>
            </w:r>
            <w:r w:rsidR="008D61B9">
              <w:rPr>
                <w:noProof/>
                <w:webHidden/>
              </w:rPr>
              <w:fldChar w:fldCharType="end"/>
            </w:r>
          </w:hyperlink>
        </w:p>
        <w:p w14:paraId="068AB9E3" w14:textId="57DACD71" w:rsidR="008D61B9" w:rsidRDefault="00BB0E4D" w:rsidP="002D22FC">
          <w:pPr>
            <w:pStyle w:val="TOC1"/>
            <w:rPr>
              <w:rFonts w:asciiTheme="minorHAnsi" w:eastAsiaTheme="minorEastAsia" w:hAnsiTheme="minorHAnsi"/>
              <w:kern w:val="2"/>
              <w:szCs w:val="24"/>
              <w:lang w:eastAsia="en-GB"/>
              <w14:ligatures w14:val="standardContextual"/>
            </w:rPr>
          </w:pPr>
          <w:hyperlink w:anchor="_Toc227090055" w:history="1">
            <w:r w:rsidR="008D61B9" w:rsidRPr="005A6C2D">
              <w:rPr>
                <w:rStyle w:val="Hyperlink"/>
              </w:rPr>
              <w:t>2. Working Capital Management Analysis</w:t>
            </w:r>
            <w:r w:rsidR="008D61B9">
              <w:rPr>
                <w:webHidden/>
              </w:rPr>
              <w:tab/>
            </w:r>
            <w:r w:rsidR="008D61B9">
              <w:rPr>
                <w:webHidden/>
              </w:rPr>
              <w:fldChar w:fldCharType="begin"/>
            </w:r>
            <w:r w:rsidR="008D61B9">
              <w:rPr>
                <w:webHidden/>
              </w:rPr>
              <w:instrText xml:space="preserve"> PAGEREF _Toc227090055 \h </w:instrText>
            </w:r>
            <w:r w:rsidR="008D61B9">
              <w:rPr>
                <w:webHidden/>
              </w:rPr>
            </w:r>
            <w:r w:rsidR="008D61B9">
              <w:rPr>
                <w:webHidden/>
              </w:rPr>
              <w:fldChar w:fldCharType="separate"/>
            </w:r>
            <w:r w:rsidR="008D61B9">
              <w:rPr>
                <w:webHidden/>
              </w:rPr>
              <w:t>10</w:t>
            </w:r>
            <w:r w:rsidR="008D61B9">
              <w:rPr>
                <w:webHidden/>
              </w:rPr>
              <w:fldChar w:fldCharType="end"/>
            </w:r>
          </w:hyperlink>
        </w:p>
        <w:p w14:paraId="1309ECDE" w14:textId="58787221"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56" w:history="1">
            <w:r w:rsidR="008D61B9" w:rsidRPr="005A6C2D">
              <w:rPr>
                <w:rStyle w:val="Hyperlink"/>
                <w:noProof/>
                <w:lang w:val="en-US"/>
              </w:rPr>
              <w:t>2.1 Assessment of Cash Conversion Cycle (CCC)</w:t>
            </w:r>
            <w:r w:rsidR="008D61B9">
              <w:rPr>
                <w:noProof/>
                <w:webHidden/>
              </w:rPr>
              <w:tab/>
            </w:r>
            <w:r w:rsidR="008D61B9">
              <w:rPr>
                <w:noProof/>
                <w:webHidden/>
              </w:rPr>
              <w:fldChar w:fldCharType="begin"/>
            </w:r>
            <w:r w:rsidR="008D61B9">
              <w:rPr>
                <w:noProof/>
                <w:webHidden/>
              </w:rPr>
              <w:instrText xml:space="preserve"> PAGEREF _Toc227090056 \h </w:instrText>
            </w:r>
            <w:r w:rsidR="008D61B9">
              <w:rPr>
                <w:noProof/>
                <w:webHidden/>
              </w:rPr>
            </w:r>
            <w:r w:rsidR="008D61B9">
              <w:rPr>
                <w:noProof/>
                <w:webHidden/>
              </w:rPr>
              <w:fldChar w:fldCharType="separate"/>
            </w:r>
            <w:r w:rsidR="008D61B9">
              <w:rPr>
                <w:noProof/>
                <w:webHidden/>
              </w:rPr>
              <w:t>10</w:t>
            </w:r>
            <w:r w:rsidR="008D61B9">
              <w:rPr>
                <w:noProof/>
                <w:webHidden/>
              </w:rPr>
              <w:fldChar w:fldCharType="end"/>
            </w:r>
          </w:hyperlink>
        </w:p>
        <w:p w14:paraId="7ED0CB59" w14:textId="04BA8E40"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57" w:history="1">
            <w:r w:rsidR="008D61B9" w:rsidRPr="005A6C2D">
              <w:rPr>
                <w:rStyle w:val="Hyperlink"/>
                <w:noProof/>
                <w:lang w:val="en-US"/>
              </w:rPr>
              <w:t>2.2 Receivables Management</w:t>
            </w:r>
            <w:r w:rsidR="008D61B9">
              <w:rPr>
                <w:noProof/>
                <w:webHidden/>
              </w:rPr>
              <w:tab/>
            </w:r>
            <w:r w:rsidR="008D61B9">
              <w:rPr>
                <w:noProof/>
                <w:webHidden/>
              </w:rPr>
              <w:fldChar w:fldCharType="begin"/>
            </w:r>
            <w:r w:rsidR="008D61B9">
              <w:rPr>
                <w:noProof/>
                <w:webHidden/>
              </w:rPr>
              <w:instrText xml:space="preserve"> PAGEREF _Toc227090057 \h </w:instrText>
            </w:r>
            <w:r w:rsidR="008D61B9">
              <w:rPr>
                <w:noProof/>
                <w:webHidden/>
              </w:rPr>
            </w:r>
            <w:r w:rsidR="008D61B9">
              <w:rPr>
                <w:noProof/>
                <w:webHidden/>
              </w:rPr>
              <w:fldChar w:fldCharType="separate"/>
            </w:r>
            <w:r w:rsidR="008D61B9">
              <w:rPr>
                <w:noProof/>
                <w:webHidden/>
              </w:rPr>
              <w:t>11</w:t>
            </w:r>
            <w:r w:rsidR="008D61B9">
              <w:rPr>
                <w:noProof/>
                <w:webHidden/>
              </w:rPr>
              <w:fldChar w:fldCharType="end"/>
            </w:r>
          </w:hyperlink>
        </w:p>
        <w:p w14:paraId="2B161935" w14:textId="273092DA"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58" w:history="1">
            <w:r w:rsidR="008D61B9" w:rsidRPr="005A6C2D">
              <w:rPr>
                <w:rStyle w:val="Hyperlink"/>
                <w:noProof/>
                <w:lang w:val="en-US"/>
              </w:rPr>
              <w:t>2.3 Inventory Management</w:t>
            </w:r>
            <w:r w:rsidR="008D61B9">
              <w:rPr>
                <w:noProof/>
                <w:webHidden/>
              </w:rPr>
              <w:tab/>
            </w:r>
            <w:r w:rsidR="008D61B9">
              <w:rPr>
                <w:noProof/>
                <w:webHidden/>
              </w:rPr>
              <w:fldChar w:fldCharType="begin"/>
            </w:r>
            <w:r w:rsidR="008D61B9">
              <w:rPr>
                <w:noProof/>
                <w:webHidden/>
              </w:rPr>
              <w:instrText xml:space="preserve"> PAGEREF _Toc227090058 \h </w:instrText>
            </w:r>
            <w:r w:rsidR="008D61B9">
              <w:rPr>
                <w:noProof/>
                <w:webHidden/>
              </w:rPr>
            </w:r>
            <w:r w:rsidR="008D61B9">
              <w:rPr>
                <w:noProof/>
                <w:webHidden/>
              </w:rPr>
              <w:fldChar w:fldCharType="separate"/>
            </w:r>
            <w:r w:rsidR="008D61B9">
              <w:rPr>
                <w:noProof/>
                <w:webHidden/>
              </w:rPr>
              <w:t>12</w:t>
            </w:r>
            <w:r w:rsidR="008D61B9">
              <w:rPr>
                <w:noProof/>
                <w:webHidden/>
              </w:rPr>
              <w:fldChar w:fldCharType="end"/>
            </w:r>
          </w:hyperlink>
        </w:p>
        <w:p w14:paraId="09D1D41C" w14:textId="49C98EE2"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59" w:history="1">
            <w:r w:rsidR="008D61B9" w:rsidRPr="005A6C2D">
              <w:rPr>
                <w:rStyle w:val="Hyperlink"/>
                <w:noProof/>
                <w:lang w:val="en-US"/>
              </w:rPr>
              <w:t>2.4 Payables Management</w:t>
            </w:r>
            <w:r w:rsidR="008D61B9">
              <w:rPr>
                <w:noProof/>
                <w:webHidden/>
              </w:rPr>
              <w:tab/>
            </w:r>
            <w:r w:rsidR="008D61B9">
              <w:rPr>
                <w:noProof/>
                <w:webHidden/>
              </w:rPr>
              <w:fldChar w:fldCharType="begin"/>
            </w:r>
            <w:r w:rsidR="008D61B9">
              <w:rPr>
                <w:noProof/>
                <w:webHidden/>
              </w:rPr>
              <w:instrText xml:space="preserve"> PAGEREF _Toc227090059 \h </w:instrText>
            </w:r>
            <w:r w:rsidR="008D61B9">
              <w:rPr>
                <w:noProof/>
                <w:webHidden/>
              </w:rPr>
            </w:r>
            <w:r w:rsidR="008D61B9">
              <w:rPr>
                <w:noProof/>
                <w:webHidden/>
              </w:rPr>
              <w:fldChar w:fldCharType="separate"/>
            </w:r>
            <w:r w:rsidR="008D61B9">
              <w:rPr>
                <w:noProof/>
                <w:webHidden/>
              </w:rPr>
              <w:t>12</w:t>
            </w:r>
            <w:r w:rsidR="008D61B9">
              <w:rPr>
                <w:noProof/>
                <w:webHidden/>
              </w:rPr>
              <w:fldChar w:fldCharType="end"/>
            </w:r>
          </w:hyperlink>
        </w:p>
        <w:p w14:paraId="51C2DF15" w14:textId="19C30437"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60" w:history="1">
            <w:r w:rsidR="008D61B9" w:rsidRPr="005A6C2D">
              <w:rPr>
                <w:rStyle w:val="Hyperlink"/>
                <w:noProof/>
                <w:lang w:val="en-US"/>
              </w:rPr>
              <w:t>2.5 Overall Working Capital Efficiency</w:t>
            </w:r>
            <w:r w:rsidR="008D61B9">
              <w:rPr>
                <w:noProof/>
                <w:webHidden/>
              </w:rPr>
              <w:tab/>
            </w:r>
            <w:r w:rsidR="008D61B9">
              <w:rPr>
                <w:noProof/>
                <w:webHidden/>
              </w:rPr>
              <w:fldChar w:fldCharType="begin"/>
            </w:r>
            <w:r w:rsidR="008D61B9">
              <w:rPr>
                <w:noProof/>
                <w:webHidden/>
              </w:rPr>
              <w:instrText xml:space="preserve"> PAGEREF _Toc227090060 \h </w:instrText>
            </w:r>
            <w:r w:rsidR="008D61B9">
              <w:rPr>
                <w:noProof/>
                <w:webHidden/>
              </w:rPr>
            </w:r>
            <w:r w:rsidR="008D61B9">
              <w:rPr>
                <w:noProof/>
                <w:webHidden/>
              </w:rPr>
              <w:fldChar w:fldCharType="separate"/>
            </w:r>
            <w:r w:rsidR="008D61B9">
              <w:rPr>
                <w:noProof/>
                <w:webHidden/>
              </w:rPr>
              <w:t>12</w:t>
            </w:r>
            <w:r w:rsidR="008D61B9">
              <w:rPr>
                <w:noProof/>
                <w:webHidden/>
              </w:rPr>
              <w:fldChar w:fldCharType="end"/>
            </w:r>
          </w:hyperlink>
        </w:p>
        <w:p w14:paraId="3BF50936" w14:textId="415ABF98"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61" w:history="1">
            <w:r w:rsidR="008D61B9" w:rsidRPr="005A6C2D">
              <w:rPr>
                <w:rStyle w:val="Hyperlink"/>
                <w:noProof/>
                <w:lang w:val="en-US"/>
              </w:rPr>
              <w:t>2.6 Plans to Enhance Liquidity</w:t>
            </w:r>
            <w:r w:rsidR="008D61B9">
              <w:rPr>
                <w:noProof/>
                <w:webHidden/>
              </w:rPr>
              <w:tab/>
            </w:r>
            <w:r w:rsidR="008D61B9">
              <w:rPr>
                <w:noProof/>
                <w:webHidden/>
              </w:rPr>
              <w:fldChar w:fldCharType="begin"/>
            </w:r>
            <w:r w:rsidR="008D61B9">
              <w:rPr>
                <w:noProof/>
                <w:webHidden/>
              </w:rPr>
              <w:instrText xml:space="preserve"> PAGEREF _Toc227090061 \h </w:instrText>
            </w:r>
            <w:r w:rsidR="008D61B9">
              <w:rPr>
                <w:noProof/>
                <w:webHidden/>
              </w:rPr>
            </w:r>
            <w:r w:rsidR="008D61B9">
              <w:rPr>
                <w:noProof/>
                <w:webHidden/>
              </w:rPr>
              <w:fldChar w:fldCharType="separate"/>
            </w:r>
            <w:r w:rsidR="008D61B9">
              <w:rPr>
                <w:noProof/>
                <w:webHidden/>
              </w:rPr>
              <w:t>13</w:t>
            </w:r>
            <w:r w:rsidR="008D61B9">
              <w:rPr>
                <w:noProof/>
                <w:webHidden/>
              </w:rPr>
              <w:fldChar w:fldCharType="end"/>
            </w:r>
          </w:hyperlink>
        </w:p>
        <w:p w14:paraId="426F3BA0" w14:textId="0FF03339"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62" w:history="1">
            <w:r w:rsidR="008D61B9" w:rsidRPr="005A6C2D">
              <w:rPr>
                <w:rStyle w:val="Hyperlink"/>
                <w:noProof/>
                <w:lang w:val="en-US"/>
              </w:rPr>
              <w:t>2.7 Short-term and long-term financing</w:t>
            </w:r>
            <w:r w:rsidR="008D61B9">
              <w:rPr>
                <w:noProof/>
                <w:webHidden/>
              </w:rPr>
              <w:tab/>
            </w:r>
            <w:r w:rsidR="008D61B9">
              <w:rPr>
                <w:noProof/>
                <w:webHidden/>
              </w:rPr>
              <w:fldChar w:fldCharType="begin"/>
            </w:r>
            <w:r w:rsidR="008D61B9">
              <w:rPr>
                <w:noProof/>
                <w:webHidden/>
              </w:rPr>
              <w:instrText xml:space="preserve"> PAGEREF _Toc227090062 \h </w:instrText>
            </w:r>
            <w:r w:rsidR="008D61B9">
              <w:rPr>
                <w:noProof/>
                <w:webHidden/>
              </w:rPr>
            </w:r>
            <w:r w:rsidR="008D61B9">
              <w:rPr>
                <w:noProof/>
                <w:webHidden/>
              </w:rPr>
              <w:fldChar w:fldCharType="separate"/>
            </w:r>
            <w:r w:rsidR="008D61B9">
              <w:rPr>
                <w:noProof/>
                <w:webHidden/>
              </w:rPr>
              <w:t>13</w:t>
            </w:r>
            <w:r w:rsidR="008D61B9">
              <w:rPr>
                <w:noProof/>
                <w:webHidden/>
              </w:rPr>
              <w:fldChar w:fldCharType="end"/>
            </w:r>
          </w:hyperlink>
        </w:p>
        <w:p w14:paraId="404F4F41" w14:textId="7D80E1CA" w:rsidR="008D61B9" w:rsidRDefault="00BB0E4D" w:rsidP="002D22FC">
          <w:pPr>
            <w:pStyle w:val="TOC1"/>
            <w:rPr>
              <w:rFonts w:asciiTheme="minorHAnsi" w:eastAsiaTheme="minorEastAsia" w:hAnsiTheme="minorHAnsi"/>
              <w:kern w:val="2"/>
              <w:szCs w:val="24"/>
              <w:lang w:eastAsia="en-GB"/>
              <w14:ligatures w14:val="standardContextual"/>
            </w:rPr>
          </w:pPr>
          <w:hyperlink w:anchor="_Toc227090063" w:history="1">
            <w:r w:rsidR="008D61B9" w:rsidRPr="005A6C2D">
              <w:rPr>
                <w:rStyle w:val="Hyperlink"/>
              </w:rPr>
              <w:t>3. Strategic Financial Restructuring Plan</w:t>
            </w:r>
            <w:r w:rsidR="008D61B9">
              <w:rPr>
                <w:webHidden/>
              </w:rPr>
              <w:tab/>
            </w:r>
            <w:r w:rsidR="008D61B9">
              <w:rPr>
                <w:webHidden/>
              </w:rPr>
              <w:fldChar w:fldCharType="begin"/>
            </w:r>
            <w:r w:rsidR="008D61B9">
              <w:rPr>
                <w:webHidden/>
              </w:rPr>
              <w:instrText xml:space="preserve"> PAGEREF _Toc227090063 \h </w:instrText>
            </w:r>
            <w:r w:rsidR="008D61B9">
              <w:rPr>
                <w:webHidden/>
              </w:rPr>
            </w:r>
            <w:r w:rsidR="008D61B9">
              <w:rPr>
                <w:webHidden/>
              </w:rPr>
              <w:fldChar w:fldCharType="separate"/>
            </w:r>
            <w:r w:rsidR="008D61B9">
              <w:rPr>
                <w:webHidden/>
              </w:rPr>
              <w:t>14</w:t>
            </w:r>
            <w:r w:rsidR="008D61B9">
              <w:rPr>
                <w:webHidden/>
              </w:rPr>
              <w:fldChar w:fldCharType="end"/>
            </w:r>
          </w:hyperlink>
        </w:p>
        <w:p w14:paraId="3DA03A31" w14:textId="73533E3D"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64" w:history="1">
            <w:r w:rsidR="008D61B9" w:rsidRPr="005A6C2D">
              <w:rPr>
                <w:rStyle w:val="Hyperlink"/>
                <w:noProof/>
                <w:lang w:val="en-US"/>
              </w:rPr>
              <w:t>3.1 Rationales of Financial Restructuring</w:t>
            </w:r>
            <w:r w:rsidR="008D61B9">
              <w:rPr>
                <w:noProof/>
                <w:webHidden/>
              </w:rPr>
              <w:tab/>
            </w:r>
            <w:r w:rsidR="008D61B9">
              <w:rPr>
                <w:noProof/>
                <w:webHidden/>
              </w:rPr>
              <w:fldChar w:fldCharType="begin"/>
            </w:r>
            <w:r w:rsidR="008D61B9">
              <w:rPr>
                <w:noProof/>
                <w:webHidden/>
              </w:rPr>
              <w:instrText xml:space="preserve"> PAGEREF _Toc227090064 \h </w:instrText>
            </w:r>
            <w:r w:rsidR="008D61B9">
              <w:rPr>
                <w:noProof/>
                <w:webHidden/>
              </w:rPr>
            </w:r>
            <w:r w:rsidR="008D61B9">
              <w:rPr>
                <w:noProof/>
                <w:webHidden/>
              </w:rPr>
              <w:fldChar w:fldCharType="separate"/>
            </w:r>
            <w:r w:rsidR="008D61B9">
              <w:rPr>
                <w:noProof/>
                <w:webHidden/>
              </w:rPr>
              <w:t>14</w:t>
            </w:r>
            <w:r w:rsidR="008D61B9">
              <w:rPr>
                <w:noProof/>
                <w:webHidden/>
              </w:rPr>
              <w:fldChar w:fldCharType="end"/>
            </w:r>
          </w:hyperlink>
        </w:p>
        <w:p w14:paraId="46E551E0" w14:textId="7A2A56F2"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65" w:history="1">
            <w:r w:rsidR="008D61B9" w:rsidRPr="005A6C2D">
              <w:rPr>
                <w:rStyle w:val="Hyperlink"/>
                <w:noProof/>
                <w:lang w:val="en-US"/>
              </w:rPr>
              <w:t>3.2 Capital Strengthening and Equity Injection</w:t>
            </w:r>
            <w:r w:rsidR="008D61B9">
              <w:rPr>
                <w:noProof/>
                <w:webHidden/>
              </w:rPr>
              <w:tab/>
            </w:r>
            <w:r w:rsidR="008D61B9">
              <w:rPr>
                <w:noProof/>
                <w:webHidden/>
              </w:rPr>
              <w:fldChar w:fldCharType="begin"/>
            </w:r>
            <w:r w:rsidR="008D61B9">
              <w:rPr>
                <w:noProof/>
                <w:webHidden/>
              </w:rPr>
              <w:instrText xml:space="preserve"> PAGEREF _Toc227090065 \h </w:instrText>
            </w:r>
            <w:r w:rsidR="008D61B9">
              <w:rPr>
                <w:noProof/>
                <w:webHidden/>
              </w:rPr>
            </w:r>
            <w:r w:rsidR="008D61B9">
              <w:rPr>
                <w:noProof/>
                <w:webHidden/>
              </w:rPr>
              <w:fldChar w:fldCharType="separate"/>
            </w:r>
            <w:r w:rsidR="008D61B9">
              <w:rPr>
                <w:noProof/>
                <w:webHidden/>
              </w:rPr>
              <w:t>14</w:t>
            </w:r>
            <w:r w:rsidR="008D61B9">
              <w:rPr>
                <w:noProof/>
                <w:webHidden/>
              </w:rPr>
              <w:fldChar w:fldCharType="end"/>
            </w:r>
          </w:hyperlink>
        </w:p>
        <w:p w14:paraId="6682E3AD" w14:textId="22C7AADA"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66" w:history="1">
            <w:r w:rsidR="008D61B9" w:rsidRPr="005A6C2D">
              <w:rPr>
                <w:rStyle w:val="Hyperlink"/>
                <w:noProof/>
                <w:lang w:val="en-US"/>
              </w:rPr>
              <w:t>3.3 Restructuring of Debt and Risk Management</w:t>
            </w:r>
            <w:r w:rsidR="008D61B9">
              <w:rPr>
                <w:noProof/>
                <w:webHidden/>
              </w:rPr>
              <w:tab/>
            </w:r>
            <w:r w:rsidR="008D61B9">
              <w:rPr>
                <w:noProof/>
                <w:webHidden/>
              </w:rPr>
              <w:fldChar w:fldCharType="begin"/>
            </w:r>
            <w:r w:rsidR="008D61B9">
              <w:rPr>
                <w:noProof/>
                <w:webHidden/>
              </w:rPr>
              <w:instrText xml:space="preserve"> PAGEREF _Toc227090066 \h </w:instrText>
            </w:r>
            <w:r w:rsidR="008D61B9">
              <w:rPr>
                <w:noProof/>
                <w:webHidden/>
              </w:rPr>
            </w:r>
            <w:r w:rsidR="008D61B9">
              <w:rPr>
                <w:noProof/>
                <w:webHidden/>
              </w:rPr>
              <w:fldChar w:fldCharType="separate"/>
            </w:r>
            <w:r w:rsidR="008D61B9">
              <w:rPr>
                <w:noProof/>
                <w:webHidden/>
              </w:rPr>
              <w:t>14</w:t>
            </w:r>
            <w:r w:rsidR="008D61B9">
              <w:rPr>
                <w:noProof/>
                <w:webHidden/>
              </w:rPr>
              <w:fldChar w:fldCharType="end"/>
            </w:r>
          </w:hyperlink>
        </w:p>
        <w:p w14:paraId="466553DE" w14:textId="467FB9C4"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67" w:history="1">
            <w:r w:rsidR="008D61B9" w:rsidRPr="005A6C2D">
              <w:rPr>
                <w:rStyle w:val="Hyperlink"/>
                <w:noProof/>
                <w:lang w:val="en-US"/>
              </w:rPr>
              <w:t>3.4 Portfolio Optimisation and Strategic Divestiture</w:t>
            </w:r>
            <w:r w:rsidR="008D61B9">
              <w:rPr>
                <w:noProof/>
                <w:webHidden/>
              </w:rPr>
              <w:tab/>
            </w:r>
            <w:r w:rsidR="008D61B9">
              <w:rPr>
                <w:noProof/>
                <w:webHidden/>
              </w:rPr>
              <w:fldChar w:fldCharType="begin"/>
            </w:r>
            <w:r w:rsidR="008D61B9">
              <w:rPr>
                <w:noProof/>
                <w:webHidden/>
              </w:rPr>
              <w:instrText xml:space="preserve"> PAGEREF _Toc227090067 \h </w:instrText>
            </w:r>
            <w:r w:rsidR="008D61B9">
              <w:rPr>
                <w:noProof/>
                <w:webHidden/>
              </w:rPr>
            </w:r>
            <w:r w:rsidR="008D61B9">
              <w:rPr>
                <w:noProof/>
                <w:webHidden/>
              </w:rPr>
              <w:fldChar w:fldCharType="separate"/>
            </w:r>
            <w:r w:rsidR="008D61B9">
              <w:rPr>
                <w:noProof/>
                <w:webHidden/>
              </w:rPr>
              <w:t>15</w:t>
            </w:r>
            <w:r w:rsidR="008D61B9">
              <w:rPr>
                <w:noProof/>
                <w:webHidden/>
              </w:rPr>
              <w:fldChar w:fldCharType="end"/>
            </w:r>
          </w:hyperlink>
        </w:p>
        <w:p w14:paraId="384F3454" w14:textId="693FDE9C"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68" w:history="1">
            <w:r w:rsidR="008D61B9" w:rsidRPr="005A6C2D">
              <w:rPr>
                <w:rStyle w:val="Hyperlink"/>
                <w:noProof/>
                <w:lang w:val="en-US"/>
              </w:rPr>
              <w:t>3.5 Mergers and Strategic Alliances</w:t>
            </w:r>
            <w:r w:rsidR="008D61B9">
              <w:rPr>
                <w:noProof/>
                <w:webHidden/>
              </w:rPr>
              <w:tab/>
            </w:r>
            <w:r w:rsidR="008D61B9">
              <w:rPr>
                <w:noProof/>
                <w:webHidden/>
              </w:rPr>
              <w:fldChar w:fldCharType="begin"/>
            </w:r>
            <w:r w:rsidR="008D61B9">
              <w:rPr>
                <w:noProof/>
                <w:webHidden/>
              </w:rPr>
              <w:instrText xml:space="preserve"> PAGEREF _Toc227090068 \h </w:instrText>
            </w:r>
            <w:r w:rsidR="008D61B9">
              <w:rPr>
                <w:noProof/>
                <w:webHidden/>
              </w:rPr>
            </w:r>
            <w:r w:rsidR="008D61B9">
              <w:rPr>
                <w:noProof/>
                <w:webHidden/>
              </w:rPr>
              <w:fldChar w:fldCharType="separate"/>
            </w:r>
            <w:r w:rsidR="008D61B9">
              <w:rPr>
                <w:noProof/>
                <w:webHidden/>
              </w:rPr>
              <w:t>15</w:t>
            </w:r>
            <w:r w:rsidR="008D61B9">
              <w:rPr>
                <w:noProof/>
                <w:webHidden/>
              </w:rPr>
              <w:fldChar w:fldCharType="end"/>
            </w:r>
          </w:hyperlink>
        </w:p>
        <w:p w14:paraId="51975BB2" w14:textId="4449EF41"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69" w:history="1">
            <w:r w:rsidR="008D61B9" w:rsidRPr="005A6C2D">
              <w:rPr>
                <w:rStyle w:val="Hyperlink"/>
                <w:noProof/>
                <w:lang w:val="en-US"/>
              </w:rPr>
              <w:t>3.6 Shareholder Value Impact</w:t>
            </w:r>
            <w:r w:rsidR="008D61B9">
              <w:rPr>
                <w:noProof/>
                <w:webHidden/>
              </w:rPr>
              <w:tab/>
            </w:r>
            <w:r w:rsidR="008D61B9">
              <w:rPr>
                <w:noProof/>
                <w:webHidden/>
              </w:rPr>
              <w:fldChar w:fldCharType="begin"/>
            </w:r>
            <w:r w:rsidR="008D61B9">
              <w:rPr>
                <w:noProof/>
                <w:webHidden/>
              </w:rPr>
              <w:instrText xml:space="preserve"> PAGEREF _Toc227090069 \h </w:instrText>
            </w:r>
            <w:r w:rsidR="008D61B9">
              <w:rPr>
                <w:noProof/>
                <w:webHidden/>
              </w:rPr>
            </w:r>
            <w:r w:rsidR="008D61B9">
              <w:rPr>
                <w:noProof/>
                <w:webHidden/>
              </w:rPr>
              <w:fldChar w:fldCharType="separate"/>
            </w:r>
            <w:r w:rsidR="008D61B9">
              <w:rPr>
                <w:noProof/>
                <w:webHidden/>
              </w:rPr>
              <w:t>16</w:t>
            </w:r>
            <w:r w:rsidR="008D61B9">
              <w:rPr>
                <w:noProof/>
                <w:webHidden/>
              </w:rPr>
              <w:fldChar w:fldCharType="end"/>
            </w:r>
          </w:hyperlink>
        </w:p>
        <w:p w14:paraId="36A5AC0F" w14:textId="4F45AC72"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70" w:history="1">
            <w:r w:rsidR="008D61B9" w:rsidRPr="005A6C2D">
              <w:rPr>
                <w:rStyle w:val="Hyperlink"/>
                <w:noProof/>
                <w:lang w:val="en-US"/>
              </w:rPr>
              <w:t>3.7 Influence on Financing Structure and Financial Stability</w:t>
            </w:r>
            <w:r w:rsidR="008D61B9">
              <w:rPr>
                <w:noProof/>
                <w:webHidden/>
              </w:rPr>
              <w:tab/>
            </w:r>
            <w:r w:rsidR="008D61B9">
              <w:rPr>
                <w:noProof/>
                <w:webHidden/>
              </w:rPr>
              <w:fldChar w:fldCharType="begin"/>
            </w:r>
            <w:r w:rsidR="008D61B9">
              <w:rPr>
                <w:noProof/>
                <w:webHidden/>
              </w:rPr>
              <w:instrText xml:space="preserve"> PAGEREF _Toc227090070 \h </w:instrText>
            </w:r>
            <w:r w:rsidR="008D61B9">
              <w:rPr>
                <w:noProof/>
                <w:webHidden/>
              </w:rPr>
            </w:r>
            <w:r w:rsidR="008D61B9">
              <w:rPr>
                <w:noProof/>
                <w:webHidden/>
              </w:rPr>
              <w:fldChar w:fldCharType="separate"/>
            </w:r>
            <w:r w:rsidR="008D61B9">
              <w:rPr>
                <w:noProof/>
                <w:webHidden/>
              </w:rPr>
              <w:t>16</w:t>
            </w:r>
            <w:r w:rsidR="008D61B9">
              <w:rPr>
                <w:noProof/>
                <w:webHidden/>
              </w:rPr>
              <w:fldChar w:fldCharType="end"/>
            </w:r>
          </w:hyperlink>
        </w:p>
        <w:p w14:paraId="0CC6809D" w14:textId="66E71C61"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71" w:history="1">
            <w:r w:rsidR="008D61B9" w:rsidRPr="005A6C2D">
              <w:rPr>
                <w:rStyle w:val="Hyperlink"/>
                <w:noProof/>
                <w:lang w:val="en-US"/>
              </w:rPr>
              <w:t>3.8 Tactical and Strategic Mobility</w:t>
            </w:r>
            <w:r w:rsidR="008D61B9">
              <w:rPr>
                <w:noProof/>
                <w:webHidden/>
              </w:rPr>
              <w:tab/>
            </w:r>
            <w:r w:rsidR="008D61B9">
              <w:rPr>
                <w:noProof/>
                <w:webHidden/>
              </w:rPr>
              <w:fldChar w:fldCharType="begin"/>
            </w:r>
            <w:r w:rsidR="008D61B9">
              <w:rPr>
                <w:noProof/>
                <w:webHidden/>
              </w:rPr>
              <w:instrText xml:space="preserve"> PAGEREF _Toc227090071 \h </w:instrText>
            </w:r>
            <w:r w:rsidR="008D61B9">
              <w:rPr>
                <w:noProof/>
                <w:webHidden/>
              </w:rPr>
            </w:r>
            <w:r w:rsidR="008D61B9">
              <w:rPr>
                <w:noProof/>
                <w:webHidden/>
              </w:rPr>
              <w:fldChar w:fldCharType="separate"/>
            </w:r>
            <w:r w:rsidR="008D61B9">
              <w:rPr>
                <w:noProof/>
                <w:webHidden/>
              </w:rPr>
              <w:t>16</w:t>
            </w:r>
            <w:r w:rsidR="008D61B9">
              <w:rPr>
                <w:noProof/>
                <w:webHidden/>
              </w:rPr>
              <w:fldChar w:fldCharType="end"/>
            </w:r>
          </w:hyperlink>
        </w:p>
        <w:p w14:paraId="3640AD40" w14:textId="57D7F5C4"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72" w:history="1">
            <w:r w:rsidR="008D61B9" w:rsidRPr="005A6C2D">
              <w:rPr>
                <w:rStyle w:val="Hyperlink"/>
                <w:noProof/>
                <w:lang w:val="en-US"/>
              </w:rPr>
              <w:t>3.9 International Considerations</w:t>
            </w:r>
            <w:r w:rsidR="008D61B9">
              <w:rPr>
                <w:noProof/>
                <w:webHidden/>
              </w:rPr>
              <w:tab/>
            </w:r>
            <w:r w:rsidR="008D61B9">
              <w:rPr>
                <w:noProof/>
                <w:webHidden/>
              </w:rPr>
              <w:fldChar w:fldCharType="begin"/>
            </w:r>
            <w:r w:rsidR="008D61B9">
              <w:rPr>
                <w:noProof/>
                <w:webHidden/>
              </w:rPr>
              <w:instrText xml:space="preserve"> PAGEREF _Toc227090072 \h </w:instrText>
            </w:r>
            <w:r w:rsidR="008D61B9">
              <w:rPr>
                <w:noProof/>
                <w:webHidden/>
              </w:rPr>
            </w:r>
            <w:r w:rsidR="008D61B9">
              <w:rPr>
                <w:noProof/>
                <w:webHidden/>
              </w:rPr>
              <w:fldChar w:fldCharType="separate"/>
            </w:r>
            <w:r w:rsidR="008D61B9">
              <w:rPr>
                <w:noProof/>
                <w:webHidden/>
              </w:rPr>
              <w:t>16</w:t>
            </w:r>
            <w:r w:rsidR="008D61B9">
              <w:rPr>
                <w:noProof/>
                <w:webHidden/>
              </w:rPr>
              <w:fldChar w:fldCharType="end"/>
            </w:r>
          </w:hyperlink>
        </w:p>
        <w:p w14:paraId="6A433C26" w14:textId="74F77F60"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73" w:history="1">
            <w:r w:rsidR="008D61B9" w:rsidRPr="005A6C2D">
              <w:rPr>
                <w:rStyle w:val="Hyperlink"/>
                <w:noProof/>
                <w:lang w:val="en-US"/>
              </w:rPr>
              <w:t>3.10 Corporate social Responsibility (CSR) and Ethical issues</w:t>
            </w:r>
            <w:r w:rsidR="008D61B9">
              <w:rPr>
                <w:noProof/>
                <w:webHidden/>
              </w:rPr>
              <w:tab/>
            </w:r>
            <w:r w:rsidR="008D61B9">
              <w:rPr>
                <w:noProof/>
                <w:webHidden/>
              </w:rPr>
              <w:fldChar w:fldCharType="begin"/>
            </w:r>
            <w:r w:rsidR="008D61B9">
              <w:rPr>
                <w:noProof/>
                <w:webHidden/>
              </w:rPr>
              <w:instrText xml:space="preserve"> PAGEREF _Toc227090073 \h </w:instrText>
            </w:r>
            <w:r w:rsidR="008D61B9">
              <w:rPr>
                <w:noProof/>
                <w:webHidden/>
              </w:rPr>
            </w:r>
            <w:r w:rsidR="008D61B9">
              <w:rPr>
                <w:noProof/>
                <w:webHidden/>
              </w:rPr>
              <w:fldChar w:fldCharType="separate"/>
            </w:r>
            <w:r w:rsidR="008D61B9">
              <w:rPr>
                <w:noProof/>
                <w:webHidden/>
              </w:rPr>
              <w:t>17</w:t>
            </w:r>
            <w:r w:rsidR="008D61B9">
              <w:rPr>
                <w:noProof/>
                <w:webHidden/>
              </w:rPr>
              <w:fldChar w:fldCharType="end"/>
            </w:r>
          </w:hyperlink>
        </w:p>
        <w:p w14:paraId="30677E15" w14:textId="53FE681E" w:rsidR="008D61B9" w:rsidRDefault="00BB0E4D" w:rsidP="002D22FC">
          <w:pPr>
            <w:pStyle w:val="TOC1"/>
            <w:rPr>
              <w:rFonts w:asciiTheme="minorHAnsi" w:eastAsiaTheme="minorEastAsia" w:hAnsiTheme="minorHAnsi"/>
              <w:kern w:val="2"/>
              <w:szCs w:val="24"/>
              <w:lang w:eastAsia="en-GB"/>
              <w14:ligatures w14:val="standardContextual"/>
            </w:rPr>
          </w:pPr>
          <w:hyperlink w:anchor="_Toc227090074" w:history="1">
            <w:r w:rsidR="008D61B9" w:rsidRPr="005A6C2D">
              <w:rPr>
                <w:rStyle w:val="Hyperlink"/>
              </w:rPr>
              <w:t>4. Capital Budgeting and Investment Appraisal</w:t>
            </w:r>
            <w:r w:rsidR="008D61B9">
              <w:rPr>
                <w:webHidden/>
              </w:rPr>
              <w:tab/>
            </w:r>
            <w:r w:rsidR="008D61B9">
              <w:rPr>
                <w:webHidden/>
              </w:rPr>
              <w:fldChar w:fldCharType="begin"/>
            </w:r>
            <w:r w:rsidR="008D61B9">
              <w:rPr>
                <w:webHidden/>
              </w:rPr>
              <w:instrText xml:space="preserve"> PAGEREF _Toc227090074 \h </w:instrText>
            </w:r>
            <w:r w:rsidR="008D61B9">
              <w:rPr>
                <w:webHidden/>
              </w:rPr>
            </w:r>
            <w:r w:rsidR="008D61B9">
              <w:rPr>
                <w:webHidden/>
              </w:rPr>
              <w:fldChar w:fldCharType="separate"/>
            </w:r>
            <w:r w:rsidR="008D61B9">
              <w:rPr>
                <w:webHidden/>
              </w:rPr>
              <w:t>17</w:t>
            </w:r>
            <w:r w:rsidR="008D61B9">
              <w:rPr>
                <w:webHidden/>
              </w:rPr>
              <w:fldChar w:fldCharType="end"/>
            </w:r>
          </w:hyperlink>
        </w:p>
        <w:p w14:paraId="0D5CC446" w14:textId="64973B98"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75" w:history="1">
            <w:r w:rsidR="008D61B9" w:rsidRPr="005A6C2D">
              <w:rPr>
                <w:rStyle w:val="Hyperlink"/>
                <w:noProof/>
                <w:lang w:val="en-US"/>
              </w:rPr>
              <w:t>4.1 Payback Period (PBP) Evaluation</w:t>
            </w:r>
            <w:r w:rsidR="008D61B9">
              <w:rPr>
                <w:noProof/>
                <w:webHidden/>
              </w:rPr>
              <w:tab/>
            </w:r>
            <w:r w:rsidR="008D61B9">
              <w:rPr>
                <w:noProof/>
                <w:webHidden/>
              </w:rPr>
              <w:fldChar w:fldCharType="begin"/>
            </w:r>
            <w:r w:rsidR="008D61B9">
              <w:rPr>
                <w:noProof/>
                <w:webHidden/>
              </w:rPr>
              <w:instrText xml:space="preserve"> PAGEREF _Toc227090075 \h </w:instrText>
            </w:r>
            <w:r w:rsidR="008D61B9">
              <w:rPr>
                <w:noProof/>
                <w:webHidden/>
              </w:rPr>
            </w:r>
            <w:r w:rsidR="008D61B9">
              <w:rPr>
                <w:noProof/>
                <w:webHidden/>
              </w:rPr>
              <w:fldChar w:fldCharType="separate"/>
            </w:r>
            <w:r w:rsidR="008D61B9">
              <w:rPr>
                <w:noProof/>
                <w:webHidden/>
              </w:rPr>
              <w:t>19</w:t>
            </w:r>
            <w:r w:rsidR="008D61B9">
              <w:rPr>
                <w:noProof/>
                <w:webHidden/>
              </w:rPr>
              <w:fldChar w:fldCharType="end"/>
            </w:r>
          </w:hyperlink>
        </w:p>
        <w:p w14:paraId="3AE26056" w14:textId="68103729"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76" w:history="1">
            <w:r w:rsidR="008D61B9" w:rsidRPr="005A6C2D">
              <w:rPr>
                <w:rStyle w:val="Hyperlink"/>
                <w:noProof/>
                <w:lang w:val="en-US"/>
              </w:rPr>
              <w:t>4.2 Accounting Rate of Return (ARR) Analysis</w:t>
            </w:r>
            <w:r w:rsidR="008D61B9">
              <w:rPr>
                <w:noProof/>
                <w:webHidden/>
              </w:rPr>
              <w:tab/>
            </w:r>
            <w:r w:rsidR="008D61B9">
              <w:rPr>
                <w:noProof/>
                <w:webHidden/>
              </w:rPr>
              <w:fldChar w:fldCharType="begin"/>
            </w:r>
            <w:r w:rsidR="008D61B9">
              <w:rPr>
                <w:noProof/>
                <w:webHidden/>
              </w:rPr>
              <w:instrText xml:space="preserve"> PAGEREF _Toc227090076 \h </w:instrText>
            </w:r>
            <w:r w:rsidR="008D61B9">
              <w:rPr>
                <w:noProof/>
                <w:webHidden/>
              </w:rPr>
            </w:r>
            <w:r w:rsidR="008D61B9">
              <w:rPr>
                <w:noProof/>
                <w:webHidden/>
              </w:rPr>
              <w:fldChar w:fldCharType="separate"/>
            </w:r>
            <w:r w:rsidR="008D61B9">
              <w:rPr>
                <w:noProof/>
                <w:webHidden/>
              </w:rPr>
              <w:t>19</w:t>
            </w:r>
            <w:r w:rsidR="008D61B9">
              <w:rPr>
                <w:noProof/>
                <w:webHidden/>
              </w:rPr>
              <w:fldChar w:fldCharType="end"/>
            </w:r>
          </w:hyperlink>
        </w:p>
        <w:p w14:paraId="199691D8" w14:textId="7D386381"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77" w:history="1">
            <w:r w:rsidR="008D61B9" w:rsidRPr="005A6C2D">
              <w:rPr>
                <w:rStyle w:val="Hyperlink"/>
                <w:noProof/>
                <w:lang w:val="en-US"/>
              </w:rPr>
              <w:t>4.3 Net Present Value (NPV) Evaluation</w:t>
            </w:r>
            <w:r w:rsidR="008D61B9">
              <w:rPr>
                <w:noProof/>
                <w:webHidden/>
              </w:rPr>
              <w:tab/>
            </w:r>
            <w:r w:rsidR="008D61B9">
              <w:rPr>
                <w:noProof/>
                <w:webHidden/>
              </w:rPr>
              <w:fldChar w:fldCharType="begin"/>
            </w:r>
            <w:r w:rsidR="008D61B9">
              <w:rPr>
                <w:noProof/>
                <w:webHidden/>
              </w:rPr>
              <w:instrText xml:space="preserve"> PAGEREF _Toc227090077 \h </w:instrText>
            </w:r>
            <w:r w:rsidR="008D61B9">
              <w:rPr>
                <w:noProof/>
                <w:webHidden/>
              </w:rPr>
            </w:r>
            <w:r w:rsidR="008D61B9">
              <w:rPr>
                <w:noProof/>
                <w:webHidden/>
              </w:rPr>
              <w:fldChar w:fldCharType="separate"/>
            </w:r>
            <w:r w:rsidR="008D61B9">
              <w:rPr>
                <w:noProof/>
                <w:webHidden/>
              </w:rPr>
              <w:t>20</w:t>
            </w:r>
            <w:r w:rsidR="008D61B9">
              <w:rPr>
                <w:noProof/>
                <w:webHidden/>
              </w:rPr>
              <w:fldChar w:fldCharType="end"/>
            </w:r>
          </w:hyperlink>
        </w:p>
        <w:p w14:paraId="4065D3B3" w14:textId="0F47F6B1"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78" w:history="1">
            <w:r w:rsidR="008D61B9" w:rsidRPr="005A6C2D">
              <w:rPr>
                <w:rStyle w:val="Hyperlink"/>
                <w:noProof/>
                <w:lang w:val="en-US"/>
              </w:rPr>
              <w:t>4.4 Profitability Index (PI) Evaluation</w:t>
            </w:r>
            <w:r w:rsidR="008D61B9">
              <w:rPr>
                <w:noProof/>
                <w:webHidden/>
              </w:rPr>
              <w:tab/>
            </w:r>
            <w:r w:rsidR="008D61B9">
              <w:rPr>
                <w:noProof/>
                <w:webHidden/>
              </w:rPr>
              <w:fldChar w:fldCharType="begin"/>
            </w:r>
            <w:r w:rsidR="008D61B9">
              <w:rPr>
                <w:noProof/>
                <w:webHidden/>
              </w:rPr>
              <w:instrText xml:space="preserve"> PAGEREF _Toc227090078 \h </w:instrText>
            </w:r>
            <w:r w:rsidR="008D61B9">
              <w:rPr>
                <w:noProof/>
                <w:webHidden/>
              </w:rPr>
            </w:r>
            <w:r w:rsidR="008D61B9">
              <w:rPr>
                <w:noProof/>
                <w:webHidden/>
              </w:rPr>
              <w:fldChar w:fldCharType="separate"/>
            </w:r>
            <w:r w:rsidR="008D61B9">
              <w:rPr>
                <w:noProof/>
                <w:webHidden/>
              </w:rPr>
              <w:t>20</w:t>
            </w:r>
            <w:r w:rsidR="008D61B9">
              <w:rPr>
                <w:noProof/>
                <w:webHidden/>
              </w:rPr>
              <w:fldChar w:fldCharType="end"/>
            </w:r>
          </w:hyperlink>
        </w:p>
        <w:p w14:paraId="1D7757C4" w14:textId="74AE0295"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79" w:history="1">
            <w:r w:rsidR="008D61B9" w:rsidRPr="005A6C2D">
              <w:rPr>
                <w:rStyle w:val="Hyperlink"/>
                <w:noProof/>
                <w:lang w:val="en-US"/>
              </w:rPr>
              <w:t>4.5 Internal Rate of Return (IRR) analysis</w:t>
            </w:r>
            <w:r w:rsidR="008D61B9">
              <w:rPr>
                <w:noProof/>
                <w:webHidden/>
              </w:rPr>
              <w:tab/>
            </w:r>
            <w:r w:rsidR="008D61B9">
              <w:rPr>
                <w:noProof/>
                <w:webHidden/>
              </w:rPr>
              <w:fldChar w:fldCharType="begin"/>
            </w:r>
            <w:r w:rsidR="008D61B9">
              <w:rPr>
                <w:noProof/>
                <w:webHidden/>
              </w:rPr>
              <w:instrText xml:space="preserve"> PAGEREF _Toc227090079 \h </w:instrText>
            </w:r>
            <w:r w:rsidR="008D61B9">
              <w:rPr>
                <w:noProof/>
                <w:webHidden/>
              </w:rPr>
            </w:r>
            <w:r w:rsidR="008D61B9">
              <w:rPr>
                <w:noProof/>
                <w:webHidden/>
              </w:rPr>
              <w:fldChar w:fldCharType="separate"/>
            </w:r>
            <w:r w:rsidR="008D61B9">
              <w:rPr>
                <w:noProof/>
                <w:webHidden/>
              </w:rPr>
              <w:t>21</w:t>
            </w:r>
            <w:r w:rsidR="008D61B9">
              <w:rPr>
                <w:noProof/>
                <w:webHidden/>
              </w:rPr>
              <w:fldChar w:fldCharType="end"/>
            </w:r>
          </w:hyperlink>
        </w:p>
        <w:p w14:paraId="066EB699" w14:textId="477AE4E2"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80" w:history="1">
            <w:r w:rsidR="008D61B9" w:rsidRPr="005A6C2D">
              <w:rPr>
                <w:rStyle w:val="Hyperlink"/>
                <w:noProof/>
                <w:lang w:val="en-US"/>
              </w:rPr>
              <w:t>4.6 General Comparison of Projects and Recommendation</w:t>
            </w:r>
            <w:r w:rsidR="008D61B9">
              <w:rPr>
                <w:noProof/>
                <w:webHidden/>
              </w:rPr>
              <w:tab/>
            </w:r>
            <w:r w:rsidR="008D61B9">
              <w:rPr>
                <w:noProof/>
                <w:webHidden/>
              </w:rPr>
              <w:fldChar w:fldCharType="begin"/>
            </w:r>
            <w:r w:rsidR="008D61B9">
              <w:rPr>
                <w:noProof/>
                <w:webHidden/>
              </w:rPr>
              <w:instrText xml:space="preserve"> PAGEREF _Toc227090080 \h </w:instrText>
            </w:r>
            <w:r w:rsidR="008D61B9">
              <w:rPr>
                <w:noProof/>
                <w:webHidden/>
              </w:rPr>
            </w:r>
            <w:r w:rsidR="008D61B9">
              <w:rPr>
                <w:noProof/>
                <w:webHidden/>
              </w:rPr>
              <w:fldChar w:fldCharType="separate"/>
            </w:r>
            <w:r w:rsidR="008D61B9">
              <w:rPr>
                <w:noProof/>
                <w:webHidden/>
              </w:rPr>
              <w:t>21</w:t>
            </w:r>
            <w:r w:rsidR="008D61B9">
              <w:rPr>
                <w:noProof/>
                <w:webHidden/>
              </w:rPr>
              <w:fldChar w:fldCharType="end"/>
            </w:r>
          </w:hyperlink>
        </w:p>
        <w:p w14:paraId="605FCE7E" w14:textId="625AB4BE"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81" w:history="1">
            <w:r w:rsidR="008D61B9" w:rsidRPr="005A6C2D">
              <w:rPr>
                <w:rStyle w:val="Hyperlink"/>
                <w:noProof/>
                <w:lang w:val="en-US"/>
              </w:rPr>
              <w:t>4.7 Capital Rationing Decision</w:t>
            </w:r>
            <w:r w:rsidR="008D61B9">
              <w:rPr>
                <w:noProof/>
                <w:webHidden/>
              </w:rPr>
              <w:tab/>
            </w:r>
            <w:r w:rsidR="008D61B9">
              <w:rPr>
                <w:noProof/>
                <w:webHidden/>
              </w:rPr>
              <w:fldChar w:fldCharType="begin"/>
            </w:r>
            <w:r w:rsidR="008D61B9">
              <w:rPr>
                <w:noProof/>
                <w:webHidden/>
              </w:rPr>
              <w:instrText xml:space="preserve"> PAGEREF _Toc227090081 \h </w:instrText>
            </w:r>
            <w:r w:rsidR="008D61B9">
              <w:rPr>
                <w:noProof/>
                <w:webHidden/>
              </w:rPr>
            </w:r>
            <w:r w:rsidR="008D61B9">
              <w:rPr>
                <w:noProof/>
                <w:webHidden/>
              </w:rPr>
              <w:fldChar w:fldCharType="separate"/>
            </w:r>
            <w:r w:rsidR="008D61B9">
              <w:rPr>
                <w:noProof/>
                <w:webHidden/>
              </w:rPr>
              <w:t>21</w:t>
            </w:r>
            <w:r w:rsidR="008D61B9">
              <w:rPr>
                <w:noProof/>
                <w:webHidden/>
              </w:rPr>
              <w:fldChar w:fldCharType="end"/>
            </w:r>
          </w:hyperlink>
        </w:p>
        <w:p w14:paraId="5681997B" w14:textId="1C37F741"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82" w:history="1">
            <w:r w:rsidR="008D61B9" w:rsidRPr="005A6C2D">
              <w:rPr>
                <w:rStyle w:val="Hyperlink"/>
                <w:noProof/>
                <w:lang w:val="en-US"/>
              </w:rPr>
              <w:t>4.8 Non-Financial and Strategic</w:t>
            </w:r>
            <w:r w:rsidR="008D61B9">
              <w:rPr>
                <w:noProof/>
                <w:webHidden/>
              </w:rPr>
              <w:tab/>
            </w:r>
            <w:r w:rsidR="008D61B9">
              <w:rPr>
                <w:noProof/>
                <w:webHidden/>
              </w:rPr>
              <w:fldChar w:fldCharType="begin"/>
            </w:r>
            <w:r w:rsidR="008D61B9">
              <w:rPr>
                <w:noProof/>
                <w:webHidden/>
              </w:rPr>
              <w:instrText xml:space="preserve"> PAGEREF _Toc227090082 \h </w:instrText>
            </w:r>
            <w:r w:rsidR="008D61B9">
              <w:rPr>
                <w:noProof/>
                <w:webHidden/>
              </w:rPr>
            </w:r>
            <w:r w:rsidR="008D61B9">
              <w:rPr>
                <w:noProof/>
                <w:webHidden/>
              </w:rPr>
              <w:fldChar w:fldCharType="separate"/>
            </w:r>
            <w:r w:rsidR="008D61B9">
              <w:rPr>
                <w:noProof/>
                <w:webHidden/>
              </w:rPr>
              <w:t>22</w:t>
            </w:r>
            <w:r w:rsidR="008D61B9">
              <w:rPr>
                <w:noProof/>
                <w:webHidden/>
              </w:rPr>
              <w:fldChar w:fldCharType="end"/>
            </w:r>
          </w:hyperlink>
        </w:p>
        <w:p w14:paraId="44E9D821" w14:textId="0C70FBB1" w:rsidR="008D61B9" w:rsidRDefault="00BB0E4D" w:rsidP="002D22FC">
          <w:pPr>
            <w:pStyle w:val="TOC1"/>
            <w:rPr>
              <w:rFonts w:asciiTheme="minorHAnsi" w:eastAsiaTheme="minorEastAsia" w:hAnsiTheme="minorHAnsi"/>
              <w:kern w:val="2"/>
              <w:szCs w:val="24"/>
              <w:lang w:eastAsia="en-GB"/>
              <w14:ligatures w14:val="standardContextual"/>
            </w:rPr>
          </w:pPr>
          <w:hyperlink w:anchor="_Toc227090083" w:history="1">
            <w:r w:rsidR="008D61B9" w:rsidRPr="005A6C2D">
              <w:rPr>
                <w:rStyle w:val="Hyperlink"/>
              </w:rPr>
              <w:t>Reference List</w:t>
            </w:r>
            <w:r w:rsidR="008D61B9">
              <w:rPr>
                <w:webHidden/>
              </w:rPr>
              <w:tab/>
            </w:r>
            <w:r w:rsidR="008D61B9">
              <w:rPr>
                <w:webHidden/>
              </w:rPr>
              <w:fldChar w:fldCharType="begin"/>
            </w:r>
            <w:r w:rsidR="008D61B9">
              <w:rPr>
                <w:webHidden/>
              </w:rPr>
              <w:instrText xml:space="preserve"> PAGEREF _Toc227090083 \h </w:instrText>
            </w:r>
            <w:r w:rsidR="008D61B9">
              <w:rPr>
                <w:webHidden/>
              </w:rPr>
            </w:r>
            <w:r w:rsidR="008D61B9">
              <w:rPr>
                <w:webHidden/>
              </w:rPr>
              <w:fldChar w:fldCharType="separate"/>
            </w:r>
            <w:r w:rsidR="008D61B9">
              <w:rPr>
                <w:webHidden/>
              </w:rPr>
              <w:t>23</w:t>
            </w:r>
            <w:r w:rsidR="008D61B9">
              <w:rPr>
                <w:webHidden/>
              </w:rPr>
              <w:fldChar w:fldCharType="end"/>
            </w:r>
          </w:hyperlink>
        </w:p>
        <w:p w14:paraId="5A1538A9" w14:textId="3CC21907" w:rsidR="008D61B9" w:rsidRDefault="00BB0E4D" w:rsidP="002D22FC">
          <w:pPr>
            <w:pStyle w:val="TOC1"/>
            <w:rPr>
              <w:rFonts w:asciiTheme="minorHAnsi" w:eastAsiaTheme="minorEastAsia" w:hAnsiTheme="minorHAnsi"/>
              <w:kern w:val="2"/>
              <w:szCs w:val="24"/>
              <w:lang w:eastAsia="en-GB"/>
              <w14:ligatures w14:val="standardContextual"/>
            </w:rPr>
          </w:pPr>
          <w:hyperlink w:anchor="_Toc227090084" w:history="1">
            <w:r w:rsidR="008D61B9" w:rsidRPr="005A6C2D">
              <w:rPr>
                <w:rStyle w:val="Hyperlink"/>
              </w:rPr>
              <w:t>Appendices</w:t>
            </w:r>
            <w:r w:rsidR="008D61B9">
              <w:rPr>
                <w:webHidden/>
              </w:rPr>
              <w:tab/>
            </w:r>
            <w:r w:rsidR="008D61B9">
              <w:rPr>
                <w:webHidden/>
              </w:rPr>
              <w:fldChar w:fldCharType="begin"/>
            </w:r>
            <w:r w:rsidR="008D61B9">
              <w:rPr>
                <w:webHidden/>
              </w:rPr>
              <w:instrText xml:space="preserve"> PAGEREF _Toc227090084 \h </w:instrText>
            </w:r>
            <w:r w:rsidR="008D61B9">
              <w:rPr>
                <w:webHidden/>
              </w:rPr>
            </w:r>
            <w:r w:rsidR="008D61B9">
              <w:rPr>
                <w:webHidden/>
              </w:rPr>
              <w:fldChar w:fldCharType="separate"/>
            </w:r>
            <w:r w:rsidR="008D61B9">
              <w:rPr>
                <w:webHidden/>
              </w:rPr>
              <w:t>29</w:t>
            </w:r>
            <w:r w:rsidR="008D61B9">
              <w:rPr>
                <w:webHidden/>
              </w:rPr>
              <w:fldChar w:fldCharType="end"/>
            </w:r>
          </w:hyperlink>
        </w:p>
        <w:p w14:paraId="7B2BA0F4" w14:textId="26381B02"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85" w:history="1">
            <w:r w:rsidR="008D61B9" w:rsidRPr="005A6C2D">
              <w:rPr>
                <w:rStyle w:val="Hyperlink"/>
                <w:noProof/>
                <w:lang w:val="en-US"/>
              </w:rPr>
              <w:t xml:space="preserve">Appendix 1 - </w:t>
            </w:r>
            <w:r w:rsidR="008D61B9" w:rsidRPr="005A6C2D">
              <w:rPr>
                <w:rStyle w:val="Hyperlink"/>
                <w:noProof/>
              </w:rPr>
              <w:t>Ratio tables and graphs</w:t>
            </w:r>
            <w:r w:rsidR="008D61B9">
              <w:rPr>
                <w:noProof/>
                <w:webHidden/>
              </w:rPr>
              <w:tab/>
            </w:r>
            <w:r w:rsidR="008D61B9">
              <w:rPr>
                <w:noProof/>
                <w:webHidden/>
              </w:rPr>
              <w:fldChar w:fldCharType="begin"/>
            </w:r>
            <w:r w:rsidR="008D61B9">
              <w:rPr>
                <w:noProof/>
                <w:webHidden/>
              </w:rPr>
              <w:instrText xml:space="preserve"> PAGEREF _Toc227090085 \h </w:instrText>
            </w:r>
            <w:r w:rsidR="008D61B9">
              <w:rPr>
                <w:noProof/>
                <w:webHidden/>
              </w:rPr>
            </w:r>
            <w:r w:rsidR="008D61B9">
              <w:rPr>
                <w:noProof/>
                <w:webHidden/>
              </w:rPr>
              <w:fldChar w:fldCharType="separate"/>
            </w:r>
            <w:r w:rsidR="008D61B9">
              <w:rPr>
                <w:noProof/>
                <w:webHidden/>
              </w:rPr>
              <w:t>29</w:t>
            </w:r>
            <w:r w:rsidR="008D61B9">
              <w:rPr>
                <w:noProof/>
                <w:webHidden/>
              </w:rPr>
              <w:fldChar w:fldCharType="end"/>
            </w:r>
          </w:hyperlink>
        </w:p>
        <w:p w14:paraId="53CAB09E" w14:textId="74FF938D" w:rsidR="008D61B9" w:rsidRDefault="00BB0E4D" w:rsidP="00734C61">
          <w:pPr>
            <w:pStyle w:val="TOC2"/>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86" w:history="1">
            <w:r w:rsidR="008D61B9" w:rsidRPr="005A6C2D">
              <w:rPr>
                <w:rStyle w:val="Hyperlink"/>
                <w:noProof/>
                <w:lang w:val="en-US"/>
              </w:rPr>
              <w:t xml:space="preserve">Appendix 2 - </w:t>
            </w:r>
            <w:r w:rsidR="008D61B9" w:rsidRPr="005A6C2D">
              <w:rPr>
                <w:rStyle w:val="Hyperlink"/>
                <w:noProof/>
              </w:rPr>
              <w:t>Investment appraisal calculations (Excel outputs encouraged)</w:t>
            </w:r>
            <w:r w:rsidR="008D61B9">
              <w:rPr>
                <w:noProof/>
                <w:webHidden/>
              </w:rPr>
              <w:tab/>
            </w:r>
            <w:r w:rsidR="008D61B9">
              <w:rPr>
                <w:noProof/>
                <w:webHidden/>
              </w:rPr>
              <w:fldChar w:fldCharType="begin"/>
            </w:r>
            <w:r w:rsidR="008D61B9">
              <w:rPr>
                <w:noProof/>
                <w:webHidden/>
              </w:rPr>
              <w:instrText xml:space="preserve"> PAGEREF _Toc227090086 \h </w:instrText>
            </w:r>
            <w:r w:rsidR="008D61B9">
              <w:rPr>
                <w:noProof/>
                <w:webHidden/>
              </w:rPr>
            </w:r>
            <w:r w:rsidR="008D61B9">
              <w:rPr>
                <w:noProof/>
                <w:webHidden/>
              </w:rPr>
              <w:fldChar w:fldCharType="separate"/>
            </w:r>
            <w:r w:rsidR="008D61B9">
              <w:rPr>
                <w:noProof/>
                <w:webHidden/>
              </w:rPr>
              <w:t>34</w:t>
            </w:r>
            <w:r w:rsidR="008D61B9">
              <w:rPr>
                <w:noProof/>
                <w:webHidden/>
              </w:rPr>
              <w:fldChar w:fldCharType="end"/>
            </w:r>
          </w:hyperlink>
        </w:p>
        <w:p w14:paraId="4F09D4AA" w14:textId="27B1AAE1" w:rsidR="00DB49E9" w:rsidRPr="002D22FC" w:rsidRDefault="00DB49E9" w:rsidP="00DB49E9">
          <w:r>
            <w:rPr>
              <w:b/>
              <w:bCs/>
              <w:noProof/>
            </w:rPr>
            <w:fldChar w:fldCharType="end"/>
          </w:r>
        </w:p>
      </w:sdtContent>
    </w:sdt>
    <w:p w14:paraId="2791583E" w14:textId="77777777" w:rsidR="00DB49E9" w:rsidRDefault="00DB49E9" w:rsidP="00DB49E9">
      <w:pPr>
        <w:rPr>
          <w:lang w:val="en-US"/>
        </w:rPr>
      </w:pPr>
    </w:p>
    <w:p w14:paraId="3D4E676A" w14:textId="77777777" w:rsidR="00DB49E9" w:rsidRDefault="00DB49E9">
      <w:pPr>
        <w:spacing w:line="259" w:lineRule="auto"/>
        <w:jc w:val="left"/>
        <w:rPr>
          <w:lang w:val="en-US"/>
        </w:rPr>
      </w:pPr>
      <w:r>
        <w:rPr>
          <w:lang w:val="en-US"/>
        </w:rPr>
        <w:br w:type="page"/>
      </w:r>
    </w:p>
    <w:p w14:paraId="16F52888" w14:textId="2BD57C43" w:rsidR="00DB49E9" w:rsidRPr="00DB49E9" w:rsidRDefault="00DB49E9" w:rsidP="00734C61">
      <w:pPr>
        <w:jc w:val="center"/>
        <w:rPr>
          <w:b/>
          <w:bCs/>
          <w:sz w:val="28"/>
          <w:szCs w:val="24"/>
          <w:lang w:val="en-US"/>
        </w:rPr>
      </w:pPr>
      <w:r>
        <w:rPr>
          <w:b/>
          <w:bCs/>
          <w:sz w:val="28"/>
          <w:szCs w:val="24"/>
          <w:lang w:val="en-US"/>
        </w:rPr>
        <w:lastRenderedPageBreak/>
        <w:t>List of Figures</w:t>
      </w:r>
    </w:p>
    <w:p w14:paraId="25D2835C" w14:textId="242EA294" w:rsidR="008D61B9" w:rsidRDefault="008D61B9" w:rsidP="00734C61">
      <w:pPr>
        <w:pStyle w:val="TableofFigures"/>
        <w:tabs>
          <w:tab w:val="right" w:leader="dot" w:pos="9016"/>
        </w:tabs>
        <w:spacing w:after="120"/>
        <w:rPr>
          <w:rFonts w:asciiTheme="minorHAnsi" w:eastAsiaTheme="minorEastAsia" w:hAnsiTheme="minorHAnsi"/>
          <w:noProof/>
          <w:kern w:val="2"/>
          <w:szCs w:val="24"/>
          <w:lang w:eastAsia="en-GB"/>
          <w14:ligatures w14:val="standardContextual"/>
        </w:rPr>
      </w:pPr>
      <w:r>
        <w:rPr>
          <w:lang w:val="en-US"/>
        </w:rPr>
        <w:fldChar w:fldCharType="begin"/>
      </w:r>
      <w:r>
        <w:rPr>
          <w:lang w:val="en-US"/>
        </w:rPr>
        <w:instrText xml:space="preserve"> TOC \h \z \t "Heading 4" \c </w:instrText>
      </w:r>
      <w:r>
        <w:rPr>
          <w:lang w:val="en-US"/>
        </w:rPr>
        <w:fldChar w:fldCharType="separate"/>
      </w:r>
      <w:hyperlink w:anchor="_Toc227090036" w:history="1">
        <w:r w:rsidRPr="00893EED">
          <w:rPr>
            <w:rStyle w:val="Hyperlink"/>
            <w:noProof/>
          </w:rPr>
          <w:t>Figure 1: Profitability analysis</w:t>
        </w:r>
        <w:r>
          <w:rPr>
            <w:noProof/>
            <w:webHidden/>
          </w:rPr>
          <w:tab/>
        </w:r>
        <w:r>
          <w:rPr>
            <w:noProof/>
            <w:webHidden/>
          </w:rPr>
          <w:fldChar w:fldCharType="begin"/>
        </w:r>
        <w:r>
          <w:rPr>
            <w:noProof/>
            <w:webHidden/>
          </w:rPr>
          <w:instrText xml:space="preserve"> PAGEREF _Toc227090036 \h </w:instrText>
        </w:r>
        <w:r>
          <w:rPr>
            <w:noProof/>
            <w:webHidden/>
          </w:rPr>
        </w:r>
        <w:r>
          <w:rPr>
            <w:noProof/>
            <w:webHidden/>
          </w:rPr>
          <w:fldChar w:fldCharType="separate"/>
        </w:r>
        <w:r>
          <w:rPr>
            <w:noProof/>
            <w:webHidden/>
          </w:rPr>
          <w:t>4</w:t>
        </w:r>
        <w:r>
          <w:rPr>
            <w:noProof/>
            <w:webHidden/>
          </w:rPr>
          <w:fldChar w:fldCharType="end"/>
        </w:r>
      </w:hyperlink>
    </w:p>
    <w:p w14:paraId="18063279" w14:textId="5BA950CE" w:rsidR="008D61B9" w:rsidRDefault="00BB0E4D" w:rsidP="00734C61">
      <w:pPr>
        <w:pStyle w:val="TableofFigures"/>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37" w:history="1">
        <w:r w:rsidR="008D61B9" w:rsidRPr="00893EED">
          <w:rPr>
            <w:rStyle w:val="Hyperlink"/>
            <w:noProof/>
          </w:rPr>
          <w:t>Figure 2: Liquidity analysis</w:t>
        </w:r>
        <w:r w:rsidR="008D61B9">
          <w:rPr>
            <w:noProof/>
            <w:webHidden/>
          </w:rPr>
          <w:tab/>
        </w:r>
        <w:r w:rsidR="008D61B9">
          <w:rPr>
            <w:noProof/>
            <w:webHidden/>
          </w:rPr>
          <w:fldChar w:fldCharType="begin"/>
        </w:r>
        <w:r w:rsidR="008D61B9">
          <w:rPr>
            <w:noProof/>
            <w:webHidden/>
          </w:rPr>
          <w:instrText xml:space="preserve"> PAGEREF _Toc227090037 \h </w:instrText>
        </w:r>
        <w:r w:rsidR="008D61B9">
          <w:rPr>
            <w:noProof/>
            <w:webHidden/>
          </w:rPr>
        </w:r>
        <w:r w:rsidR="008D61B9">
          <w:rPr>
            <w:noProof/>
            <w:webHidden/>
          </w:rPr>
          <w:fldChar w:fldCharType="separate"/>
        </w:r>
        <w:r w:rsidR="008D61B9">
          <w:rPr>
            <w:noProof/>
            <w:webHidden/>
          </w:rPr>
          <w:t>5</w:t>
        </w:r>
        <w:r w:rsidR="008D61B9">
          <w:rPr>
            <w:noProof/>
            <w:webHidden/>
          </w:rPr>
          <w:fldChar w:fldCharType="end"/>
        </w:r>
      </w:hyperlink>
    </w:p>
    <w:p w14:paraId="40CAFB76" w14:textId="1EBE9D67" w:rsidR="008D61B9" w:rsidRDefault="00BB0E4D" w:rsidP="00734C61">
      <w:pPr>
        <w:pStyle w:val="TableofFigures"/>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38" w:history="1">
        <w:r w:rsidR="008D61B9" w:rsidRPr="00893EED">
          <w:rPr>
            <w:rStyle w:val="Hyperlink"/>
            <w:noProof/>
          </w:rPr>
          <w:t>Figure 3: Efficiency analysis</w:t>
        </w:r>
        <w:r w:rsidR="008D61B9">
          <w:rPr>
            <w:noProof/>
            <w:webHidden/>
          </w:rPr>
          <w:tab/>
        </w:r>
        <w:r w:rsidR="008D61B9">
          <w:rPr>
            <w:noProof/>
            <w:webHidden/>
          </w:rPr>
          <w:fldChar w:fldCharType="begin"/>
        </w:r>
        <w:r w:rsidR="008D61B9">
          <w:rPr>
            <w:noProof/>
            <w:webHidden/>
          </w:rPr>
          <w:instrText xml:space="preserve"> PAGEREF _Toc227090038 \h </w:instrText>
        </w:r>
        <w:r w:rsidR="008D61B9">
          <w:rPr>
            <w:noProof/>
            <w:webHidden/>
          </w:rPr>
        </w:r>
        <w:r w:rsidR="008D61B9">
          <w:rPr>
            <w:noProof/>
            <w:webHidden/>
          </w:rPr>
          <w:fldChar w:fldCharType="separate"/>
        </w:r>
        <w:r w:rsidR="008D61B9">
          <w:rPr>
            <w:noProof/>
            <w:webHidden/>
          </w:rPr>
          <w:t>6</w:t>
        </w:r>
        <w:r w:rsidR="008D61B9">
          <w:rPr>
            <w:noProof/>
            <w:webHidden/>
          </w:rPr>
          <w:fldChar w:fldCharType="end"/>
        </w:r>
      </w:hyperlink>
    </w:p>
    <w:p w14:paraId="461DBDDA" w14:textId="25BA5730" w:rsidR="008D61B9" w:rsidRDefault="00BB0E4D" w:rsidP="00734C61">
      <w:pPr>
        <w:pStyle w:val="TableofFigures"/>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39" w:history="1">
        <w:r w:rsidR="008D61B9" w:rsidRPr="00893EED">
          <w:rPr>
            <w:rStyle w:val="Hyperlink"/>
            <w:noProof/>
          </w:rPr>
          <w:t>Figure 4: Gearing analysis</w:t>
        </w:r>
        <w:r w:rsidR="008D61B9">
          <w:rPr>
            <w:noProof/>
            <w:webHidden/>
          </w:rPr>
          <w:tab/>
        </w:r>
        <w:r w:rsidR="008D61B9">
          <w:rPr>
            <w:noProof/>
            <w:webHidden/>
          </w:rPr>
          <w:fldChar w:fldCharType="begin"/>
        </w:r>
        <w:r w:rsidR="008D61B9">
          <w:rPr>
            <w:noProof/>
            <w:webHidden/>
          </w:rPr>
          <w:instrText xml:space="preserve"> PAGEREF _Toc227090039 \h </w:instrText>
        </w:r>
        <w:r w:rsidR="008D61B9">
          <w:rPr>
            <w:noProof/>
            <w:webHidden/>
          </w:rPr>
        </w:r>
        <w:r w:rsidR="008D61B9">
          <w:rPr>
            <w:noProof/>
            <w:webHidden/>
          </w:rPr>
          <w:fldChar w:fldCharType="separate"/>
        </w:r>
        <w:r w:rsidR="008D61B9">
          <w:rPr>
            <w:noProof/>
            <w:webHidden/>
          </w:rPr>
          <w:t>7</w:t>
        </w:r>
        <w:r w:rsidR="008D61B9">
          <w:rPr>
            <w:noProof/>
            <w:webHidden/>
          </w:rPr>
          <w:fldChar w:fldCharType="end"/>
        </w:r>
      </w:hyperlink>
    </w:p>
    <w:p w14:paraId="7E0921D1" w14:textId="02E461FD" w:rsidR="008D61B9" w:rsidRDefault="00BB0E4D" w:rsidP="00734C61">
      <w:pPr>
        <w:pStyle w:val="TableofFigures"/>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40" w:history="1">
        <w:r w:rsidR="008D61B9" w:rsidRPr="00893EED">
          <w:rPr>
            <w:rStyle w:val="Hyperlink"/>
            <w:noProof/>
          </w:rPr>
          <w:t>Figure 5: Investment performance analysis</w:t>
        </w:r>
        <w:r w:rsidR="008D61B9">
          <w:rPr>
            <w:noProof/>
            <w:webHidden/>
          </w:rPr>
          <w:tab/>
        </w:r>
        <w:r w:rsidR="008D61B9">
          <w:rPr>
            <w:noProof/>
            <w:webHidden/>
          </w:rPr>
          <w:fldChar w:fldCharType="begin"/>
        </w:r>
        <w:r w:rsidR="008D61B9">
          <w:rPr>
            <w:noProof/>
            <w:webHidden/>
          </w:rPr>
          <w:instrText xml:space="preserve"> PAGEREF _Toc227090040 \h </w:instrText>
        </w:r>
        <w:r w:rsidR="008D61B9">
          <w:rPr>
            <w:noProof/>
            <w:webHidden/>
          </w:rPr>
        </w:r>
        <w:r w:rsidR="008D61B9">
          <w:rPr>
            <w:noProof/>
            <w:webHidden/>
          </w:rPr>
          <w:fldChar w:fldCharType="separate"/>
        </w:r>
        <w:r w:rsidR="008D61B9">
          <w:rPr>
            <w:noProof/>
            <w:webHidden/>
          </w:rPr>
          <w:t>8</w:t>
        </w:r>
        <w:r w:rsidR="008D61B9">
          <w:rPr>
            <w:noProof/>
            <w:webHidden/>
          </w:rPr>
          <w:fldChar w:fldCharType="end"/>
        </w:r>
      </w:hyperlink>
    </w:p>
    <w:p w14:paraId="3F635606" w14:textId="41B3C2E1" w:rsidR="008D61B9" w:rsidRDefault="00BB0E4D" w:rsidP="00734C61">
      <w:pPr>
        <w:pStyle w:val="TableofFigures"/>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41" w:history="1">
        <w:r w:rsidR="008D61B9" w:rsidRPr="00893EED">
          <w:rPr>
            <w:rStyle w:val="Hyperlink"/>
            <w:noProof/>
          </w:rPr>
          <w:t>Figure 6: Cashflow performance analysis</w:t>
        </w:r>
        <w:r w:rsidR="008D61B9">
          <w:rPr>
            <w:noProof/>
            <w:webHidden/>
          </w:rPr>
          <w:tab/>
        </w:r>
        <w:r w:rsidR="008D61B9">
          <w:rPr>
            <w:noProof/>
            <w:webHidden/>
          </w:rPr>
          <w:fldChar w:fldCharType="begin"/>
        </w:r>
        <w:r w:rsidR="008D61B9">
          <w:rPr>
            <w:noProof/>
            <w:webHidden/>
          </w:rPr>
          <w:instrText xml:space="preserve"> PAGEREF _Toc227090041 \h </w:instrText>
        </w:r>
        <w:r w:rsidR="008D61B9">
          <w:rPr>
            <w:noProof/>
            <w:webHidden/>
          </w:rPr>
        </w:r>
        <w:r w:rsidR="008D61B9">
          <w:rPr>
            <w:noProof/>
            <w:webHidden/>
          </w:rPr>
          <w:fldChar w:fldCharType="separate"/>
        </w:r>
        <w:r w:rsidR="008D61B9">
          <w:rPr>
            <w:noProof/>
            <w:webHidden/>
          </w:rPr>
          <w:t>9</w:t>
        </w:r>
        <w:r w:rsidR="008D61B9">
          <w:rPr>
            <w:noProof/>
            <w:webHidden/>
          </w:rPr>
          <w:fldChar w:fldCharType="end"/>
        </w:r>
      </w:hyperlink>
    </w:p>
    <w:p w14:paraId="60E7EAD6" w14:textId="6D1C7384" w:rsidR="008D61B9" w:rsidRDefault="00BB0E4D" w:rsidP="00734C61">
      <w:pPr>
        <w:pStyle w:val="TableofFigures"/>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42" w:history="1">
        <w:r w:rsidR="008D61B9" w:rsidRPr="00893EED">
          <w:rPr>
            <w:rStyle w:val="Hyperlink"/>
            <w:noProof/>
          </w:rPr>
          <w:t>Figure 7: Cash Conversion Cycle (CCC) analysis</w:t>
        </w:r>
        <w:r w:rsidR="008D61B9">
          <w:rPr>
            <w:noProof/>
            <w:webHidden/>
          </w:rPr>
          <w:tab/>
        </w:r>
        <w:r w:rsidR="008D61B9">
          <w:rPr>
            <w:noProof/>
            <w:webHidden/>
          </w:rPr>
          <w:fldChar w:fldCharType="begin"/>
        </w:r>
        <w:r w:rsidR="008D61B9">
          <w:rPr>
            <w:noProof/>
            <w:webHidden/>
          </w:rPr>
          <w:instrText xml:space="preserve"> PAGEREF _Toc227090042 \h </w:instrText>
        </w:r>
        <w:r w:rsidR="008D61B9">
          <w:rPr>
            <w:noProof/>
            <w:webHidden/>
          </w:rPr>
        </w:r>
        <w:r w:rsidR="008D61B9">
          <w:rPr>
            <w:noProof/>
            <w:webHidden/>
          </w:rPr>
          <w:fldChar w:fldCharType="separate"/>
        </w:r>
        <w:r w:rsidR="008D61B9">
          <w:rPr>
            <w:noProof/>
            <w:webHidden/>
          </w:rPr>
          <w:t>10</w:t>
        </w:r>
        <w:r w:rsidR="008D61B9">
          <w:rPr>
            <w:noProof/>
            <w:webHidden/>
          </w:rPr>
          <w:fldChar w:fldCharType="end"/>
        </w:r>
      </w:hyperlink>
    </w:p>
    <w:p w14:paraId="3C28F899" w14:textId="4A060497" w:rsidR="008D61B9" w:rsidRDefault="00BB0E4D" w:rsidP="00734C61">
      <w:pPr>
        <w:pStyle w:val="TableofFigures"/>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43" w:history="1">
        <w:r w:rsidR="008D61B9" w:rsidRPr="00893EED">
          <w:rPr>
            <w:rStyle w:val="Hyperlink"/>
            <w:noProof/>
          </w:rPr>
          <w:t>Figure 8: Discounting factors by year</w:t>
        </w:r>
        <w:r w:rsidR="008D61B9">
          <w:rPr>
            <w:noProof/>
            <w:webHidden/>
          </w:rPr>
          <w:tab/>
        </w:r>
        <w:r w:rsidR="008D61B9">
          <w:rPr>
            <w:noProof/>
            <w:webHidden/>
          </w:rPr>
          <w:fldChar w:fldCharType="begin"/>
        </w:r>
        <w:r w:rsidR="008D61B9">
          <w:rPr>
            <w:noProof/>
            <w:webHidden/>
          </w:rPr>
          <w:instrText xml:space="preserve"> PAGEREF _Toc227090043 \h </w:instrText>
        </w:r>
        <w:r w:rsidR="008D61B9">
          <w:rPr>
            <w:noProof/>
            <w:webHidden/>
          </w:rPr>
        </w:r>
        <w:r w:rsidR="008D61B9">
          <w:rPr>
            <w:noProof/>
            <w:webHidden/>
          </w:rPr>
          <w:fldChar w:fldCharType="separate"/>
        </w:r>
        <w:r w:rsidR="008D61B9">
          <w:rPr>
            <w:noProof/>
            <w:webHidden/>
          </w:rPr>
          <w:t>18</w:t>
        </w:r>
        <w:r w:rsidR="008D61B9">
          <w:rPr>
            <w:noProof/>
            <w:webHidden/>
          </w:rPr>
          <w:fldChar w:fldCharType="end"/>
        </w:r>
      </w:hyperlink>
    </w:p>
    <w:p w14:paraId="0AD5CBCB" w14:textId="469A76EC" w:rsidR="008D61B9" w:rsidRDefault="00BB0E4D" w:rsidP="00734C61">
      <w:pPr>
        <w:pStyle w:val="TableofFigures"/>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44" w:history="1">
        <w:r w:rsidR="008D61B9" w:rsidRPr="00893EED">
          <w:rPr>
            <w:rStyle w:val="Hyperlink"/>
            <w:noProof/>
          </w:rPr>
          <w:t>Figure 9: Project A appraisal</w:t>
        </w:r>
        <w:r w:rsidR="008D61B9">
          <w:rPr>
            <w:noProof/>
            <w:webHidden/>
          </w:rPr>
          <w:tab/>
        </w:r>
        <w:r w:rsidR="008D61B9">
          <w:rPr>
            <w:noProof/>
            <w:webHidden/>
          </w:rPr>
          <w:fldChar w:fldCharType="begin"/>
        </w:r>
        <w:r w:rsidR="008D61B9">
          <w:rPr>
            <w:noProof/>
            <w:webHidden/>
          </w:rPr>
          <w:instrText xml:space="preserve"> PAGEREF _Toc227090044 \h </w:instrText>
        </w:r>
        <w:r w:rsidR="008D61B9">
          <w:rPr>
            <w:noProof/>
            <w:webHidden/>
          </w:rPr>
        </w:r>
        <w:r w:rsidR="008D61B9">
          <w:rPr>
            <w:noProof/>
            <w:webHidden/>
          </w:rPr>
          <w:fldChar w:fldCharType="separate"/>
        </w:r>
        <w:r w:rsidR="008D61B9">
          <w:rPr>
            <w:noProof/>
            <w:webHidden/>
          </w:rPr>
          <w:t>18</w:t>
        </w:r>
        <w:r w:rsidR="008D61B9">
          <w:rPr>
            <w:noProof/>
            <w:webHidden/>
          </w:rPr>
          <w:fldChar w:fldCharType="end"/>
        </w:r>
      </w:hyperlink>
    </w:p>
    <w:p w14:paraId="46F7E5CA" w14:textId="26FEB106" w:rsidR="008D61B9" w:rsidRDefault="00BB0E4D" w:rsidP="00734C61">
      <w:pPr>
        <w:pStyle w:val="TableofFigures"/>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45" w:history="1">
        <w:r w:rsidR="008D61B9" w:rsidRPr="00893EED">
          <w:rPr>
            <w:rStyle w:val="Hyperlink"/>
            <w:noProof/>
          </w:rPr>
          <w:t>Figure 10: Project B appraisal</w:t>
        </w:r>
        <w:r w:rsidR="008D61B9">
          <w:rPr>
            <w:noProof/>
            <w:webHidden/>
          </w:rPr>
          <w:tab/>
        </w:r>
        <w:r w:rsidR="008D61B9">
          <w:rPr>
            <w:noProof/>
            <w:webHidden/>
          </w:rPr>
          <w:fldChar w:fldCharType="begin"/>
        </w:r>
        <w:r w:rsidR="008D61B9">
          <w:rPr>
            <w:noProof/>
            <w:webHidden/>
          </w:rPr>
          <w:instrText xml:space="preserve"> PAGEREF _Toc227090045 \h </w:instrText>
        </w:r>
        <w:r w:rsidR="008D61B9">
          <w:rPr>
            <w:noProof/>
            <w:webHidden/>
          </w:rPr>
        </w:r>
        <w:r w:rsidR="008D61B9">
          <w:rPr>
            <w:noProof/>
            <w:webHidden/>
          </w:rPr>
          <w:fldChar w:fldCharType="separate"/>
        </w:r>
        <w:r w:rsidR="008D61B9">
          <w:rPr>
            <w:noProof/>
            <w:webHidden/>
          </w:rPr>
          <w:t>18</w:t>
        </w:r>
        <w:r w:rsidR="008D61B9">
          <w:rPr>
            <w:noProof/>
            <w:webHidden/>
          </w:rPr>
          <w:fldChar w:fldCharType="end"/>
        </w:r>
      </w:hyperlink>
    </w:p>
    <w:p w14:paraId="2F375551" w14:textId="2C246DAB" w:rsidR="008D61B9" w:rsidRDefault="00BB0E4D" w:rsidP="00734C61">
      <w:pPr>
        <w:pStyle w:val="TableofFigures"/>
        <w:tabs>
          <w:tab w:val="right" w:leader="dot" w:pos="9016"/>
        </w:tabs>
        <w:spacing w:after="120"/>
        <w:rPr>
          <w:rFonts w:asciiTheme="minorHAnsi" w:eastAsiaTheme="minorEastAsia" w:hAnsiTheme="minorHAnsi"/>
          <w:noProof/>
          <w:kern w:val="2"/>
          <w:szCs w:val="24"/>
          <w:lang w:eastAsia="en-GB"/>
          <w14:ligatures w14:val="standardContextual"/>
        </w:rPr>
      </w:pPr>
      <w:hyperlink w:anchor="_Toc227090046" w:history="1">
        <w:r w:rsidR="008D61B9" w:rsidRPr="00893EED">
          <w:rPr>
            <w:rStyle w:val="Hyperlink"/>
            <w:noProof/>
          </w:rPr>
          <w:t>Figure 11: Project C appraisal</w:t>
        </w:r>
        <w:r w:rsidR="008D61B9">
          <w:rPr>
            <w:noProof/>
            <w:webHidden/>
          </w:rPr>
          <w:tab/>
        </w:r>
        <w:r w:rsidR="008D61B9">
          <w:rPr>
            <w:noProof/>
            <w:webHidden/>
          </w:rPr>
          <w:fldChar w:fldCharType="begin"/>
        </w:r>
        <w:r w:rsidR="008D61B9">
          <w:rPr>
            <w:noProof/>
            <w:webHidden/>
          </w:rPr>
          <w:instrText xml:space="preserve"> PAGEREF _Toc227090046 \h </w:instrText>
        </w:r>
        <w:r w:rsidR="008D61B9">
          <w:rPr>
            <w:noProof/>
            <w:webHidden/>
          </w:rPr>
        </w:r>
        <w:r w:rsidR="008D61B9">
          <w:rPr>
            <w:noProof/>
            <w:webHidden/>
          </w:rPr>
          <w:fldChar w:fldCharType="separate"/>
        </w:r>
        <w:r w:rsidR="008D61B9">
          <w:rPr>
            <w:noProof/>
            <w:webHidden/>
          </w:rPr>
          <w:t>19</w:t>
        </w:r>
        <w:r w:rsidR="008D61B9">
          <w:rPr>
            <w:noProof/>
            <w:webHidden/>
          </w:rPr>
          <w:fldChar w:fldCharType="end"/>
        </w:r>
      </w:hyperlink>
    </w:p>
    <w:p w14:paraId="50CC1C44" w14:textId="3B28CF9E" w:rsidR="004861F1" w:rsidRDefault="008D61B9" w:rsidP="002D22FC">
      <w:pPr>
        <w:jc w:val="left"/>
        <w:rPr>
          <w:lang w:val="en-US"/>
        </w:rPr>
      </w:pPr>
      <w:r>
        <w:rPr>
          <w:lang w:val="en-US"/>
        </w:rPr>
        <w:fldChar w:fldCharType="end"/>
      </w:r>
      <w:r>
        <w:rPr>
          <w:lang w:val="en-US"/>
        </w:rPr>
        <w:br w:type="page"/>
      </w:r>
    </w:p>
    <w:p w14:paraId="4165333F" w14:textId="77777777" w:rsidR="00456453" w:rsidRPr="00456453" w:rsidRDefault="00BB0E4D" w:rsidP="0052035C">
      <w:pPr>
        <w:pStyle w:val="Heading1"/>
        <w:rPr>
          <w:lang w:val="en-US"/>
        </w:rPr>
      </w:pPr>
      <w:bookmarkStart w:id="1" w:name="_Toc227090047"/>
      <w:r>
        <w:rPr>
          <w:lang w:val="en-US"/>
        </w:rPr>
        <w:lastRenderedPageBreak/>
        <w:t xml:space="preserve">1. </w:t>
      </w:r>
      <w:r w:rsidRPr="00456453">
        <w:rPr>
          <w:lang w:val="en-US"/>
        </w:rPr>
        <w:t>Financial Health Check</w:t>
      </w:r>
      <w:bookmarkEnd w:id="1"/>
    </w:p>
    <w:p w14:paraId="626BC9DB" w14:textId="77777777" w:rsidR="00456453" w:rsidRPr="00456453" w:rsidRDefault="00BB0E4D" w:rsidP="00456453">
      <w:pPr>
        <w:rPr>
          <w:lang w:val="en-US"/>
        </w:rPr>
      </w:pPr>
      <w:r w:rsidRPr="00456453">
        <w:rPr>
          <w:lang w:val="en-US"/>
        </w:rPr>
        <w:t xml:space="preserve">Battery-only-driven </w:t>
      </w:r>
      <w:r w:rsidRPr="00456453">
        <w:rPr>
          <w:lang w:val="en-US"/>
        </w:rPr>
        <w:t>vehicles: The financial performance of BYD between 2021 and 2025 shows a high-growth trend, enabled by a vibrant market expansion, increased operational scale, and rising global competitiveness in the electric vehicle industry. But this fast growth has als</w:t>
      </w:r>
      <w:r w:rsidRPr="00456453">
        <w:rPr>
          <w:lang w:val="en-US"/>
        </w:rPr>
        <w:t>o come with strains on liquidity, increased leverage, and volatility in profitability. A ratio analysis that covers profitability, liquidity, efficiency, gearing, investment, and cash flow provides an in-depth overview.</w:t>
      </w:r>
    </w:p>
    <w:p w14:paraId="5C2BCBD2" w14:textId="77777777" w:rsidR="00456453" w:rsidRPr="00456453" w:rsidRDefault="00BB0E4D" w:rsidP="0052035C">
      <w:pPr>
        <w:pStyle w:val="Heading2"/>
        <w:rPr>
          <w:lang w:val="en-US"/>
        </w:rPr>
      </w:pPr>
      <w:bookmarkStart w:id="2" w:name="_Toc227090048"/>
      <w:r>
        <w:rPr>
          <w:lang w:val="en-US"/>
        </w:rPr>
        <w:t xml:space="preserve">1.1 </w:t>
      </w:r>
      <w:r w:rsidRPr="00456453">
        <w:rPr>
          <w:lang w:val="en-US"/>
        </w:rPr>
        <w:t>Profitability Analysis</w:t>
      </w:r>
      <w:bookmarkEnd w:id="2"/>
    </w:p>
    <w:p w14:paraId="17371B65" w14:textId="77777777" w:rsidR="00B759B2" w:rsidRDefault="00BB0E4D" w:rsidP="00B759B2">
      <w:pPr>
        <w:jc w:val="center"/>
        <w:rPr>
          <w:lang w:val="en-US"/>
        </w:rPr>
      </w:pPr>
      <w:r>
        <w:rPr>
          <w:noProof/>
          <w:lang w:val="en-US"/>
        </w:rPr>
        <w:drawing>
          <wp:inline distT="0" distB="0" distL="0" distR="0" wp14:anchorId="76AB4A37" wp14:editId="55A4A32B">
            <wp:extent cx="5088048" cy="3058467"/>
            <wp:effectExtent l="0" t="0" r="0" b="8890"/>
            <wp:docPr id="711064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06420"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095428" cy="3062903"/>
                    </a:xfrm>
                    <a:prstGeom prst="rect">
                      <a:avLst/>
                    </a:prstGeom>
                    <a:noFill/>
                  </pic:spPr>
                </pic:pic>
              </a:graphicData>
            </a:graphic>
          </wp:inline>
        </w:drawing>
      </w:r>
    </w:p>
    <w:p w14:paraId="3822BEF1" w14:textId="4774B54A" w:rsidR="00B759B2" w:rsidRPr="00DB49E9" w:rsidRDefault="00BB0E4D" w:rsidP="00DB49E9">
      <w:pPr>
        <w:pStyle w:val="Heading4"/>
      </w:pPr>
      <w:bookmarkStart w:id="3" w:name="_Toc227090036"/>
      <w:r>
        <w:t xml:space="preserve">Figure </w:t>
      </w:r>
      <w:r>
        <w:t xml:space="preserve">1: Profitability </w:t>
      </w:r>
      <w:r w:rsidR="00734C61">
        <w:t>Analysis</w:t>
      </w:r>
      <w:bookmarkEnd w:id="3"/>
    </w:p>
    <w:p w14:paraId="280407CE" w14:textId="77777777" w:rsidR="00456453" w:rsidRPr="00456453" w:rsidRDefault="00BB0E4D" w:rsidP="00B759B2">
      <w:pPr>
        <w:jc w:val="center"/>
        <w:rPr>
          <w:lang w:val="en-US"/>
        </w:rPr>
      </w:pPr>
      <w:r>
        <w:rPr>
          <w:lang w:val="en-US"/>
        </w:rPr>
        <w:t>(Source: Excel)</w:t>
      </w:r>
    </w:p>
    <w:p w14:paraId="3DAC4506" w14:textId="77777777" w:rsidR="00456453" w:rsidRPr="00456453" w:rsidRDefault="00BB0E4D" w:rsidP="00456453">
      <w:pPr>
        <w:rPr>
          <w:lang w:val="en-US"/>
        </w:rPr>
      </w:pPr>
      <w:r w:rsidRPr="00456453">
        <w:rPr>
          <w:lang w:val="en-US"/>
        </w:rPr>
        <w:t>The increase in revenue is remarkable, with BYD growing its revenue by 257,619 in 2021 and 861,131 in 2025, nearly three times over five years. This signifies aggressive growth in EV manufacturing, robust demand in</w:t>
      </w:r>
      <w:r w:rsidRPr="00456453">
        <w:rPr>
          <w:lang w:val="en-US"/>
        </w:rPr>
        <w:t xml:space="preserve"> China, and rising international penetration. Although this has increased, profitability remains volatile. Net profit margin improved from 1.42% in 2021 to over 5% in 2023 and 2024, before declining slightly to 4.07% in 2025. This implies that, although BY</w:t>
      </w:r>
      <w:r w:rsidRPr="00456453">
        <w:rPr>
          <w:lang w:val="en-US"/>
        </w:rPr>
        <w:t xml:space="preserve">D has managed to scale operations, maintaining margins has become more difficult, likely due to rising input costs, competitive price pressures, and </w:t>
      </w:r>
      <w:r w:rsidR="00C17772">
        <w:rPr>
          <w:lang w:val="en-US"/>
        </w:rPr>
        <w:t>expansion-related costs (</w:t>
      </w:r>
      <w:r w:rsidR="00C17772" w:rsidRPr="00AF2362">
        <w:t>Sánchez</w:t>
      </w:r>
      <w:r w:rsidR="00C17772">
        <w:t xml:space="preserve"> </w:t>
      </w:r>
      <w:r w:rsidR="00C17772">
        <w:rPr>
          <w:i/>
          <w:iCs/>
        </w:rPr>
        <w:t>et al.,</w:t>
      </w:r>
      <w:r w:rsidR="00C17772">
        <w:t xml:space="preserve"> 2022)</w:t>
      </w:r>
      <w:r w:rsidRPr="00456453">
        <w:rPr>
          <w:lang w:val="en-US"/>
        </w:rPr>
        <w:t>.</w:t>
      </w:r>
    </w:p>
    <w:p w14:paraId="14E0D332" w14:textId="77777777" w:rsidR="00456453" w:rsidRPr="00456453" w:rsidRDefault="00BB0E4D" w:rsidP="00456453">
      <w:pPr>
        <w:rPr>
          <w:lang w:val="en-US"/>
        </w:rPr>
      </w:pPr>
      <w:r w:rsidRPr="00456453">
        <w:rPr>
          <w:lang w:val="en-US"/>
        </w:rPr>
        <w:lastRenderedPageBreak/>
        <w:t>The Return on Equity (ROE) rose to 22.33 in 2024 and 2.88 i</w:t>
      </w:r>
      <w:r w:rsidRPr="00456453">
        <w:rPr>
          <w:lang w:val="en-US"/>
        </w:rPr>
        <w:t>n 2021, indicating that the company has a high ROE and delivers substantial returns to its shareholders throughout the growth period. The fall to 13.13% in 2025, however, indicates that profitability will be weaker than equity, perhaps through greater capi</w:t>
      </w:r>
      <w:r w:rsidRPr="00456453">
        <w:rPr>
          <w:lang w:val="en-US"/>
        </w:rPr>
        <w:t>tal investment or slower earnings</w:t>
      </w:r>
      <w:r w:rsidR="00C17772">
        <w:rPr>
          <w:lang w:val="en-US"/>
        </w:rPr>
        <w:t xml:space="preserve"> growth (</w:t>
      </w:r>
      <w:r w:rsidR="00C17772" w:rsidRPr="00AF2362">
        <w:t>Yuan</w:t>
      </w:r>
      <w:r w:rsidR="00C17772">
        <w:t xml:space="preserve"> </w:t>
      </w:r>
      <w:r w:rsidR="00C17772">
        <w:rPr>
          <w:i/>
          <w:iCs/>
        </w:rPr>
        <w:t>et al.,</w:t>
      </w:r>
      <w:r w:rsidR="00C17772">
        <w:t xml:space="preserve"> 2022)</w:t>
      </w:r>
      <w:r w:rsidRPr="00456453">
        <w:rPr>
          <w:lang w:val="en-US"/>
        </w:rPr>
        <w:t xml:space="preserve">. Likewise, </w:t>
      </w:r>
      <w:proofErr w:type="gramStart"/>
      <w:r w:rsidRPr="00456453">
        <w:rPr>
          <w:lang w:val="en-US"/>
        </w:rPr>
        <w:t>Return</w:t>
      </w:r>
      <w:proofErr w:type="gramEnd"/>
      <w:r w:rsidRPr="00456453">
        <w:rPr>
          <w:lang w:val="en-US"/>
        </w:rPr>
        <w:t xml:space="preserve"> on Assets (ROA) increased to 5.19% by 2024, then dropped to 3.54% by 2025, indicating that the company is less efficient in using assets to generate profit.</w:t>
      </w:r>
    </w:p>
    <w:p w14:paraId="1012DABE" w14:textId="77777777" w:rsidR="00456453" w:rsidRPr="00456453" w:rsidRDefault="00BB0E4D" w:rsidP="00456453">
      <w:pPr>
        <w:rPr>
          <w:lang w:val="en-US"/>
        </w:rPr>
      </w:pPr>
      <w:r w:rsidRPr="00456453">
        <w:rPr>
          <w:lang w:val="en-US"/>
        </w:rPr>
        <w:t>The trend of operati</w:t>
      </w:r>
      <w:r w:rsidRPr="00456453">
        <w:rPr>
          <w:lang w:val="en-US"/>
        </w:rPr>
        <w:t>ng profit is also downward in the latest year, with a decrease of 38,833 in 2024 to 24,387 in 2025. This implies margin compression and an emphasis on maintaining profitability in a highly competitive, price-sensitive EV market.</w:t>
      </w:r>
    </w:p>
    <w:p w14:paraId="3E5E59A1" w14:textId="77777777" w:rsidR="00456453" w:rsidRPr="00456453" w:rsidRDefault="00BB0E4D" w:rsidP="0052035C">
      <w:pPr>
        <w:pStyle w:val="Heading2"/>
        <w:rPr>
          <w:lang w:val="en-US"/>
        </w:rPr>
      </w:pPr>
      <w:bookmarkStart w:id="4" w:name="_Toc227090049"/>
      <w:r>
        <w:rPr>
          <w:lang w:val="en-US"/>
        </w:rPr>
        <w:t xml:space="preserve">1.2 </w:t>
      </w:r>
      <w:r w:rsidRPr="00456453">
        <w:rPr>
          <w:lang w:val="en-US"/>
        </w:rPr>
        <w:t>Liquidity Analysis</w:t>
      </w:r>
      <w:bookmarkEnd w:id="4"/>
    </w:p>
    <w:p w14:paraId="44A14E94" w14:textId="77777777" w:rsidR="00456453" w:rsidRDefault="00BB0E4D" w:rsidP="00405E32">
      <w:pPr>
        <w:jc w:val="center"/>
        <w:rPr>
          <w:lang w:val="en-US"/>
        </w:rPr>
      </w:pPr>
      <w:r>
        <w:rPr>
          <w:noProof/>
          <w:lang w:val="en-US"/>
        </w:rPr>
        <w:drawing>
          <wp:inline distT="0" distB="0" distL="0" distR="0" wp14:anchorId="6E559CE4" wp14:editId="2FE9FA63">
            <wp:extent cx="5015620" cy="3014929"/>
            <wp:effectExtent l="0" t="0" r="0" b="0"/>
            <wp:docPr id="1733437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437023"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024149" cy="3020056"/>
                    </a:xfrm>
                    <a:prstGeom prst="rect">
                      <a:avLst/>
                    </a:prstGeom>
                    <a:noFill/>
                  </pic:spPr>
                </pic:pic>
              </a:graphicData>
            </a:graphic>
          </wp:inline>
        </w:drawing>
      </w:r>
    </w:p>
    <w:p w14:paraId="7B505C7A" w14:textId="32E9B6D1" w:rsidR="00B759B2" w:rsidRDefault="00BB0E4D" w:rsidP="00DB49E9">
      <w:pPr>
        <w:pStyle w:val="Heading4"/>
      </w:pPr>
      <w:bookmarkStart w:id="5" w:name="_Toc227090037"/>
      <w:r>
        <w:t>Fi</w:t>
      </w:r>
      <w:r>
        <w:t xml:space="preserve">gure 2: Liquidity </w:t>
      </w:r>
      <w:r w:rsidR="00734C61">
        <w:t>Analysis</w:t>
      </w:r>
      <w:bookmarkEnd w:id="5"/>
    </w:p>
    <w:p w14:paraId="54F8B6EB" w14:textId="77777777" w:rsidR="00B759B2" w:rsidRPr="00B759B2" w:rsidRDefault="00BB0E4D" w:rsidP="00405E32">
      <w:pPr>
        <w:jc w:val="center"/>
        <w:rPr>
          <w:lang w:val="en-US"/>
        </w:rPr>
      </w:pPr>
      <w:r>
        <w:rPr>
          <w:lang w:val="en-US"/>
        </w:rPr>
        <w:t>(Source: Excel)</w:t>
      </w:r>
    </w:p>
    <w:p w14:paraId="648E4649" w14:textId="77777777" w:rsidR="00456453" w:rsidRPr="00456453" w:rsidRDefault="00BB0E4D" w:rsidP="00456453">
      <w:pPr>
        <w:rPr>
          <w:lang w:val="en-US"/>
        </w:rPr>
      </w:pPr>
      <w:r w:rsidRPr="00456453">
        <w:rPr>
          <w:lang w:val="en-US"/>
        </w:rPr>
        <w:t xml:space="preserve">The liquidity analysis indicates a serious concern. The current ratio of BYD decreased from 2021 to 2025, falling to 0.793, which is still below 1. This means that current liabilities exceed current assets, which </w:t>
      </w:r>
      <w:r w:rsidRPr="00456453">
        <w:rPr>
          <w:lang w:val="en-US"/>
        </w:rPr>
        <w:t>may imply a short-term liquidity strain</w:t>
      </w:r>
      <w:r w:rsidR="00C17772">
        <w:rPr>
          <w:lang w:val="en-US"/>
        </w:rPr>
        <w:t xml:space="preserve"> </w:t>
      </w:r>
      <w:r w:rsidR="00201DAE">
        <w:rPr>
          <w:lang w:val="en-US"/>
        </w:rPr>
        <w:t>(</w:t>
      </w:r>
      <w:r w:rsidR="00201DAE" w:rsidRPr="00AF2362">
        <w:t xml:space="preserve">Ramadan </w:t>
      </w:r>
      <w:r w:rsidR="00201DAE">
        <w:t>and</w:t>
      </w:r>
      <w:r w:rsidR="00201DAE" w:rsidRPr="00AF2362">
        <w:t xml:space="preserve"> </w:t>
      </w:r>
      <w:proofErr w:type="spellStart"/>
      <w:r w:rsidR="00201DAE" w:rsidRPr="00AF2362">
        <w:t>Morshed</w:t>
      </w:r>
      <w:proofErr w:type="spellEnd"/>
      <w:r w:rsidR="00201DAE" w:rsidRPr="00AF2362">
        <w:t>, 2023)</w:t>
      </w:r>
      <w:r w:rsidRPr="00456453">
        <w:rPr>
          <w:lang w:val="en-US"/>
        </w:rPr>
        <w:t>. The same trend is observed with the quick ratio, which decreases from 0.717 in 2021 to 0.497 in 2025, highlighting the dependence on inventory and the scarcity of liquid assets.</w:t>
      </w:r>
    </w:p>
    <w:p w14:paraId="412B5475" w14:textId="77777777" w:rsidR="00456453" w:rsidRPr="00456453" w:rsidRDefault="00BB0E4D" w:rsidP="00456453">
      <w:pPr>
        <w:rPr>
          <w:lang w:val="en-US"/>
        </w:rPr>
      </w:pPr>
      <w:r w:rsidRPr="00456453">
        <w:rPr>
          <w:lang w:val="en-US"/>
        </w:rPr>
        <w:lastRenderedPageBreak/>
        <w:t xml:space="preserve">These </w:t>
      </w:r>
      <w:r w:rsidRPr="00456453">
        <w:rPr>
          <w:lang w:val="en-US"/>
        </w:rPr>
        <w:t>ratios indicate that BYD has an aggressive working capital policy and extensively uses supplier financing and high inventory turnover to support business</w:t>
      </w:r>
      <w:r w:rsidR="00201DAE">
        <w:rPr>
          <w:lang w:val="en-US"/>
        </w:rPr>
        <w:t xml:space="preserve"> (</w:t>
      </w:r>
      <w:r w:rsidR="00201DAE" w:rsidRPr="00AF2362">
        <w:t>Rahman, 2023)</w:t>
      </w:r>
      <w:r w:rsidRPr="00456453">
        <w:rPr>
          <w:lang w:val="en-US"/>
        </w:rPr>
        <w:t>. Although this approach can improve efficiency and promote growth, it also increases li</w:t>
      </w:r>
      <w:r w:rsidRPr="00456453">
        <w:rPr>
          <w:lang w:val="en-US"/>
        </w:rPr>
        <w:t>quidity risk, especially during periods of economic unpredictability or demand fluctuations.</w:t>
      </w:r>
    </w:p>
    <w:p w14:paraId="3653E299" w14:textId="77777777" w:rsidR="00456453" w:rsidRPr="00456453" w:rsidRDefault="00BB0E4D" w:rsidP="00456453">
      <w:pPr>
        <w:rPr>
          <w:lang w:val="en-US"/>
        </w:rPr>
      </w:pPr>
      <w:r w:rsidRPr="00456453">
        <w:rPr>
          <w:lang w:val="en-US"/>
        </w:rPr>
        <w:t>The chronic liquidity shortfall suggests that BYD might have to rely on external funding or improve working capital management to meet its short-term liabilities.</w:t>
      </w:r>
    </w:p>
    <w:p w14:paraId="4B28D61B" w14:textId="77777777" w:rsidR="00456453" w:rsidRPr="00456453" w:rsidRDefault="00BB0E4D" w:rsidP="0052035C">
      <w:pPr>
        <w:pStyle w:val="Heading2"/>
        <w:rPr>
          <w:lang w:val="en-US"/>
        </w:rPr>
      </w:pPr>
      <w:bookmarkStart w:id="6" w:name="_Toc227090050"/>
      <w:r>
        <w:rPr>
          <w:lang w:val="en-US"/>
        </w:rPr>
        <w:t xml:space="preserve">1.3 </w:t>
      </w:r>
      <w:r w:rsidRPr="00456453">
        <w:rPr>
          <w:lang w:val="en-US"/>
        </w:rPr>
        <w:t>Efficiency Analysis</w:t>
      </w:r>
      <w:bookmarkEnd w:id="6"/>
    </w:p>
    <w:p w14:paraId="78AAB16E" w14:textId="77777777" w:rsidR="00B759B2" w:rsidRDefault="00BB0E4D" w:rsidP="00B759B2">
      <w:pPr>
        <w:jc w:val="center"/>
        <w:rPr>
          <w:lang w:val="en-US"/>
        </w:rPr>
      </w:pPr>
      <w:r>
        <w:rPr>
          <w:noProof/>
          <w:lang w:val="en-US"/>
        </w:rPr>
        <w:drawing>
          <wp:inline distT="0" distB="0" distL="0" distR="0" wp14:anchorId="33DF4C46" wp14:editId="0DB2B8D8">
            <wp:extent cx="5060594" cy="3041964"/>
            <wp:effectExtent l="0" t="0" r="6985" b="6350"/>
            <wp:docPr id="3968014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01490" name="Picture 5"/>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67539" cy="3046138"/>
                    </a:xfrm>
                    <a:prstGeom prst="rect">
                      <a:avLst/>
                    </a:prstGeom>
                    <a:noFill/>
                  </pic:spPr>
                </pic:pic>
              </a:graphicData>
            </a:graphic>
          </wp:inline>
        </w:drawing>
      </w:r>
    </w:p>
    <w:p w14:paraId="4765D12E" w14:textId="7A03F2E5" w:rsidR="0052035C" w:rsidRDefault="00BB0E4D" w:rsidP="00DB49E9">
      <w:pPr>
        <w:pStyle w:val="Heading4"/>
      </w:pPr>
      <w:bookmarkStart w:id="7" w:name="_Toc227090038"/>
      <w:r>
        <w:t xml:space="preserve">Figure 3: Efficiency </w:t>
      </w:r>
      <w:r w:rsidR="00734C61">
        <w:t>Analysis</w:t>
      </w:r>
      <w:bookmarkEnd w:id="7"/>
    </w:p>
    <w:p w14:paraId="2816B43E" w14:textId="77777777" w:rsidR="0052035C" w:rsidRDefault="00BB0E4D" w:rsidP="0052035C">
      <w:pPr>
        <w:jc w:val="center"/>
        <w:rPr>
          <w:lang w:val="en-US"/>
        </w:rPr>
      </w:pPr>
      <w:r>
        <w:rPr>
          <w:lang w:val="en-US"/>
        </w:rPr>
        <w:t>(Source: Excel)</w:t>
      </w:r>
    </w:p>
    <w:p w14:paraId="0A0D82E5" w14:textId="77777777" w:rsidR="00456453" w:rsidRPr="00456453" w:rsidRDefault="00BB0E4D" w:rsidP="00456453">
      <w:pPr>
        <w:rPr>
          <w:lang w:val="en-US"/>
        </w:rPr>
      </w:pPr>
      <w:r w:rsidRPr="00456453">
        <w:rPr>
          <w:lang w:val="en-US"/>
        </w:rPr>
        <w:t>The efficiency ratios show significant changes in BYD's operational management over time. The accounts receivable days decreased significantly (105.31 days in 2021 and 39.88 days in 20</w:t>
      </w:r>
      <w:r w:rsidRPr="00456453">
        <w:rPr>
          <w:lang w:val="en-US"/>
        </w:rPr>
        <w:t>25), which shows better credit management and quicker cash collection</w:t>
      </w:r>
      <w:r w:rsidR="00201DAE">
        <w:rPr>
          <w:lang w:val="en-US"/>
        </w:rPr>
        <w:t xml:space="preserve"> (</w:t>
      </w:r>
      <w:proofErr w:type="spellStart"/>
      <w:r w:rsidR="00201DAE" w:rsidRPr="00AF2362">
        <w:t>Listiadi</w:t>
      </w:r>
      <w:proofErr w:type="spellEnd"/>
      <w:r w:rsidR="00201DAE" w:rsidRPr="00AF2362">
        <w:t>, 2022)</w:t>
      </w:r>
      <w:r w:rsidRPr="00456453">
        <w:rPr>
          <w:lang w:val="en-US"/>
        </w:rPr>
        <w:t xml:space="preserve">. This is an encouraging move, as the liquidity will improve and the bad debts will be </w:t>
      </w:r>
      <w:proofErr w:type="spellStart"/>
      <w:r w:rsidRPr="00456453">
        <w:rPr>
          <w:lang w:val="en-US"/>
        </w:rPr>
        <w:t>minimi</w:t>
      </w:r>
      <w:r w:rsidR="00810892">
        <w:rPr>
          <w:lang w:val="en-US"/>
        </w:rPr>
        <w:t>s</w:t>
      </w:r>
      <w:r w:rsidRPr="00456453">
        <w:rPr>
          <w:lang w:val="en-US"/>
        </w:rPr>
        <w:t>ed</w:t>
      </w:r>
      <w:proofErr w:type="spellEnd"/>
      <w:r w:rsidRPr="00456453">
        <w:rPr>
          <w:lang w:val="en-US"/>
        </w:rPr>
        <w:t>.</w:t>
      </w:r>
    </w:p>
    <w:p w14:paraId="436352E6" w14:textId="77777777" w:rsidR="00456453" w:rsidRPr="00456453" w:rsidRDefault="00BB0E4D" w:rsidP="00456453">
      <w:pPr>
        <w:rPr>
          <w:lang w:val="en-US"/>
        </w:rPr>
      </w:pPr>
      <w:r w:rsidRPr="00456453">
        <w:rPr>
          <w:lang w:val="en-US"/>
        </w:rPr>
        <w:t>The inventory days reduced to 84.38 days in 2021 and ranged around 65 da</w:t>
      </w:r>
      <w:r w:rsidRPr="00456453">
        <w:rPr>
          <w:lang w:val="en-US"/>
        </w:rPr>
        <w:t xml:space="preserve">ys in 2023 and 2024, then slightly increased to 76.92 days in 2025. This indicates that although inventory management initially improved, current trends suggest it may be </w:t>
      </w:r>
      <w:r w:rsidRPr="00456453">
        <w:rPr>
          <w:lang w:val="en-US"/>
        </w:rPr>
        <w:lastRenderedPageBreak/>
        <w:t>overstocked or experiencing slow inventory turnover, which could be attributed to cha</w:t>
      </w:r>
      <w:r w:rsidRPr="00456453">
        <w:rPr>
          <w:lang w:val="en-US"/>
        </w:rPr>
        <w:t>nging demand or supply chain</w:t>
      </w:r>
      <w:r w:rsidR="00201DAE">
        <w:rPr>
          <w:lang w:val="en-US"/>
        </w:rPr>
        <w:t xml:space="preserve"> adjustments (</w:t>
      </w:r>
      <w:r w:rsidR="00201DAE" w:rsidRPr="00AF2362">
        <w:t>Burnie</w:t>
      </w:r>
      <w:r w:rsidR="00201DAE">
        <w:t xml:space="preserve"> and</w:t>
      </w:r>
      <w:r w:rsidR="00201DAE" w:rsidRPr="00AF2362">
        <w:t xml:space="preserve"> Ridder, 2023)</w:t>
      </w:r>
      <w:r w:rsidRPr="00456453">
        <w:rPr>
          <w:lang w:val="en-US"/>
        </w:rPr>
        <w:t>.</w:t>
      </w:r>
    </w:p>
    <w:p w14:paraId="547014E0" w14:textId="77777777" w:rsidR="00456453" w:rsidRPr="00456453" w:rsidRDefault="00BB0E4D" w:rsidP="00456453">
      <w:pPr>
        <w:rPr>
          <w:lang w:val="en-US"/>
        </w:rPr>
      </w:pPr>
      <w:r w:rsidRPr="00456453">
        <w:rPr>
          <w:lang w:val="en-US"/>
        </w:rPr>
        <w:t xml:space="preserve">The number of accounts payable days decreased to 103.77 in 2025, compared with 142.40 in 2021, indicating that BYD is paying suppliers faster over time. Although this can enhance supplier relations and supply chain stability, it reduces financial profit </w:t>
      </w:r>
      <w:r w:rsidR="00B759B2" w:rsidRPr="00456453">
        <w:rPr>
          <w:lang w:val="en-US"/>
        </w:rPr>
        <w:t>from</w:t>
      </w:r>
      <w:r w:rsidRPr="00456453">
        <w:rPr>
          <w:lang w:val="en-US"/>
        </w:rPr>
        <w:t xml:space="preserve"> trade credit and puts pressure on liquidity</w:t>
      </w:r>
      <w:r w:rsidR="00201DAE">
        <w:rPr>
          <w:lang w:val="en-US"/>
        </w:rPr>
        <w:t xml:space="preserve"> (</w:t>
      </w:r>
      <w:r w:rsidR="00201DAE" w:rsidRPr="00AF2362">
        <w:t>Burnie</w:t>
      </w:r>
      <w:r w:rsidR="00201DAE">
        <w:t xml:space="preserve"> and</w:t>
      </w:r>
      <w:r w:rsidR="00201DAE" w:rsidRPr="00AF2362">
        <w:t xml:space="preserve"> Ridder, 2023)</w:t>
      </w:r>
      <w:r w:rsidRPr="00456453">
        <w:rPr>
          <w:lang w:val="en-US"/>
        </w:rPr>
        <w:t>.</w:t>
      </w:r>
    </w:p>
    <w:p w14:paraId="6ADDAE9D" w14:textId="77777777" w:rsidR="00456453" w:rsidRPr="00456453" w:rsidRDefault="00BB0E4D" w:rsidP="00456453">
      <w:pPr>
        <w:rPr>
          <w:lang w:val="en-US"/>
        </w:rPr>
      </w:pPr>
      <w:r w:rsidRPr="00456453">
        <w:rPr>
          <w:lang w:val="en-US"/>
        </w:rPr>
        <w:t>Overall,</w:t>
      </w:r>
      <w:r>
        <w:rPr>
          <w:lang w:val="en-US"/>
        </w:rPr>
        <w:t xml:space="preserve"> </w:t>
      </w:r>
      <w:r w:rsidRPr="00456453">
        <w:rPr>
          <w:lang w:val="en-US"/>
        </w:rPr>
        <w:t>BYD shows positive changes in its receivables management and mediocre inventory management, but the decrease in payable days indicates a weakening capacity to finance its op</w:t>
      </w:r>
      <w:r w:rsidRPr="00456453">
        <w:rPr>
          <w:lang w:val="en-US"/>
        </w:rPr>
        <w:t>erations through supplier credit.</w:t>
      </w:r>
    </w:p>
    <w:p w14:paraId="5580A3B0" w14:textId="77777777" w:rsidR="00456453" w:rsidRPr="00456453" w:rsidRDefault="00BB0E4D" w:rsidP="0052035C">
      <w:pPr>
        <w:pStyle w:val="Heading2"/>
        <w:rPr>
          <w:lang w:val="en-US"/>
        </w:rPr>
      </w:pPr>
      <w:bookmarkStart w:id="8" w:name="_Toc227090051"/>
      <w:r>
        <w:rPr>
          <w:lang w:val="en-US"/>
        </w:rPr>
        <w:t xml:space="preserve">1.4 </w:t>
      </w:r>
      <w:r w:rsidRPr="00456453">
        <w:rPr>
          <w:lang w:val="en-US"/>
        </w:rPr>
        <w:t>Capital Structure</w:t>
      </w:r>
      <w:r w:rsidR="00810892">
        <w:rPr>
          <w:lang w:val="en-US"/>
        </w:rPr>
        <w:t xml:space="preserve"> and </w:t>
      </w:r>
      <w:r w:rsidR="00810892" w:rsidRPr="00456453">
        <w:rPr>
          <w:lang w:val="en-US"/>
        </w:rPr>
        <w:t>Gearing</w:t>
      </w:r>
      <w:bookmarkEnd w:id="8"/>
    </w:p>
    <w:p w14:paraId="43146B15" w14:textId="77777777" w:rsidR="00456453" w:rsidRDefault="00BB0E4D" w:rsidP="00810892">
      <w:pPr>
        <w:jc w:val="center"/>
        <w:rPr>
          <w:lang w:val="en-US"/>
        </w:rPr>
      </w:pPr>
      <w:r>
        <w:rPr>
          <w:noProof/>
          <w:lang w:val="en-US"/>
        </w:rPr>
        <w:drawing>
          <wp:inline distT="0" distB="0" distL="0" distR="0" wp14:anchorId="319A1EDF" wp14:editId="5EC416FE">
            <wp:extent cx="4906979" cy="2942828"/>
            <wp:effectExtent l="0" t="0" r="8255" b="0"/>
            <wp:docPr id="16965205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520515" name="Picture 4"/>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911647" cy="2945627"/>
                    </a:xfrm>
                    <a:prstGeom prst="rect">
                      <a:avLst/>
                    </a:prstGeom>
                    <a:noFill/>
                  </pic:spPr>
                </pic:pic>
              </a:graphicData>
            </a:graphic>
          </wp:inline>
        </w:drawing>
      </w:r>
    </w:p>
    <w:p w14:paraId="015CDDCC" w14:textId="58E11533" w:rsidR="0052035C" w:rsidRDefault="00BB0E4D" w:rsidP="00DB49E9">
      <w:pPr>
        <w:pStyle w:val="Heading4"/>
      </w:pPr>
      <w:bookmarkStart w:id="9" w:name="_Toc227090039"/>
      <w:r>
        <w:t xml:space="preserve">Figure 4: Gearing </w:t>
      </w:r>
      <w:r w:rsidR="00734C61">
        <w:t>Analysis</w:t>
      </w:r>
      <w:bookmarkEnd w:id="9"/>
    </w:p>
    <w:p w14:paraId="62B5946D" w14:textId="77777777" w:rsidR="0052035C" w:rsidRPr="00456453" w:rsidRDefault="00BB0E4D" w:rsidP="0052035C">
      <w:pPr>
        <w:jc w:val="center"/>
        <w:rPr>
          <w:lang w:val="en-US"/>
        </w:rPr>
      </w:pPr>
      <w:r>
        <w:rPr>
          <w:lang w:val="en-US"/>
        </w:rPr>
        <w:t>(Source: Excel)</w:t>
      </w:r>
    </w:p>
    <w:p w14:paraId="6B0C1813" w14:textId="5CD5E9FA" w:rsidR="00456453" w:rsidRPr="00456453" w:rsidRDefault="002D22FC" w:rsidP="00456453">
      <w:pPr>
        <w:rPr>
          <w:lang w:val="en-US"/>
        </w:rPr>
      </w:pPr>
      <w:r>
        <w:rPr>
          <w:lang w:val="en-US"/>
        </w:rPr>
        <w:t xml:space="preserve">The above presented diagram shows the gearing ratios such as D/E and D/C for the last 5 years. </w:t>
      </w:r>
      <w:r w:rsidRPr="00456453">
        <w:rPr>
          <w:lang w:val="en-US"/>
        </w:rPr>
        <w:t>The capital structure of BYD has changed tremendously over the past five years. Its debt-to-equity ratio was moderate, ranging from 23.26 to 43.79 in 2021-</w:t>
      </w:r>
      <w:proofErr w:type="gramStart"/>
      <w:r w:rsidRPr="00456453">
        <w:rPr>
          <w:lang w:val="en-US"/>
        </w:rPr>
        <w:t>2024,,</w:t>
      </w:r>
      <w:proofErr w:type="gramEnd"/>
      <w:r w:rsidRPr="00456453">
        <w:rPr>
          <w:lang w:val="en-US"/>
        </w:rPr>
        <w:t xml:space="preserve"> indicating an equal mix of financing. The ratio, however, shot up to 68.95% in 2025, indicating a significant increase in leverage</w:t>
      </w:r>
      <w:r w:rsidR="00201DAE">
        <w:rPr>
          <w:lang w:val="en-US"/>
        </w:rPr>
        <w:t xml:space="preserve"> (</w:t>
      </w:r>
      <w:proofErr w:type="spellStart"/>
      <w:r w:rsidR="00201DAE" w:rsidRPr="00AF2362">
        <w:t>Poutziouris</w:t>
      </w:r>
      <w:proofErr w:type="spellEnd"/>
      <w:r w:rsidR="00201DAE">
        <w:t xml:space="preserve"> </w:t>
      </w:r>
      <w:r w:rsidR="00201DAE">
        <w:rPr>
          <w:i/>
          <w:iCs/>
        </w:rPr>
        <w:t>et al.,</w:t>
      </w:r>
      <w:r w:rsidR="00201DAE">
        <w:t xml:space="preserve"> 2022)</w:t>
      </w:r>
      <w:r w:rsidRPr="00456453">
        <w:rPr>
          <w:lang w:val="en-US"/>
        </w:rPr>
        <w:t>.</w:t>
      </w:r>
    </w:p>
    <w:p w14:paraId="4A048D95" w14:textId="77777777" w:rsidR="00456453" w:rsidRPr="00456453" w:rsidRDefault="00BB0E4D" w:rsidP="00456453">
      <w:pPr>
        <w:rPr>
          <w:lang w:val="en-US"/>
        </w:rPr>
      </w:pPr>
      <w:r w:rsidRPr="00456453">
        <w:rPr>
          <w:lang w:val="en-US"/>
        </w:rPr>
        <w:t xml:space="preserve">On the same note, the debt-to-capital ratio rose to 40.81% in 2025, indicating greater reliance on debt financing. This change can be necessitated by the </w:t>
      </w:r>
      <w:r w:rsidR="00810892" w:rsidRPr="00456453">
        <w:rPr>
          <w:lang w:val="en-US"/>
        </w:rPr>
        <w:t>need</w:t>
      </w:r>
      <w:r w:rsidRPr="00456453">
        <w:rPr>
          <w:lang w:val="en-US"/>
        </w:rPr>
        <w:t xml:space="preserve"> to finance </w:t>
      </w:r>
      <w:r w:rsidRPr="00456453">
        <w:rPr>
          <w:lang w:val="en-US"/>
        </w:rPr>
        <w:lastRenderedPageBreak/>
        <w:t>growth, investment in capital and technological advancements</w:t>
      </w:r>
      <w:r w:rsidR="00201DAE">
        <w:rPr>
          <w:lang w:val="en-US"/>
        </w:rPr>
        <w:t xml:space="preserve"> (</w:t>
      </w:r>
      <w:proofErr w:type="spellStart"/>
      <w:r w:rsidR="00201DAE" w:rsidRPr="00AF2362">
        <w:t>Olulu</w:t>
      </w:r>
      <w:proofErr w:type="spellEnd"/>
      <w:r w:rsidR="00201DAE" w:rsidRPr="00AF2362">
        <w:t xml:space="preserve">-Briggs </w:t>
      </w:r>
      <w:r w:rsidR="00201DAE">
        <w:t>and</w:t>
      </w:r>
      <w:r w:rsidR="00201DAE" w:rsidRPr="00AF2362">
        <w:t xml:space="preserve"> </w:t>
      </w:r>
      <w:proofErr w:type="spellStart"/>
      <w:r w:rsidR="00201DAE" w:rsidRPr="00AF2362">
        <w:t>Wobo</w:t>
      </w:r>
      <w:proofErr w:type="spellEnd"/>
      <w:r w:rsidR="00201DAE" w:rsidRPr="00AF2362">
        <w:t>, 2023)</w:t>
      </w:r>
      <w:r w:rsidRPr="00456453">
        <w:rPr>
          <w:lang w:val="en-US"/>
        </w:rPr>
        <w:t xml:space="preserve">. Whereas leverage can </w:t>
      </w:r>
      <w:r w:rsidR="00810892">
        <w:rPr>
          <w:lang w:val="en-US"/>
        </w:rPr>
        <w:t xml:space="preserve">improve </w:t>
      </w:r>
      <w:r w:rsidRPr="00456453">
        <w:rPr>
          <w:lang w:val="en-US"/>
        </w:rPr>
        <w:t xml:space="preserve">returns </w:t>
      </w:r>
      <w:r w:rsidR="00810892">
        <w:rPr>
          <w:lang w:val="en-US"/>
        </w:rPr>
        <w:t>during</w:t>
      </w:r>
      <w:r w:rsidRPr="00456453">
        <w:rPr>
          <w:lang w:val="en-US"/>
        </w:rPr>
        <w:t xml:space="preserve"> growth, it can amplif</w:t>
      </w:r>
      <w:r w:rsidR="00810892">
        <w:rPr>
          <w:lang w:val="en-US"/>
        </w:rPr>
        <w:t>y</w:t>
      </w:r>
      <w:r w:rsidRPr="00456453">
        <w:rPr>
          <w:lang w:val="en-US"/>
        </w:rPr>
        <w:t xml:space="preserve"> financial risk, especially when profitability declines.</w:t>
      </w:r>
    </w:p>
    <w:p w14:paraId="2BB8708F" w14:textId="77777777" w:rsidR="00456453" w:rsidRPr="00456453" w:rsidRDefault="00BB0E4D" w:rsidP="00456453">
      <w:pPr>
        <w:rPr>
          <w:lang w:val="en-US"/>
        </w:rPr>
      </w:pPr>
      <w:r w:rsidRPr="00456453">
        <w:rPr>
          <w:lang w:val="en-US"/>
        </w:rPr>
        <w:t>The increasing debt burden and the expected decline in profitability by 2025 cast doubt on BYD's financ</w:t>
      </w:r>
      <w:r w:rsidRPr="00456453">
        <w:rPr>
          <w:lang w:val="en-US"/>
        </w:rPr>
        <w:t>ial sustainability. Increased interest payments might further strain earnings and reduce financial flexibility.</w:t>
      </w:r>
    </w:p>
    <w:p w14:paraId="5DC2F936" w14:textId="77777777" w:rsidR="00456453" w:rsidRPr="00456453" w:rsidRDefault="00BB0E4D" w:rsidP="0052035C">
      <w:pPr>
        <w:pStyle w:val="Heading2"/>
        <w:rPr>
          <w:lang w:val="en-US"/>
        </w:rPr>
      </w:pPr>
      <w:bookmarkStart w:id="10" w:name="_Toc227090052"/>
      <w:r>
        <w:rPr>
          <w:lang w:val="en-US"/>
        </w:rPr>
        <w:t xml:space="preserve">1.5 </w:t>
      </w:r>
      <w:r w:rsidRPr="00456453">
        <w:rPr>
          <w:lang w:val="en-US"/>
        </w:rPr>
        <w:t>Market Investment Performance</w:t>
      </w:r>
      <w:bookmarkEnd w:id="10"/>
    </w:p>
    <w:p w14:paraId="1BDF6F9A" w14:textId="77777777" w:rsidR="00456453" w:rsidRDefault="00BB0E4D" w:rsidP="00810892">
      <w:pPr>
        <w:jc w:val="center"/>
        <w:rPr>
          <w:lang w:val="en-US"/>
        </w:rPr>
      </w:pPr>
      <w:r>
        <w:rPr>
          <w:noProof/>
          <w:lang w:val="en-US"/>
        </w:rPr>
        <w:drawing>
          <wp:inline distT="0" distB="0" distL="0" distR="0" wp14:anchorId="72AF3C39" wp14:editId="57B90416">
            <wp:extent cx="4888872" cy="2938740"/>
            <wp:effectExtent l="0" t="0" r="6985" b="0"/>
            <wp:docPr id="14856439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643901" name="Picture 6"/>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893481" cy="2941511"/>
                    </a:xfrm>
                    <a:prstGeom prst="rect">
                      <a:avLst/>
                    </a:prstGeom>
                    <a:noFill/>
                  </pic:spPr>
                </pic:pic>
              </a:graphicData>
            </a:graphic>
          </wp:inline>
        </w:drawing>
      </w:r>
    </w:p>
    <w:p w14:paraId="65C91865" w14:textId="1DDC0A8C" w:rsidR="0052035C" w:rsidRDefault="00BB0E4D" w:rsidP="00DB49E9">
      <w:pPr>
        <w:pStyle w:val="Heading4"/>
      </w:pPr>
      <w:bookmarkStart w:id="11" w:name="_Toc227090040"/>
      <w:r>
        <w:t xml:space="preserve">Figure 5: Investment </w:t>
      </w:r>
      <w:r w:rsidR="00734C61">
        <w:t>Performance Analysis</w:t>
      </w:r>
      <w:bookmarkEnd w:id="11"/>
    </w:p>
    <w:p w14:paraId="6EB9D665" w14:textId="77777777" w:rsidR="0052035C" w:rsidRPr="00456453" w:rsidRDefault="00BB0E4D" w:rsidP="0052035C">
      <w:pPr>
        <w:jc w:val="center"/>
        <w:rPr>
          <w:lang w:val="en-US"/>
        </w:rPr>
      </w:pPr>
      <w:r>
        <w:rPr>
          <w:lang w:val="en-US"/>
        </w:rPr>
        <w:t>(Source: Excel)</w:t>
      </w:r>
    </w:p>
    <w:p w14:paraId="6A62DC9F" w14:textId="77777777" w:rsidR="00456453" w:rsidRPr="00456453" w:rsidRDefault="00BB0E4D" w:rsidP="00456453">
      <w:pPr>
        <w:rPr>
          <w:lang w:val="en-US"/>
        </w:rPr>
      </w:pPr>
      <w:r w:rsidRPr="00456453">
        <w:rPr>
          <w:lang w:val="en-US"/>
        </w:rPr>
        <w:t>The ratios of investors indicate shifting market p</w:t>
      </w:r>
      <w:r w:rsidRPr="00456453">
        <w:rPr>
          <w:lang w:val="en-US"/>
        </w:rPr>
        <w:t>erceptions of BYD's performance. Compared with 0.43 in 2021, earnings per share reached a high of 5.00 in 2024, indicating strong profit growth</w:t>
      </w:r>
      <w:r w:rsidR="00201DAE">
        <w:rPr>
          <w:lang w:val="en-US"/>
        </w:rPr>
        <w:t xml:space="preserve"> (</w:t>
      </w:r>
      <w:r w:rsidR="00201DAE">
        <w:t>BYD, 2026)</w:t>
      </w:r>
      <w:r w:rsidRPr="00456453">
        <w:rPr>
          <w:lang w:val="en-US"/>
        </w:rPr>
        <w:t>. Nevertheless, the EPS decreased to 3.88 in 2025, which aligns with the decrease in net profit.</w:t>
      </w:r>
    </w:p>
    <w:p w14:paraId="6DB6AA62" w14:textId="77777777" w:rsidR="00456453" w:rsidRPr="00456453" w:rsidRDefault="00BB0E4D" w:rsidP="00456453">
      <w:pPr>
        <w:rPr>
          <w:lang w:val="en-US"/>
        </w:rPr>
      </w:pPr>
      <w:r w:rsidRPr="00456453">
        <w:rPr>
          <w:lang w:val="en-US"/>
        </w:rPr>
        <w:t xml:space="preserve">The </w:t>
      </w:r>
      <w:r w:rsidRPr="00456453">
        <w:rPr>
          <w:lang w:val="en-US"/>
        </w:rPr>
        <w:t xml:space="preserve">price-to-earnings (P/E) ratio decreased sharply from a very high 171.93 in 2021 to 18.19 in 2024, then rose slightly to 25.19 in 2025. This indicates that the market initially valued BYD based on high growth expectations, which have since been tempered as </w:t>
      </w:r>
      <w:r w:rsidRPr="00456453">
        <w:rPr>
          <w:lang w:val="en-US"/>
        </w:rPr>
        <w:t>the company has grown and competition has increased</w:t>
      </w:r>
      <w:r w:rsidR="00127FBE">
        <w:rPr>
          <w:lang w:val="en-US"/>
        </w:rPr>
        <w:t xml:space="preserve"> (</w:t>
      </w:r>
      <w:r w:rsidR="00127FBE" w:rsidRPr="009E3C91">
        <w:t>Sam, 2025)</w:t>
      </w:r>
      <w:r w:rsidRPr="00456453">
        <w:rPr>
          <w:lang w:val="en-US"/>
        </w:rPr>
        <w:t>.</w:t>
      </w:r>
    </w:p>
    <w:p w14:paraId="13B35DA7" w14:textId="77777777" w:rsidR="00456453" w:rsidRPr="00456453" w:rsidRDefault="00BB0E4D" w:rsidP="00456453">
      <w:pPr>
        <w:rPr>
          <w:lang w:val="en-US"/>
        </w:rPr>
      </w:pPr>
      <w:r w:rsidRPr="00456453">
        <w:rPr>
          <w:lang w:val="en-US"/>
        </w:rPr>
        <w:lastRenderedPageBreak/>
        <w:t>The current P/E ratio is more balanced in terms of valuation, both in growth potential and new risks. Shareholders seem encouraged by BYD's long-term potential, though the lower valuation rat</w:t>
      </w:r>
      <w:r w:rsidRPr="00456453">
        <w:rPr>
          <w:lang w:val="en-US"/>
        </w:rPr>
        <w:t xml:space="preserve">io suggests greater </w:t>
      </w:r>
      <w:proofErr w:type="spellStart"/>
      <w:r w:rsidRPr="00456453">
        <w:rPr>
          <w:lang w:val="en-US"/>
        </w:rPr>
        <w:t>scepticism</w:t>
      </w:r>
      <w:proofErr w:type="spellEnd"/>
      <w:r w:rsidRPr="00456453">
        <w:rPr>
          <w:lang w:val="en-US"/>
        </w:rPr>
        <w:t xml:space="preserve"> about its financial results.</w:t>
      </w:r>
    </w:p>
    <w:p w14:paraId="631C8072" w14:textId="77777777" w:rsidR="00456453" w:rsidRPr="00456453" w:rsidRDefault="00BB0E4D" w:rsidP="0052035C">
      <w:pPr>
        <w:pStyle w:val="Heading2"/>
        <w:rPr>
          <w:lang w:val="en-US"/>
        </w:rPr>
      </w:pPr>
      <w:bookmarkStart w:id="12" w:name="_Toc227090053"/>
      <w:r>
        <w:rPr>
          <w:lang w:val="en-US"/>
        </w:rPr>
        <w:t xml:space="preserve">1.6 </w:t>
      </w:r>
      <w:r w:rsidRPr="00456453">
        <w:rPr>
          <w:lang w:val="en-US"/>
        </w:rPr>
        <w:t>Cash Flow Analysis</w:t>
      </w:r>
      <w:bookmarkEnd w:id="12"/>
    </w:p>
    <w:p w14:paraId="577878C5" w14:textId="77777777" w:rsidR="00456453" w:rsidRDefault="00BB0E4D" w:rsidP="00810892">
      <w:pPr>
        <w:jc w:val="center"/>
        <w:rPr>
          <w:lang w:val="en-US"/>
        </w:rPr>
      </w:pPr>
      <w:r>
        <w:rPr>
          <w:noProof/>
          <w:lang w:val="en-US"/>
        </w:rPr>
        <w:drawing>
          <wp:inline distT="0" distB="0" distL="0" distR="0" wp14:anchorId="4FC64F5E" wp14:editId="05DFB400">
            <wp:extent cx="4584700" cy="2755900"/>
            <wp:effectExtent l="0" t="0" r="6350" b="6350"/>
            <wp:docPr id="4248379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837962" name="Picture 7"/>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584700" cy="2755900"/>
                    </a:xfrm>
                    <a:prstGeom prst="rect">
                      <a:avLst/>
                    </a:prstGeom>
                    <a:noFill/>
                  </pic:spPr>
                </pic:pic>
              </a:graphicData>
            </a:graphic>
          </wp:inline>
        </w:drawing>
      </w:r>
    </w:p>
    <w:p w14:paraId="43BDF1DC" w14:textId="5BAB28F1" w:rsidR="0052035C" w:rsidRDefault="00BB0E4D" w:rsidP="00DB49E9">
      <w:pPr>
        <w:pStyle w:val="Heading4"/>
      </w:pPr>
      <w:bookmarkStart w:id="13" w:name="_Toc227090041"/>
      <w:r>
        <w:t xml:space="preserve">Figure 6: </w:t>
      </w:r>
      <w:proofErr w:type="spellStart"/>
      <w:r>
        <w:t>Cashflow</w:t>
      </w:r>
      <w:proofErr w:type="spellEnd"/>
      <w:r>
        <w:t xml:space="preserve"> </w:t>
      </w:r>
      <w:r w:rsidR="00734C61">
        <w:t>Performance Analysis</w:t>
      </w:r>
      <w:bookmarkEnd w:id="13"/>
    </w:p>
    <w:p w14:paraId="68F46C05" w14:textId="77777777" w:rsidR="0052035C" w:rsidRPr="00456453" w:rsidRDefault="00BB0E4D" w:rsidP="0052035C">
      <w:pPr>
        <w:jc w:val="center"/>
        <w:rPr>
          <w:lang w:val="en-US"/>
        </w:rPr>
      </w:pPr>
      <w:r>
        <w:rPr>
          <w:lang w:val="en-US"/>
        </w:rPr>
        <w:t>(Source: Excel)</w:t>
      </w:r>
    </w:p>
    <w:p w14:paraId="03E0F9A0" w14:textId="77777777" w:rsidR="00456453" w:rsidRPr="00456453" w:rsidRDefault="00BB0E4D" w:rsidP="00456453">
      <w:pPr>
        <w:rPr>
          <w:lang w:val="en-US"/>
        </w:rPr>
      </w:pPr>
      <w:r w:rsidRPr="00456453">
        <w:rPr>
          <w:lang w:val="en-US"/>
        </w:rPr>
        <w:t xml:space="preserve">The cash flow analysis is a crucial source of information on the quality of BYD's earnings. Operating cash flow </w:t>
      </w:r>
      <w:r w:rsidRPr="00456453">
        <w:rPr>
          <w:lang w:val="en-US"/>
        </w:rPr>
        <w:t>increased significantly from 79,073 in 2021 to 187,758 in 2023, before declining to 64,525 in 2025</w:t>
      </w:r>
      <w:r w:rsidR="00127FBE">
        <w:rPr>
          <w:lang w:val="en-US"/>
        </w:rPr>
        <w:t xml:space="preserve"> (BYD, 2026)</w:t>
      </w:r>
      <w:r w:rsidRPr="00456453">
        <w:rPr>
          <w:lang w:val="en-US"/>
        </w:rPr>
        <w:t>. This drastic decrease in 2025 is one of the main issues, as it runs counter to comparably stable revenue rates and may indicate potential proble</w:t>
      </w:r>
      <w:r w:rsidRPr="00456453">
        <w:rPr>
          <w:lang w:val="en-US"/>
        </w:rPr>
        <w:t>ms with cash generation.</w:t>
      </w:r>
    </w:p>
    <w:p w14:paraId="68D521A0" w14:textId="77777777" w:rsidR="004861F1" w:rsidRDefault="00BB0E4D" w:rsidP="00456453">
      <w:pPr>
        <w:rPr>
          <w:lang w:val="en-US"/>
        </w:rPr>
      </w:pPr>
      <w:r w:rsidRPr="00456453">
        <w:rPr>
          <w:lang w:val="en-US"/>
        </w:rPr>
        <w:t xml:space="preserve">Operating conversion ratios have been above 1 during the period, indicating that cash flows support operating profits. Nevertheless, the ratio has decreased considerably </w:t>
      </w:r>
      <w:r w:rsidR="00810892" w:rsidRPr="00456453">
        <w:rPr>
          <w:lang w:val="en-US"/>
        </w:rPr>
        <w:t>from</w:t>
      </w:r>
      <w:r w:rsidRPr="00456453">
        <w:rPr>
          <w:lang w:val="en-US"/>
        </w:rPr>
        <w:t xml:space="preserve"> 15.59 in 2021 to 2.65 in 2025, indicating a decline in c</w:t>
      </w:r>
      <w:r w:rsidRPr="00456453">
        <w:rPr>
          <w:lang w:val="en-US"/>
        </w:rPr>
        <w:t xml:space="preserve">ash generation efficiency </w:t>
      </w:r>
      <w:r w:rsidR="00127FBE">
        <w:rPr>
          <w:lang w:val="en-US"/>
        </w:rPr>
        <w:t>(</w:t>
      </w:r>
      <w:proofErr w:type="spellStart"/>
      <w:r w:rsidR="00127FBE" w:rsidRPr="009E3C91">
        <w:t>Asman</w:t>
      </w:r>
      <w:proofErr w:type="spellEnd"/>
      <w:r w:rsidR="00127FBE">
        <w:t xml:space="preserve"> </w:t>
      </w:r>
      <w:r w:rsidR="00127FBE">
        <w:rPr>
          <w:i/>
          <w:iCs/>
        </w:rPr>
        <w:t>et al.,</w:t>
      </w:r>
      <w:r w:rsidR="00127FBE">
        <w:t xml:space="preserve"> 2025)</w:t>
      </w:r>
      <w:r w:rsidRPr="00456453">
        <w:rPr>
          <w:lang w:val="en-US"/>
        </w:rPr>
        <w:t xml:space="preserve">. This could be due to changes in working capital, higher operating costs, or lower profitability. The net decrease in operating cash flow in 2025, along with the deterioration of liquidity ratios, underscores </w:t>
      </w:r>
      <w:r w:rsidRPr="00456453">
        <w:rPr>
          <w:lang w:val="en-US"/>
        </w:rPr>
        <w:t>a possible cash flow constraint that may affect the company's capacity to finance its operations and investments</w:t>
      </w:r>
      <w:r w:rsidR="00127FBE">
        <w:rPr>
          <w:lang w:val="en-US"/>
        </w:rPr>
        <w:t xml:space="preserve"> (</w:t>
      </w:r>
      <w:r w:rsidR="00127FBE" w:rsidRPr="009E3C91">
        <w:t>Ishikawa</w:t>
      </w:r>
      <w:r w:rsidR="00127FBE">
        <w:t xml:space="preserve"> </w:t>
      </w:r>
      <w:r w:rsidR="00127FBE">
        <w:rPr>
          <w:i/>
          <w:iCs/>
        </w:rPr>
        <w:t>et al.,</w:t>
      </w:r>
      <w:r w:rsidR="00127FBE">
        <w:t xml:space="preserve"> 2025)</w:t>
      </w:r>
      <w:r w:rsidRPr="00456453">
        <w:rPr>
          <w:lang w:val="en-US"/>
        </w:rPr>
        <w:t>.</w:t>
      </w:r>
    </w:p>
    <w:p w14:paraId="5377E14C" w14:textId="77777777" w:rsidR="00810892" w:rsidRPr="00810892" w:rsidRDefault="00BB0E4D" w:rsidP="0052035C">
      <w:pPr>
        <w:pStyle w:val="Heading2"/>
        <w:rPr>
          <w:lang w:val="en-US"/>
        </w:rPr>
      </w:pPr>
      <w:bookmarkStart w:id="14" w:name="_Toc227090054"/>
      <w:r>
        <w:rPr>
          <w:lang w:val="en-US"/>
        </w:rPr>
        <w:lastRenderedPageBreak/>
        <w:t xml:space="preserve">1.7 </w:t>
      </w:r>
      <w:r w:rsidRPr="00810892">
        <w:rPr>
          <w:lang w:val="en-US"/>
        </w:rPr>
        <w:t xml:space="preserve">General Financial </w:t>
      </w:r>
      <w:r>
        <w:rPr>
          <w:lang w:val="en-US"/>
        </w:rPr>
        <w:t>Position</w:t>
      </w:r>
      <w:r w:rsidRPr="00810892">
        <w:rPr>
          <w:lang w:val="en-US"/>
        </w:rPr>
        <w:t xml:space="preserve"> and Major </w:t>
      </w:r>
      <w:r>
        <w:rPr>
          <w:lang w:val="en-US"/>
        </w:rPr>
        <w:t>Issues</w:t>
      </w:r>
      <w:bookmarkEnd w:id="14"/>
    </w:p>
    <w:p w14:paraId="390B0936" w14:textId="77777777" w:rsidR="00810892" w:rsidRPr="00810892" w:rsidRDefault="00BB0E4D" w:rsidP="00810892">
      <w:pPr>
        <w:rPr>
          <w:lang w:val="en-US"/>
        </w:rPr>
      </w:pPr>
      <w:r w:rsidRPr="00810892">
        <w:rPr>
          <w:lang w:val="en-US"/>
        </w:rPr>
        <w:t>The financial performance of BYD over the past five years shows that t</w:t>
      </w:r>
      <w:r w:rsidRPr="00810892">
        <w:rPr>
          <w:lang w:val="en-US"/>
        </w:rPr>
        <w:t>he company is in a high-growth stage, transitioning to a more mature, competitive one. The main strengths are high revenue growth, increased operational efficiency, and high returns on equity and assets in the past</w:t>
      </w:r>
      <w:r w:rsidR="00127FBE">
        <w:rPr>
          <w:lang w:val="en-US"/>
        </w:rPr>
        <w:t xml:space="preserve"> (</w:t>
      </w:r>
      <w:r w:rsidR="00127FBE" w:rsidRPr="009E3C91">
        <w:t>Lee, 2023)</w:t>
      </w:r>
      <w:r w:rsidRPr="00810892">
        <w:rPr>
          <w:lang w:val="en-US"/>
        </w:rPr>
        <w:t>. The company has already incr</w:t>
      </w:r>
      <w:r w:rsidRPr="00810892">
        <w:rPr>
          <w:lang w:val="en-US"/>
        </w:rPr>
        <w:t>eased its market share and become one of the leaders in the global EV market.</w:t>
      </w:r>
    </w:p>
    <w:p w14:paraId="776D25F8" w14:textId="77777777" w:rsidR="00810892" w:rsidRPr="00810892" w:rsidRDefault="00BB0E4D" w:rsidP="00810892">
      <w:pPr>
        <w:rPr>
          <w:lang w:val="en-US"/>
        </w:rPr>
      </w:pPr>
      <w:r w:rsidRPr="00810892">
        <w:rPr>
          <w:lang w:val="en-US"/>
        </w:rPr>
        <w:t>Nevertheless, a few critical questions arise out of the analysis. Liquidity is also a major concern, and both the current and quick ratios are below 1. The soaring leverage in 20</w:t>
      </w:r>
      <w:r w:rsidRPr="00810892">
        <w:rPr>
          <w:lang w:val="en-US"/>
        </w:rPr>
        <w:t>25 implies an increase in financial risk, especially as profitability decreases</w:t>
      </w:r>
      <w:r w:rsidR="00127FBE">
        <w:rPr>
          <w:lang w:val="en-US"/>
        </w:rPr>
        <w:t xml:space="preserve"> (</w:t>
      </w:r>
      <w:proofErr w:type="spellStart"/>
      <w:r w:rsidR="00127FBE" w:rsidRPr="009E3C91">
        <w:t>Fatouh</w:t>
      </w:r>
      <w:proofErr w:type="spellEnd"/>
      <w:r w:rsidR="00127FBE">
        <w:t xml:space="preserve"> </w:t>
      </w:r>
      <w:r w:rsidR="00127FBE">
        <w:rPr>
          <w:i/>
          <w:iCs/>
        </w:rPr>
        <w:t>et al.,</w:t>
      </w:r>
      <w:r w:rsidR="00127FBE">
        <w:t xml:space="preserve"> 2024)</w:t>
      </w:r>
      <w:r w:rsidRPr="00810892">
        <w:rPr>
          <w:lang w:val="en-US"/>
        </w:rPr>
        <w:t>. Also, declining cash flow performance may indicate difficulties maintaining operational efficiency.</w:t>
      </w:r>
    </w:p>
    <w:p w14:paraId="315694A1" w14:textId="77777777" w:rsidR="00810892" w:rsidRPr="00810892" w:rsidRDefault="00BB0E4D" w:rsidP="00810892">
      <w:pPr>
        <w:rPr>
          <w:lang w:val="en-US"/>
        </w:rPr>
      </w:pPr>
      <w:r w:rsidRPr="00810892">
        <w:rPr>
          <w:lang w:val="en-US"/>
        </w:rPr>
        <w:t>Strategically, BYD needs to improve liquidity, manage</w:t>
      </w:r>
      <w:r w:rsidRPr="00810892">
        <w:rPr>
          <w:lang w:val="en-US"/>
        </w:rPr>
        <w:t xml:space="preserve"> its debt, and lower costs to remain profitable. To sustain growth, it will be necessary to improve working capital management and </w:t>
      </w:r>
      <w:proofErr w:type="spellStart"/>
      <w:r w:rsidRPr="00810892">
        <w:rPr>
          <w:lang w:val="en-US"/>
        </w:rPr>
        <w:t>stabilise</w:t>
      </w:r>
      <w:proofErr w:type="spellEnd"/>
      <w:r w:rsidRPr="00810892">
        <w:rPr>
          <w:lang w:val="en-US"/>
        </w:rPr>
        <w:t xml:space="preserve"> cash flow.</w:t>
      </w:r>
    </w:p>
    <w:p w14:paraId="6190AFF0" w14:textId="77777777" w:rsidR="00810892" w:rsidRPr="00810892" w:rsidRDefault="00BB0E4D" w:rsidP="00810892">
      <w:pPr>
        <w:rPr>
          <w:lang w:val="en-US"/>
        </w:rPr>
      </w:pPr>
      <w:r w:rsidRPr="00810892">
        <w:rPr>
          <w:lang w:val="en-US"/>
        </w:rPr>
        <w:t>Although BYD is showing strong growth and effective positioning strategies, its financial position is in</w:t>
      </w:r>
      <w:r w:rsidRPr="00810892">
        <w:rPr>
          <w:lang w:val="en-US"/>
        </w:rPr>
        <w:t>creasingly defined by new risks that require active</w:t>
      </w:r>
      <w:r w:rsidR="00127FBE">
        <w:rPr>
          <w:lang w:val="en-US"/>
        </w:rPr>
        <w:t xml:space="preserve"> management (</w:t>
      </w:r>
      <w:proofErr w:type="spellStart"/>
      <w:r w:rsidR="00127FBE" w:rsidRPr="00D23719">
        <w:t>Olayinka</w:t>
      </w:r>
      <w:proofErr w:type="spellEnd"/>
      <w:r w:rsidR="00127FBE" w:rsidRPr="00D23719">
        <w:t>, 2022)</w:t>
      </w:r>
      <w:r w:rsidRPr="00810892">
        <w:rPr>
          <w:lang w:val="en-US"/>
        </w:rPr>
        <w:t>. Balancing growth and financial stability will be essential to long-term sustainability and shareholder value creation.</w:t>
      </w:r>
    </w:p>
    <w:p w14:paraId="06BA8706" w14:textId="77777777" w:rsidR="00810892" w:rsidRPr="00810892" w:rsidRDefault="00BB0E4D" w:rsidP="0052035C">
      <w:pPr>
        <w:pStyle w:val="Heading1"/>
        <w:rPr>
          <w:lang w:val="en-US"/>
        </w:rPr>
      </w:pPr>
      <w:bookmarkStart w:id="15" w:name="_Toc227090055"/>
      <w:r>
        <w:rPr>
          <w:lang w:val="en-US"/>
        </w:rPr>
        <w:t xml:space="preserve">2. </w:t>
      </w:r>
      <w:r w:rsidRPr="00810892">
        <w:rPr>
          <w:lang w:val="en-US"/>
        </w:rPr>
        <w:t>Working Capital Management Analysis</w:t>
      </w:r>
      <w:bookmarkEnd w:id="15"/>
    </w:p>
    <w:p w14:paraId="3CDA95D2" w14:textId="77777777" w:rsidR="00810892" w:rsidRPr="00810892" w:rsidRDefault="00BB0E4D" w:rsidP="00810892">
      <w:pPr>
        <w:rPr>
          <w:lang w:val="en-US"/>
        </w:rPr>
      </w:pPr>
      <w:r w:rsidRPr="00810892">
        <w:rPr>
          <w:lang w:val="en-US"/>
        </w:rPr>
        <w:t xml:space="preserve">The operating </w:t>
      </w:r>
      <w:r w:rsidRPr="00810892">
        <w:rPr>
          <w:lang w:val="en-US"/>
        </w:rPr>
        <w:t>cycle working capital management of BYD between 2021 and 2025 indicates that it has shifted from a relatively cash-constrained operating cycle to a more efficient, yet tightening, liquidity position. The cash conversion cycle (CCC) analysis and its element</w:t>
      </w:r>
      <w:r w:rsidRPr="00810892">
        <w:rPr>
          <w:lang w:val="en-US"/>
        </w:rPr>
        <w:t>s (accounts receivable days, inventory days, and accounts payable days) provide crucial information about the firm's short-term financial efficiency and its ability to sustain working liquidity in the rapidly growing electric vehicle market.</w:t>
      </w:r>
    </w:p>
    <w:p w14:paraId="28B26C50" w14:textId="77777777" w:rsidR="00810892" w:rsidRPr="00810892" w:rsidRDefault="00BB0E4D" w:rsidP="0052035C">
      <w:pPr>
        <w:pStyle w:val="Heading2"/>
        <w:rPr>
          <w:lang w:val="en-US"/>
        </w:rPr>
      </w:pPr>
      <w:bookmarkStart w:id="16" w:name="_Toc227090056"/>
      <w:r>
        <w:rPr>
          <w:lang w:val="en-US"/>
        </w:rPr>
        <w:t xml:space="preserve">2.1 </w:t>
      </w:r>
      <w:r w:rsidRPr="00810892">
        <w:rPr>
          <w:lang w:val="en-US"/>
        </w:rPr>
        <w:t>Assessment</w:t>
      </w:r>
      <w:r w:rsidRPr="00810892">
        <w:rPr>
          <w:lang w:val="en-US"/>
        </w:rPr>
        <w:t xml:space="preserve"> of Cash Conversion Cycle</w:t>
      </w:r>
      <w:r>
        <w:rPr>
          <w:lang w:val="en-US"/>
        </w:rPr>
        <w:t xml:space="preserve"> (CCC)</w:t>
      </w:r>
      <w:bookmarkEnd w:id="16"/>
    </w:p>
    <w:p w14:paraId="5FF1F66D" w14:textId="77777777" w:rsidR="00810892" w:rsidRDefault="00BB0E4D" w:rsidP="00810892">
      <w:pPr>
        <w:jc w:val="center"/>
        <w:rPr>
          <w:lang w:val="en-US"/>
        </w:rPr>
      </w:pPr>
      <w:r w:rsidRPr="0052035C">
        <w:rPr>
          <w:noProof/>
          <w:lang w:val="en-US"/>
        </w:rPr>
        <w:drawing>
          <wp:inline distT="0" distB="0" distL="0" distR="0" wp14:anchorId="72091839" wp14:editId="61F333B2">
            <wp:extent cx="4625340" cy="956945"/>
            <wp:effectExtent l="0" t="0" r="3810" b="0"/>
            <wp:docPr id="13008032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803270" name="Picture 7"/>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625340" cy="956945"/>
                    </a:xfrm>
                    <a:prstGeom prst="rect">
                      <a:avLst/>
                    </a:prstGeom>
                    <a:noFill/>
                    <a:ln>
                      <a:noFill/>
                    </a:ln>
                  </pic:spPr>
                </pic:pic>
              </a:graphicData>
            </a:graphic>
          </wp:inline>
        </w:drawing>
      </w:r>
    </w:p>
    <w:p w14:paraId="6087AABB" w14:textId="77777777" w:rsidR="0052035C" w:rsidRDefault="00BB0E4D" w:rsidP="00DB49E9">
      <w:pPr>
        <w:pStyle w:val="Heading4"/>
      </w:pPr>
      <w:bookmarkStart w:id="17" w:name="_Toc227090042"/>
      <w:r>
        <w:lastRenderedPageBreak/>
        <w:t xml:space="preserve">Figure 7: </w:t>
      </w:r>
      <w:r w:rsidRPr="0052035C">
        <w:t>Cash Conversion Cycle (CCC)</w:t>
      </w:r>
      <w:r>
        <w:t xml:space="preserve"> analysis</w:t>
      </w:r>
      <w:bookmarkEnd w:id="17"/>
    </w:p>
    <w:p w14:paraId="4FADC0CB" w14:textId="77777777" w:rsidR="0052035C" w:rsidRPr="00810892" w:rsidRDefault="00BB0E4D" w:rsidP="0052035C">
      <w:pPr>
        <w:jc w:val="center"/>
        <w:rPr>
          <w:lang w:val="en-US"/>
        </w:rPr>
      </w:pPr>
      <w:r>
        <w:rPr>
          <w:lang w:val="en-US"/>
        </w:rPr>
        <w:t>(Source: Excel)</w:t>
      </w:r>
    </w:p>
    <w:p w14:paraId="57CA050F" w14:textId="77777777" w:rsidR="00810892" w:rsidRPr="00810892" w:rsidRDefault="00BB0E4D" w:rsidP="00810892">
      <w:pPr>
        <w:rPr>
          <w:lang w:val="en-US"/>
        </w:rPr>
      </w:pPr>
      <w:r w:rsidRPr="00810892">
        <w:rPr>
          <w:lang w:val="en-US"/>
        </w:rPr>
        <w:t>The cash conversion cycle (accounts receivable days- accounts payable days + inventory days) is used to gauge how long it takes a company to turn its investmen</w:t>
      </w:r>
      <w:r w:rsidRPr="00810892">
        <w:rPr>
          <w:lang w:val="en-US"/>
        </w:rPr>
        <w:t xml:space="preserve">ts in working capital into cash inflows. The CCC of BYD exhibits strong variation over the five years, with a high positive cycle of 47.30 days in 2021, a negative cycle of -23.27 days in 2023, and then returning to a positive cycle of 13.03 days in 2025. </w:t>
      </w:r>
      <w:r w:rsidRPr="00810892">
        <w:rPr>
          <w:lang w:val="en-US"/>
        </w:rPr>
        <w:t xml:space="preserve">This trend </w:t>
      </w:r>
      <w:proofErr w:type="spellStart"/>
      <w:r w:rsidRPr="00810892">
        <w:rPr>
          <w:lang w:val="en-US"/>
        </w:rPr>
        <w:t>emphasi</w:t>
      </w:r>
      <w:r w:rsidR="00127FBE">
        <w:rPr>
          <w:lang w:val="en-US"/>
        </w:rPr>
        <w:t>s</w:t>
      </w:r>
      <w:r w:rsidRPr="00810892">
        <w:rPr>
          <w:lang w:val="en-US"/>
        </w:rPr>
        <w:t>es</w:t>
      </w:r>
      <w:proofErr w:type="spellEnd"/>
      <w:r w:rsidRPr="00810892">
        <w:rPr>
          <w:lang w:val="en-US"/>
        </w:rPr>
        <w:t xml:space="preserve"> a transition to a more efficient structure following a cash-intensive operating model, and a more recent decline</w:t>
      </w:r>
      <w:r w:rsidR="00127FBE">
        <w:rPr>
          <w:lang w:val="en-US"/>
        </w:rPr>
        <w:t xml:space="preserve"> (</w:t>
      </w:r>
      <w:r w:rsidR="00127FBE" w:rsidRPr="00D23719">
        <w:t xml:space="preserve">Stavropoulos </w:t>
      </w:r>
      <w:r w:rsidR="00127FBE">
        <w:t>and</w:t>
      </w:r>
      <w:r w:rsidR="00127FBE" w:rsidRPr="00D23719">
        <w:t xml:space="preserve"> </w:t>
      </w:r>
      <w:proofErr w:type="spellStart"/>
      <w:r w:rsidR="00127FBE" w:rsidRPr="00D23719">
        <w:t>Zounta</w:t>
      </w:r>
      <w:proofErr w:type="spellEnd"/>
      <w:r w:rsidR="00127FBE" w:rsidRPr="00D23719">
        <w:t>, 2025)</w:t>
      </w:r>
      <w:r w:rsidRPr="00810892">
        <w:rPr>
          <w:lang w:val="en-US"/>
        </w:rPr>
        <w:t>.</w:t>
      </w:r>
    </w:p>
    <w:p w14:paraId="7C30FE11" w14:textId="77777777" w:rsidR="00810892" w:rsidRPr="00810892" w:rsidRDefault="00BB0E4D" w:rsidP="00810892">
      <w:pPr>
        <w:rPr>
          <w:lang w:val="en-US"/>
        </w:rPr>
      </w:pPr>
      <w:r w:rsidRPr="00810892">
        <w:rPr>
          <w:lang w:val="en-US"/>
        </w:rPr>
        <w:t>The positive CCC in 2021 shows that BYD took about 47 days to break even on its cash inv</w:t>
      </w:r>
      <w:r w:rsidRPr="00810892">
        <w:rPr>
          <w:lang w:val="en-US"/>
        </w:rPr>
        <w:t xml:space="preserve">estment in operations, which is slower </w:t>
      </w:r>
      <w:r w:rsidR="00127FBE" w:rsidRPr="00810892">
        <w:rPr>
          <w:lang w:val="en-US"/>
        </w:rPr>
        <w:t>collection of receivables</w:t>
      </w:r>
      <w:r w:rsidRPr="00810892">
        <w:rPr>
          <w:lang w:val="en-US"/>
        </w:rPr>
        <w:t>, a comparatively high inventory turnover, and a long production cycle</w:t>
      </w:r>
      <w:r w:rsidR="00127FBE">
        <w:rPr>
          <w:lang w:val="en-US"/>
        </w:rPr>
        <w:t xml:space="preserve"> (</w:t>
      </w:r>
      <w:proofErr w:type="spellStart"/>
      <w:r w:rsidR="00127FBE" w:rsidRPr="00D23719">
        <w:t>Binsaddig</w:t>
      </w:r>
      <w:proofErr w:type="spellEnd"/>
      <w:r w:rsidR="00127FBE">
        <w:t xml:space="preserve"> </w:t>
      </w:r>
      <w:r w:rsidR="00127FBE">
        <w:rPr>
          <w:i/>
          <w:iCs/>
        </w:rPr>
        <w:t>et al.,</w:t>
      </w:r>
      <w:r w:rsidR="00127FBE">
        <w:t xml:space="preserve"> 2023)</w:t>
      </w:r>
      <w:r w:rsidRPr="00810892">
        <w:rPr>
          <w:lang w:val="en-US"/>
        </w:rPr>
        <w:t>. The shift to negative CCC in 2023 and 2024, however, indicates that the company has effectively</w:t>
      </w:r>
      <w:r w:rsidRPr="00810892">
        <w:rPr>
          <w:lang w:val="en-US"/>
        </w:rPr>
        <w:t xml:space="preserve"> </w:t>
      </w:r>
      <w:proofErr w:type="spellStart"/>
      <w:r w:rsidRPr="00810892">
        <w:rPr>
          <w:lang w:val="en-US"/>
        </w:rPr>
        <w:t>utili</w:t>
      </w:r>
      <w:r w:rsidR="00127FBE">
        <w:rPr>
          <w:lang w:val="en-US"/>
        </w:rPr>
        <w:t>s</w:t>
      </w:r>
      <w:r w:rsidRPr="00810892">
        <w:rPr>
          <w:lang w:val="en-US"/>
        </w:rPr>
        <w:t>ed</w:t>
      </w:r>
      <w:proofErr w:type="spellEnd"/>
      <w:r w:rsidRPr="00810892">
        <w:rPr>
          <w:lang w:val="en-US"/>
        </w:rPr>
        <w:t xml:space="preserve"> supplier credit and enhanced operational efficiency, enabling it to generate cash from customers and pay suppliers</w:t>
      </w:r>
      <w:r w:rsidR="00127FBE">
        <w:rPr>
          <w:lang w:val="en-US"/>
        </w:rPr>
        <w:t xml:space="preserve"> (</w:t>
      </w:r>
      <w:r w:rsidR="00127FBE" w:rsidRPr="00D23719">
        <w:t>Karim</w:t>
      </w:r>
      <w:r w:rsidR="00127FBE">
        <w:t xml:space="preserve"> </w:t>
      </w:r>
      <w:r w:rsidR="00127FBE">
        <w:rPr>
          <w:i/>
          <w:iCs/>
        </w:rPr>
        <w:t>et al.,</w:t>
      </w:r>
      <w:r w:rsidR="00127FBE">
        <w:t xml:space="preserve"> 2024)</w:t>
      </w:r>
      <w:r w:rsidRPr="00810892">
        <w:rPr>
          <w:lang w:val="en-US"/>
        </w:rPr>
        <w:t xml:space="preserve">. This is a highly efficient working capital position, typically associated with strong bargaining power and a </w:t>
      </w:r>
      <w:r w:rsidRPr="00810892">
        <w:rPr>
          <w:lang w:val="en-US"/>
        </w:rPr>
        <w:t>well-managed supply chain.</w:t>
      </w:r>
    </w:p>
    <w:p w14:paraId="7E8FC869" w14:textId="77777777" w:rsidR="00810892" w:rsidRPr="00810892" w:rsidRDefault="00BB0E4D" w:rsidP="00810892">
      <w:pPr>
        <w:rPr>
          <w:lang w:val="en-US"/>
        </w:rPr>
      </w:pPr>
      <w:r w:rsidRPr="00810892">
        <w:rPr>
          <w:lang w:val="en-US"/>
        </w:rPr>
        <w:t>The further rise in CCC to positive territory in 2025 is an indicator of a decline in this advantage. Such a change implies that BYD must once again fund a portion of its operating cycle internally, potentially straining its liqu</w:t>
      </w:r>
      <w:r w:rsidRPr="00810892">
        <w:rPr>
          <w:lang w:val="en-US"/>
        </w:rPr>
        <w:t>idity, especially given falling operating cash flow and low liquidity ratios</w:t>
      </w:r>
      <w:r w:rsidR="00127FBE">
        <w:rPr>
          <w:lang w:val="en-US"/>
        </w:rPr>
        <w:t xml:space="preserve"> (</w:t>
      </w:r>
      <w:proofErr w:type="spellStart"/>
      <w:r w:rsidR="00127FBE" w:rsidRPr="00D23719">
        <w:t>Zaher</w:t>
      </w:r>
      <w:proofErr w:type="spellEnd"/>
      <w:r w:rsidR="00127FBE" w:rsidRPr="00D23719">
        <w:t xml:space="preserve"> </w:t>
      </w:r>
      <w:r w:rsidR="00127FBE">
        <w:t>and</w:t>
      </w:r>
      <w:r w:rsidR="00127FBE" w:rsidRPr="00D23719">
        <w:t xml:space="preserve"> </w:t>
      </w:r>
      <w:proofErr w:type="spellStart"/>
      <w:r w:rsidR="00127FBE" w:rsidRPr="00D23719">
        <w:t>Illescas</w:t>
      </w:r>
      <w:proofErr w:type="spellEnd"/>
      <w:r w:rsidR="00127FBE" w:rsidRPr="00D23719">
        <w:t>, 2022)</w:t>
      </w:r>
      <w:r w:rsidRPr="00810892">
        <w:rPr>
          <w:lang w:val="en-US"/>
        </w:rPr>
        <w:t>.</w:t>
      </w:r>
    </w:p>
    <w:p w14:paraId="6D085642" w14:textId="77777777" w:rsidR="00810892" w:rsidRPr="00810892" w:rsidRDefault="00BB0E4D" w:rsidP="0052035C">
      <w:pPr>
        <w:pStyle w:val="Heading2"/>
        <w:rPr>
          <w:lang w:val="en-US"/>
        </w:rPr>
      </w:pPr>
      <w:bookmarkStart w:id="18" w:name="_Toc227090057"/>
      <w:r>
        <w:rPr>
          <w:lang w:val="en-US"/>
        </w:rPr>
        <w:t xml:space="preserve">2.2 </w:t>
      </w:r>
      <w:r w:rsidRPr="00810892">
        <w:rPr>
          <w:lang w:val="en-US"/>
        </w:rPr>
        <w:t>Receivables Management</w:t>
      </w:r>
      <w:bookmarkEnd w:id="18"/>
    </w:p>
    <w:p w14:paraId="73E21464" w14:textId="77777777" w:rsidR="00810892" w:rsidRPr="00810892" w:rsidRDefault="00BB0E4D" w:rsidP="00810892">
      <w:pPr>
        <w:rPr>
          <w:lang w:val="en-US"/>
        </w:rPr>
      </w:pPr>
      <w:r w:rsidRPr="00810892">
        <w:rPr>
          <w:lang w:val="en-US"/>
        </w:rPr>
        <w:t>Days accounts receivable have also improved significantly, from 105.31 days in 2021 to 39.88 days in 2025. This massive decr</w:t>
      </w:r>
      <w:r w:rsidRPr="00810892">
        <w:rPr>
          <w:lang w:val="en-US"/>
        </w:rPr>
        <w:t xml:space="preserve">ease reflects better credit control, quicker collections, and perhaps a move toward more cash-based transactions. One of the biggest contributors </w:t>
      </w:r>
      <w:r w:rsidR="00127FBE" w:rsidRPr="00810892">
        <w:rPr>
          <w:lang w:val="en-US"/>
        </w:rPr>
        <w:t>to</w:t>
      </w:r>
      <w:r w:rsidRPr="00810892">
        <w:rPr>
          <w:lang w:val="en-US"/>
        </w:rPr>
        <w:t xml:space="preserve"> the decline in the cash conversion cycle over the past few years has been improvements in receivables manag</w:t>
      </w:r>
      <w:r w:rsidRPr="00810892">
        <w:rPr>
          <w:lang w:val="en-US"/>
        </w:rPr>
        <w:t>ement.</w:t>
      </w:r>
    </w:p>
    <w:p w14:paraId="43352841" w14:textId="77777777" w:rsidR="00810892" w:rsidRPr="00810892" w:rsidRDefault="00BB0E4D" w:rsidP="00810892">
      <w:pPr>
        <w:rPr>
          <w:lang w:val="en-US"/>
        </w:rPr>
      </w:pPr>
      <w:r w:rsidRPr="00810892">
        <w:rPr>
          <w:lang w:val="en-US"/>
        </w:rPr>
        <w:t>Nevertheless, the progressive reduction in receivable days also indicates the company's capacity to scale its operations efficiently without losing control over customer payments</w:t>
      </w:r>
      <w:r w:rsidR="00127FBE">
        <w:rPr>
          <w:lang w:val="en-US"/>
        </w:rPr>
        <w:t xml:space="preserve"> (</w:t>
      </w:r>
      <w:proofErr w:type="spellStart"/>
      <w:r w:rsidR="00127FBE" w:rsidRPr="00D23719">
        <w:t>Zaher</w:t>
      </w:r>
      <w:proofErr w:type="spellEnd"/>
      <w:r w:rsidR="00127FBE" w:rsidRPr="00D23719">
        <w:t xml:space="preserve"> </w:t>
      </w:r>
      <w:r w:rsidR="00127FBE">
        <w:t>and</w:t>
      </w:r>
      <w:r w:rsidR="00127FBE" w:rsidRPr="00D23719">
        <w:t xml:space="preserve"> </w:t>
      </w:r>
      <w:proofErr w:type="spellStart"/>
      <w:r w:rsidR="00127FBE" w:rsidRPr="00D23719">
        <w:t>Illescas</w:t>
      </w:r>
      <w:proofErr w:type="spellEnd"/>
      <w:r w:rsidR="00127FBE" w:rsidRPr="00D23719">
        <w:t>, 2022)</w:t>
      </w:r>
      <w:r w:rsidRPr="00810892">
        <w:rPr>
          <w:lang w:val="en-US"/>
        </w:rPr>
        <w:t xml:space="preserve">. This is especially true in a </w:t>
      </w:r>
      <w:r w:rsidR="00405E32" w:rsidRPr="00810892">
        <w:rPr>
          <w:lang w:val="en-US"/>
        </w:rPr>
        <w:t>high-growth</w:t>
      </w:r>
      <w:r w:rsidRPr="00810892">
        <w:rPr>
          <w:lang w:val="en-US"/>
        </w:rPr>
        <w:t xml:space="preserve"> environment, where sales growth may at times increase credit risk. It is also a sign of </w:t>
      </w:r>
      <w:r w:rsidRPr="00810892">
        <w:rPr>
          <w:lang w:val="en-US"/>
        </w:rPr>
        <w:lastRenderedPageBreak/>
        <w:t>healthy operational discipline that BYD has been able to decrease the days outstanding and increase revenue.</w:t>
      </w:r>
    </w:p>
    <w:p w14:paraId="69561D0D" w14:textId="77777777" w:rsidR="00810892" w:rsidRPr="00810892" w:rsidRDefault="00BB0E4D" w:rsidP="0052035C">
      <w:pPr>
        <w:pStyle w:val="Heading2"/>
        <w:rPr>
          <w:lang w:val="en-US"/>
        </w:rPr>
      </w:pPr>
      <w:bookmarkStart w:id="19" w:name="_Toc227090058"/>
      <w:r>
        <w:rPr>
          <w:lang w:val="en-US"/>
        </w:rPr>
        <w:t xml:space="preserve">2.3 </w:t>
      </w:r>
      <w:r w:rsidRPr="00810892">
        <w:rPr>
          <w:lang w:val="en-US"/>
        </w:rPr>
        <w:t>Inventory Management</w:t>
      </w:r>
      <w:bookmarkEnd w:id="19"/>
    </w:p>
    <w:p w14:paraId="27A57AF4" w14:textId="77777777" w:rsidR="00810892" w:rsidRPr="00810892" w:rsidRDefault="00BB0E4D" w:rsidP="00810892">
      <w:pPr>
        <w:rPr>
          <w:lang w:val="en-US"/>
        </w:rPr>
      </w:pPr>
      <w:r w:rsidRPr="00810892">
        <w:rPr>
          <w:lang w:val="en-US"/>
        </w:rPr>
        <w:t>Inventory days have been moderate</w:t>
      </w:r>
      <w:r w:rsidRPr="00810892">
        <w:rPr>
          <w:lang w:val="en-US"/>
        </w:rPr>
        <w:t>, dropping to around 65 days in 2023 and 2024, then fluctuating again to 76.92 days in 2025. The first decline is that the inventory turnover has improved, and the production and demand are more in line. However, the increase in 2025 suggests potential ine</w:t>
      </w:r>
      <w:r w:rsidRPr="00810892">
        <w:rPr>
          <w:lang w:val="en-US"/>
        </w:rPr>
        <w:t>fficiencies, such as overproduction, demand volatility, or supply chain disruptions.</w:t>
      </w:r>
    </w:p>
    <w:p w14:paraId="126AA674" w14:textId="77777777" w:rsidR="00810892" w:rsidRPr="00810892" w:rsidRDefault="00BB0E4D" w:rsidP="00810892">
      <w:pPr>
        <w:rPr>
          <w:lang w:val="en-US"/>
        </w:rPr>
      </w:pPr>
      <w:r w:rsidRPr="00810892">
        <w:rPr>
          <w:lang w:val="en-US"/>
        </w:rPr>
        <w:t xml:space="preserve">Inventory management is important within </w:t>
      </w:r>
      <w:r w:rsidR="00405E32" w:rsidRPr="00810892">
        <w:rPr>
          <w:lang w:val="en-US"/>
        </w:rPr>
        <w:t>an intensive manufacturing</w:t>
      </w:r>
      <w:r w:rsidRPr="00810892">
        <w:rPr>
          <w:lang w:val="en-US"/>
        </w:rPr>
        <w:t xml:space="preserve"> company like BYD because the cost of raw materials and components is high</w:t>
      </w:r>
      <w:r w:rsidR="00127FBE">
        <w:rPr>
          <w:lang w:val="en-US"/>
        </w:rPr>
        <w:t xml:space="preserve"> (</w:t>
      </w:r>
      <w:proofErr w:type="spellStart"/>
      <w:r w:rsidR="00127FBE" w:rsidRPr="00D23719">
        <w:t>Zaher</w:t>
      </w:r>
      <w:proofErr w:type="spellEnd"/>
      <w:r w:rsidR="00127FBE" w:rsidRPr="00D23719">
        <w:t xml:space="preserve"> </w:t>
      </w:r>
      <w:r w:rsidR="00127FBE">
        <w:t>and</w:t>
      </w:r>
      <w:r w:rsidR="00127FBE" w:rsidRPr="00D23719">
        <w:t xml:space="preserve"> </w:t>
      </w:r>
      <w:proofErr w:type="spellStart"/>
      <w:r w:rsidR="00127FBE" w:rsidRPr="00D23719">
        <w:t>Illescas</w:t>
      </w:r>
      <w:proofErr w:type="spellEnd"/>
      <w:r w:rsidR="00127FBE" w:rsidRPr="00D23719">
        <w:t>, 2022)</w:t>
      </w:r>
      <w:r w:rsidRPr="00810892">
        <w:rPr>
          <w:lang w:val="en-US"/>
        </w:rPr>
        <w:t>. U</w:t>
      </w:r>
      <w:r w:rsidRPr="00810892">
        <w:rPr>
          <w:lang w:val="en-US"/>
        </w:rPr>
        <w:t xml:space="preserve">nsold inventory uses up capital and increases storage expenses, and a lack of inventory may cause production to halt. The recent rise in the inventory days can thus be a sign that better demand forecasting and supply chain </w:t>
      </w:r>
      <w:proofErr w:type="spellStart"/>
      <w:r w:rsidRPr="00810892">
        <w:rPr>
          <w:lang w:val="en-US"/>
        </w:rPr>
        <w:t>optimisation</w:t>
      </w:r>
      <w:proofErr w:type="spellEnd"/>
      <w:r w:rsidRPr="00810892">
        <w:rPr>
          <w:lang w:val="en-US"/>
        </w:rPr>
        <w:t xml:space="preserve"> is necessary.</w:t>
      </w:r>
    </w:p>
    <w:p w14:paraId="20807261" w14:textId="77777777" w:rsidR="00810892" w:rsidRPr="00810892" w:rsidRDefault="00BB0E4D" w:rsidP="0052035C">
      <w:pPr>
        <w:pStyle w:val="Heading2"/>
        <w:rPr>
          <w:lang w:val="en-US"/>
        </w:rPr>
      </w:pPr>
      <w:bookmarkStart w:id="20" w:name="_Toc227090059"/>
      <w:r>
        <w:rPr>
          <w:lang w:val="en-US"/>
        </w:rPr>
        <w:t xml:space="preserve">2.4 </w:t>
      </w:r>
      <w:r w:rsidRPr="00810892">
        <w:rPr>
          <w:lang w:val="en-US"/>
        </w:rPr>
        <w:t>Pa</w:t>
      </w:r>
      <w:r w:rsidRPr="00810892">
        <w:rPr>
          <w:lang w:val="en-US"/>
        </w:rPr>
        <w:t>yables Management</w:t>
      </w:r>
      <w:bookmarkEnd w:id="20"/>
    </w:p>
    <w:p w14:paraId="7AB0BC97" w14:textId="77777777" w:rsidR="00810892" w:rsidRPr="00810892" w:rsidRDefault="00BB0E4D" w:rsidP="00810892">
      <w:pPr>
        <w:rPr>
          <w:lang w:val="en-US"/>
        </w:rPr>
      </w:pPr>
      <w:r w:rsidRPr="00810892">
        <w:rPr>
          <w:lang w:val="en-US"/>
        </w:rPr>
        <w:t>The accounts payable days have decreased significantly to 103.77 days in 2025, compared to 142.40 days in 2021. This is still very high, but the decline suggests that BYD is paying its suppliers more quickly over time. The negative cash c</w:t>
      </w:r>
      <w:r w:rsidRPr="00810892">
        <w:rPr>
          <w:lang w:val="en-US"/>
        </w:rPr>
        <w:t>onversion cycle in earlier years was due to the extended payable period, which, in effect, enabled the company to fund its operations with supplier credit.</w:t>
      </w:r>
    </w:p>
    <w:p w14:paraId="693FE663" w14:textId="77777777" w:rsidR="00810892" w:rsidRPr="00810892" w:rsidRDefault="00BB0E4D" w:rsidP="00810892">
      <w:pPr>
        <w:rPr>
          <w:lang w:val="en-US"/>
        </w:rPr>
      </w:pPr>
      <w:r w:rsidRPr="00810892">
        <w:rPr>
          <w:lang w:val="en-US"/>
        </w:rPr>
        <w:t xml:space="preserve">The decrease in payable days </w:t>
      </w:r>
      <w:r w:rsidR="00405E32" w:rsidRPr="00810892">
        <w:rPr>
          <w:lang w:val="en-US"/>
        </w:rPr>
        <w:t>indicates</w:t>
      </w:r>
      <w:r w:rsidRPr="00810892">
        <w:rPr>
          <w:lang w:val="en-US"/>
        </w:rPr>
        <w:t xml:space="preserve"> a change in supplier relations or a strategic shift to enhanc</w:t>
      </w:r>
      <w:r w:rsidRPr="00810892">
        <w:rPr>
          <w:lang w:val="en-US"/>
        </w:rPr>
        <w:t>e supply chain</w:t>
      </w:r>
      <w:r w:rsidR="00127FBE">
        <w:rPr>
          <w:lang w:val="en-US"/>
        </w:rPr>
        <w:t xml:space="preserve"> reliability (</w:t>
      </w:r>
      <w:proofErr w:type="spellStart"/>
      <w:r w:rsidR="00127FBE" w:rsidRPr="00D23719">
        <w:t>Zaher</w:t>
      </w:r>
      <w:proofErr w:type="spellEnd"/>
      <w:r w:rsidR="00127FBE" w:rsidRPr="00D23719">
        <w:t xml:space="preserve"> </w:t>
      </w:r>
      <w:r w:rsidR="00127FBE">
        <w:t>and</w:t>
      </w:r>
      <w:r w:rsidR="00127FBE" w:rsidRPr="00D23719">
        <w:t xml:space="preserve"> </w:t>
      </w:r>
      <w:proofErr w:type="spellStart"/>
      <w:r w:rsidR="00127FBE" w:rsidRPr="00D23719">
        <w:t>Illescas</w:t>
      </w:r>
      <w:proofErr w:type="spellEnd"/>
      <w:r w:rsidR="00127FBE" w:rsidRPr="00D23719">
        <w:t>, 2022)</w:t>
      </w:r>
      <w:r w:rsidRPr="00810892">
        <w:rPr>
          <w:lang w:val="en-US"/>
        </w:rPr>
        <w:t>. Although this can increase supplier trust and lower operational risk, it also reduces the financial returns from trade credit and contributes to the recent rise in the cash conversion cycle.</w:t>
      </w:r>
    </w:p>
    <w:p w14:paraId="537655C8" w14:textId="77777777" w:rsidR="00810892" w:rsidRPr="00810892" w:rsidRDefault="00BB0E4D" w:rsidP="0052035C">
      <w:pPr>
        <w:pStyle w:val="Heading2"/>
        <w:rPr>
          <w:lang w:val="en-US"/>
        </w:rPr>
      </w:pPr>
      <w:bookmarkStart w:id="21" w:name="_Toc227090060"/>
      <w:r>
        <w:rPr>
          <w:lang w:val="en-US"/>
        </w:rPr>
        <w:t xml:space="preserve">2.5 </w:t>
      </w:r>
      <w:r w:rsidRPr="00810892">
        <w:rPr>
          <w:lang w:val="en-US"/>
        </w:rPr>
        <w:t>Overal</w:t>
      </w:r>
      <w:r w:rsidRPr="00810892">
        <w:rPr>
          <w:lang w:val="en-US"/>
        </w:rPr>
        <w:t>l Working Capital Efficiency</w:t>
      </w:r>
      <w:bookmarkEnd w:id="21"/>
    </w:p>
    <w:p w14:paraId="7DC5B01F" w14:textId="77777777" w:rsidR="00810892" w:rsidRPr="00810892" w:rsidRDefault="00BB0E4D" w:rsidP="00810892">
      <w:pPr>
        <w:rPr>
          <w:lang w:val="en-US"/>
        </w:rPr>
      </w:pPr>
      <w:r w:rsidRPr="00810892">
        <w:rPr>
          <w:lang w:val="en-US"/>
        </w:rPr>
        <w:t>The five-year working capital efficiency of BYD has increased significantly, especially in 2021-23, when it turned negative. It shows strong operational management and an efficient use of supplier financing. The change from a n</w:t>
      </w:r>
      <w:r w:rsidRPr="00810892">
        <w:rPr>
          <w:lang w:val="en-US"/>
        </w:rPr>
        <w:t>egative to a positive CCC in 2025, however, points to inefficiencies and even greater liquidity strains.</w:t>
      </w:r>
    </w:p>
    <w:p w14:paraId="240286A1" w14:textId="77777777" w:rsidR="00810892" w:rsidRDefault="00BB0E4D" w:rsidP="00810892">
      <w:pPr>
        <w:rPr>
          <w:lang w:val="en-US"/>
        </w:rPr>
      </w:pPr>
      <w:r w:rsidRPr="00810892">
        <w:rPr>
          <w:lang w:val="en-US"/>
        </w:rPr>
        <w:t xml:space="preserve">The increasing inventory days and decreasing payable days have cancelled the gains in the receivables </w:t>
      </w:r>
      <w:r w:rsidR="00405E32" w:rsidRPr="00810892">
        <w:rPr>
          <w:lang w:val="en-US"/>
        </w:rPr>
        <w:t>management,</w:t>
      </w:r>
      <w:r w:rsidRPr="00810892">
        <w:rPr>
          <w:lang w:val="en-US"/>
        </w:rPr>
        <w:t xml:space="preserve"> leading to a longer cash cycle. This </w:t>
      </w:r>
      <w:r w:rsidRPr="00810892">
        <w:rPr>
          <w:lang w:val="en-US"/>
        </w:rPr>
        <w:t xml:space="preserve">is especially </w:t>
      </w:r>
      <w:r w:rsidRPr="00810892">
        <w:rPr>
          <w:lang w:val="en-US"/>
        </w:rPr>
        <w:lastRenderedPageBreak/>
        <w:t>alarming, given that the company is already in a poor liquidity situation, as indicated by its current and quick ratios below 1.</w:t>
      </w:r>
    </w:p>
    <w:p w14:paraId="0FF3A196" w14:textId="4E624277" w:rsidR="00405E32" w:rsidRPr="00405E32" w:rsidRDefault="00BB0E4D" w:rsidP="0052035C">
      <w:pPr>
        <w:pStyle w:val="Heading2"/>
        <w:rPr>
          <w:lang w:val="en-US"/>
        </w:rPr>
      </w:pPr>
      <w:bookmarkStart w:id="22" w:name="_Toc227090061"/>
      <w:r>
        <w:rPr>
          <w:lang w:val="en-US"/>
        </w:rPr>
        <w:t xml:space="preserve">2.6 </w:t>
      </w:r>
      <w:r w:rsidR="00734C61">
        <w:rPr>
          <w:lang w:val="en-US"/>
        </w:rPr>
        <w:t>Strategies</w:t>
      </w:r>
      <w:r w:rsidRPr="00405E32">
        <w:rPr>
          <w:lang w:val="en-US"/>
        </w:rPr>
        <w:t xml:space="preserve"> to</w:t>
      </w:r>
      <w:r w:rsidR="00734C61">
        <w:rPr>
          <w:lang w:val="en-US"/>
        </w:rPr>
        <w:t xml:space="preserve"> Improve</w:t>
      </w:r>
      <w:r w:rsidRPr="00405E32">
        <w:rPr>
          <w:lang w:val="en-US"/>
        </w:rPr>
        <w:t xml:space="preserve"> Liquidity</w:t>
      </w:r>
      <w:bookmarkEnd w:id="22"/>
    </w:p>
    <w:p w14:paraId="108ABBD4" w14:textId="77777777" w:rsidR="00405E32" w:rsidRPr="00405E32" w:rsidRDefault="00BB0E4D" w:rsidP="00405E32">
      <w:pPr>
        <w:rPr>
          <w:lang w:val="en-US"/>
        </w:rPr>
      </w:pPr>
      <w:r w:rsidRPr="00405E32">
        <w:rPr>
          <w:lang w:val="en-US"/>
        </w:rPr>
        <w:t xml:space="preserve">To enhance liquidity and streamline working capital, BYD should implement </w:t>
      </w:r>
      <w:r w:rsidRPr="00405E32">
        <w:rPr>
          <w:lang w:val="en-US"/>
        </w:rPr>
        <w:t>reforms across all elements of the cash conversion cycle</w:t>
      </w:r>
      <w:r>
        <w:rPr>
          <w:lang w:val="en-US"/>
        </w:rPr>
        <w:t xml:space="preserve"> (</w:t>
      </w:r>
      <w:proofErr w:type="spellStart"/>
      <w:r w:rsidRPr="00D23719">
        <w:t>Zaher</w:t>
      </w:r>
      <w:proofErr w:type="spellEnd"/>
      <w:r w:rsidRPr="00D23719">
        <w:t xml:space="preserve"> </w:t>
      </w:r>
      <w:r>
        <w:t>and</w:t>
      </w:r>
      <w:r w:rsidRPr="00D23719">
        <w:t xml:space="preserve"> </w:t>
      </w:r>
      <w:proofErr w:type="spellStart"/>
      <w:r w:rsidRPr="00D23719">
        <w:t>Illescas</w:t>
      </w:r>
      <w:proofErr w:type="spellEnd"/>
      <w:r w:rsidRPr="00D23719">
        <w:t>, 2022)</w:t>
      </w:r>
      <w:r w:rsidRPr="00405E32">
        <w:rPr>
          <w:lang w:val="en-US"/>
        </w:rPr>
        <w:t xml:space="preserve">. </w:t>
      </w:r>
      <w:r>
        <w:rPr>
          <w:lang w:val="en-US"/>
        </w:rPr>
        <w:t>Firstly</w:t>
      </w:r>
      <w:r w:rsidRPr="00405E32">
        <w:rPr>
          <w:lang w:val="en-US"/>
        </w:rPr>
        <w:t>, the priority in receivables management should remain on quick collection by tightening credit policy, offering online payment options, and providing incentives fo</w:t>
      </w:r>
      <w:r w:rsidRPr="00405E32">
        <w:rPr>
          <w:lang w:val="en-US"/>
        </w:rPr>
        <w:t xml:space="preserve">r early payment. It is important to keep receivable </w:t>
      </w:r>
      <w:proofErr w:type="gramStart"/>
      <w:r w:rsidRPr="00405E32">
        <w:rPr>
          <w:lang w:val="en-US"/>
        </w:rPr>
        <w:t>days</w:t>
      </w:r>
      <w:proofErr w:type="gramEnd"/>
      <w:r w:rsidRPr="00405E32">
        <w:rPr>
          <w:lang w:val="en-US"/>
        </w:rPr>
        <w:t xml:space="preserve"> low to maintain cash inflows.</w:t>
      </w:r>
    </w:p>
    <w:p w14:paraId="355480AB" w14:textId="77777777" w:rsidR="00405E32" w:rsidRPr="00405E32" w:rsidRDefault="00BB0E4D" w:rsidP="00405E32">
      <w:pPr>
        <w:rPr>
          <w:lang w:val="en-US"/>
        </w:rPr>
      </w:pPr>
      <w:r w:rsidRPr="00405E32">
        <w:rPr>
          <w:lang w:val="en-US"/>
        </w:rPr>
        <w:t xml:space="preserve">Secondly, inventory management should be improved through advanced demand forecasting, just-in-time production, and better supply chain coordination </w:t>
      </w:r>
      <w:r w:rsidR="00614AFD">
        <w:rPr>
          <w:lang w:val="en-US"/>
        </w:rPr>
        <w:t>(</w:t>
      </w:r>
      <w:r w:rsidR="00614AFD" w:rsidRPr="00D23719">
        <w:t>Pal, 2023)</w:t>
      </w:r>
      <w:r w:rsidRPr="00405E32">
        <w:rPr>
          <w:lang w:val="en-US"/>
        </w:rPr>
        <w:t>. A decre</w:t>
      </w:r>
      <w:r w:rsidRPr="00405E32">
        <w:rPr>
          <w:lang w:val="en-US"/>
        </w:rPr>
        <w:t>ase in inventory days would free up much capital and enhance liquidity without reducing operational efficiency.</w:t>
      </w:r>
    </w:p>
    <w:p w14:paraId="05D8F2FF" w14:textId="77777777" w:rsidR="00405E32" w:rsidRPr="00405E32" w:rsidRDefault="00BB0E4D" w:rsidP="00405E32">
      <w:pPr>
        <w:rPr>
          <w:lang w:val="en-US"/>
        </w:rPr>
      </w:pPr>
      <w:r w:rsidRPr="00405E32">
        <w:rPr>
          <w:lang w:val="en-US"/>
        </w:rPr>
        <w:t>Thirdly, BYD is to pay close attention to its payable strategy. Although the company needs to maintain good relationships with suppliers, it cou</w:t>
      </w:r>
      <w:r w:rsidRPr="00405E32">
        <w:rPr>
          <w:lang w:val="en-US"/>
        </w:rPr>
        <w:t>ld take advantage of opportunities to negotiate long payment terms where practicable to recover some of the working capital advantages it had enjoyed in previous years. This needs to be offset to prevent interference in supply chain stability.</w:t>
      </w:r>
    </w:p>
    <w:p w14:paraId="6EEED010" w14:textId="2BBCAB0B" w:rsidR="00405E32" w:rsidRPr="00405E32" w:rsidRDefault="00BB0E4D" w:rsidP="0052035C">
      <w:pPr>
        <w:pStyle w:val="Heading2"/>
        <w:rPr>
          <w:lang w:val="en-US"/>
        </w:rPr>
      </w:pPr>
      <w:bookmarkStart w:id="23" w:name="_Toc227090062"/>
      <w:r>
        <w:rPr>
          <w:lang w:val="en-US"/>
        </w:rPr>
        <w:t xml:space="preserve">2.7 </w:t>
      </w:r>
      <w:r w:rsidR="00734C61">
        <w:rPr>
          <w:lang w:val="en-US"/>
        </w:rPr>
        <w:t xml:space="preserve">Comparison of </w:t>
      </w:r>
      <w:r w:rsidRPr="00405E32">
        <w:rPr>
          <w:lang w:val="en-US"/>
        </w:rPr>
        <w:t>Short-term and long-term financing</w:t>
      </w:r>
      <w:bookmarkEnd w:id="23"/>
      <w:r w:rsidR="00734C61">
        <w:rPr>
          <w:lang w:val="en-US"/>
        </w:rPr>
        <w:t xml:space="preserve"> options</w:t>
      </w:r>
    </w:p>
    <w:p w14:paraId="5AB0F530" w14:textId="77777777" w:rsidR="00405E32" w:rsidRPr="00405E32" w:rsidRDefault="00BB0E4D" w:rsidP="00405E32">
      <w:pPr>
        <w:rPr>
          <w:lang w:val="en-US"/>
        </w:rPr>
      </w:pPr>
      <w:r w:rsidRPr="00405E32">
        <w:rPr>
          <w:lang w:val="en-US"/>
        </w:rPr>
        <w:t xml:space="preserve">The development of BYD's working capital position has significant implications </w:t>
      </w:r>
      <w:r w:rsidR="0059562D" w:rsidRPr="00405E32">
        <w:rPr>
          <w:lang w:val="en-US"/>
        </w:rPr>
        <w:t>for</w:t>
      </w:r>
      <w:r w:rsidRPr="00405E32">
        <w:rPr>
          <w:lang w:val="en-US"/>
        </w:rPr>
        <w:t xml:space="preserve"> its financing strategy. With the cash conversion cycle turning positive, the company might be more inclined to use s</w:t>
      </w:r>
      <w:r w:rsidRPr="00405E32">
        <w:rPr>
          <w:lang w:val="en-US"/>
        </w:rPr>
        <w:t>hort-term funds to finance its day-to-day operations, which include trade credit, bank overdrafts, and short-term loans</w:t>
      </w:r>
      <w:r w:rsidR="00614AFD">
        <w:rPr>
          <w:lang w:val="en-US"/>
        </w:rPr>
        <w:t xml:space="preserve"> (</w:t>
      </w:r>
      <w:proofErr w:type="spellStart"/>
      <w:r w:rsidR="00614AFD" w:rsidRPr="00850C35">
        <w:t>Krinichansky</w:t>
      </w:r>
      <w:proofErr w:type="spellEnd"/>
      <w:r w:rsidR="00614AFD" w:rsidRPr="00850C35">
        <w:t>, 2025)</w:t>
      </w:r>
      <w:r w:rsidRPr="00405E32">
        <w:rPr>
          <w:lang w:val="en-US"/>
        </w:rPr>
        <w:t>. These sources are flexible and suitable for meeting temporary liquidity shortages.</w:t>
      </w:r>
    </w:p>
    <w:p w14:paraId="51BB2A8C" w14:textId="77777777" w:rsidR="00405E32" w:rsidRPr="00405E32" w:rsidRDefault="00BB0E4D" w:rsidP="00405E32">
      <w:pPr>
        <w:rPr>
          <w:lang w:val="en-US"/>
        </w:rPr>
      </w:pPr>
      <w:r>
        <w:rPr>
          <w:lang w:val="en-US"/>
        </w:rPr>
        <w:t>However</w:t>
      </w:r>
      <w:r w:rsidRPr="00405E32">
        <w:rPr>
          <w:lang w:val="en-US"/>
        </w:rPr>
        <w:t xml:space="preserve">, </w:t>
      </w:r>
      <w:r>
        <w:rPr>
          <w:lang w:val="en-US"/>
        </w:rPr>
        <w:t>excessive</w:t>
      </w:r>
      <w:r w:rsidRPr="00405E32">
        <w:rPr>
          <w:lang w:val="en-US"/>
        </w:rPr>
        <w:t xml:space="preserve"> reliance on </w:t>
      </w:r>
      <w:r w:rsidRPr="00405E32">
        <w:rPr>
          <w:lang w:val="en-US"/>
        </w:rPr>
        <w:t xml:space="preserve">short-term </w:t>
      </w:r>
      <w:r>
        <w:rPr>
          <w:lang w:val="en-US"/>
        </w:rPr>
        <w:t>funding</w:t>
      </w:r>
      <w:r w:rsidRPr="00405E32">
        <w:rPr>
          <w:lang w:val="en-US"/>
        </w:rPr>
        <w:t xml:space="preserve"> </w:t>
      </w:r>
      <w:r>
        <w:rPr>
          <w:lang w:val="en-US"/>
        </w:rPr>
        <w:t>would</w:t>
      </w:r>
      <w:r w:rsidRPr="00405E32">
        <w:rPr>
          <w:lang w:val="en-US"/>
        </w:rPr>
        <w:t xml:space="preserve"> expose the company to financial risk, especially </w:t>
      </w:r>
      <w:r>
        <w:rPr>
          <w:lang w:val="en-US"/>
        </w:rPr>
        <w:t xml:space="preserve">during volatile market </w:t>
      </w:r>
      <w:r w:rsidRPr="00405E32">
        <w:rPr>
          <w:lang w:val="en-US"/>
        </w:rPr>
        <w:t>conditions. Thus, BYD may supplement short-term sources with long-term funding sources, such as long-term debt and equity</w:t>
      </w:r>
      <w:r w:rsidR="00614AFD">
        <w:rPr>
          <w:lang w:val="en-US"/>
        </w:rPr>
        <w:t xml:space="preserve"> (</w:t>
      </w:r>
      <w:proofErr w:type="spellStart"/>
      <w:r w:rsidR="00614AFD" w:rsidRPr="00850C35">
        <w:t>Krinichansky</w:t>
      </w:r>
      <w:proofErr w:type="spellEnd"/>
      <w:r w:rsidR="00614AFD" w:rsidRPr="00850C35">
        <w:t>, 2025)</w:t>
      </w:r>
      <w:r w:rsidRPr="00405E32">
        <w:rPr>
          <w:lang w:val="en-US"/>
        </w:rPr>
        <w:t xml:space="preserve">. Long-term </w:t>
      </w:r>
      <w:r>
        <w:rPr>
          <w:lang w:val="en-US"/>
        </w:rPr>
        <w:t>fundi</w:t>
      </w:r>
      <w:r>
        <w:rPr>
          <w:lang w:val="en-US"/>
        </w:rPr>
        <w:t>ng</w:t>
      </w:r>
      <w:r w:rsidRPr="00405E32">
        <w:rPr>
          <w:lang w:val="en-US"/>
        </w:rPr>
        <w:t xml:space="preserve"> </w:t>
      </w:r>
      <w:r>
        <w:rPr>
          <w:lang w:val="en-US"/>
        </w:rPr>
        <w:t>allows</w:t>
      </w:r>
      <w:r w:rsidRPr="00405E32">
        <w:rPr>
          <w:lang w:val="en-US"/>
        </w:rPr>
        <w:t xml:space="preserve"> stability and </w:t>
      </w:r>
      <w:r>
        <w:rPr>
          <w:lang w:val="en-US"/>
        </w:rPr>
        <w:t>enables</w:t>
      </w:r>
      <w:r w:rsidRPr="00405E32">
        <w:rPr>
          <w:lang w:val="en-US"/>
        </w:rPr>
        <w:t xml:space="preserve"> </w:t>
      </w:r>
      <w:r>
        <w:rPr>
          <w:lang w:val="en-US"/>
        </w:rPr>
        <w:t>major</w:t>
      </w:r>
      <w:r w:rsidRPr="00405E32">
        <w:rPr>
          <w:lang w:val="en-US"/>
        </w:rPr>
        <w:t xml:space="preserve"> investment in technology, production capacity, and international expansion.</w:t>
      </w:r>
    </w:p>
    <w:p w14:paraId="145C1D38" w14:textId="77777777" w:rsidR="00405E32" w:rsidRPr="00405E32" w:rsidRDefault="00BB0E4D" w:rsidP="00405E32">
      <w:pPr>
        <w:rPr>
          <w:lang w:val="en-US"/>
        </w:rPr>
      </w:pPr>
      <w:r w:rsidRPr="00405E32">
        <w:rPr>
          <w:lang w:val="en-US"/>
        </w:rPr>
        <w:t>Given the company's increasing leverage, a mixed strategy is needed. Short-term financing may be employed to meet the urgent liquidity require</w:t>
      </w:r>
      <w:r w:rsidRPr="00405E32">
        <w:rPr>
          <w:lang w:val="en-US"/>
        </w:rPr>
        <w:t xml:space="preserve">ments; nevertheless, </w:t>
      </w:r>
      <w:r w:rsidRPr="00405E32">
        <w:rPr>
          <w:lang w:val="en-US"/>
        </w:rPr>
        <w:lastRenderedPageBreak/>
        <w:t xml:space="preserve">long-term financing is needed to enhance the capital structure and </w:t>
      </w:r>
      <w:proofErr w:type="spellStart"/>
      <w:r w:rsidRPr="00405E32">
        <w:rPr>
          <w:lang w:val="en-US"/>
        </w:rPr>
        <w:t>minimi</w:t>
      </w:r>
      <w:r w:rsidR="0059562D">
        <w:rPr>
          <w:lang w:val="en-US"/>
        </w:rPr>
        <w:t>s</w:t>
      </w:r>
      <w:r w:rsidRPr="00405E32">
        <w:rPr>
          <w:lang w:val="en-US"/>
        </w:rPr>
        <w:t>e</w:t>
      </w:r>
      <w:proofErr w:type="spellEnd"/>
      <w:r w:rsidRPr="00405E32">
        <w:rPr>
          <w:lang w:val="en-US"/>
        </w:rPr>
        <w:t xml:space="preserve"> the risk of refinancing.</w:t>
      </w:r>
    </w:p>
    <w:p w14:paraId="2CD9B773" w14:textId="77777777" w:rsidR="00405E32" w:rsidRPr="00405E32" w:rsidRDefault="00BB0E4D" w:rsidP="00F71B9C">
      <w:pPr>
        <w:pStyle w:val="Heading1"/>
        <w:rPr>
          <w:lang w:val="en-US"/>
        </w:rPr>
      </w:pPr>
      <w:bookmarkStart w:id="24" w:name="_Toc227090063"/>
      <w:r>
        <w:rPr>
          <w:lang w:val="en-US"/>
        </w:rPr>
        <w:t xml:space="preserve">3. </w:t>
      </w:r>
      <w:r w:rsidRPr="00405E32">
        <w:rPr>
          <w:lang w:val="en-US"/>
        </w:rPr>
        <w:t>Strategic Financial Restructuring Plan</w:t>
      </w:r>
      <w:bookmarkEnd w:id="24"/>
    </w:p>
    <w:p w14:paraId="375F82E8" w14:textId="52DD7AF6" w:rsidR="00405E32" w:rsidRPr="00405E32" w:rsidRDefault="00BB0E4D" w:rsidP="00F71B9C">
      <w:pPr>
        <w:pStyle w:val="Heading2"/>
        <w:rPr>
          <w:lang w:val="en-US"/>
        </w:rPr>
      </w:pPr>
      <w:bookmarkStart w:id="25" w:name="_Toc227090064"/>
      <w:r>
        <w:rPr>
          <w:lang w:val="en-US"/>
        </w:rPr>
        <w:t xml:space="preserve">3.1 </w:t>
      </w:r>
      <w:r w:rsidR="00846699">
        <w:rPr>
          <w:lang w:val="en-US"/>
        </w:rPr>
        <w:t>Recommendations</w:t>
      </w:r>
      <w:r w:rsidRPr="00405E32">
        <w:rPr>
          <w:lang w:val="en-US"/>
        </w:rPr>
        <w:t xml:space="preserve"> of Financial Restructuring</w:t>
      </w:r>
      <w:bookmarkEnd w:id="25"/>
      <w:r w:rsidR="00846699">
        <w:rPr>
          <w:lang w:val="en-US"/>
        </w:rPr>
        <w:t xml:space="preserve"> options</w:t>
      </w:r>
    </w:p>
    <w:p w14:paraId="662DC6BC" w14:textId="77777777" w:rsidR="00405E32" w:rsidRPr="00405E32" w:rsidRDefault="00BB0E4D" w:rsidP="00405E32">
      <w:pPr>
        <w:rPr>
          <w:lang w:val="en-US"/>
        </w:rPr>
      </w:pPr>
      <w:r w:rsidRPr="00405E32">
        <w:rPr>
          <w:lang w:val="en-US"/>
        </w:rPr>
        <w:t>There are three key issues in BYD's f</w:t>
      </w:r>
      <w:r w:rsidRPr="00405E32">
        <w:rPr>
          <w:lang w:val="en-US"/>
        </w:rPr>
        <w:t xml:space="preserve">inancial profile. </w:t>
      </w:r>
      <w:r w:rsidR="00756922">
        <w:rPr>
          <w:lang w:val="en-US"/>
        </w:rPr>
        <w:t>Firstly</w:t>
      </w:r>
      <w:r w:rsidRPr="00405E32">
        <w:rPr>
          <w:lang w:val="en-US"/>
        </w:rPr>
        <w:t>, the liquidity ratios are always below 1, indicating structural working capital strain and dependence on external financing. Second, the rapid rise in the debt-to-equity ratio to almost 69 per cent in 2025 indicates a high level o</w:t>
      </w:r>
      <w:r w:rsidRPr="00405E32">
        <w:rPr>
          <w:lang w:val="en-US"/>
        </w:rPr>
        <w:t>f financial leverage, which exposes the company to greater risks. Third, the profitability measures of net margin, ROE, and ROA have deteriorated over the last year, indicating margin compression and operational inefficiency.</w:t>
      </w:r>
    </w:p>
    <w:p w14:paraId="052E0CF1" w14:textId="77777777" w:rsidR="00405E32" w:rsidRPr="00405E32" w:rsidRDefault="00BB0E4D" w:rsidP="00405E32">
      <w:pPr>
        <w:rPr>
          <w:lang w:val="en-US"/>
        </w:rPr>
      </w:pPr>
      <w:r w:rsidRPr="00405E32">
        <w:rPr>
          <w:lang w:val="en-US"/>
        </w:rPr>
        <w:t>These trends indicate that BYD</w:t>
      </w:r>
      <w:r w:rsidRPr="00405E32">
        <w:rPr>
          <w:lang w:val="en-US"/>
        </w:rPr>
        <w:t xml:space="preserve"> is moving from a high-growth phase into a more mature one, where financial discipline, cost control, and capital efficiency are of utmost importance. It then needs to be strategically restructured financially to rebalance the company's financial position,</w:t>
      </w:r>
      <w:r w:rsidRPr="00405E32">
        <w:rPr>
          <w:lang w:val="en-US"/>
        </w:rPr>
        <w:t xml:space="preserve"> enhance resilience, and support sustainable growth.</w:t>
      </w:r>
    </w:p>
    <w:p w14:paraId="52B32994" w14:textId="77777777" w:rsidR="00405E32" w:rsidRPr="00405E32" w:rsidRDefault="00BB0E4D" w:rsidP="00F71B9C">
      <w:pPr>
        <w:pStyle w:val="Heading2"/>
        <w:rPr>
          <w:lang w:val="en-US"/>
        </w:rPr>
      </w:pPr>
      <w:bookmarkStart w:id="26" w:name="_Toc227090065"/>
      <w:r>
        <w:rPr>
          <w:lang w:val="en-US"/>
        </w:rPr>
        <w:t xml:space="preserve">3.2 </w:t>
      </w:r>
      <w:r w:rsidRPr="00405E32">
        <w:rPr>
          <w:lang w:val="en-US"/>
        </w:rPr>
        <w:t>Capital Strengthening and Equity Injection</w:t>
      </w:r>
      <w:bookmarkEnd w:id="26"/>
    </w:p>
    <w:p w14:paraId="3E4EFD2A" w14:textId="77777777" w:rsidR="00405E32" w:rsidRPr="00405E32" w:rsidRDefault="00BB0E4D" w:rsidP="00405E32">
      <w:pPr>
        <w:rPr>
          <w:lang w:val="en-US"/>
        </w:rPr>
      </w:pPr>
      <w:r w:rsidRPr="00405E32">
        <w:rPr>
          <w:lang w:val="en-US"/>
        </w:rPr>
        <w:t>A targeted equity injection is one of the best restructuring alternatives for BYD. Since the company has a better, though still average, price-to-earnings r</w:t>
      </w:r>
      <w:r w:rsidRPr="00405E32">
        <w:rPr>
          <w:lang w:val="en-US"/>
        </w:rPr>
        <w:t>atio and a strong growth story, equity financing offers a way to raise funds without creating significant financial risk. Equity injections would also enhance the balance sheet by reducing debt and improving liquidity, a major issue now</w:t>
      </w:r>
      <w:r w:rsidR="00614AFD">
        <w:rPr>
          <w:lang w:val="en-US"/>
        </w:rPr>
        <w:t xml:space="preserve"> (</w:t>
      </w:r>
      <w:proofErr w:type="spellStart"/>
      <w:r w:rsidR="00614AFD" w:rsidRPr="00850C35">
        <w:t>Volz</w:t>
      </w:r>
      <w:proofErr w:type="spellEnd"/>
      <w:r w:rsidR="00614AFD">
        <w:t xml:space="preserve"> </w:t>
      </w:r>
      <w:r w:rsidR="00614AFD">
        <w:rPr>
          <w:i/>
          <w:iCs/>
        </w:rPr>
        <w:t>et al.,</w:t>
      </w:r>
      <w:r w:rsidR="00614AFD">
        <w:t xml:space="preserve"> 2024)</w:t>
      </w:r>
      <w:r w:rsidRPr="00405E32">
        <w:rPr>
          <w:lang w:val="en-US"/>
        </w:rPr>
        <w:t>.</w:t>
      </w:r>
    </w:p>
    <w:p w14:paraId="77530B65" w14:textId="77777777" w:rsidR="00405E32" w:rsidRPr="00405E32" w:rsidRDefault="00BB0E4D" w:rsidP="00405E32">
      <w:pPr>
        <w:rPr>
          <w:lang w:val="en-US"/>
        </w:rPr>
      </w:pPr>
      <w:r w:rsidRPr="00405E32">
        <w:rPr>
          <w:lang w:val="en-US"/>
        </w:rPr>
        <w:t>The shareholder value effect needs to be considered. Although the issue of new equity can result in dilution of the shareholders of the company, it can also add value in the long run since it can be used to finance growth, mitigate financial risk, and al</w:t>
      </w:r>
      <w:r w:rsidRPr="00405E32">
        <w:rPr>
          <w:lang w:val="en-US"/>
        </w:rPr>
        <w:t>low strategic investments in the company in terms of innovation and production capacity</w:t>
      </w:r>
      <w:r w:rsidR="00614AFD">
        <w:rPr>
          <w:lang w:val="en-US"/>
        </w:rPr>
        <w:t xml:space="preserve"> (</w:t>
      </w:r>
      <w:proofErr w:type="spellStart"/>
      <w:r w:rsidR="00614AFD" w:rsidRPr="00850C35">
        <w:t>Volz</w:t>
      </w:r>
      <w:proofErr w:type="spellEnd"/>
      <w:r w:rsidR="00614AFD">
        <w:t xml:space="preserve"> </w:t>
      </w:r>
      <w:r w:rsidR="00614AFD">
        <w:rPr>
          <w:i/>
          <w:iCs/>
        </w:rPr>
        <w:t>et al.,</w:t>
      </w:r>
      <w:r w:rsidR="00614AFD">
        <w:t xml:space="preserve"> 2024)</w:t>
      </w:r>
      <w:r w:rsidRPr="00405E32">
        <w:rPr>
          <w:lang w:val="en-US"/>
        </w:rPr>
        <w:t xml:space="preserve">. In the case of a growth-oriented business such as BYD, the advantages of increased financial security and the ability to invest will likely </w:t>
      </w:r>
      <w:r w:rsidRPr="00405E32">
        <w:rPr>
          <w:lang w:val="en-US"/>
        </w:rPr>
        <w:t>outweigh the temporary diminution in impacts.</w:t>
      </w:r>
    </w:p>
    <w:p w14:paraId="47E92B69" w14:textId="77777777" w:rsidR="00405E32" w:rsidRPr="00405E32" w:rsidRDefault="00BB0E4D" w:rsidP="00F71B9C">
      <w:pPr>
        <w:pStyle w:val="Heading2"/>
        <w:rPr>
          <w:lang w:val="en-US"/>
        </w:rPr>
      </w:pPr>
      <w:bookmarkStart w:id="27" w:name="_Toc227090066"/>
      <w:r>
        <w:rPr>
          <w:lang w:val="en-US"/>
        </w:rPr>
        <w:lastRenderedPageBreak/>
        <w:t xml:space="preserve">3.3 </w:t>
      </w:r>
      <w:r w:rsidRPr="00405E32">
        <w:rPr>
          <w:lang w:val="en-US"/>
        </w:rPr>
        <w:t>Restructuring of Debt and Risk Management</w:t>
      </w:r>
      <w:bookmarkEnd w:id="27"/>
    </w:p>
    <w:p w14:paraId="57332F96" w14:textId="77777777" w:rsidR="00405E32" w:rsidRPr="00405E32" w:rsidRDefault="00BB0E4D" w:rsidP="00405E32">
      <w:pPr>
        <w:rPr>
          <w:lang w:val="en-US"/>
        </w:rPr>
      </w:pPr>
      <w:r w:rsidRPr="00405E32">
        <w:rPr>
          <w:lang w:val="en-US"/>
        </w:rPr>
        <w:t>The increasing leverage that BYD has brought about the need to strategically review its debt structure. Debt restructuring may include refinancing, lengthening matu</w:t>
      </w:r>
      <w:r w:rsidRPr="00405E32">
        <w:rPr>
          <w:lang w:val="en-US"/>
        </w:rPr>
        <w:t>rities, and reducing short-term borrowing</w:t>
      </w:r>
      <w:r w:rsidR="00614AFD">
        <w:rPr>
          <w:lang w:val="en-US"/>
        </w:rPr>
        <w:t xml:space="preserve"> (</w:t>
      </w:r>
      <w:proofErr w:type="spellStart"/>
      <w:r w:rsidR="00614AFD" w:rsidRPr="00850C35">
        <w:t>Mehmood</w:t>
      </w:r>
      <w:proofErr w:type="spellEnd"/>
      <w:r w:rsidR="00614AFD" w:rsidRPr="00850C35">
        <w:t xml:space="preserve"> </w:t>
      </w:r>
      <w:r w:rsidR="00614AFD">
        <w:t>and</w:t>
      </w:r>
      <w:r w:rsidR="00614AFD" w:rsidRPr="00850C35">
        <w:t xml:space="preserve"> De Luca, 2025)</w:t>
      </w:r>
      <w:r w:rsidRPr="00405E32">
        <w:rPr>
          <w:lang w:val="en-US"/>
        </w:rPr>
        <w:t xml:space="preserve">. </w:t>
      </w:r>
      <w:r w:rsidR="00756922" w:rsidRPr="00405E32">
        <w:rPr>
          <w:lang w:val="en-US"/>
        </w:rPr>
        <w:t>Long-term</w:t>
      </w:r>
      <w:r w:rsidRPr="00405E32">
        <w:rPr>
          <w:lang w:val="en-US"/>
        </w:rPr>
        <w:t xml:space="preserve"> funds obtained at reasonable interest rates will help BYD to match its capital structure with long</w:t>
      </w:r>
      <w:r w:rsidR="00756922">
        <w:rPr>
          <w:lang w:val="en-US"/>
        </w:rPr>
        <w:t>-</w:t>
      </w:r>
      <w:r w:rsidRPr="00405E32">
        <w:rPr>
          <w:lang w:val="en-US"/>
        </w:rPr>
        <w:t xml:space="preserve">term investments in manufacturing plants, battery technology and </w:t>
      </w:r>
      <w:proofErr w:type="spellStart"/>
      <w:r w:rsidR="00756922">
        <w:rPr>
          <w:lang w:val="en-US"/>
        </w:rPr>
        <w:t>glob</w:t>
      </w:r>
      <w:r w:rsidRPr="00405E32">
        <w:rPr>
          <w:lang w:val="en-US"/>
        </w:rPr>
        <w:t>ali</w:t>
      </w:r>
      <w:r>
        <w:rPr>
          <w:lang w:val="en-US"/>
        </w:rPr>
        <w:t>s</w:t>
      </w:r>
      <w:r w:rsidRPr="00405E32">
        <w:rPr>
          <w:lang w:val="en-US"/>
        </w:rPr>
        <w:t>ati</w:t>
      </w:r>
      <w:r w:rsidRPr="00405E32">
        <w:rPr>
          <w:lang w:val="en-US"/>
        </w:rPr>
        <w:t>on</w:t>
      </w:r>
      <w:proofErr w:type="spellEnd"/>
      <w:r w:rsidRPr="00405E32">
        <w:rPr>
          <w:lang w:val="en-US"/>
        </w:rPr>
        <w:t>.</w:t>
      </w:r>
    </w:p>
    <w:p w14:paraId="61B58287" w14:textId="77777777" w:rsidR="00405E32" w:rsidRPr="00405E32" w:rsidRDefault="00BB0E4D" w:rsidP="00405E32">
      <w:pPr>
        <w:rPr>
          <w:lang w:val="en-US"/>
        </w:rPr>
      </w:pPr>
      <w:r w:rsidRPr="00405E32">
        <w:rPr>
          <w:lang w:val="en-US"/>
        </w:rPr>
        <w:t xml:space="preserve">By reducing expensive debt and </w:t>
      </w:r>
      <w:proofErr w:type="spellStart"/>
      <w:r w:rsidRPr="00405E32">
        <w:rPr>
          <w:lang w:val="en-US"/>
        </w:rPr>
        <w:t>maximising</w:t>
      </w:r>
      <w:proofErr w:type="spellEnd"/>
      <w:r w:rsidRPr="00405E32">
        <w:rPr>
          <w:lang w:val="en-US"/>
        </w:rPr>
        <w:t xml:space="preserve"> the debt portfolio, financial stability would increase, as would the risk of liquidity constraints. Although debt offers tax benefits, as interest can be deducted, high leverage levels expose companies to econo</w:t>
      </w:r>
      <w:r w:rsidRPr="00405E32">
        <w:rPr>
          <w:lang w:val="en-US"/>
        </w:rPr>
        <w:t>mic shocks and interest rate fluctuations</w:t>
      </w:r>
      <w:r w:rsidR="00614AFD">
        <w:rPr>
          <w:lang w:val="en-US"/>
        </w:rPr>
        <w:t xml:space="preserve"> (</w:t>
      </w:r>
      <w:r w:rsidR="00614AFD" w:rsidRPr="00850C35">
        <w:t xml:space="preserve">Xiao </w:t>
      </w:r>
      <w:r w:rsidR="00614AFD">
        <w:t>and</w:t>
      </w:r>
      <w:r w:rsidR="00614AFD" w:rsidRPr="00850C35">
        <w:t xml:space="preserve"> Yao, 2022)</w:t>
      </w:r>
      <w:r w:rsidRPr="00405E32">
        <w:rPr>
          <w:lang w:val="en-US"/>
        </w:rPr>
        <w:t xml:space="preserve">. Thus, the aim is to find an ideal debt-equity ratio that </w:t>
      </w:r>
      <w:proofErr w:type="spellStart"/>
      <w:r w:rsidRPr="00405E32">
        <w:rPr>
          <w:lang w:val="en-US"/>
        </w:rPr>
        <w:t>maximises</w:t>
      </w:r>
      <w:proofErr w:type="spellEnd"/>
      <w:r w:rsidRPr="00405E32">
        <w:rPr>
          <w:lang w:val="en-US"/>
        </w:rPr>
        <w:t xml:space="preserve"> shareholder value while maintaining financial flexibility.</w:t>
      </w:r>
    </w:p>
    <w:p w14:paraId="0B5D6A9C" w14:textId="77777777" w:rsidR="00405E32" w:rsidRPr="00405E32" w:rsidRDefault="00BB0E4D" w:rsidP="00F71B9C">
      <w:pPr>
        <w:pStyle w:val="Heading2"/>
        <w:rPr>
          <w:lang w:val="en-US"/>
        </w:rPr>
      </w:pPr>
      <w:bookmarkStart w:id="28" w:name="_Toc227090067"/>
      <w:r>
        <w:rPr>
          <w:lang w:val="en-US"/>
        </w:rPr>
        <w:t xml:space="preserve">3.4 </w:t>
      </w:r>
      <w:r w:rsidRPr="00405E32">
        <w:rPr>
          <w:lang w:val="en-US"/>
        </w:rPr>
        <w:t xml:space="preserve">Portfolio </w:t>
      </w:r>
      <w:proofErr w:type="spellStart"/>
      <w:r w:rsidRPr="00405E32">
        <w:rPr>
          <w:lang w:val="en-US"/>
        </w:rPr>
        <w:t>Optimisation</w:t>
      </w:r>
      <w:proofErr w:type="spellEnd"/>
      <w:r w:rsidRPr="00405E32">
        <w:rPr>
          <w:lang w:val="en-US"/>
        </w:rPr>
        <w:t xml:space="preserve"> and Strategic Divestiture</w:t>
      </w:r>
      <w:bookmarkEnd w:id="28"/>
    </w:p>
    <w:p w14:paraId="19CF95ED" w14:textId="77777777" w:rsidR="00405E32" w:rsidRPr="00405E32" w:rsidRDefault="00BB0E4D" w:rsidP="00405E32">
      <w:pPr>
        <w:rPr>
          <w:lang w:val="en-US"/>
        </w:rPr>
      </w:pPr>
      <w:r w:rsidRPr="00405E32">
        <w:rPr>
          <w:lang w:val="en-US"/>
        </w:rPr>
        <w:t>With BYD stri</w:t>
      </w:r>
      <w:r w:rsidRPr="00405E32">
        <w:rPr>
          <w:lang w:val="en-US"/>
        </w:rPr>
        <w:t>ving to grow in many directions, such as electric vehicles, batteries, and renewable energy solutions</w:t>
      </w:r>
      <w:r w:rsidR="00614AFD">
        <w:rPr>
          <w:lang w:val="en-US"/>
        </w:rPr>
        <w:t xml:space="preserve"> (</w:t>
      </w:r>
      <w:r w:rsidR="00614AFD" w:rsidRPr="00850C35">
        <w:t>Liu, 2025)</w:t>
      </w:r>
      <w:r w:rsidRPr="00405E32">
        <w:rPr>
          <w:lang w:val="en-US"/>
        </w:rPr>
        <w:t xml:space="preserve">, it risks becoming over-diversified and inefficiently allocating funds </w:t>
      </w:r>
      <w:r w:rsidR="00614AFD">
        <w:rPr>
          <w:lang w:val="en-US"/>
        </w:rPr>
        <w:t>(</w:t>
      </w:r>
      <w:proofErr w:type="spellStart"/>
      <w:r w:rsidR="00614AFD" w:rsidRPr="00850C35">
        <w:t>Pavelic</w:t>
      </w:r>
      <w:proofErr w:type="spellEnd"/>
      <w:r w:rsidR="00614AFD" w:rsidRPr="00850C35">
        <w:t>, 2025)</w:t>
      </w:r>
      <w:r w:rsidRPr="00405E32">
        <w:rPr>
          <w:lang w:val="en-US"/>
        </w:rPr>
        <w:t xml:space="preserve">. Strategically disposing of non-core or non-performing </w:t>
      </w:r>
      <w:r w:rsidRPr="00405E32">
        <w:rPr>
          <w:lang w:val="en-US"/>
        </w:rPr>
        <w:t>assets can free up capital, better focus on growing areas, and become more efficient overall.</w:t>
      </w:r>
    </w:p>
    <w:p w14:paraId="4BB761DD" w14:textId="77777777" w:rsidR="00405E32" w:rsidRPr="00405E32" w:rsidRDefault="00BB0E4D" w:rsidP="00405E32">
      <w:pPr>
        <w:rPr>
          <w:lang w:val="en-US"/>
        </w:rPr>
      </w:pPr>
      <w:r w:rsidRPr="00405E32">
        <w:rPr>
          <w:lang w:val="en-US"/>
        </w:rPr>
        <w:t>Key financial indicators that can be enhanced through divestiture include return on assets and asset turnover. This becomes especially relevant in light of the re</w:t>
      </w:r>
      <w:r w:rsidRPr="00405E32">
        <w:rPr>
          <w:lang w:val="en-US"/>
        </w:rPr>
        <w:t xml:space="preserve">cent decline in </w:t>
      </w:r>
      <w:r w:rsidR="0059562D" w:rsidRPr="00405E32">
        <w:rPr>
          <w:lang w:val="en-US"/>
        </w:rPr>
        <w:t>profitability</w:t>
      </w:r>
      <w:r w:rsidRPr="00405E32">
        <w:rPr>
          <w:lang w:val="en-US"/>
        </w:rPr>
        <w:t xml:space="preserve"> and the need to improve operational efficiency </w:t>
      </w:r>
      <w:r w:rsidR="00614AFD">
        <w:rPr>
          <w:lang w:val="en-US"/>
        </w:rPr>
        <w:t>(</w:t>
      </w:r>
      <w:proofErr w:type="spellStart"/>
      <w:r w:rsidR="00614AFD" w:rsidRPr="00850C35">
        <w:t>Pavelic</w:t>
      </w:r>
      <w:proofErr w:type="spellEnd"/>
      <w:r w:rsidR="00614AFD" w:rsidRPr="00850C35">
        <w:t>, 2025)</w:t>
      </w:r>
      <w:r w:rsidRPr="00405E32">
        <w:rPr>
          <w:lang w:val="en-US"/>
        </w:rPr>
        <w:t>. Reinvestment in core competencies will enable BYD to improve its competitive standing and increase long-term value creation.</w:t>
      </w:r>
    </w:p>
    <w:p w14:paraId="55324109" w14:textId="77777777" w:rsidR="00405E32" w:rsidRPr="00405E32" w:rsidRDefault="00BB0E4D" w:rsidP="00F71B9C">
      <w:pPr>
        <w:pStyle w:val="Heading2"/>
        <w:rPr>
          <w:lang w:val="en-US"/>
        </w:rPr>
      </w:pPr>
      <w:bookmarkStart w:id="29" w:name="_Toc227090068"/>
      <w:r>
        <w:rPr>
          <w:lang w:val="en-US"/>
        </w:rPr>
        <w:t xml:space="preserve">3.5 </w:t>
      </w:r>
      <w:r w:rsidRPr="00405E32">
        <w:rPr>
          <w:lang w:val="en-US"/>
        </w:rPr>
        <w:t>Mergers and Strategic Alliances</w:t>
      </w:r>
      <w:bookmarkEnd w:id="29"/>
    </w:p>
    <w:p w14:paraId="03F5E9BD" w14:textId="77777777" w:rsidR="00405E32" w:rsidRPr="00405E32" w:rsidRDefault="00BB0E4D" w:rsidP="00405E32">
      <w:pPr>
        <w:rPr>
          <w:lang w:val="en-US"/>
        </w:rPr>
      </w:pPr>
      <w:r w:rsidRPr="00405E32">
        <w:rPr>
          <w:lang w:val="en-US"/>
        </w:rPr>
        <w:t>I</w:t>
      </w:r>
      <w:r w:rsidRPr="00405E32">
        <w:rPr>
          <w:lang w:val="en-US"/>
        </w:rPr>
        <w:t>nstead of making big acquisition deals, BYD can enjoy strategic alliances and joint ventures, especially in foreign markets. The partnership with local manufacturers, technology companies, or battery suppliers can ease barriers to entry, reduce risk, and a</w:t>
      </w:r>
      <w:r w:rsidRPr="00405E32">
        <w:rPr>
          <w:lang w:val="en-US"/>
        </w:rPr>
        <w:t>ccelerate international growth.</w:t>
      </w:r>
    </w:p>
    <w:p w14:paraId="0C14A79E" w14:textId="77777777" w:rsidR="00405E32" w:rsidRPr="00405E32" w:rsidRDefault="00BB0E4D" w:rsidP="00405E32">
      <w:pPr>
        <w:rPr>
          <w:lang w:val="en-US"/>
        </w:rPr>
      </w:pPr>
      <w:r w:rsidRPr="00405E32">
        <w:rPr>
          <w:lang w:val="en-US"/>
        </w:rPr>
        <w:t>These partnerships increase operational flexibility, as BYD can adapt to various regulatory environments and market conditions without in</w:t>
      </w:r>
      <w:r w:rsidR="00614AFD">
        <w:rPr>
          <w:lang w:val="en-US"/>
        </w:rPr>
        <w:t>curring significant investment (</w:t>
      </w:r>
      <w:proofErr w:type="spellStart"/>
      <w:r w:rsidR="00614AFD" w:rsidRPr="00850C35">
        <w:t>Ngwakwe</w:t>
      </w:r>
      <w:proofErr w:type="spellEnd"/>
      <w:r w:rsidR="00614AFD" w:rsidRPr="00850C35">
        <w:t>,</w:t>
      </w:r>
      <w:r w:rsidR="00614AFD">
        <w:t xml:space="preserve"> </w:t>
      </w:r>
      <w:r w:rsidR="00614AFD" w:rsidRPr="00850C35">
        <w:t>2024)</w:t>
      </w:r>
      <w:r w:rsidRPr="00405E32">
        <w:rPr>
          <w:lang w:val="en-US"/>
        </w:rPr>
        <w:t>. They also encourage innovation by shari</w:t>
      </w:r>
      <w:r w:rsidRPr="00405E32">
        <w:rPr>
          <w:lang w:val="en-US"/>
        </w:rPr>
        <w:t xml:space="preserve">ng knowledge </w:t>
      </w:r>
      <w:r w:rsidRPr="00405E32">
        <w:rPr>
          <w:lang w:val="en-US"/>
        </w:rPr>
        <w:lastRenderedPageBreak/>
        <w:t>and by making new technologies available. Strategic alliances offer a more versatile and less risky option than traditional mergers in a fast-paced industry.</w:t>
      </w:r>
    </w:p>
    <w:p w14:paraId="0F6F1578" w14:textId="77777777" w:rsidR="00405E32" w:rsidRPr="00405E32" w:rsidRDefault="00BB0E4D" w:rsidP="00F71B9C">
      <w:pPr>
        <w:pStyle w:val="Heading2"/>
        <w:rPr>
          <w:lang w:val="en-US"/>
        </w:rPr>
      </w:pPr>
      <w:bookmarkStart w:id="30" w:name="_Toc227090069"/>
      <w:r>
        <w:rPr>
          <w:lang w:val="en-US"/>
        </w:rPr>
        <w:t xml:space="preserve">3.6 </w:t>
      </w:r>
      <w:r w:rsidRPr="00405E32">
        <w:rPr>
          <w:lang w:val="en-US"/>
        </w:rPr>
        <w:t>Shareholder Value Impact</w:t>
      </w:r>
      <w:bookmarkEnd w:id="30"/>
    </w:p>
    <w:p w14:paraId="3397517F" w14:textId="77777777" w:rsidR="00405E32" w:rsidRPr="00405E32" w:rsidRDefault="00BB0E4D" w:rsidP="00405E32">
      <w:pPr>
        <w:rPr>
          <w:lang w:val="en-US"/>
        </w:rPr>
      </w:pPr>
      <w:r w:rsidRPr="00405E32">
        <w:rPr>
          <w:lang w:val="en-US"/>
        </w:rPr>
        <w:t>The restructuring plans aim to improve shareholder value</w:t>
      </w:r>
      <w:r w:rsidRPr="00405E32">
        <w:rPr>
          <w:lang w:val="en-US"/>
        </w:rPr>
        <w:t xml:space="preserve"> by enhancing financial stability, profitability, and sustainable growth. Equity injection will facilitate financing of expansion and innovation, and debt </w:t>
      </w:r>
      <w:proofErr w:type="spellStart"/>
      <w:r w:rsidRPr="00405E32">
        <w:rPr>
          <w:lang w:val="en-US"/>
        </w:rPr>
        <w:t>optimisation</w:t>
      </w:r>
      <w:proofErr w:type="spellEnd"/>
      <w:r w:rsidRPr="00405E32">
        <w:rPr>
          <w:lang w:val="en-US"/>
        </w:rPr>
        <w:t xml:space="preserve"> will </w:t>
      </w:r>
      <w:proofErr w:type="spellStart"/>
      <w:r w:rsidRPr="00405E32">
        <w:rPr>
          <w:lang w:val="en-US"/>
        </w:rPr>
        <w:t>minimise</w:t>
      </w:r>
      <w:proofErr w:type="spellEnd"/>
      <w:r w:rsidRPr="00405E32">
        <w:rPr>
          <w:lang w:val="en-US"/>
        </w:rPr>
        <w:t xml:space="preserve"> financial risk and enhance earnings stability. Portfolio </w:t>
      </w:r>
      <w:proofErr w:type="spellStart"/>
      <w:r w:rsidRPr="00405E32">
        <w:rPr>
          <w:lang w:val="en-US"/>
        </w:rPr>
        <w:t>optimisation</w:t>
      </w:r>
      <w:proofErr w:type="spellEnd"/>
      <w:r w:rsidRPr="00405E32">
        <w:rPr>
          <w:lang w:val="en-US"/>
        </w:rPr>
        <w:t xml:space="preserve"> and </w:t>
      </w:r>
      <w:r w:rsidRPr="00405E32">
        <w:rPr>
          <w:lang w:val="en-US"/>
        </w:rPr>
        <w:t>divestiture improve efficiency and ROI.</w:t>
      </w:r>
    </w:p>
    <w:p w14:paraId="4F1E31C1" w14:textId="77777777" w:rsidR="00405E32" w:rsidRDefault="00BB0E4D" w:rsidP="00405E32">
      <w:pPr>
        <w:rPr>
          <w:lang w:val="en-US"/>
        </w:rPr>
      </w:pPr>
      <w:r w:rsidRPr="00405E32">
        <w:rPr>
          <w:lang w:val="en-US"/>
        </w:rPr>
        <w:t>However, it is important to balance short-term and long-term impacts. Equity issues can result in short-term earnings-per-share dilution, and restructuring costs can temporarily lead to a decline in profitability. Ho</w:t>
      </w:r>
      <w:r w:rsidRPr="00405E32">
        <w:rPr>
          <w:lang w:val="en-US"/>
        </w:rPr>
        <w:t>wever, these effects are likely to be outweighed by the long-term benefits of better financial health, less risk and increased growth potential.</w:t>
      </w:r>
    </w:p>
    <w:p w14:paraId="546790EE" w14:textId="77777777" w:rsidR="00756922" w:rsidRPr="00756922" w:rsidRDefault="00BB0E4D" w:rsidP="00F71B9C">
      <w:pPr>
        <w:pStyle w:val="Heading2"/>
        <w:rPr>
          <w:lang w:val="en-US"/>
        </w:rPr>
      </w:pPr>
      <w:bookmarkStart w:id="31" w:name="_Toc227090070"/>
      <w:r>
        <w:rPr>
          <w:lang w:val="en-US"/>
        </w:rPr>
        <w:t xml:space="preserve">3.7 </w:t>
      </w:r>
      <w:r w:rsidRPr="00756922">
        <w:rPr>
          <w:lang w:val="en-US"/>
        </w:rPr>
        <w:t>Influence on Financing Structure and Financial Stability</w:t>
      </w:r>
      <w:bookmarkEnd w:id="31"/>
    </w:p>
    <w:p w14:paraId="242FCFCE" w14:textId="77777777" w:rsidR="00756922" w:rsidRPr="00756922" w:rsidRDefault="00BB0E4D" w:rsidP="00756922">
      <w:pPr>
        <w:rPr>
          <w:lang w:val="en-US"/>
        </w:rPr>
      </w:pPr>
      <w:r w:rsidRPr="00756922">
        <w:rPr>
          <w:lang w:val="en-US"/>
        </w:rPr>
        <w:t xml:space="preserve">The restructuring plan aims to create a more </w:t>
      </w:r>
      <w:r w:rsidRPr="00756922">
        <w:rPr>
          <w:lang w:val="en-US"/>
        </w:rPr>
        <w:t>sustainable and balanced capital structure. By reducing debt use and increasing the ratio of long-term to short-term funding, BYD will improve its financial stability and ability to withstand economic shocks.</w:t>
      </w:r>
    </w:p>
    <w:p w14:paraId="5943E767" w14:textId="77777777" w:rsidR="00756922" w:rsidRPr="00756922" w:rsidRDefault="00BB0E4D" w:rsidP="00756922">
      <w:pPr>
        <w:rPr>
          <w:lang w:val="en-US"/>
        </w:rPr>
      </w:pPr>
      <w:r w:rsidRPr="00756922">
        <w:rPr>
          <w:lang w:val="en-US"/>
        </w:rPr>
        <w:t>Better debt management will also improve the co</w:t>
      </w:r>
      <w:r w:rsidRPr="00756922">
        <w:rPr>
          <w:lang w:val="en-US"/>
        </w:rPr>
        <w:t>mpany's creditworthiness, helping it secure financing on better terms in the future. This is especially true in a capital-intensive industry, where constant investment is necessary to keep up with the competition.</w:t>
      </w:r>
    </w:p>
    <w:p w14:paraId="1D1144E5" w14:textId="77777777" w:rsidR="00756922" w:rsidRPr="00756922" w:rsidRDefault="00BB0E4D" w:rsidP="00F71B9C">
      <w:pPr>
        <w:pStyle w:val="Heading2"/>
        <w:rPr>
          <w:lang w:val="en-US"/>
        </w:rPr>
      </w:pPr>
      <w:bookmarkStart w:id="32" w:name="_Toc227090071"/>
      <w:r>
        <w:rPr>
          <w:lang w:val="en-US"/>
        </w:rPr>
        <w:t xml:space="preserve">3.8 </w:t>
      </w:r>
      <w:r w:rsidRPr="00756922">
        <w:rPr>
          <w:lang w:val="en-US"/>
        </w:rPr>
        <w:t>Tactical</w:t>
      </w:r>
      <w:r>
        <w:rPr>
          <w:lang w:val="en-US"/>
        </w:rPr>
        <w:t xml:space="preserve"> and Strategic</w:t>
      </w:r>
      <w:r w:rsidRPr="00756922">
        <w:rPr>
          <w:lang w:val="en-US"/>
        </w:rPr>
        <w:t xml:space="preserve"> Mobility</w:t>
      </w:r>
      <w:bookmarkEnd w:id="32"/>
    </w:p>
    <w:p w14:paraId="3A8CBCF0" w14:textId="77777777" w:rsidR="00756922" w:rsidRPr="00756922" w:rsidRDefault="00BB0E4D" w:rsidP="00756922">
      <w:pPr>
        <w:rPr>
          <w:lang w:val="en-US"/>
        </w:rPr>
      </w:pPr>
      <w:r w:rsidRPr="00756922">
        <w:rPr>
          <w:lang w:val="en-US"/>
        </w:rPr>
        <w:t>Restru</w:t>
      </w:r>
      <w:r w:rsidRPr="00756922">
        <w:rPr>
          <w:lang w:val="en-US"/>
        </w:rPr>
        <w:t>cturing finances also increases operational flexibility by freeing up funds and alleviating financial constraints. This enables BYD to respond more effectively to changes in market demand, technological developments, and competitive forces. Enhanced liquid</w:t>
      </w:r>
      <w:r w:rsidRPr="00756922">
        <w:rPr>
          <w:lang w:val="en-US"/>
        </w:rPr>
        <w:t>ity enables faster investment in new projects, and less debt provides greater flexibility in strategic decision-making. This is essential in the EV sector, where consumer preferences are changing and evolving rapidly, requiring continuous adjustment.</w:t>
      </w:r>
    </w:p>
    <w:p w14:paraId="4439226C" w14:textId="77777777" w:rsidR="00756922" w:rsidRPr="00756922" w:rsidRDefault="00BB0E4D" w:rsidP="00F71B9C">
      <w:pPr>
        <w:pStyle w:val="Heading2"/>
        <w:rPr>
          <w:lang w:val="en-US"/>
        </w:rPr>
      </w:pPr>
      <w:bookmarkStart w:id="33" w:name="_Toc227090072"/>
      <w:r>
        <w:rPr>
          <w:lang w:val="en-US"/>
        </w:rPr>
        <w:lastRenderedPageBreak/>
        <w:t xml:space="preserve">3.9 </w:t>
      </w:r>
      <w:r w:rsidRPr="00756922">
        <w:rPr>
          <w:lang w:val="en-US"/>
        </w:rPr>
        <w:t>I</w:t>
      </w:r>
      <w:r w:rsidRPr="00756922">
        <w:rPr>
          <w:lang w:val="en-US"/>
        </w:rPr>
        <w:t>nternational Considerations</w:t>
      </w:r>
      <w:bookmarkEnd w:id="33"/>
    </w:p>
    <w:p w14:paraId="5EEA5DE7" w14:textId="77777777" w:rsidR="00756922" w:rsidRPr="00756922" w:rsidRDefault="00BB0E4D" w:rsidP="00756922">
      <w:pPr>
        <w:rPr>
          <w:lang w:val="en-US"/>
        </w:rPr>
      </w:pPr>
      <w:r w:rsidRPr="00756922">
        <w:rPr>
          <w:lang w:val="en-US"/>
        </w:rPr>
        <w:t>BYD operates in an international environment, subjecting it to various financial risks. Currency fluctuations may significantly impact revenues and costs, especially when the company goes international. These risks may be reduce</w:t>
      </w:r>
      <w:r w:rsidRPr="00756922">
        <w:rPr>
          <w:lang w:val="en-US"/>
        </w:rPr>
        <w:t>d through hedging and diversification of revenue streams</w:t>
      </w:r>
      <w:r w:rsidR="00035BFE">
        <w:rPr>
          <w:lang w:val="en-US"/>
        </w:rPr>
        <w:t xml:space="preserve"> (</w:t>
      </w:r>
      <w:proofErr w:type="spellStart"/>
      <w:r w:rsidR="00035BFE" w:rsidRPr="00F42BE7">
        <w:t>Kehinde</w:t>
      </w:r>
      <w:proofErr w:type="spellEnd"/>
      <w:r w:rsidR="00035BFE">
        <w:t xml:space="preserve"> </w:t>
      </w:r>
      <w:r w:rsidR="00035BFE">
        <w:rPr>
          <w:i/>
          <w:iCs/>
        </w:rPr>
        <w:t>et al.,</w:t>
      </w:r>
      <w:r w:rsidR="00035BFE">
        <w:t xml:space="preserve"> 2023)</w:t>
      </w:r>
      <w:r w:rsidRPr="00756922">
        <w:rPr>
          <w:lang w:val="en-US"/>
        </w:rPr>
        <w:t>.</w:t>
      </w:r>
    </w:p>
    <w:p w14:paraId="60214A7F" w14:textId="77777777" w:rsidR="00756922" w:rsidRPr="00756922" w:rsidRDefault="00BB0E4D" w:rsidP="00756922">
      <w:pPr>
        <w:rPr>
          <w:lang w:val="en-US"/>
        </w:rPr>
      </w:pPr>
      <w:r w:rsidRPr="00756922">
        <w:rPr>
          <w:lang w:val="en-US"/>
        </w:rPr>
        <w:t xml:space="preserve">Another consideration is </w:t>
      </w:r>
      <w:r>
        <w:rPr>
          <w:lang w:val="en-US"/>
        </w:rPr>
        <w:t>that</w:t>
      </w:r>
      <w:r w:rsidRPr="00756922">
        <w:rPr>
          <w:lang w:val="en-US"/>
        </w:rPr>
        <w:t xml:space="preserve"> </w:t>
      </w:r>
      <w:r>
        <w:rPr>
          <w:lang w:val="en-US"/>
        </w:rPr>
        <w:t>c</w:t>
      </w:r>
      <w:r w:rsidRPr="00756922">
        <w:rPr>
          <w:lang w:val="en-US"/>
        </w:rPr>
        <w:t xml:space="preserve">ountries offer different tax incentives for electric vehicle manufacturing and renewable energy </w:t>
      </w:r>
      <w:r w:rsidR="00035BFE">
        <w:rPr>
          <w:lang w:val="en-US"/>
        </w:rPr>
        <w:t>(</w:t>
      </w:r>
      <w:proofErr w:type="spellStart"/>
      <w:r w:rsidR="00035BFE" w:rsidRPr="00F42BE7">
        <w:t>Dzobelova</w:t>
      </w:r>
      <w:proofErr w:type="spellEnd"/>
      <w:r w:rsidR="00035BFE">
        <w:t xml:space="preserve"> </w:t>
      </w:r>
      <w:r w:rsidR="00035BFE">
        <w:rPr>
          <w:i/>
          <w:iCs/>
        </w:rPr>
        <w:t>et al.,</w:t>
      </w:r>
      <w:r w:rsidR="00035BFE">
        <w:t xml:space="preserve"> 2024)</w:t>
      </w:r>
      <w:r w:rsidRPr="00756922">
        <w:rPr>
          <w:lang w:val="en-US"/>
        </w:rPr>
        <w:t>. The company's global t</w:t>
      </w:r>
      <w:r w:rsidRPr="00756922">
        <w:rPr>
          <w:lang w:val="en-US"/>
        </w:rPr>
        <w:t xml:space="preserve">axation strategy can be </w:t>
      </w:r>
      <w:proofErr w:type="spellStart"/>
      <w:r w:rsidRPr="00756922">
        <w:rPr>
          <w:lang w:val="en-US"/>
        </w:rPr>
        <w:t>optimised</w:t>
      </w:r>
      <w:proofErr w:type="spellEnd"/>
      <w:r w:rsidRPr="00756922">
        <w:rPr>
          <w:lang w:val="en-US"/>
        </w:rPr>
        <w:t xml:space="preserve"> to increase profitability while remaining compliant with international regulations.</w:t>
      </w:r>
    </w:p>
    <w:p w14:paraId="7833D355" w14:textId="77777777" w:rsidR="00756922" w:rsidRPr="00756922" w:rsidRDefault="00BB0E4D" w:rsidP="00756922">
      <w:pPr>
        <w:rPr>
          <w:lang w:val="en-US"/>
        </w:rPr>
      </w:pPr>
      <w:r w:rsidRPr="00756922">
        <w:rPr>
          <w:lang w:val="en-US"/>
        </w:rPr>
        <w:t>There is also the issue of inflation, especially in the prices of raw materials like lithium and other battery components. This requires e</w:t>
      </w:r>
      <w:r w:rsidRPr="00756922">
        <w:rPr>
          <w:lang w:val="en-US"/>
        </w:rPr>
        <w:t>ffective cost management and strategic sourcing to remain profitable in the inflationary environment</w:t>
      </w:r>
      <w:r w:rsidR="00035BFE">
        <w:rPr>
          <w:lang w:val="en-US"/>
        </w:rPr>
        <w:t xml:space="preserve"> (</w:t>
      </w:r>
      <w:proofErr w:type="spellStart"/>
      <w:r w:rsidR="00035BFE" w:rsidRPr="00F42BE7">
        <w:t>Bahaj</w:t>
      </w:r>
      <w:proofErr w:type="spellEnd"/>
      <w:r w:rsidR="00035BFE">
        <w:t xml:space="preserve"> </w:t>
      </w:r>
      <w:r w:rsidR="00035BFE">
        <w:rPr>
          <w:i/>
          <w:iCs/>
        </w:rPr>
        <w:t>et al.,</w:t>
      </w:r>
      <w:r w:rsidR="00035BFE">
        <w:t xml:space="preserve"> 2023)</w:t>
      </w:r>
      <w:r w:rsidRPr="00756922">
        <w:rPr>
          <w:lang w:val="en-US"/>
        </w:rPr>
        <w:t>.</w:t>
      </w:r>
    </w:p>
    <w:p w14:paraId="773F64FA" w14:textId="77777777" w:rsidR="00756922" w:rsidRPr="00756922" w:rsidRDefault="00BB0E4D" w:rsidP="00F71B9C">
      <w:pPr>
        <w:pStyle w:val="Heading2"/>
        <w:rPr>
          <w:lang w:val="en-US"/>
        </w:rPr>
      </w:pPr>
      <w:bookmarkStart w:id="34" w:name="_Toc227090073"/>
      <w:r>
        <w:rPr>
          <w:lang w:val="en-US"/>
        </w:rPr>
        <w:t xml:space="preserve">3.10 </w:t>
      </w:r>
      <w:r w:rsidRPr="00756922">
        <w:rPr>
          <w:lang w:val="en-US"/>
        </w:rPr>
        <w:t>Corporate social Responsibility (CSR) and Ethical issues</w:t>
      </w:r>
      <w:bookmarkEnd w:id="34"/>
    </w:p>
    <w:p w14:paraId="5611C9D3" w14:textId="77777777" w:rsidR="00756922" w:rsidRPr="00756922" w:rsidRDefault="00BB0E4D" w:rsidP="00756922">
      <w:pPr>
        <w:rPr>
          <w:lang w:val="en-US"/>
        </w:rPr>
      </w:pPr>
      <w:r w:rsidRPr="00756922">
        <w:rPr>
          <w:lang w:val="en-US"/>
        </w:rPr>
        <w:t>As one of the primary EV makers, BYD can make a significant contributio</w:t>
      </w:r>
      <w:r w:rsidRPr="00756922">
        <w:rPr>
          <w:lang w:val="en-US"/>
        </w:rPr>
        <w:t>n to sustainability and environmental protection. The decisions made in financial restructuring should be in line with these goals, where cost cutting and efficiency gains should not endanger the environment and social standards.</w:t>
      </w:r>
    </w:p>
    <w:p w14:paraId="03787900" w14:textId="77777777" w:rsidR="00756922" w:rsidRPr="00756922" w:rsidRDefault="00BB0E4D" w:rsidP="00756922">
      <w:pPr>
        <w:rPr>
          <w:lang w:val="en-US"/>
        </w:rPr>
      </w:pPr>
      <w:r w:rsidRPr="00756922">
        <w:rPr>
          <w:lang w:val="en-US"/>
        </w:rPr>
        <w:t>Ethical sourcing of raw ma</w:t>
      </w:r>
      <w:r w:rsidRPr="00756922">
        <w:rPr>
          <w:lang w:val="en-US"/>
        </w:rPr>
        <w:t xml:space="preserve">terials, especially those used in battery production, is a crucial issue. BYD should ensure its supply chain is responsible, with fair </w:t>
      </w:r>
      <w:proofErr w:type="spellStart"/>
      <w:r w:rsidRPr="00756922">
        <w:rPr>
          <w:lang w:val="en-US"/>
        </w:rPr>
        <w:t>labour</w:t>
      </w:r>
      <w:proofErr w:type="spellEnd"/>
      <w:r w:rsidRPr="00756922">
        <w:rPr>
          <w:lang w:val="en-US"/>
        </w:rPr>
        <w:t xml:space="preserve"> practices and environmental safety. Renewable energy and sustainable technologies can be invested in not only to a</w:t>
      </w:r>
      <w:r w:rsidRPr="00756922">
        <w:rPr>
          <w:lang w:val="en-US"/>
        </w:rPr>
        <w:t>dvance corporate social responsibility goals, but also to create greater long-term value and build brand reputation. Integrating financial strategy with sustainability goals is not only an ethical requirement but also a strategic benefit.</w:t>
      </w:r>
    </w:p>
    <w:p w14:paraId="3FC6A435" w14:textId="77777777" w:rsidR="00756922" w:rsidRPr="00756922" w:rsidRDefault="00BB0E4D" w:rsidP="00F71B9C">
      <w:pPr>
        <w:pStyle w:val="Heading1"/>
        <w:rPr>
          <w:lang w:val="en-US"/>
        </w:rPr>
      </w:pPr>
      <w:bookmarkStart w:id="35" w:name="_Toc227090074"/>
      <w:r>
        <w:rPr>
          <w:lang w:val="en-US"/>
        </w:rPr>
        <w:t xml:space="preserve">4. </w:t>
      </w:r>
      <w:r w:rsidRPr="00756922">
        <w:rPr>
          <w:lang w:val="en-US"/>
        </w:rPr>
        <w:t>Capital Budget</w:t>
      </w:r>
      <w:r w:rsidRPr="00756922">
        <w:rPr>
          <w:lang w:val="en-US"/>
        </w:rPr>
        <w:t>ing</w:t>
      </w:r>
      <w:r>
        <w:rPr>
          <w:lang w:val="en-US"/>
        </w:rPr>
        <w:t xml:space="preserve"> and </w:t>
      </w:r>
      <w:r w:rsidRPr="00756922">
        <w:rPr>
          <w:lang w:val="en-US"/>
        </w:rPr>
        <w:t>Investment Appraisal</w:t>
      </w:r>
      <w:bookmarkEnd w:id="35"/>
    </w:p>
    <w:p w14:paraId="4296495D" w14:textId="77777777" w:rsidR="00756922" w:rsidRDefault="00BB0E4D" w:rsidP="00756922">
      <w:pPr>
        <w:rPr>
          <w:lang w:val="en-US"/>
        </w:rPr>
      </w:pPr>
      <w:r w:rsidRPr="00756922">
        <w:rPr>
          <w:lang w:val="en-US"/>
        </w:rPr>
        <w:t>Investment appraisal is a critical aspect of financial decision-making for BYD, given its rapid growth, tight liquidity, and rising leverage. As observed in the working capital and financial health analysis, BYD faces cash flow</w:t>
      </w:r>
      <w:r w:rsidRPr="00756922">
        <w:rPr>
          <w:lang w:val="en-US"/>
        </w:rPr>
        <w:t xml:space="preserve"> and short-term solvency strains, despite high revenue growth. The capital budgeting decision, therefore, should focus more on ensuring profitability and liquidity maintenance, risk mitigation, and long-term strategic alignment. This part compares the Payb</w:t>
      </w:r>
      <w:r w:rsidRPr="00756922">
        <w:rPr>
          <w:lang w:val="en-US"/>
        </w:rPr>
        <w:t xml:space="preserve">ack Period (PBP), Accounting Rate of Return </w:t>
      </w:r>
      <w:r w:rsidRPr="00756922">
        <w:rPr>
          <w:lang w:val="en-US"/>
        </w:rPr>
        <w:lastRenderedPageBreak/>
        <w:t>(ARR), Net Present Value (NPV), Profitability Index (PI), and Internal Rate of Return (IRR) for three proposed projects (A, B, and C). Then it makes a capital rationing decision with a constraint limit of £100 mi</w:t>
      </w:r>
      <w:r w:rsidRPr="00756922">
        <w:rPr>
          <w:lang w:val="en-US"/>
        </w:rPr>
        <w:t>llion.</w:t>
      </w:r>
    </w:p>
    <w:p w14:paraId="1A8952E6" w14:textId="77777777" w:rsidR="0052035C" w:rsidRDefault="00BB0E4D" w:rsidP="0052035C">
      <w:pPr>
        <w:jc w:val="center"/>
        <w:rPr>
          <w:lang w:val="en-US"/>
        </w:rPr>
      </w:pPr>
      <w:r w:rsidRPr="0052035C">
        <w:rPr>
          <w:noProof/>
          <w:lang w:val="en-US"/>
        </w:rPr>
        <w:drawing>
          <wp:inline distT="0" distB="0" distL="0" distR="0" wp14:anchorId="4A133092" wp14:editId="5D3B2302">
            <wp:extent cx="5731510" cy="502285"/>
            <wp:effectExtent l="0" t="0" r="2540" b="0"/>
            <wp:docPr id="13168190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819075" name="Picture 11"/>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31510" cy="502285"/>
                    </a:xfrm>
                    <a:prstGeom prst="rect">
                      <a:avLst/>
                    </a:prstGeom>
                    <a:noFill/>
                    <a:ln>
                      <a:noFill/>
                    </a:ln>
                  </pic:spPr>
                </pic:pic>
              </a:graphicData>
            </a:graphic>
          </wp:inline>
        </w:drawing>
      </w:r>
    </w:p>
    <w:p w14:paraId="213DFA6D" w14:textId="77777777" w:rsidR="0052035C" w:rsidRDefault="00BB0E4D" w:rsidP="00DB49E9">
      <w:pPr>
        <w:pStyle w:val="Heading4"/>
      </w:pPr>
      <w:bookmarkStart w:id="36" w:name="_Toc227090043"/>
      <w:r>
        <w:t>Figure 8: Discounting factors by year</w:t>
      </w:r>
      <w:bookmarkEnd w:id="36"/>
    </w:p>
    <w:p w14:paraId="61BCFC44" w14:textId="77777777" w:rsidR="0052035C" w:rsidRDefault="00BB0E4D" w:rsidP="0052035C">
      <w:pPr>
        <w:jc w:val="center"/>
        <w:rPr>
          <w:lang w:val="en-US"/>
        </w:rPr>
      </w:pPr>
      <w:r>
        <w:rPr>
          <w:lang w:val="en-US"/>
        </w:rPr>
        <w:t>(Source: Excel)</w:t>
      </w:r>
    </w:p>
    <w:p w14:paraId="2A26A049" w14:textId="77777777" w:rsidR="00756922" w:rsidRDefault="00BB0E4D" w:rsidP="00756922">
      <w:pPr>
        <w:jc w:val="center"/>
        <w:rPr>
          <w:lang w:val="en-US"/>
        </w:rPr>
      </w:pPr>
      <w:r w:rsidRPr="0052035C">
        <w:rPr>
          <w:noProof/>
          <w:lang w:val="en-US"/>
        </w:rPr>
        <w:drawing>
          <wp:inline distT="0" distB="0" distL="0" distR="0" wp14:anchorId="40BAF8FD" wp14:editId="5FEEE603">
            <wp:extent cx="5731510" cy="2464435"/>
            <wp:effectExtent l="0" t="0" r="2540" b="0"/>
            <wp:docPr id="20054569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456976" name="Picture 8"/>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31510" cy="2464435"/>
                    </a:xfrm>
                    <a:prstGeom prst="rect">
                      <a:avLst/>
                    </a:prstGeom>
                    <a:noFill/>
                    <a:ln>
                      <a:noFill/>
                    </a:ln>
                  </pic:spPr>
                </pic:pic>
              </a:graphicData>
            </a:graphic>
          </wp:inline>
        </w:drawing>
      </w:r>
    </w:p>
    <w:p w14:paraId="26DFD35C" w14:textId="77777777" w:rsidR="0052035C" w:rsidRDefault="00BB0E4D" w:rsidP="00DB49E9">
      <w:pPr>
        <w:pStyle w:val="Heading4"/>
      </w:pPr>
      <w:bookmarkStart w:id="37" w:name="_Toc227090044"/>
      <w:r>
        <w:t>Figure 9: Project A appraisal</w:t>
      </w:r>
      <w:bookmarkEnd w:id="37"/>
    </w:p>
    <w:p w14:paraId="73BC24CB" w14:textId="77777777" w:rsidR="0052035C" w:rsidRDefault="00BB0E4D" w:rsidP="0052035C">
      <w:pPr>
        <w:jc w:val="center"/>
        <w:rPr>
          <w:lang w:val="en-US"/>
        </w:rPr>
      </w:pPr>
      <w:r>
        <w:rPr>
          <w:lang w:val="en-US"/>
        </w:rPr>
        <w:t>(Source: Excel)</w:t>
      </w:r>
    </w:p>
    <w:p w14:paraId="13DC7EAD" w14:textId="77777777" w:rsidR="0052035C" w:rsidRDefault="00BB0E4D" w:rsidP="00756922">
      <w:pPr>
        <w:jc w:val="center"/>
        <w:rPr>
          <w:lang w:val="en-US"/>
        </w:rPr>
      </w:pPr>
      <w:r w:rsidRPr="0052035C">
        <w:rPr>
          <w:noProof/>
          <w:lang w:val="en-US"/>
        </w:rPr>
        <w:drawing>
          <wp:inline distT="0" distB="0" distL="0" distR="0" wp14:anchorId="6AFAF4B4" wp14:editId="388A81A5">
            <wp:extent cx="5731510" cy="2464435"/>
            <wp:effectExtent l="0" t="0" r="2540" b="0"/>
            <wp:docPr id="5444901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90148" name="Picture 9"/>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1510" cy="2464435"/>
                    </a:xfrm>
                    <a:prstGeom prst="rect">
                      <a:avLst/>
                    </a:prstGeom>
                    <a:noFill/>
                    <a:ln>
                      <a:noFill/>
                    </a:ln>
                  </pic:spPr>
                </pic:pic>
              </a:graphicData>
            </a:graphic>
          </wp:inline>
        </w:drawing>
      </w:r>
    </w:p>
    <w:p w14:paraId="0CF4814D" w14:textId="77777777" w:rsidR="0052035C" w:rsidRDefault="00BB0E4D" w:rsidP="00DB49E9">
      <w:pPr>
        <w:pStyle w:val="Heading4"/>
      </w:pPr>
      <w:bookmarkStart w:id="38" w:name="_Toc227090045"/>
      <w:r>
        <w:t>Figure 10: Project B appraisal</w:t>
      </w:r>
      <w:bookmarkEnd w:id="38"/>
    </w:p>
    <w:p w14:paraId="1B112145" w14:textId="77777777" w:rsidR="0052035C" w:rsidRDefault="00BB0E4D" w:rsidP="0052035C">
      <w:pPr>
        <w:jc w:val="center"/>
        <w:rPr>
          <w:lang w:val="en-US"/>
        </w:rPr>
      </w:pPr>
      <w:r>
        <w:rPr>
          <w:lang w:val="en-US"/>
        </w:rPr>
        <w:t>(Source: Excel)</w:t>
      </w:r>
    </w:p>
    <w:p w14:paraId="7B3613AD" w14:textId="77777777" w:rsidR="0052035C" w:rsidRDefault="00BB0E4D" w:rsidP="00756922">
      <w:pPr>
        <w:jc w:val="center"/>
        <w:rPr>
          <w:lang w:val="en-US"/>
        </w:rPr>
      </w:pPr>
      <w:r w:rsidRPr="0052035C">
        <w:rPr>
          <w:noProof/>
          <w:lang w:val="en-US"/>
        </w:rPr>
        <w:lastRenderedPageBreak/>
        <w:drawing>
          <wp:inline distT="0" distB="0" distL="0" distR="0" wp14:anchorId="349C7248" wp14:editId="70D8F7BD">
            <wp:extent cx="5731510" cy="2464435"/>
            <wp:effectExtent l="0" t="0" r="2540" b="0"/>
            <wp:docPr id="2135346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34651" name="Picture 10"/>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731510" cy="2464435"/>
                    </a:xfrm>
                    <a:prstGeom prst="rect">
                      <a:avLst/>
                    </a:prstGeom>
                    <a:noFill/>
                    <a:ln>
                      <a:noFill/>
                    </a:ln>
                  </pic:spPr>
                </pic:pic>
              </a:graphicData>
            </a:graphic>
          </wp:inline>
        </w:drawing>
      </w:r>
    </w:p>
    <w:p w14:paraId="649DDC37" w14:textId="091C08F6" w:rsidR="0052035C" w:rsidRDefault="00BB0E4D" w:rsidP="00DB49E9">
      <w:pPr>
        <w:pStyle w:val="Heading4"/>
      </w:pPr>
      <w:bookmarkStart w:id="39" w:name="_Toc227090046"/>
      <w:r>
        <w:t xml:space="preserve">Figure </w:t>
      </w:r>
      <w:r w:rsidR="008D61B9">
        <w:t>11</w:t>
      </w:r>
      <w:r>
        <w:t>: Project C appraisal</w:t>
      </w:r>
      <w:bookmarkEnd w:id="39"/>
    </w:p>
    <w:p w14:paraId="17161A4D" w14:textId="77777777" w:rsidR="0052035C" w:rsidRPr="00756922" w:rsidRDefault="00BB0E4D" w:rsidP="0052035C">
      <w:pPr>
        <w:jc w:val="center"/>
        <w:rPr>
          <w:lang w:val="en-US"/>
        </w:rPr>
      </w:pPr>
      <w:r>
        <w:rPr>
          <w:lang w:val="en-US"/>
        </w:rPr>
        <w:t>(Source: Excel)</w:t>
      </w:r>
    </w:p>
    <w:p w14:paraId="45FBBA2A" w14:textId="77777777" w:rsidR="00756922" w:rsidRPr="00756922" w:rsidRDefault="00BB0E4D" w:rsidP="00F71B9C">
      <w:pPr>
        <w:pStyle w:val="Heading2"/>
        <w:rPr>
          <w:lang w:val="en-US"/>
        </w:rPr>
      </w:pPr>
      <w:bookmarkStart w:id="40" w:name="_Toc227090075"/>
      <w:r>
        <w:rPr>
          <w:lang w:val="en-US"/>
        </w:rPr>
        <w:t xml:space="preserve">4.1 </w:t>
      </w:r>
      <w:r w:rsidRPr="00756922">
        <w:rPr>
          <w:lang w:val="en-US"/>
        </w:rPr>
        <w:t>Payback Period</w:t>
      </w:r>
      <w:r>
        <w:rPr>
          <w:lang w:val="en-US"/>
        </w:rPr>
        <w:t xml:space="preserve"> (PBP)</w:t>
      </w:r>
      <w:r w:rsidRPr="00756922">
        <w:rPr>
          <w:lang w:val="en-US"/>
        </w:rPr>
        <w:t xml:space="preserve"> Evaluation</w:t>
      </w:r>
      <w:bookmarkEnd w:id="40"/>
    </w:p>
    <w:p w14:paraId="6521ADF4" w14:textId="77777777" w:rsidR="00756922" w:rsidRPr="00756922" w:rsidRDefault="00BB0E4D" w:rsidP="00756922">
      <w:pPr>
        <w:rPr>
          <w:lang w:val="en-US"/>
        </w:rPr>
      </w:pPr>
      <w:r w:rsidRPr="00756922">
        <w:rPr>
          <w:lang w:val="en-US"/>
        </w:rPr>
        <w:t>The payback</w:t>
      </w:r>
      <w:r w:rsidRPr="00756922">
        <w:rPr>
          <w:lang w:val="en-US"/>
        </w:rPr>
        <w:t xml:space="preserve"> period is the time required to recover the initial investment, and it is especially useful for assessing liquidity risk</w:t>
      </w:r>
      <w:r w:rsidR="00035BFE">
        <w:rPr>
          <w:lang w:val="en-US"/>
        </w:rPr>
        <w:t xml:space="preserve"> (</w:t>
      </w:r>
      <w:proofErr w:type="spellStart"/>
      <w:r w:rsidR="00035BFE" w:rsidRPr="00F42BE7">
        <w:t>Wangchuk</w:t>
      </w:r>
      <w:proofErr w:type="spellEnd"/>
      <w:r w:rsidR="00035BFE" w:rsidRPr="00F42BE7">
        <w:t>, 2022)</w:t>
      </w:r>
      <w:r w:rsidRPr="00756922">
        <w:rPr>
          <w:lang w:val="en-US"/>
        </w:rPr>
        <w:t>. Project A has a payback period of 4.50 years, and Project B has a slightly higher payback period of 4.55 years. Conve</w:t>
      </w:r>
      <w:r w:rsidRPr="00756922">
        <w:rPr>
          <w:lang w:val="en-US"/>
        </w:rPr>
        <w:t>rsely, Project C has a much shorter payback period of around 3.60 years using cumulative cash flows, although the table shows a simplified payback period of 2.00 years.</w:t>
      </w:r>
    </w:p>
    <w:p w14:paraId="581B5B88" w14:textId="77777777" w:rsidR="00756922" w:rsidRPr="00756922" w:rsidRDefault="00BB0E4D" w:rsidP="00756922">
      <w:pPr>
        <w:rPr>
          <w:lang w:val="en-US"/>
        </w:rPr>
      </w:pPr>
      <w:r w:rsidRPr="00756922">
        <w:rPr>
          <w:lang w:val="en-US"/>
        </w:rPr>
        <w:t xml:space="preserve">Financially, Project C is by far the better choice in terms of liquidity, as it breaks </w:t>
      </w:r>
      <w:r w:rsidRPr="00756922">
        <w:rPr>
          <w:lang w:val="en-US"/>
        </w:rPr>
        <w:t xml:space="preserve">even on the initial £50 million investment sooner. This is particularly significant for BYD, which currently has low liquidity ratios, with both the current and quick ratios below 1. The short payback period will </w:t>
      </w:r>
      <w:proofErr w:type="spellStart"/>
      <w:r w:rsidRPr="00756922">
        <w:rPr>
          <w:lang w:val="en-US"/>
        </w:rPr>
        <w:t>minimise</w:t>
      </w:r>
      <w:proofErr w:type="spellEnd"/>
      <w:r w:rsidRPr="00756922">
        <w:rPr>
          <w:lang w:val="en-US"/>
        </w:rPr>
        <w:t xml:space="preserve"> exposure to uncertainty and increa</w:t>
      </w:r>
      <w:r w:rsidRPr="00756922">
        <w:rPr>
          <w:lang w:val="en-US"/>
        </w:rPr>
        <w:t>se cash flow availability, which is extremely important in a capital-intensive business</w:t>
      </w:r>
      <w:r w:rsidR="00035BFE">
        <w:rPr>
          <w:lang w:val="en-US"/>
        </w:rPr>
        <w:t xml:space="preserve"> (</w:t>
      </w:r>
      <w:proofErr w:type="spellStart"/>
      <w:r w:rsidR="00035BFE" w:rsidRPr="00F42BE7">
        <w:t>Sinaga</w:t>
      </w:r>
      <w:proofErr w:type="spellEnd"/>
      <w:r w:rsidR="00035BFE">
        <w:t xml:space="preserve"> </w:t>
      </w:r>
      <w:r w:rsidR="00035BFE">
        <w:rPr>
          <w:i/>
          <w:iCs/>
        </w:rPr>
        <w:t>et al.,</w:t>
      </w:r>
      <w:r w:rsidR="00035BFE">
        <w:t xml:space="preserve"> 2023)</w:t>
      </w:r>
      <w:r w:rsidRPr="00756922">
        <w:rPr>
          <w:lang w:val="en-US"/>
        </w:rPr>
        <w:t>. The drawback of the payback method, though, is that it does not consider the time value of money or cash flows outside the recovery period and th</w:t>
      </w:r>
      <w:r w:rsidRPr="00756922">
        <w:rPr>
          <w:lang w:val="en-US"/>
        </w:rPr>
        <w:t>erefore should not be used as a decision criterion on its own.</w:t>
      </w:r>
    </w:p>
    <w:p w14:paraId="2C934DD8" w14:textId="77777777" w:rsidR="00756922" w:rsidRPr="00756922" w:rsidRDefault="00BB0E4D" w:rsidP="00F71B9C">
      <w:pPr>
        <w:pStyle w:val="Heading2"/>
        <w:rPr>
          <w:lang w:val="en-US"/>
        </w:rPr>
      </w:pPr>
      <w:bookmarkStart w:id="41" w:name="_Toc227090076"/>
      <w:r>
        <w:rPr>
          <w:lang w:val="en-US"/>
        </w:rPr>
        <w:t xml:space="preserve">4.2 </w:t>
      </w:r>
      <w:r w:rsidRPr="00756922">
        <w:rPr>
          <w:lang w:val="en-US"/>
        </w:rPr>
        <w:t xml:space="preserve">Accounting Rate of Return </w:t>
      </w:r>
      <w:r>
        <w:rPr>
          <w:lang w:val="en-US"/>
        </w:rPr>
        <w:t>(</w:t>
      </w:r>
      <w:r w:rsidRPr="00756922">
        <w:rPr>
          <w:lang w:val="en-US"/>
        </w:rPr>
        <w:t>ARR</w:t>
      </w:r>
      <w:r>
        <w:rPr>
          <w:lang w:val="en-US"/>
        </w:rPr>
        <w:t>)</w:t>
      </w:r>
      <w:r w:rsidRPr="00756922">
        <w:rPr>
          <w:lang w:val="en-US"/>
        </w:rPr>
        <w:t xml:space="preserve"> Analysis</w:t>
      </w:r>
      <w:bookmarkEnd w:id="41"/>
    </w:p>
    <w:p w14:paraId="2A1E1E5A" w14:textId="77777777" w:rsidR="00756922" w:rsidRPr="00756922" w:rsidRDefault="00BB0E4D" w:rsidP="00756922">
      <w:pPr>
        <w:rPr>
          <w:lang w:val="en-US"/>
        </w:rPr>
      </w:pPr>
      <w:r w:rsidRPr="00756922">
        <w:rPr>
          <w:lang w:val="en-US"/>
        </w:rPr>
        <w:t xml:space="preserve">Accounting Rate of Return indicates average profitability relative to the original investment. Project A yields an ARR of 1.60, Project B yields an </w:t>
      </w:r>
      <w:r w:rsidRPr="00756922">
        <w:rPr>
          <w:lang w:val="en-US"/>
        </w:rPr>
        <w:t>ARR of 2.00, and Project C yields a much better ARR of 6.00. This implies that Project C will have the best accounting profitability during its lifecycle.</w:t>
      </w:r>
    </w:p>
    <w:p w14:paraId="607F3617" w14:textId="77777777" w:rsidR="00756922" w:rsidRPr="00756922" w:rsidRDefault="00BB0E4D" w:rsidP="00756922">
      <w:pPr>
        <w:rPr>
          <w:lang w:val="en-US"/>
        </w:rPr>
      </w:pPr>
      <w:r w:rsidRPr="00756922">
        <w:rPr>
          <w:lang w:val="en-US"/>
        </w:rPr>
        <w:lastRenderedPageBreak/>
        <w:t>In the case of BYD, where the return on equity decreased from 22.33% in 2024 to 13.13% in 2025, it wo</w:t>
      </w:r>
      <w:r w:rsidRPr="00756922">
        <w:rPr>
          <w:lang w:val="en-US"/>
        </w:rPr>
        <w:t>uld be necessary to select projects with high profitability to regain investor confidence and achieve better financial results</w:t>
      </w:r>
      <w:r w:rsidR="00035BFE">
        <w:rPr>
          <w:lang w:val="en-US"/>
        </w:rPr>
        <w:t xml:space="preserve"> (</w:t>
      </w:r>
      <w:proofErr w:type="spellStart"/>
      <w:r w:rsidR="00035BFE" w:rsidRPr="00F42BE7">
        <w:t>Tulhayat</w:t>
      </w:r>
      <w:proofErr w:type="spellEnd"/>
      <w:r w:rsidR="00035BFE">
        <w:t xml:space="preserve"> </w:t>
      </w:r>
      <w:r w:rsidR="00035BFE">
        <w:rPr>
          <w:i/>
          <w:iCs/>
        </w:rPr>
        <w:t>et al.,</w:t>
      </w:r>
      <w:r w:rsidR="00035BFE">
        <w:t xml:space="preserve"> 2025)</w:t>
      </w:r>
      <w:r w:rsidRPr="00756922">
        <w:rPr>
          <w:lang w:val="en-US"/>
        </w:rPr>
        <w:t xml:space="preserve">. The high ARR of project C meets this goal. However, ARR is based on accounting profits rather than cash </w:t>
      </w:r>
      <w:r w:rsidRPr="00756922">
        <w:rPr>
          <w:lang w:val="en-US"/>
        </w:rPr>
        <w:t>flows and does not account for the time value of money, which limits its use in capital budgeting decisions.</w:t>
      </w:r>
    </w:p>
    <w:p w14:paraId="0B4AF091" w14:textId="77777777" w:rsidR="00756922" w:rsidRPr="00756922" w:rsidRDefault="00BB0E4D" w:rsidP="00F71B9C">
      <w:pPr>
        <w:pStyle w:val="Heading2"/>
        <w:rPr>
          <w:lang w:val="en-US"/>
        </w:rPr>
      </w:pPr>
      <w:bookmarkStart w:id="42" w:name="_Toc227090077"/>
      <w:r>
        <w:rPr>
          <w:lang w:val="en-US"/>
        </w:rPr>
        <w:t xml:space="preserve">4.3 </w:t>
      </w:r>
      <w:r w:rsidRPr="00756922">
        <w:rPr>
          <w:lang w:val="en-US"/>
        </w:rPr>
        <w:t xml:space="preserve">Net Present Value </w:t>
      </w:r>
      <w:r>
        <w:rPr>
          <w:lang w:val="en-US"/>
        </w:rPr>
        <w:t>(</w:t>
      </w:r>
      <w:r w:rsidRPr="00756922">
        <w:rPr>
          <w:lang w:val="en-US"/>
        </w:rPr>
        <w:t>NPV</w:t>
      </w:r>
      <w:r>
        <w:rPr>
          <w:lang w:val="en-US"/>
        </w:rPr>
        <w:t>)</w:t>
      </w:r>
      <w:r w:rsidRPr="00756922">
        <w:rPr>
          <w:lang w:val="en-US"/>
        </w:rPr>
        <w:t xml:space="preserve"> Evaluation</w:t>
      </w:r>
      <w:bookmarkEnd w:id="42"/>
    </w:p>
    <w:p w14:paraId="54FBA6D8" w14:textId="77777777" w:rsidR="00756922" w:rsidRPr="00756922" w:rsidRDefault="00BB0E4D" w:rsidP="00756922">
      <w:pPr>
        <w:rPr>
          <w:lang w:val="en-US"/>
        </w:rPr>
      </w:pPr>
      <w:r w:rsidRPr="00756922">
        <w:rPr>
          <w:lang w:val="en-US"/>
        </w:rPr>
        <w:t>Net Present Value is commonly considered the best way to evaluate investment decisions because it accounts f</w:t>
      </w:r>
      <w:r w:rsidRPr="00756922">
        <w:rPr>
          <w:lang w:val="en-US"/>
        </w:rPr>
        <w:t>or the time value of money and directly measures the value created. All three projects have negative NPVs at a 10 per cent discount rate. Project A NPV = -£8.676 million, Project B = -£8.301 million and Project C = the least negative NPV = -1.984 million.</w:t>
      </w:r>
    </w:p>
    <w:p w14:paraId="553C80D6" w14:textId="77777777" w:rsidR="00756922" w:rsidRPr="00756922" w:rsidRDefault="00BB0E4D" w:rsidP="00756922">
      <w:pPr>
        <w:rPr>
          <w:lang w:val="en-US"/>
        </w:rPr>
      </w:pPr>
      <w:r w:rsidRPr="00756922">
        <w:rPr>
          <w:lang w:val="en-US"/>
        </w:rPr>
        <w:t>Negative NPVs indicate that not all projects will meet the required rate of return, meaning they would decrease shareholder value in a purely financial context</w:t>
      </w:r>
      <w:r w:rsidR="00035BFE">
        <w:rPr>
          <w:lang w:val="en-US"/>
        </w:rPr>
        <w:t xml:space="preserve"> (</w:t>
      </w:r>
      <w:proofErr w:type="spellStart"/>
      <w:r w:rsidR="00035BFE" w:rsidRPr="00F42BE7">
        <w:t>Sekhar</w:t>
      </w:r>
      <w:proofErr w:type="spellEnd"/>
      <w:r w:rsidR="00035BFE" w:rsidRPr="00F42BE7">
        <w:t>, 2025)</w:t>
      </w:r>
      <w:r w:rsidRPr="00756922">
        <w:rPr>
          <w:lang w:val="en-US"/>
        </w:rPr>
        <w:t xml:space="preserve">. Nonetheless, Project C is the most </w:t>
      </w:r>
      <w:proofErr w:type="spellStart"/>
      <w:r w:rsidRPr="00756922">
        <w:rPr>
          <w:lang w:val="en-US"/>
        </w:rPr>
        <w:t>favourable</w:t>
      </w:r>
      <w:proofErr w:type="spellEnd"/>
      <w:r w:rsidRPr="00756922">
        <w:rPr>
          <w:lang w:val="en-US"/>
        </w:rPr>
        <w:t xml:space="preserve">, since it </w:t>
      </w:r>
      <w:proofErr w:type="spellStart"/>
      <w:r w:rsidRPr="00756922">
        <w:rPr>
          <w:lang w:val="en-US"/>
        </w:rPr>
        <w:t>minimises</w:t>
      </w:r>
      <w:proofErr w:type="spellEnd"/>
      <w:r w:rsidRPr="00756922">
        <w:rPr>
          <w:lang w:val="en-US"/>
        </w:rPr>
        <w:t xml:space="preserve"> value destruct</w:t>
      </w:r>
      <w:r w:rsidRPr="00756922">
        <w:rPr>
          <w:lang w:val="en-US"/>
        </w:rPr>
        <w:t>ion and is as close to breakeven as possible.</w:t>
      </w:r>
    </w:p>
    <w:p w14:paraId="0D277FD1" w14:textId="77777777" w:rsidR="0059562D" w:rsidRDefault="00BB0E4D" w:rsidP="00756922">
      <w:pPr>
        <w:rPr>
          <w:lang w:val="en-US"/>
        </w:rPr>
      </w:pPr>
      <w:r w:rsidRPr="00756922">
        <w:rPr>
          <w:lang w:val="en-US"/>
        </w:rPr>
        <w:t>Given BYD's already elevated debt levels and declining operating cash flow in 2025, investing in projects with negative NPVs poses a serious financial risk. Thus, all projects must be eliminated on strict finan</w:t>
      </w:r>
      <w:r w:rsidRPr="00756922">
        <w:rPr>
          <w:lang w:val="en-US"/>
        </w:rPr>
        <w:t>cial grounds</w:t>
      </w:r>
      <w:r w:rsidR="00035BFE">
        <w:rPr>
          <w:lang w:val="en-US"/>
        </w:rPr>
        <w:t xml:space="preserve"> (</w:t>
      </w:r>
      <w:proofErr w:type="spellStart"/>
      <w:r w:rsidR="00035BFE" w:rsidRPr="00F42BE7">
        <w:t>Sekhar</w:t>
      </w:r>
      <w:proofErr w:type="spellEnd"/>
      <w:r w:rsidR="00035BFE" w:rsidRPr="00F42BE7">
        <w:t>, 2025)</w:t>
      </w:r>
      <w:r w:rsidRPr="00756922">
        <w:rPr>
          <w:lang w:val="en-US"/>
        </w:rPr>
        <w:t>. But in real life, strategic factors tend to drive investment decisions, especially in sectors where technology is changing rapidly and competition is intense.</w:t>
      </w:r>
    </w:p>
    <w:p w14:paraId="3F5F21E2" w14:textId="77777777" w:rsidR="00B759B2" w:rsidRPr="00B759B2" w:rsidRDefault="00BB0E4D" w:rsidP="00F71B9C">
      <w:pPr>
        <w:pStyle w:val="Heading2"/>
        <w:rPr>
          <w:lang w:val="en-US"/>
        </w:rPr>
      </w:pPr>
      <w:bookmarkStart w:id="43" w:name="_Toc227090078"/>
      <w:r>
        <w:rPr>
          <w:lang w:val="en-US"/>
        </w:rPr>
        <w:t xml:space="preserve">4.4 </w:t>
      </w:r>
      <w:r w:rsidRPr="00B759B2">
        <w:rPr>
          <w:lang w:val="en-US"/>
        </w:rPr>
        <w:t>Profitability Index</w:t>
      </w:r>
      <w:r>
        <w:rPr>
          <w:lang w:val="en-US"/>
        </w:rPr>
        <w:t xml:space="preserve"> (PI)</w:t>
      </w:r>
      <w:r w:rsidRPr="00B759B2">
        <w:rPr>
          <w:lang w:val="en-US"/>
        </w:rPr>
        <w:t xml:space="preserve"> Evaluation</w:t>
      </w:r>
      <w:bookmarkEnd w:id="43"/>
    </w:p>
    <w:p w14:paraId="3FA3B457" w14:textId="77777777" w:rsidR="00B759B2" w:rsidRPr="00B759B2" w:rsidRDefault="00BB0E4D" w:rsidP="00B759B2">
      <w:pPr>
        <w:rPr>
          <w:lang w:val="en-US"/>
        </w:rPr>
      </w:pPr>
      <w:r w:rsidRPr="00B759B2">
        <w:rPr>
          <w:lang w:val="en-US"/>
        </w:rPr>
        <w:t xml:space="preserve">The profitability index is </w:t>
      </w:r>
      <w:r w:rsidRPr="00B759B2">
        <w:rPr>
          <w:lang w:val="en-US"/>
        </w:rPr>
        <w:t>used to determine how efficiently capital is used by dividing the present value of the inflows by the initial investment</w:t>
      </w:r>
      <w:r w:rsidR="00035BFE">
        <w:rPr>
          <w:lang w:val="en-US"/>
        </w:rPr>
        <w:t xml:space="preserve"> (</w:t>
      </w:r>
      <w:proofErr w:type="spellStart"/>
      <w:r w:rsidR="00035BFE" w:rsidRPr="00F42BE7">
        <w:t>Usodan</w:t>
      </w:r>
      <w:proofErr w:type="spellEnd"/>
      <w:r w:rsidR="00035BFE">
        <w:t xml:space="preserve"> </w:t>
      </w:r>
      <w:r w:rsidR="00035BFE">
        <w:rPr>
          <w:i/>
          <w:iCs/>
        </w:rPr>
        <w:t>et al.,</w:t>
      </w:r>
      <w:r w:rsidR="00035BFE">
        <w:t xml:space="preserve"> 2025)</w:t>
      </w:r>
      <w:r w:rsidRPr="00B759B2">
        <w:rPr>
          <w:lang w:val="en-US"/>
        </w:rPr>
        <w:t xml:space="preserve">. Project A has a PI of 82.65%, Project B has a PI of 83.40%, and Project C has the highest PI at 96.03%. None of </w:t>
      </w:r>
      <w:r w:rsidRPr="00B759B2">
        <w:rPr>
          <w:lang w:val="en-US"/>
        </w:rPr>
        <w:t>the projects has a PI above 1, which would reflect the value creation, but Project C once again shows better performance.</w:t>
      </w:r>
    </w:p>
    <w:p w14:paraId="064A5443" w14:textId="77777777" w:rsidR="00B759B2" w:rsidRPr="00B759B2" w:rsidRDefault="00BB0E4D" w:rsidP="00B759B2">
      <w:pPr>
        <w:rPr>
          <w:lang w:val="en-US"/>
        </w:rPr>
      </w:pPr>
      <w:r w:rsidRPr="00B759B2">
        <w:rPr>
          <w:lang w:val="en-US"/>
        </w:rPr>
        <w:t>This supports the NPV analysis, which shows that Project C has the highest return per unit of investment. The profitability index is a</w:t>
      </w:r>
      <w:r w:rsidRPr="00B759B2">
        <w:rPr>
          <w:lang w:val="en-US"/>
        </w:rPr>
        <w:t xml:space="preserve"> helpful additional measure in a setting where financial resources are scarce and leverage is rising.</w:t>
      </w:r>
    </w:p>
    <w:p w14:paraId="6C8F3BF8" w14:textId="77777777" w:rsidR="00B759B2" w:rsidRPr="00B759B2" w:rsidRDefault="00BB0E4D" w:rsidP="00F71B9C">
      <w:pPr>
        <w:pStyle w:val="Heading2"/>
        <w:rPr>
          <w:lang w:val="en-US"/>
        </w:rPr>
      </w:pPr>
      <w:bookmarkStart w:id="44" w:name="_Toc227090079"/>
      <w:r>
        <w:rPr>
          <w:lang w:val="en-US"/>
        </w:rPr>
        <w:lastRenderedPageBreak/>
        <w:t xml:space="preserve">4.5 </w:t>
      </w:r>
      <w:r w:rsidRPr="00B759B2">
        <w:rPr>
          <w:lang w:val="en-US"/>
        </w:rPr>
        <w:t xml:space="preserve">Internal </w:t>
      </w:r>
      <w:r>
        <w:rPr>
          <w:lang w:val="en-US"/>
        </w:rPr>
        <w:t>R</w:t>
      </w:r>
      <w:r w:rsidRPr="00B759B2">
        <w:rPr>
          <w:lang w:val="en-US"/>
        </w:rPr>
        <w:t>ate of Return</w:t>
      </w:r>
      <w:r>
        <w:rPr>
          <w:lang w:val="en-US"/>
        </w:rPr>
        <w:t xml:space="preserve"> (IRR)</w:t>
      </w:r>
      <w:r w:rsidRPr="00B759B2">
        <w:rPr>
          <w:lang w:val="en-US"/>
        </w:rPr>
        <w:t xml:space="preserve"> analysis</w:t>
      </w:r>
      <w:bookmarkEnd w:id="44"/>
    </w:p>
    <w:p w14:paraId="4DFC8AAF" w14:textId="77777777" w:rsidR="00B759B2" w:rsidRPr="00B759B2" w:rsidRDefault="00BB0E4D" w:rsidP="00B759B2">
      <w:pPr>
        <w:rPr>
          <w:lang w:val="en-US"/>
        </w:rPr>
      </w:pPr>
      <w:r w:rsidRPr="00B759B2">
        <w:rPr>
          <w:lang w:val="en-US"/>
        </w:rPr>
        <w:t>The Internal rate of Return is the discount rate at which the NPV of a project is zero. Project A has an IRR of</w:t>
      </w:r>
      <w:r w:rsidRPr="00B759B2">
        <w:rPr>
          <w:lang w:val="en-US"/>
        </w:rPr>
        <w:t xml:space="preserve"> 2.72, Project B has 3.26, and Project C has 8.59. None of the projects satisfies BYD's cost of capital, as all the IRRs are below the required 10%.</w:t>
      </w:r>
    </w:p>
    <w:p w14:paraId="6C61437F" w14:textId="77777777" w:rsidR="00B759B2" w:rsidRPr="00B759B2" w:rsidRDefault="00BB0E4D" w:rsidP="00B759B2">
      <w:pPr>
        <w:rPr>
          <w:lang w:val="en-US"/>
        </w:rPr>
      </w:pPr>
      <w:r w:rsidRPr="00B759B2">
        <w:rPr>
          <w:lang w:val="en-US"/>
        </w:rPr>
        <w:t xml:space="preserve">Nevertheless, Project C is once again ahead of the rest, with an IRR much closer to the required one. This </w:t>
      </w:r>
      <w:r w:rsidRPr="00B759B2">
        <w:rPr>
          <w:lang w:val="en-US"/>
        </w:rPr>
        <w:t xml:space="preserve">implies that Project C is more immune to changes in discount rates and may become viable when conditions are slightly more </w:t>
      </w:r>
      <w:proofErr w:type="spellStart"/>
      <w:r w:rsidRPr="00B759B2">
        <w:rPr>
          <w:lang w:val="en-US"/>
        </w:rPr>
        <w:t>favourable</w:t>
      </w:r>
      <w:proofErr w:type="spellEnd"/>
      <w:r w:rsidRPr="00B759B2">
        <w:rPr>
          <w:lang w:val="en-US"/>
        </w:rPr>
        <w:t>, e.g., when financing costs are lower or cash flow forecasts improve</w:t>
      </w:r>
      <w:r w:rsidR="00035BFE">
        <w:rPr>
          <w:lang w:val="en-US"/>
        </w:rPr>
        <w:t xml:space="preserve"> (</w:t>
      </w:r>
      <w:proofErr w:type="spellStart"/>
      <w:r w:rsidR="00035BFE" w:rsidRPr="00F42BE7">
        <w:t>Usodan</w:t>
      </w:r>
      <w:proofErr w:type="spellEnd"/>
      <w:r w:rsidR="00035BFE">
        <w:t xml:space="preserve"> </w:t>
      </w:r>
      <w:r w:rsidR="00035BFE">
        <w:rPr>
          <w:i/>
          <w:iCs/>
        </w:rPr>
        <w:t>et al.,</w:t>
      </w:r>
      <w:r w:rsidR="00035BFE">
        <w:t xml:space="preserve"> 2025)</w:t>
      </w:r>
      <w:r w:rsidRPr="00B759B2">
        <w:rPr>
          <w:lang w:val="en-US"/>
        </w:rPr>
        <w:t>.</w:t>
      </w:r>
    </w:p>
    <w:p w14:paraId="6A675CDD" w14:textId="77777777" w:rsidR="00B759B2" w:rsidRPr="00B759B2" w:rsidRDefault="00BB0E4D" w:rsidP="00F71B9C">
      <w:pPr>
        <w:pStyle w:val="Heading2"/>
        <w:rPr>
          <w:lang w:val="en-US"/>
        </w:rPr>
      </w:pPr>
      <w:bookmarkStart w:id="45" w:name="_Toc227090080"/>
      <w:r>
        <w:rPr>
          <w:lang w:val="en-US"/>
        </w:rPr>
        <w:t xml:space="preserve">4.6 </w:t>
      </w:r>
      <w:r w:rsidRPr="00B759B2">
        <w:rPr>
          <w:lang w:val="en-US"/>
        </w:rPr>
        <w:t>General Comparison of Proj</w:t>
      </w:r>
      <w:r w:rsidRPr="00B759B2">
        <w:rPr>
          <w:lang w:val="en-US"/>
        </w:rPr>
        <w:t>ects and Recommendation</w:t>
      </w:r>
      <w:bookmarkEnd w:id="45"/>
    </w:p>
    <w:p w14:paraId="1A6282B3" w14:textId="77777777" w:rsidR="00B759B2" w:rsidRPr="00B759B2" w:rsidRDefault="00BB0E4D" w:rsidP="00B759B2">
      <w:pPr>
        <w:rPr>
          <w:lang w:val="en-US"/>
        </w:rPr>
      </w:pPr>
      <w:r w:rsidRPr="00B759B2">
        <w:rPr>
          <w:lang w:val="en-US"/>
        </w:rPr>
        <w:t>An overall assessment of all appraisal methods will always reveal Project C as the most appealing. It has the shortest payback period, the highest ARR, the least negative NPV, the highest profitability index, and the highest IRR. It</w:t>
      </w:r>
      <w:r w:rsidRPr="00B759B2">
        <w:rPr>
          <w:lang w:val="en-US"/>
        </w:rPr>
        <w:t xml:space="preserve"> is, however, important to note that none of the projects has positive NPVs, meaning they do not generate the required rate of return for the company. In the case of BYD, which is already experiencing liquidity pressures and rising leverage, investing in s</w:t>
      </w:r>
      <w:r w:rsidRPr="00B759B2">
        <w:rPr>
          <w:lang w:val="en-US"/>
        </w:rPr>
        <w:t>uch projects could increase financial risk. Thus, the rationale for the decision should be strategic rather than financial indicators.</w:t>
      </w:r>
    </w:p>
    <w:p w14:paraId="503CBC88" w14:textId="77777777" w:rsidR="00B759B2" w:rsidRPr="00B759B2" w:rsidRDefault="00BB0E4D" w:rsidP="00B759B2">
      <w:pPr>
        <w:rPr>
          <w:lang w:val="en-US"/>
        </w:rPr>
      </w:pPr>
      <w:r w:rsidRPr="00B759B2">
        <w:rPr>
          <w:lang w:val="en-US"/>
        </w:rPr>
        <w:t>The cash flow profile of Project C, with a significant inflow in the mid-years, aligns with the BYD growth strategy and t</w:t>
      </w:r>
      <w:r w:rsidRPr="00B759B2">
        <w:rPr>
          <w:lang w:val="en-US"/>
        </w:rPr>
        <w:t xml:space="preserve">he need to scale up production and innovation. It also offers a quicker cash recovery, which is advantageous given the company's poor liquidity. Thus, the best individual project is recommended to be Project C, if strategic benefits outweigh the financial </w:t>
      </w:r>
      <w:r w:rsidRPr="00B759B2">
        <w:rPr>
          <w:lang w:val="en-US"/>
        </w:rPr>
        <w:t>deficits.</w:t>
      </w:r>
    </w:p>
    <w:p w14:paraId="45198D64" w14:textId="77777777" w:rsidR="00B759B2" w:rsidRPr="00B759B2" w:rsidRDefault="00BB0E4D" w:rsidP="00F71B9C">
      <w:pPr>
        <w:pStyle w:val="Heading2"/>
        <w:rPr>
          <w:lang w:val="en-US"/>
        </w:rPr>
      </w:pPr>
      <w:bookmarkStart w:id="46" w:name="_Toc227090081"/>
      <w:r>
        <w:rPr>
          <w:lang w:val="en-US"/>
        </w:rPr>
        <w:t xml:space="preserve">4.7 </w:t>
      </w:r>
      <w:r w:rsidRPr="00B759B2">
        <w:rPr>
          <w:lang w:val="en-US"/>
        </w:rPr>
        <w:t>Capital Rationing Decision</w:t>
      </w:r>
      <w:bookmarkEnd w:id="46"/>
    </w:p>
    <w:p w14:paraId="005202F5" w14:textId="77777777" w:rsidR="00B759B2" w:rsidRPr="00B759B2" w:rsidRDefault="00BB0E4D" w:rsidP="00B759B2">
      <w:pPr>
        <w:rPr>
          <w:lang w:val="en-US"/>
        </w:rPr>
      </w:pPr>
      <w:r w:rsidRPr="00B759B2">
        <w:rPr>
          <w:lang w:val="en-US"/>
        </w:rPr>
        <w:t xml:space="preserve">BYD has a capital constraint of £100 million, which it can combine on two projects. The aim is to </w:t>
      </w:r>
      <w:proofErr w:type="spellStart"/>
      <w:r w:rsidRPr="00B759B2">
        <w:rPr>
          <w:lang w:val="en-US"/>
        </w:rPr>
        <w:t>maximise</w:t>
      </w:r>
      <w:proofErr w:type="spellEnd"/>
      <w:r w:rsidRPr="00B759B2">
        <w:rPr>
          <w:lang w:val="en-US"/>
        </w:rPr>
        <w:t xml:space="preserve"> overall NPV using the available budget. The NPVs are as follows: Projects A and B, Projects A and C, and Pro</w:t>
      </w:r>
      <w:r w:rsidRPr="00B759B2">
        <w:rPr>
          <w:lang w:val="en-US"/>
        </w:rPr>
        <w:t>jects B and C yield the lowest total NPVs of -16.977, -10.660, and -10.285 million, respectively.</w:t>
      </w:r>
    </w:p>
    <w:p w14:paraId="65482B5F" w14:textId="77777777" w:rsidR="00B759B2" w:rsidRPr="00B759B2" w:rsidRDefault="00BB0E4D" w:rsidP="00B759B2">
      <w:pPr>
        <w:rPr>
          <w:lang w:val="en-US"/>
        </w:rPr>
      </w:pPr>
      <w:r w:rsidRPr="00B759B2">
        <w:rPr>
          <w:lang w:val="en-US"/>
        </w:rPr>
        <w:t xml:space="preserve">According to this analysis, Project B and Project C are the best combination because they will result in the least value destruction and have a balanced cash </w:t>
      </w:r>
      <w:r w:rsidRPr="00B759B2">
        <w:rPr>
          <w:lang w:val="en-US"/>
        </w:rPr>
        <w:t>flow</w:t>
      </w:r>
      <w:r w:rsidR="00035BFE">
        <w:rPr>
          <w:lang w:val="en-US"/>
        </w:rPr>
        <w:t xml:space="preserve"> profile (</w:t>
      </w:r>
      <w:proofErr w:type="spellStart"/>
      <w:r w:rsidR="00035BFE" w:rsidRPr="00F42BE7">
        <w:t>Lorentzen</w:t>
      </w:r>
      <w:proofErr w:type="spellEnd"/>
      <w:r w:rsidR="00035BFE" w:rsidRPr="00F42BE7">
        <w:t xml:space="preserve"> </w:t>
      </w:r>
      <w:r w:rsidR="00035BFE">
        <w:t>and</w:t>
      </w:r>
      <w:r w:rsidR="00035BFE" w:rsidRPr="00F42BE7">
        <w:t xml:space="preserve"> </w:t>
      </w:r>
      <w:proofErr w:type="spellStart"/>
      <w:r w:rsidR="00035BFE" w:rsidRPr="00F42BE7">
        <w:t>Osmundsen</w:t>
      </w:r>
      <w:proofErr w:type="spellEnd"/>
      <w:r w:rsidR="00035BFE" w:rsidRPr="00F42BE7">
        <w:t>, 2023)</w:t>
      </w:r>
      <w:r w:rsidRPr="00B759B2">
        <w:rPr>
          <w:lang w:val="en-US"/>
        </w:rPr>
        <w:t xml:space="preserve">. Project B is stable and predictable in terms of </w:t>
      </w:r>
      <w:r w:rsidRPr="00B759B2">
        <w:rPr>
          <w:lang w:val="en-US"/>
        </w:rPr>
        <w:lastRenderedPageBreak/>
        <w:t xml:space="preserve">cash inflows, which can be used to maintain liquidity and </w:t>
      </w:r>
      <w:proofErr w:type="spellStart"/>
      <w:r w:rsidRPr="00B759B2">
        <w:rPr>
          <w:lang w:val="en-US"/>
        </w:rPr>
        <w:t>minimise</w:t>
      </w:r>
      <w:proofErr w:type="spellEnd"/>
      <w:r w:rsidRPr="00B759B2">
        <w:rPr>
          <w:lang w:val="en-US"/>
        </w:rPr>
        <w:t xml:space="preserve"> risk. In contrast, Project C is more profitable and offers better growth opportunities.</w:t>
      </w:r>
    </w:p>
    <w:p w14:paraId="1CB4C876" w14:textId="77777777" w:rsidR="00B759B2" w:rsidRPr="00B759B2" w:rsidRDefault="00BB0E4D" w:rsidP="00B759B2">
      <w:pPr>
        <w:rPr>
          <w:lang w:val="en-US"/>
        </w:rPr>
      </w:pPr>
      <w:r w:rsidRPr="00B759B2">
        <w:rPr>
          <w:lang w:val="en-US"/>
        </w:rPr>
        <w:t xml:space="preserve">Such a </w:t>
      </w:r>
      <w:r w:rsidRPr="00B759B2">
        <w:rPr>
          <w:lang w:val="en-US"/>
        </w:rPr>
        <w:t>mix is especially appropriate for BYD's financial situation. Project B can improve cash flow stability, which is important given the company's low liquidity ratios, whereas Project C can help the company expand strategically to improve profitability</w:t>
      </w:r>
      <w:r w:rsidR="00035BFE">
        <w:rPr>
          <w:lang w:val="en-US"/>
        </w:rPr>
        <w:t xml:space="preserve"> (</w:t>
      </w:r>
      <w:r w:rsidR="00035BFE" w:rsidRPr="00F42BE7">
        <w:t>Hoang</w:t>
      </w:r>
      <w:r w:rsidR="00035BFE">
        <w:t xml:space="preserve"> </w:t>
      </w:r>
      <w:r w:rsidR="00035BFE">
        <w:rPr>
          <w:i/>
          <w:iCs/>
        </w:rPr>
        <w:t>et al.,</w:t>
      </w:r>
      <w:r w:rsidR="00035BFE">
        <w:t xml:space="preserve"> 2025)</w:t>
      </w:r>
      <w:r w:rsidRPr="00B759B2">
        <w:rPr>
          <w:lang w:val="en-US"/>
        </w:rPr>
        <w:t>.</w:t>
      </w:r>
    </w:p>
    <w:p w14:paraId="5E7B1CC6" w14:textId="77777777" w:rsidR="00B759B2" w:rsidRPr="00B759B2" w:rsidRDefault="00BB0E4D" w:rsidP="00F71B9C">
      <w:pPr>
        <w:pStyle w:val="Heading2"/>
        <w:rPr>
          <w:lang w:val="en-US"/>
        </w:rPr>
      </w:pPr>
      <w:bookmarkStart w:id="47" w:name="_Toc227090082"/>
      <w:r>
        <w:rPr>
          <w:lang w:val="en-US"/>
        </w:rPr>
        <w:t xml:space="preserve">4.8 </w:t>
      </w:r>
      <w:r w:rsidRPr="00B759B2">
        <w:rPr>
          <w:lang w:val="en-US"/>
        </w:rPr>
        <w:t>Non-Financial and Strategic</w:t>
      </w:r>
      <w:bookmarkEnd w:id="47"/>
    </w:p>
    <w:p w14:paraId="340BC3D4" w14:textId="77777777" w:rsidR="00B759B2" w:rsidRPr="00B759B2" w:rsidRDefault="00BB0E4D" w:rsidP="00B759B2">
      <w:pPr>
        <w:rPr>
          <w:lang w:val="en-US"/>
        </w:rPr>
      </w:pPr>
      <w:r w:rsidRPr="00B759B2">
        <w:rPr>
          <w:lang w:val="en-US"/>
        </w:rPr>
        <w:t>Besides financial measures, investment decisions should also consider non-financial aspects. The EV industry faces significant political and regulatory risks, especially given its reliance on government incen</w:t>
      </w:r>
      <w:r w:rsidRPr="00B759B2">
        <w:rPr>
          <w:lang w:val="en-US"/>
        </w:rPr>
        <w:t>tives and environmental policies. Changes in subsidies or trade restrictions may affect a project's viability.</w:t>
      </w:r>
    </w:p>
    <w:p w14:paraId="20864134" w14:textId="483512B6" w:rsidR="00035BFE" w:rsidRDefault="00BB0E4D" w:rsidP="002D22FC">
      <w:pPr>
        <w:rPr>
          <w:lang w:val="en-US"/>
        </w:rPr>
      </w:pPr>
      <w:r w:rsidRPr="00B759B2">
        <w:rPr>
          <w:lang w:val="en-US"/>
        </w:rPr>
        <w:t>Brand perception and customer loyalty are also critical as well. Investments to improve product quality, drive innovation, and advance sustainabi</w:t>
      </w:r>
      <w:r w:rsidRPr="00B759B2">
        <w:rPr>
          <w:lang w:val="en-US"/>
        </w:rPr>
        <w:t>lity can consolidate BYD's competitive position and sustain long-term demand. Project C, with a better growth profile, is better positioned to support these goals.</w:t>
      </w:r>
      <w:r>
        <w:rPr>
          <w:lang w:val="en-US"/>
        </w:rPr>
        <w:t xml:space="preserve"> </w:t>
      </w:r>
      <w:r w:rsidRPr="00B759B2">
        <w:rPr>
          <w:lang w:val="en-US"/>
        </w:rPr>
        <w:t>This is because of the rapid development of battery technology and autonomous systems, which</w:t>
      </w:r>
      <w:r w:rsidRPr="00B759B2">
        <w:rPr>
          <w:lang w:val="en-US"/>
        </w:rPr>
        <w:t xml:space="preserve"> require ongoing investment. Technological leadership-based projects are critical to remain competitive in the global EV market.</w:t>
      </w:r>
      <w:r>
        <w:rPr>
          <w:lang w:val="en-US"/>
        </w:rPr>
        <w:br w:type="page"/>
      </w:r>
    </w:p>
    <w:p w14:paraId="59801D50" w14:textId="77777777" w:rsidR="00035BFE" w:rsidRDefault="00BB0E4D" w:rsidP="00035BFE">
      <w:pPr>
        <w:pStyle w:val="Heading1"/>
        <w:rPr>
          <w:lang w:val="en-US"/>
        </w:rPr>
      </w:pPr>
      <w:bookmarkStart w:id="48" w:name="_Toc227090083"/>
      <w:r>
        <w:rPr>
          <w:lang w:val="en-US"/>
        </w:rPr>
        <w:lastRenderedPageBreak/>
        <w:t>Reference List</w:t>
      </w:r>
      <w:bookmarkEnd w:id="48"/>
    </w:p>
    <w:p w14:paraId="22F17376" w14:textId="77777777" w:rsidR="00035BFE" w:rsidRDefault="00BB0E4D" w:rsidP="00380418">
      <w:pPr>
        <w:jc w:val="left"/>
      </w:pPr>
      <w:r w:rsidRPr="009E3C91">
        <w:t xml:space="preserve">Ali, K., </w:t>
      </w:r>
      <w:proofErr w:type="spellStart"/>
      <w:r w:rsidRPr="009E3C91">
        <w:t>Chisti</w:t>
      </w:r>
      <w:proofErr w:type="spellEnd"/>
      <w:r w:rsidRPr="009E3C91">
        <w:t xml:space="preserve">, K. A., </w:t>
      </w:r>
      <w:r>
        <w:t>and</w:t>
      </w:r>
      <w:r w:rsidRPr="009E3C91">
        <w:t xml:space="preserve"> Malik, I. A. (2022). Impact of earnings per share on stock prices and price-to-earnings ratio. </w:t>
      </w:r>
      <w:r w:rsidRPr="009E3C91">
        <w:rPr>
          <w:i/>
          <w:iCs/>
        </w:rPr>
        <w:t>Economics and Business Quarterly Reviews</w:t>
      </w:r>
      <w:r w:rsidRPr="009E3C91">
        <w:t>, </w:t>
      </w:r>
      <w:r w:rsidRPr="009E3C91">
        <w:rPr>
          <w:i/>
          <w:iCs/>
        </w:rPr>
        <w:t>5</w:t>
      </w:r>
      <w:r w:rsidRPr="009E3C91">
        <w:t>(2).</w:t>
      </w:r>
      <w:r>
        <w:t xml:space="preserve"> </w:t>
      </w:r>
      <w:hyperlink r:id="rId19" w:history="1">
        <w:r w:rsidR="00035BFE" w:rsidRPr="007B5AF6">
          <w:rPr>
            <w:rStyle w:val="Hyperlink"/>
          </w:rPr>
          <w:t>https://papers.ssrn.com/sol3/Delivery.cfm?abstractid=4125746</w:t>
        </w:r>
      </w:hyperlink>
    </w:p>
    <w:p w14:paraId="23E730D6" w14:textId="77777777" w:rsidR="00035BFE" w:rsidRDefault="00BB0E4D" w:rsidP="00380418">
      <w:pPr>
        <w:jc w:val="left"/>
      </w:pPr>
      <w:proofErr w:type="spellStart"/>
      <w:r w:rsidRPr="009E3C91">
        <w:t>Asman</w:t>
      </w:r>
      <w:proofErr w:type="spellEnd"/>
      <w:r w:rsidRPr="009E3C91">
        <w:t xml:space="preserve">, F. N., Fernandez, D., </w:t>
      </w:r>
      <w:proofErr w:type="spellStart"/>
      <w:r w:rsidRPr="009E3C91">
        <w:t>Jamaludin</w:t>
      </w:r>
      <w:proofErr w:type="spellEnd"/>
      <w:r w:rsidRPr="009E3C91">
        <w:t xml:space="preserve">, N. A., Omar </w:t>
      </w:r>
      <w:proofErr w:type="spellStart"/>
      <w:r w:rsidRPr="009E3C91">
        <w:t>Zaki</w:t>
      </w:r>
      <w:proofErr w:type="spellEnd"/>
      <w:r w:rsidRPr="009E3C91">
        <w:t xml:space="preserve">, H., </w:t>
      </w:r>
      <w:r>
        <w:t>and</w:t>
      </w:r>
      <w:r w:rsidRPr="009E3C91">
        <w:t xml:space="preserve"> </w:t>
      </w:r>
      <w:proofErr w:type="spellStart"/>
      <w:r w:rsidRPr="009E3C91">
        <w:t>Ghazali</w:t>
      </w:r>
      <w:proofErr w:type="spellEnd"/>
      <w:r w:rsidRPr="009E3C91">
        <w:t>, A. W. (2022). Cash conversion cycle and firm’s performance. </w:t>
      </w:r>
      <w:r w:rsidRPr="009E3C91">
        <w:rPr>
          <w:i/>
          <w:iCs/>
        </w:rPr>
        <w:t>International Journal of Academic Research in Business and Social Sciences</w:t>
      </w:r>
      <w:r w:rsidRPr="009E3C91">
        <w:t>, </w:t>
      </w:r>
      <w:r w:rsidRPr="009E3C91">
        <w:rPr>
          <w:i/>
          <w:iCs/>
        </w:rPr>
        <w:t>12</w:t>
      </w:r>
      <w:r w:rsidRPr="009E3C91">
        <w:t>(11), 2682-2692.</w:t>
      </w:r>
      <w:r>
        <w:t xml:space="preserve"> </w:t>
      </w:r>
      <w:hyperlink r:id="rId20" w:history="1">
        <w:r w:rsidR="00035BFE" w:rsidRPr="007B5AF6">
          <w:rPr>
            <w:rStyle w:val="Hyperlink"/>
          </w:rPr>
          <w:t>https://www.academia.edu/download/106769993/cash-conversion-cycle-and-firms-performance.pdf</w:t>
        </w:r>
      </w:hyperlink>
    </w:p>
    <w:p w14:paraId="774959B4" w14:textId="77777777" w:rsidR="00035BFE" w:rsidRDefault="00BB0E4D" w:rsidP="00380418">
      <w:pPr>
        <w:jc w:val="left"/>
      </w:pPr>
      <w:proofErr w:type="spellStart"/>
      <w:r w:rsidRPr="00F42BE7">
        <w:t>Bahaj</w:t>
      </w:r>
      <w:proofErr w:type="spellEnd"/>
      <w:r w:rsidRPr="00F42BE7">
        <w:t xml:space="preserve">, S., Czech, R., Ding, S., </w:t>
      </w:r>
      <w:r>
        <w:t>and</w:t>
      </w:r>
      <w:r w:rsidRPr="00F42BE7">
        <w:t xml:space="preserve"> Reis, R. (2023). </w:t>
      </w:r>
      <w:r w:rsidRPr="00F42BE7">
        <w:rPr>
          <w:i/>
          <w:iCs/>
        </w:rPr>
        <w:t>The</w:t>
      </w:r>
      <w:r w:rsidRPr="00F42BE7">
        <w:rPr>
          <w:i/>
          <w:iCs/>
        </w:rPr>
        <w:t xml:space="preserve"> market for inflation risk</w:t>
      </w:r>
      <w:r w:rsidRPr="00F42BE7">
        <w:t> (No. 1028). Bank of England.</w:t>
      </w:r>
      <w:r>
        <w:t xml:space="preserve"> </w:t>
      </w:r>
      <w:hyperlink r:id="rId21" w:history="1">
        <w:r w:rsidR="00035BFE" w:rsidRPr="007B5AF6">
          <w:rPr>
            <w:rStyle w:val="Hyperlink"/>
          </w:rPr>
          <w:t>https://www.aeaweb.org/conference/2024/program/paper/Y2zSr75r</w:t>
        </w:r>
      </w:hyperlink>
    </w:p>
    <w:p w14:paraId="54035808" w14:textId="77777777" w:rsidR="00035BFE" w:rsidRDefault="00BB0E4D" w:rsidP="00380418">
      <w:pPr>
        <w:jc w:val="left"/>
      </w:pPr>
      <w:proofErr w:type="spellStart"/>
      <w:r w:rsidRPr="00D23719">
        <w:t>Binsaddig</w:t>
      </w:r>
      <w:proofErr w:type="spellEnd"/>
      <w:r w:rsidRPr="00D23719">
        <w:t>, R., Ali, A., Al-</w:t>
      </w:r>
      <w:proofErr w:type="spellStart"/>
      <w:r w:rsidRPr="00D23719">
        <w:t>Alkawi</w:t>
      </w:r>
      <w:proofErr w:type="spellEnd"/>
      <w:r w:rsidRPr="00D23719">
        <w:t xml:space="preserve">, T., </w:t>
      </w:r>
      <w:r>
        <w:t>and</w:t>
      </w:r>
      <w:r w:rsidRPr="00D23719">
        <w:t xml:space="preserve"> Ali, B. J. (2023)</w:t>
      </w:r>
      <w:r w:rsidRPr="00D23719">
        <w:t>. Inventory Turnover, accounts receivable turnover, and manufacturing profitability: an empirical study. </w:t>
      </w:r>
      <w:r w:rsidRPr="00D23719">
        <w:rPr>
          <w:i/>
          <w:iCs/>
        </w:rPr>
        <w:t>International Journal of Economics and Finance Studies</w:t>
      </w:r>
      <w:r w:rsidRPr="00D23719">
        <w:t>, </w:t>
      </w:r>
      <w:r w:rsidRPr="00D23719">
        <w:rPr>
          <w:i/>
          <w:iCs/>
        </w:rPr>
        <w:t>15</w:t>
      </w:r>
      <w:r w:rsidRPr="00D23719">
        <w:t>(1), 1-16.</w:t>
      </w:r>
      <w:r>
        <w:t xml:space="preserve"> </w:t>
      </w:r>
      <w:hyperlink r:id="rId22" w:history="1">
        <w:r w:rsidR="00035BFE" w:rsidRPr="007B5AF6">
          <w:rPr>
            <w:rStyle w:val="Hyperlink"/>
          </w:rPr>
          <w:t>https://sobiad.org/menuscript/index.php/ijefs/article/download/1394/314</w:t>
        </w:r>
      </w:hyperlink>
    </w:p>
    <w:p w14:paraId="1F551EAC" w14:textId="77777777" w:rsidR="00035BFE" w:rsidRDefault="00BB0E4D" w:rsidP="00380418">
      <w:pPr>
        <w:jc w:val="left"/>
      </w:pPr>
      <w:r w:rsidRPr="00AF2362">
        <w:t xml:space="preserve">Burnie, D. A., </w:t>
      </w:r>
      <w:r>
        <w:t>and</w:t>
      </w:r>
      <w:r w:rsidRPr="00AF2362">
        <w:t xml:space="preserve"> Ridder, A. D. (2023). Accounts payable management. In </w:t>
      </w:r>
      <w:r w:rsidRPr="00AF2362">
        <w:rPr>
          <w:i/>
          <w:iCs/>
        </w:rPr>
        <w:t>Working capital management: Concepts and strategies</w:t>
      </w:r>
      <w:r w:rsidRPr="00AF2362">
        <w:t> (pp. 283-307).</w:t>
      </w:r>
      <w:r>
        <w:t xml:space="preserve"> </w:t>
      </w:r>
      <w:hyperlink r:id="rId23" w:history="1">
        <w:r w:rsidR="00035BFE" w:rsidRPr="008A00F5">
          <w:rPr>
            <w:rStyle w:val="Hyperlink"/>
          </w:rPr>
          <w:t>https://www.researchgate.net/profile/Adri-Ridder/publication/369723213_Accounts_Payable_Management/links/67bb1955461fb56424e76018/Accounts-Payable-Management.pdf</w:t>
        </w:r>
      </w:hyperlink>
    </w:p>
    <w:p w14:paraId="1F867850" w14:textId="77777777" w:rsidR="00035BFE" w:rsidRDefault="00BB0E4D" w:rsidP="00380418">
      <w:pPr>
        <w:jc w:val="left"/>
      </w:pPr>
      <w:r>
        <w:t xml:space="preserve">BYD (2026). BYD Annual reports. Available at: </w:t>
      </w:r>
      <w:hyperlink r:id="rId24" w:history="1">
        <w:r w:rsidR="00035BFE" w:rsidRPr="008A00F5">
          <w:rPr>
            <w:rStyle w:val="Hyperlink"/>
          </w:rPr>
          <w:t>https://www.bydglobal.com/cn/en/BYD_ENInvestor/InvestorAnnals_mob.html</w:t>
        </w:r>
      </w:hyperlink>
    </w:p>
    <w:p w14:paraId="04C26803" w14:textId="77777777" w:rsidR="00035BFE" w:rsidRDefault="00BB0E4D" w:rsidP="00380418">
      <w:pPr>
        <w:jc w:val="left"/>
      </w:pPr>
      <w:proofErr w:type="spellStart"/>
      <w:r w:rsidRPr="00F42BE7">
        <w:t>Dzobel</w:t>
      </w:r>
      <w:r w:rsidRPr="00F42BE7">
        <w:t>ova</w:t>
      </w:r>
      <w:proofErr w:type="spellEnd"/>
      <w:r w:rsidRPr="00F42BE7">
        <w:t xml:space="preserve">, V., </w:t>
      </w:r>
      <w:proofErr w:type="spellStart"/>
      <w:r w:rsidRPr="00F42BE7">
        <w:t>Tinikashvili</w:t>
      </w:r>
      <w:proofErr w:type="spellEnd"/>
      <w:r w:rsidRPr="00F42BE7">
        <w:t xml:space="preserve">, T., </w:t>
      </w:r>
      <w:proofErr w:type="spellStart"/>
      <w:r w:rsidRPr="00F42BE7">
        <w:t>Yablochnikova</w:t>
      </w:r>
      <w:proofErr w:type="spellEnd"/>
      <w:r w:rsidRPr="00F42BE7">
        <w:t xml:space="preserve">, I., </w:t>
      </w:r>
      <w:proofErr w:type="spellStart"/>
      <w:r w:rsidRPr="00F42BE7">
        <w:t>Nurdavliatova</w:t>
      </w:r>
      <w:proofErr w:type="spellEnd"/>
      <w:r w:rsidRPr="00F42BE7">
        <w:t xml:space="preserve">, E., </w:t>
      </w:r>
      <w:r>
        <w:t>and</w:t>
      </w:r>
      <w:r w:rsidRPr="00F42BE7">
        <w:t xml:space="preserve"> </w:t>
      </w:r>
      <w:proofErr w:type="spellStart"/>
      <w:r w:rsidRPr="00F42BE7">
        <w:t>Gugkaeva</w:t>
      </w:r>
      <w:proofErr w:type="spellEnd"/>
      <w:r w:rsidRPr="00F42BE7">
        <w:t>, S. (2024). International practice of tax risk management. </w:t>
      </w:r>
      <w:r w:rsidRPr="00F42BE7">
        <w:rPr>
          <w:i/>
          <w:iCs/>
        </w:rPr>
        <w:t>Reliability: Theory &amp; Applications</w:t>
      </w:r>
      <w:r w:rsidRPr="00F42BE7">
        <w:t>, </w:t>
      </w:r>
      <w:r w:rsidRPr="00F42BE7">
        <w:rPr>
          <w:i/>
          <w:iCs/>
        </w:rPr>
        <w:t>19</w:t>
      </w:r>
      <w:r w:rsidRPr="00F42BE7">
        <w:t>(SI 6 (81)), 993-997.</w:t>
      </w:r>
      <w:r>
        <w:t xml:space="preserve"> </w:t>
      </w:r>
      <w:hyperlink r:id="rId25" w:history="1">
        <w:r w:rsidR="00035BFE" w:rsidRPr="007B5AF6">
          <w:rPr>
            <w:rStyle w:val="Hyperlink"/>
          </w:rPr>
          <w:t>https://cyberleninka.ru/article/n/international-practice-of-tax-risk-management</w:t>
        </w:r>
      </w:hyperlink>
    </w:p>
    <w:p w14:paraId="311CF17D" w14:textId="77777777" w:rsidR="00035BFE" w:rsidRDefault="00BB0E4D" w:rsidP="00380418">
      <w:pPr>
        <w:jc w:val="left"/>
      </w:pPr>
      <w:proofErr w:type="spellStart"/>
      <w:r w:rsidRPr="009E3C91">
        <w:t>Fatouh</w:t>
      </w:r>
      <w:proofErr w:type="spellEnd"/>
      <w:r w:rsidRPr="009E3C91">
        <w:t xml:space="preserve">, M., </w:t>
      </w:r>
      <w:proofErr w:type="spellStart"/>
      <w:r w:rsidRPr="009E3C91">
        <w:t>Giansante</w:t>
      </w:r>
      <w:proofErr w:type="spellEnd"/>
      <w:r w:rsidRPr="009E3C91">
        <w:t xml:space="preserve">, S., </w:t>
      </w:r>
      <w:r>
        <w:t>and</w:t>
      </w:r>
      <w:r w:rsidRPr="009E3C91">
        <w:t xml:space="preserve"> </w:t>
      </w:r>
      <w:proofErr w:type="spellStart"/>
      <w:r w:rsidRPr="009E3C91">
        <w:t>Ongena</w:t>
      </w:r>
      <w:proofErr w:type="spellEnd"/>
      <w:r w:rsidRPr="009E3C91">
        <w:t>, S. (2024). Leverage ratio, risk</w:t>
      </w:r>
      <w:r w:rsidRPr="009E3C91">
        <w:rPr>
          <w:rFonts w:ascii="Cambria Math" w:hAnsi="Cambria Math" w:cs="Cambria Math"/>
        </w:rPr>
        <w:t>‐</w:t>
      </w:r>
      <w:r w:rsidRPr="009E3C91">
        <w:t>based capit</w:t>
      </w:r>
      <w:r w:rsidRPr="009E3C91">
        <w:t>al requirements, and risk</w:t>
      </w:r>
      <w:r w:rsidRPr="009E3C91">
        <w:rPr>
          <w:rFonts w:ascii="Cambria Math" w:hAnsi="Cambria Math" w:cs="Cambria Math"/>
        </w:rPr>
        <w:t>‐</w:t>
      </w:r>
      <w:r w:rsidRPr="009E3C91">
        <w:t>taking in the United Kingdom.</w:t>
      </w:r>
      <w:r w:rsidRPr="009E3C91">
        <w:rPr>
          <w:rFonts w:cs="Arial"/>
        </w:rPr>
        <w:t> </w:t>
      </w:r>
      <w:r w:rsidRPr="009E3C91">
        <w:rPr>
          <w:i/>
          <w:iCs/>
        </w:rPr>
        <w:t>Financial Markets, Institutions &amp; Instruments</w:t>
      </w:r>
      <w:r w:rsidRPr="009E3C91">
        <w:t>, </w:t>
      </w:r>
      <w:r w:rsidRPr="009E3C91">
        <w:rPr>
          <w:i/>
          <w:iCs/>
        </w:rPr>
        <w:t>33</w:t>
      </w:r>
      <w:r w:rsidRPr="009E3C91">
        <w:t>(1), 31-60.</w:t>
      </w:r>
      <w:r>
        <w:t xml:space="preserve"> </w:t>
      </w:r>
      <w:hyperlink r:id="rId26" w:history="1">
        <w:r w:rsidR="00035BFE" w:rsidRPr="007B5AF6">
          <w:rPr>
            <w:rStyle w:val="Hyperlink"/>
          </w:rPr>
          <w:t>https://onlinelibrary.wiley.com/doi/pdf/10.1111/fmii.12185</w:t>
        </w:r>
      </w:hyperlink>
    </w:p>
    <w:p w14:paraId="3E691D4E" w14:textId="77777777" w:rsidR="00035BFE" w:rsidRDefault="00BB0E4D" w:rsidP="00380418">
      <w:pPr>
        <w:jc w:val="left"/>
      </w:pPr>
      <w:r w:rsidRPr="009E3C91">
        <w:lastRenderedPageBreak/>
        <w:t>Ishik</w:t>
      </w:r>
      <w:r w:rsidRPr="009E3C91">
        <w:t xml:space="preserve">awa, T., </w:t>
      </w:r>
      <w:proofErr w:type="spellStart"/>
      <w:r w:rsidRPr="009E3C91">
        <w:t>Gemba</w:t>
      </w:r>
      <w:proofErr w:type="spellEnd"/>
      <w:r w:rsidRPr="009E3C91">
        <w:t xml:space="preserve">, K., </w:t>
      </w:r>
      <w:r>
        <w:t>and</w:t>
      </w:r>
      <w:r w:rsidRPr="009E3C91">
        <w:t xml:space="preserve"> </w:t>
      </w:r>
      <w:proofErr w:type="spellStart"/>
      <w:r w:rsidRPr="009E3C91">
        <w:t>Oda</w:t>
      </w:r>
      <w:proofErr w:type="spellEnd"/>
      <w:r w:rsidRPr="009E3C91">
        <w:t>, T. (2025). The influence of cash conversion cycle on profitability: A quantitative analysis of Japanese software firms. </w:t>
      </w:r>
      <w:r w:rsidRPr="009E3C91">
        <w:rPr>
          <w:i/>
          <w:iCs/>
        </w:rPr>
        <w:t>Access Journal</w:t>
      </w:r>
      <w:r w:rsidRPr="009E3C91">
        <w:t>, </w:t>
      </w:r>
      <w:r w:rsidRPr="009E3C91">
        <w:rPr>
          <w:i/>
          <w:iCs/>
        </w:rPr>
        <w:t>6</w:t>
      </w:r>
      <w:r w:rsidRPr="009E3C91">
        <w:t>(1), 84-102.</w:t>
      </w:r>
      <w:r>
        <w:t xml:space="preserve"> </w:t>
      </w:r>
      <w:hyperlink r:id="rId27" w:history="1">
        <w:r w:rsidR="00035BFE" w:rsidRPr="007B5AF6">
          <w:rPr>
            <w:rStyle w:val="Hyperlink"/>
          </w:rPr>
          <w:t>https://journal.access-bg.org/journalfiles/journal/issue-6-1-2025/the_influence_of_cash_conversion_cycle_on_profitability.pdf</w:t>
        </w:r>
      </w:hyperlink>
    </w:p>
    <w:p w14:paraId="61960B75" w14:textId="77777777" w:rsidR="00035BFE" w:rsidRDefault="00BB0E4D" w:rsidP="00380418">
      <w:pPr>
        <w:jc w:val="left"/>
      </w:pPr>
      <w:r w:rsidRPr="00D23719">
        <w:t xml:space="preserve">Karim, R., </w:t>
      </w:r>
      <w:proofErr w:type="spellStart"/>
      <w:r w:rsidRPr="00D23719">
        <w:t>Mamun</w:t>
      </w:r>
      <w:proofErr w:type="spellEnd"/>
      <w:r w:rsidRPr="00D23719">
        <w:t xml:space="preserve">, M. A. A., </w:t>
      </w:r>
      <w:r>
        <w:t>and</w:t>
      </w:r>
      <w:r w:rsidRPr="00D23719">
        <w:t xml:space="preserve"> </w:t>
      </w:r>
      <w:proofErr w:type="spellStart"/>
      <w:r w:rsidRPr="00D23719">
        <w:t>Kamruzzaman</w:t>
      </w:r>
      <w:proofErr w:type="spellEnd"/>
      <w:r w:rsidRPr="00D23719">
        <w:t>, A. S. M. (2024). Cas</w:t>
      </w:r>
      <w:r w:rsidRPr="00D23719">
        <w:t>h conversion cycle and financial performance: evidence from manufacturing firms of Bangladesh. </w:t>
      </w:r>
      <w:r w:rsidRPr="00D23719">
        <w:rPr>
          <w:i/>
          <w:iCs/>
        </w:rPr>
        <w:t>Asian Journal of Economics and Banking</w:t>
      </w:r>
      <w:r w:rsidRPr="00D23719">
        <w:t>, </w:t>
      </w:r>
      <w:r w:rsidRPr="00D23719">
        <w:rPr>
          <w:i/>
          <w:iCs/>
        </w:rPr>
        <w:t>8</w:t>
      </w:r>
      <w:r w:rsidRPr="00D23719">
        <w:t>(1), 67-82.</w:t>
      </w:r>
      <w:r>
        <w:t xml:space="preserve"> </w:t>
      </w:r>
      <w:hyperlink r:id="rId28" w:history="1">
        <w:r w:rsidR="00035BFE" w:rsidRPr="007B5AF6">
          <w:rPr>
            <w:rStyle w:val="Hyperlink"/>
          </w:rPr>
          <w:t>https://www.emerald.com/ajeb/article-pdf/8/1/67/9525823/ajeb-03-2022-0033.pdf</w:t>
        </w:r>
      </w:hyperlink>
    </w:p>
    <w:p w14:paraId="54426457" w14:textId="77777777" w:rsidR="00035BFE" w:rsidRDefault="00BB0E4D" w:rsidP="00380418">
      <w:pPr>
        <w:jc w:val="left"/>
      </w:pPr>
      <w:proofErr w:type="spellStart"/>
      <w:r w:rsidRPr="00F42BE7">
        <w:t>Kehinde</w:t>
      </w:r>
      <w:proofErr w:type="spellEnd"/>
      <w:r w:rsidRPr="00F42BE7">
        <w:t xml:space="preserve">, S. I., Moses, C., </w:t>
      </w:r>
      <w:proofErr w:type="spellStart"/>
      <w:r w:rsidRPr="00F42BE7">
        <w:t>Borishade</w:t>
      </w:r>
      <w:proofErr w:type="spellEnd"/>
      <w:r w:rsidRPr="00F42BE7">
        <w:t xml:space="preserve">, T., </w:t>
      </w:r>
      <w:proofErr w:type="spellStart"/>
      <w:r w:rsidRPr="00F42BE7">
        <w:t>Busola</w:t>
      </w:r>
      <w:proofErr w:type="spellEnd"/>
      <w:r w:rsidRPr="00F42BE7">
        <w:t xml:space="preserve">, S. I., </w:t>
      </w:r>
      <w:proofErr w:type="spellStart"/>
      <w:r w:rsidRPr="00F42BE7">
        <w:t>Adubor</w:t>
      </w:r>
      <w:proofErr w:type="spellEnd"/>
      <w:r w:rsidRPr="00F42BE7">
        <w:t xml:space="preserve">, N., </w:t>
      </w:r>
      <w:proofErr w:type="spellStart"/>
      <w:r w:rsidRPr="00F42BE7">
        <w:t>Obembe</w:t>
      </w:r>
      <w:proofErr w:type="spellEnd"/>
      <w:r w:rsidRPr="00F42BE7">
        <w:t xml:space="preserve">, N., </w:t>
      </w:r>
      <w:r>
        <w:t>and</w:t>
      </w:r>
      <w:r w:rsidRPr="00F42BE7">
        <w:t xml:space="preserve"> </w:t>
      </w:r>
      <w:proofErr w:type="spellStart"/>
      <w:r w:rsidRPr="00F42BE7">
        <w:t>Asemota</w:t>
      </w:r>
      <w:proofErr w:type="spellEnd"/>
      <w:r w:rsidRPr="00F42BE7">
        <w:t>, F. (2023). Evolution and innovation of hedge fund strategies: a systematic review of literature an</w:t>
      </w:r>
      <w:r w:rsidRPr="00F42BE7">
        <w:t>d framework for future research. </w:t>
      </w:r>
      <w:proofErr w:type="spellStart"/>
      <w:r w:rsidRPr="00F42BE7">
        <w:rPr>
          <w:i/>
          <w:iCs/>
        </w:rPr>
        <w:t>Acta</w:t>
      </w:r>
      <w:proofErr w:type="spellEnd"/>
      <w:r w:rsidRPr="00F42BE7">
        <w:rPr>
          <w:i/>
          <w:iCs/>
        </w:rPr>
        <w:t xml:space="preserve"> Innovations</w:t>
      </w:r>
      <w:r w:rsidRPr="00F42BE7">
        <w:t>.</w:t>
      </w:r>
      <w:r>
        <w:t xml:space="preserve"> </w:t>
      </w:r>
      <w:hyperlink r:id="rId29" w:history="1">
        <w:r w:rsidR="00035BFE" w:rsidRPr="007B5AF6">
          <w:rPr>
            <w:rStyle w:val="Hyperlink"/>
          </w:rPr>
          <w:t>https://yadda.icm.edu.pl/baztech/element/bwmeta1.element.baztech-90d6a8fe-8cd1-4f98-a24d-8d8944fb6286/c/50_evolution_and_innovation_of_hedge__29_40.pdf</w:t>
        </w:r>
      </w:hyperlink>
    </w:p>
    <w:p w14:paraId="12103978" w14:textId="77777777" w:rsidR="00035BFE" w:rsidRDefault="00BB0E4D" w:rsidP="00380418">
      <w:pPr>
        <w:jc w:val="left"/>
      </w:pPr>
      <w:proofErr w:type="spellStart"/>
      <w:r w:rsidRPr="00850C35">
        <w:t>Krinichansky</w:t>
      </w:r>
      <w:proofErr w:type="spellEnd"/>
      <w:r w:rsidRPr="00850C35">
        <w:t>, K. V. (2025). The Theoretical Foundations and Problematic Areas of the Contemporary Long-Term Financing Theory. </w:t>
      </w:r>
      <w:r w:rsidRPr="00850C35">
        <w:rPr>
          <w:i/>
          <w:iCs/>
        </w:rPr>
        <w:t>FINANCE: THEORY</w:t>
      </w:r>
      <w:r w:rsidRPr="00850C35">
        <w:rPr>
          <w:i/>
          <w:iCs/>
        </w:rPr>
        <w:t xml:space="preserve"> AND PRACTICE</w:t>
      </w:r>
      <w:r w:rsidRPr="00850C35">
        <w:t>, 112.</w:t>
      </w:r>
      <w:r>
        <w:t xml:space="preserve"> </w:t>
      </w:r>
      <w:hyperlink r:id="rId30" w:anchor="page=112" w:history="1">
        <w:r w:rsidR="00035BFE" w:rsidRPr="007B5AF6">
          <w:rPr>
            <w:rStyle w:val="Hyperlink"/>
          </w:rPr>
          <w:t>https://financetp.fa.ru/jour/issue/download/94/103#page=112</w:t>
        </w:r>
      </w:hyperlink>
    </w:p>
    <w:p w14:paraId="13797E99" w14:textId="77777777" w:rsidR="00035BFE" w:rsidRDefault="00BB0E4D" w:rsidP="00380418">
      <w:pPr>
        <w:jc w:val="left"/>
      </w:pPr>
      <w:r w:rsidRPr="009E3C91">
        <w:t>Lee, C. C. (2023). Analyses of the operating performance of information service companies based</w:t>
      </w:r>
      <w:r w:rsidRPr="009E3C91">
        <w:t xml:space="preserve"> on indicators of financial statements. </w:t>
      </w:r>
      <w:r w:rsidRPr="009E3C91">
        <w:rPr>
          <w:i/>
          <w:iCs/>
        </w:rPr>
        <w:t>Asia Pacific Management Review</w:t>
      </w:r>
      <w:r w:rsidRPr="009E3C91">
        <w:t>, </w:t>
      </w:r>
      <w:r w:rsidRPr="009E3C91">
        <w:rPr>
          <w:i/>
          <w:iCs/>
        </w:rPr>
        <w:t>28</w:t>
      </w:r>
      <w:r w:rsidRPr="009E3C91">
        <w:t>(4), 410-419.</w:t>
      </w:r>
      <w:r>
        <w:t xml:space="preserve"> </w:t>
      </w:r>
      <w:hyperlink r:id="rId31" w:history="1">
        <w:r w:rsidR="00035BFE" w:rsidRPr="007B5AF6">
          <w:rPr>
            <w:rStyle w:val="Hyperlink"/>
          </w:rPr>
          <w:t>https://www.sciencedirect.com/science/article/pii/S1029313223000027</w:t>
        </w:r>
      </w:hyperlink>
    </w:p>
    <w:p w14:paraId="36FA6A6E" w14:textId="77777777" w:rsidR="00035BFE" w:rsidRDefault="00BB0E4D" w:rsidP="00380418">
      <w:pPr>
        <w:jc w:val="left"/>
      </w:pPr>
      <w:proofErr w:type="spellStart"/>
      <w:r w:rsidRPr="00AF2362">
        <w:t>Listiadi</w:t>
      </w:r>
      <w:proofErr w:type="spellEnd"/>
      <w:r w:rsidRPr="00AF2362">
        <w:t>, A. (20</w:t>
      </w:r>
      <w:r w:rsidRPr="00AF2362">
        <w:t>22). The acceptance effectiveness through accounts receivable billing period average. </w:t>
      </w:r>
      <w:r w:rsidRPr="00AF2362">
        <w:rPr>
          <w:i/>
          <w:iCs/>
        </w:rPr>
        <w:t>IJEBD International Journal of Entrepreneurship and Business Development</w:t>
      </w:r>
      <w:r w:rsidRPr="00AF2362">
        <w:t>, </w:t>
      </w:r>
      <w:r w:rsidRPr="00AF2362">
        <w:rPr>
          <w:i/>
          <w:iCs/>
        </w:rPr>
        <w:t>5</w:t>
      </w:r>
      <w:r w:rsidRPr="00AF2362">
        <w:t>(4), 699-707.</w:t>
      </w:r>
      <w:r>
        <w:t xml:space="preserve"> </w:t>
      </w:r>
      <w:hyperlink r:id="rId32" w:history="1">
        <w:r w:rsidR="00035BFE" w:rsidRPr="008A00F5">
          <w:rPr>
            <w:rStyle w:val="Hyperlink"/>
          </w:rPr>
          <w:t>https://scholar.archive.org/work/mdlbi2hanraitgfektlykiu5wa/access/wayback/https://jurnal.narotama.ac.id/index.php/ijebd/article/download/1897/1330</w:t>
        </w:r>
      </w:hyperlink>
    </w:p>
    <w:p w14:paraId="3FD1D64D" w14:textId="77777777" w:rsidR="00035BFE" w:rsidRDefault="00BB0E4D" w:rsidP="00380418">
      <w:pPr>
        <w:jc w:val="left"/>
      </w:pPr>
      <w:r w:rsidRPr="00850C35">
        <w:t>Liu, H. (2025, July). Str</w:t>
      </w:r>
      <w:r w:rsidRPr="00850C35">
        <w:t>ategic Investments in Renewable Energy: A Comparative Study of BYD and Tesla. In </w:t>
      </w:r>
      <w:r w:rsidRPr="00850C35">
        <w:rPr>
          <w:i/>
          <w:iCs/>
        </w:rPr>
        <w:t>2025 International Conference on Financial Risk and Investment Management (ICFRIM 2025)</w:t>
      </w:r>
      <w:r w:rsidRPr="00850C35">
        <w:t> (pp. 440-446). Atlantis Press.</w:t>
      </w:r>
      <w:r>
        <w:t xml:space="preserve"> </w:t>
      </w:r>
      <w:hyperlink r:id="rId33" w:history="1">
        <w:r w:rsidR="00035BFE" w:rsidRPr="007B5AF6">
          <w:rPr>
            <w:rStyle w:val="Hyperlink"/>
          </w:rPr>
          <w:t>https://www.atlantis-press.com/article/126013062.pdf</w:t>
        </w:r>
      </w:hyperlink>
    </w:p>
    <w:p w14:paraId="701727BA" w14:textId="77777777" w:rsidR="00035BFE" w:rsidRDefault="00BB0E4D" w:rsidP="00380418">
      <w:pPr>
        <w:jc w:val="left"/>
      </w:pPr>
      <w:proofErr w:type="spellStart"/>
      <w:r w:rsidRPr="00F42BE7">
        <w:lastRenderedPageBreak/>
        <w:t>Lorentzen</w:t>
      </w:r>
      <w:proofErr w:type="spellEnd"/>
      <w:r w:rsidRPr="00F42BE7">
        <w:t xml:space="preserve">, S., </w:t>
      </w:r>
      <w:r>
        <w:t>and</w:t>
      </w:r>
      <w:r w:rsidRPr="00F42BE7">
        <w:t xml:space="preserve"> </w:t>
      </w:r>
      <w:proofErr w:type="spellStart"/>
      <w:r w:rsidRPr="00F42BE7">
        <w:t>Osmundsen</w:t>
      </w:r>
      <w:proofErr w:type="spellEnd"/>
      <w:r w:rsidRPr="00F42BE7">
        <w:t>, P. (2023). Capital rationing and business cycles in the Norwegian petroleum industry. </w:t>
      </w:r>
      <w:r w:rsidRPr="00F42BE7">
        <w:rPr>
          <w:i/>
          <w:iCs/>
        </w:rPr>
        <w:t>Available at SSRN 4549624</w:t>
      </w:r>
      <w:r w:rsidRPr="00F42BE7">
        <w:t>.</w:t>
      </w:r>
      <w:r>
        <w:t xml:space="preserve"> </w:t>
      </w:r>
      <w:hyperlink r:id="rId34" w:history="1">
        <w:r w:rsidR="00035BFE" w:rsidRPr="007B5AF6">
          <w:rPr>
            <w:rStyle w:val="Hyperlink"/>
          </w:rPr>
          <w:t>https://papers.ssrn.com/sol3/Delivery.cfm?abstractid=4549624</w:t>
        </w:r>
      </w:hyperlink>
    </w:p>
    <w:p w14:paraId="435C1005" w14:textId="77777777" w:rsidR="00035BFE" w:rsidRDefault="00BB0E4D" w:rsidP="00380418">
      <w:pPr>
        <w:jc w:val="left"/>
      </w:pPr>
      <w:r w:rsidRPr="00F42BE7">
        <w:t xml:space="preserve">Hoang, D., </w:t>
      </w:r>
      <w:proofErr w:type="spellStart"/>
      <w:r w:rsidRPr="00F42BE7">
        <w:t>Gatzer</w:t>
      </w:r>
      <w:proofErr w:type="spellEnd"/>
      <w:r w:rsidRPr="00F42BE7">
        <w:t xml:space="preserve">, S., </w:t>
      </w:r>
      <w:r>
        <w:t>and</w:t>
      </w:r>
      <w:r w:rsidRPr="00F42BE7">
        <w:t xml:space="preserve"> </w:t>
      </w:r>
      <w:proofErr w:type="spellStart"/>
      <w:r w:rsidRPr="00F42BE7">
        <w:t>Ruckes</w:t>
      </w:r>
      <w:proofErr w:type="spellEnd"/>
      <w:r w:rsidRPr="00F42BE7">
        <w:t>, M. (2025). The economics of capital allocation in firms: Evidence from internal capital markets. </w:t>
      </w:r>
      <w:r w:rsidRPr="00F42BE7">
        <w:rPr>
          <w:i/>
          <w:iCs/>
        </w:rPr>
        <w:t>Management science</w:t>
      </w:r>
      <w:r w:rsidRPr="00F42BE7">
        <w:t>, </w:t>
      </w:r>
      <w:r w:rsidRPr="00F42BE7">
        <w:rPr>
          <w:i/>
          <w:iCs/>
        </w:rPr>
        <w:t>71</w:t>
      </w:r>
      <w:r w:rsidRPr="00F42BE7">
        <w:t>(8), 6392-6</w:t>
      </w:r>
      <w:r w:rsidRPr="00F42BE7">
        <w:t>425.</w:t>
      </w:r>
      <w:r>
        <w:t xml:space="preserve"> </w:t>
      </w:r>
      <w:hyperlink r:id="rId35" w:history="1">
        <w:r w:rsidR="00035BFE" w:rsidRPr="007B5AF6">
          <w:rPr>
            <w:rStyle w:val="Hyperlink"/>
          </w:rPr>
          <w:t>https://pubsonline.informs.org/doi/full/10.1287/mnsc.2021.02755</w:t>
        </w:r>
      </w:hyperlink>
    </w:p>
    <w:p w14:paraId="3DDF56A0" w14:textId="77777777" w:rsidR="00035BFE" w:rsidRDefault="00BB0E4D" w:rsidP="00380418">
      <w:pPr>
        <w:jc w:val="left"/>
      </w:pPr>
      <w:proofErr w:type="spellStart"/>
      <w:r w:rsidRPr="00850C35">
        <w:t>Mehmood</w:t>
      </w:r>
      <w:proofErr w:type="spellEnd"/>
      <w:r w:rsidRPr="00850C35">
        <w:t xml:space="preserve">, A., </w:t>
      </w:r>
      <w:r>
        <w:t>and</w:t>
      </w:r>
      <w:r w:rsidRPr="00850C35">
        <w:t xml:space="preserve"> De Luca, F. (2025). Financial distress prediction in private firms: developing a model for</w:t>
      </w:r>
      <w:r w:rsidRPr="00850C35">
        <w:t xml:space="preserve"> troubled debt restructuring. </w:t>
      </w:r>
      <w:r w:rsidRPr="00850C35">
        <w:rPr>
          <w:i/>
          <w:iCs/>
        </w:rPr>
        <w:t>Journal of Applied Accounting Research</w:t>
      </w:r>
      <w:r w:rsidRPr="00850C35">
        <w:t>, </w:t>
      </w:r>
      <w:r w:rsidRPr="00850C35">
        <w:rPr>
          <w:i/>
          <w:iCs/>
        </w:rPr>
        <w:t>26</w:t>
      </w:r>
      <w:r w:rsidRPr="00850C35">
        <w:t>(6), 205-222.</w:t>
      </w:r>
      <w:r>
        <w:t xml:space="preserve"> </w:t>
      </w:r>
      <w:hyperlink r:id="rId36" w:history="1">
        <w:r w:rsidR="00035BFE" w:rsidRPr="007B5AF6">
          <w:rPr>
            <w:rStyle w:val="Hyperlink"/>
          </w:rPr>
          <w:t>https://www.emerald.com/jaar/article-pdf/26/6/205/9873185/jaar-12-2022-0325.pdf</w:t>
        </w:r>
      </w:hyperlink>
    </w:p>
    <w:p w14:paraId="3C0B048D" w14:textId="77777777" w:rsidR="00035BFE" w:rsidRDefault="00BB0E4D" w:rsidP="00380418">
      <w:pPr>
        <w:jc w:val="left"/>
      </w:pPr>
      <w:proofErr w:type="spellStart"/>
      <w:r w:rsidRPr="00850C35">
        <w:t>Ngwakwe</w:t>
      </w:r>
      <w:proofErr w:type="spellEnd"/>
      <w:r w:rsidRPr="00850C35">
        <w:t>, C. C. (2024). International Corporate Strategic Alliances: Mergers &amp; Acquisitions and Financial Value Creation. </w:t>
      </w:r>
      <w:r w:rsidRPr="00850C35">
        <w:rPr>
          <w:i/>
          <w:iCs/>
        </w:rPr>
        <w:t>The Journal of Accounting and Management</w:t>
      </w:r>
      <w:r w:rsidRPr="00850C35">
        <w:t>, </w:t>
      </w:r>
      <w:r w:rsidRPr="00850C35">
        <w:rPr>
          <w:i/>
          <w:iCs/>
        </w:rPr>
        <w:t>14</w:t>
      </w:r>
      <w:r w:rsidRPr="00850C35">
        <w:t>(1), 74-82.</w:t>
      </w:r>
      <w:r>
        <w:t xml:space="preserve"> </w:t>
      </w:r>
      <w:hyperlink r:id="rId37" w:history="1">
        <w:r w:rsidR="00035BFE" w:rsidRPr="007B5AF6">
          <w:rPr>
            <w:rStyle w:val="Hyperlink"/>
          </w:rPr>
          <w:t>https://dj.univ-danubius.ro/index.php/JAM/article/download/2756/2816</w:t>
        </w:r>
      </w:hyperlink>
    </w:p>
    <w:p w14:paraId="0DBA798E" w14:textId="77777777" w:rsidR="00035BFE" w:rsidRDefault="00BB0E4D" w:rsidP="00380418">
      <w:pPr>
        <w:jc w:val="left"/>
      </w:pPr>
      <w:proofErr w:type="spellStart"/>
      <w:r w:rsidRPr="00D23719">
        <w:t>Olayinka</w:t>
      </w:r>
      <w:proofErr w:type="spellEnd"/>
      <w:r w:rsidRPr="00D23719">
        <w:t>, A. A. (2022). Financial statement analysis as a tool for investment decisions and assessment o</w:t>
      </w:r>
      <w:r w:rsidRPr="00D23719">
        <w:t>f companies’ performance. </w:t>
      </w:r>
      <w:r w:rsidRPr="00D23719">
        <w:rPr>
          <w:i/>
          <w:iCs/>
        </w:rPr>
        <w:t>International Journal of Financial, Accounting, and Management</w:t>
      </w:r>
      <w:r w:rsidRPr="00D23719">
        <w:t>, </w:t>
      </w:r>
      <w:r w:rsidRPr="00D23719">
        <w:rPr>
          <w:i/>
          <w:iCs/>
        </w:rPr>
        <w:t>4</w:t>
      </w:r>
      <w:r w:rsidRPr="00D23719">
        <w:t>(1), 49-66.</w:t>
      </w:r>
      <w:r>
        <w:t xml:space="preserve"> </w:t>
      </w:r>
      <w:hyperlink r:id="rId38" w:history="1">
        <w:r w:rsidR="00035BFE" w:rsidRPr="007B5AF6">
          <w:rPr>
            <w:rStyle w:val="Hyperlink"/>
          </w:rPr>
          <w: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w:t>
        </w:r>
      </w:hyperlink>
    </w:p>
    <w:p w14:paraId="45D5F861" w14:textId="77777777" w:rsidR="00035BFE" w:rsidRDefault="00BB0E4D" w:rsidP="00380418">
      <w:pPr>
        <w:jc w:val="left"/>
      </w:pPr>
      <w:proofErr w:type="spellStart"/>
      <w:r w:rsidRPr="00AF2362">
        <w:t>Olulu</w:t>
      </w:r>
      <w:proofErr w:type="spellEnd"/>
      <w:r w:rsidRPr="00AF2362">
        <w:t>-Briggs,</w:t>
      </w:r>
      <w:r w:rsidRPr="00AF2362">
        <w:t xml:space="preserve"> O. V., </w:t>
      </w:r>
      <w:r>
        <w:t>and</w:t>
      </w:r>
      <w:r w:rsidRPr="00AF2362">
        <w:t xml:space="preserve"> </w:t>
      </w:r>
      <w:proofErr w:type="spellStart"/>
      <w:r w:rsidRPr="00AF2362">
        <w:t>Wobo</w:t>
      </w:r>
      <w:proofErr w:type="spellEnd"/>
      <w:r w:rsidRPr="00AF2362">
        <w:t>, H. O. (2023). Cash flow, liquidity and capital structure on profitability of quoted manufacturing firms in Nigeria. </w:t>
      </w:r>
      <w:r w:rsidRPr="00AF2362">
        <w:rPr>
          <w:i/>
          <w:iCs/>
        </w:rPr>
        <w:t xml:space="preserve">ICAN, </w:t>
      </w:r>
      <w:proofErr w:type="spellStart"/>
      <w:r w:rsidRPr="00AF2362">
        <w:rPr>
          <w:i/>
          <w:iCs/>
        </w:rPr>
        <w:t>nd</w:t>
      </w:r>
      <w:proofErr w:type="spellEnd"/>
      <w:r w:rsidRPr="00AF2362">
        <w:t>.</w:t>
      </w:r>
      <w:r>
        <w:t xml:space="preserve"> </w:t>
      </w:r>
      <w:hyperlink r:id="rId39" w:history="1">
        <w:r w:rsidR="00035BFE" w:rsidRPr="008A00F5">
          <w:rPr>
            <w:rStyle w:val="Hyperlink"/>
          </w:rPr>
          <w:t>https://icanig.org/documents/23_CASH_FLOW_LIQUIDITY_AND_CAPITAL_STRUCTURE.pdf</w:t>
        </w:r>
      </w:hyperlink>
    </w:p>
    <w:p w14:paraId="3CA67921" w14:textId="77777777" w:rsidR="00035BFE" w:rsidRDefault="00BB0E4D" w:rsidP="00380418">
      <w:pPr>
        <w:jc w:val="left"/>
      </w:pPr>
      <w:r w:rsidRPr="00D23719">
        <w:t>Pal, S. (2023). Advancements in AI-enhanced just-in-time inventory: Elevating demand forecasting accuracy. </w:t>
      </w:r>
      <w:r w:rsidRPr="00D23719">
        <w:rPr>
          <w:i/>
          <w:iCs/>
        </w:rPr>
        <w:t>International journal for research in applied science and engineering technology</w:t>
      </w:r>
      <w:r w:rsidRPr="00D23719">
        <w:t>, </w:t>
      </w:r>
      <w:r w:rsidRPr="00D23719">
        <w:rPr>
          <w:i/>
          <w:iCs/>
        </w:rPr>
        <w:t>11</w:t>
      </w:r>
      <w:r w:rsidRPr="00D23719">
        <w:t>(11),</w:t>
      </w:r>
      <w:r w:rsidRPr="00D23719">
        <w:t xml:space="preserve"> 282-289.</w:t>
      </w:r>
      <w:r>
        <w:t xml:space="preserve"> </w:t>
      </w:r>
      <w:hyperlink r:id="rId40" w:history="1">
        <w:r w:rsidR="00035BFE" w:rsidRPr="007B5AF6">
          <w:rPr>
            <w:rStyle w:val="Hyperlink"/>
          </w:rPr>
          <w:t>https://www.researchgate.net/profile/Subharun-Pal/publication/375415923_Advancements_in_AI-Enhanced_Just-In-Time_Inventory_Elevating_Demand_Forecasting_Accuracy/links/65495776b1398a7</w:t>
        </w:r>
        <w:r w:rsidR="00035BFE" w:rsidRPr="007B5AF6">
          <w:rPr>
            <w:rStyle w:val="Hyperlink"/>
          </w:rPr>
          <w:lastRenderedPageBreak/>
          <w:t>79d695871/Advancements-in-AI-Enhanced-Just-In-Time-Inventory-Elevating-Demand-Forecasting-Accuracy.pdf</w:t>
        </w:r>
      </w:hyperlink>
    </w:p>
    <w:p w14:paraId="5981C34C" w14:textId="77777777" w:rsidR="00035BFE" w:rsidRDefault="00BB0E4D" w:rsidP="00380418">
      <w:pPr>
        <w:jc w:val="left"/>
      </w:pPr>
      <w:proofErr w:type="spellStart"/>
      <w:r w:rsidRPr="00850C35">
        <w:t>Pavelic</w:t>
      </w:r>
      <w:proofErr w:type="spellEnd"/>
      <w:r w:rsidRPr="00850C35">
        <w:t>, D. (2025). Privatisation Investment Funds Ineffective Tools for Corporate Governance and Restructuring.</w:t>
      </w:r>
      <w:r>
        <w:t xml:space="preserve"> </w:t>
      </w:r>
      <w:hyperlink r:id="rId41" w:history="1">
        <w:r w:rsidR="00035BFE" w:rsidRPr="007B5AF6">
          <w:rPr>
            <w:rStyle w:val="Hyperlink"/>
          </w:rPr>
          <w:t>https://www.academia.edu/download/125550883/Privatization_investment_funds_DPavelic_ENG_For_Publishing_FINAL.pdf</w:t>
        </w:r>
      </w:hyperlink>
    </w:p>
    <w:p w14:paraId="622E326B" w14:textId="77777777" w:rsidR="00035BFE" w:rsidRDefault="00BB0E4D" w:rsidP="00380418">
      <w:pPr>
        <w:jc w:val="left"/>
      </w:pPr>
      <w:proofErr w:type="spellStart"/>
      <w:r w:rsidRPr="00AF2362">
        <w:t>Poutziouris</w:t>
      </w:r>
      <w:proofErr w:type="spellEnd"/>
      <w:r w:rsidRPr="00AF2362">
        <w:t xml:space="preserve">, P., </w:t>
      </w:r>
      <w:proofErr w:type="spellStart"/>
      <w:r w:rsidRPr="00AF2362">
        <w:t>Markou</w:t>
      </w:r>
      <w:proofErr w:type="spellEnd"/>
      <w:r w:rsidRPr="00AF2362">
        <w:t xml:space="preserve">, D., </w:t>
      </w:r>
      <w:proofErr w:type="spellStart"/>
      <w:r w:rsidRPr="00AF2362">
        <w:t>Glyptis</w:t>
      </w:r>
      <w:proofErr w:type="spellEnd"/>
      <w:r w:rsidRPr="00AF2362">
        <w:t xml:space="preserve">, L., </w:t>
      </w:r>
      <w:r>
        <w:t>and</w:t>
      </w:r>
      <w:r w:rsidRPr="00AF2362">
        <w:t xml:space="preserve"> </w:t>
      </w:r>
      <w:proofErr w:type="spellStart"/>
      <w:r w:rsidRPr="00AF2362">
        <w:t>Hadjielias</w:t>
      </w:r>
      <w:proofErr w:type="spellEnd"/>
      <w:r w:rsidRPr="00AF2362">
        <w:t>, Ε. (2022). Capi</w:t>
      </w:r>
      <w:r w:rsidRPr="00AF2362">
        <w:t>tal structure of UK SMEs: An integrated understanding. </w:t>
      </w:r>
      <w:r w:rsidRPr="00AF2362">
        <w:rPr>
          <w:i/>
          <w:iCs/>
        </w:rPr>
        <w:t>International Journal of Entrepreneurship and Small Business</w:t>
      </w:r>
      <w:r w:rsidRPr="00AF2362">
        <w:t>, </w:t>
      </w:r>
      <w:r w:rsidRPr="00AF2362">
        <w:rPr>
          <w:i/>
          <w:iCs/>
        </w:rPr>
        <w:t>46</w:t>
      </w:r>
      <w:r w:rsidRPr="00AF2362">
        <w:t>(1), 64-95.</w:t>
      </w:r>
      <w:r>
        <w:t xml:space="preserve"> </w:t>
      </w:r>
      <w:hyperlink r:id="rId42" w:history="1">
        <w:r w:rsidR="00035BFE" w:rsidRPr="008A00F5">
          <w:rPr>
            <w:rStyle w:val="Hyperlink"/>
          </w:rPr>
          <w:t>https://knowledge.lancashire.ac.uk/id/eprint/46370/1/X%20HADJIELIAS_245583_%20EH.pdf</w:t>
        </w:r>
      </w:hyperlink>
    </w:p>
    <w:p w14:paraId="21511DB9" w14:textId="77777777" w:rsidR="00035BFE" w:rsidRDefault="00BB0E4D" w:rsidP="00380418">
      <w:pPr>
        <w:jc w:val="left"/>
      </w:pPr>
      <w:r w:rsidRPr="00AF2362">
        <w:t>Rahman, A. (2023). Impact of working capital ratios on profitability in selected four-wheeler automobile companies. </w:t>
      </w:r>
      <w:r w:rsidRPr="00AF2362">
        <w:rPr>
          <w:i/>
          <w:iCs/>
        </w:rPr>
        <w:t xml:space="preserve">The </w:t>
      </w:r>
      <w:proofErr w:type="spellStart"/>
      <w:r w:rsidRPr="00AF2362">
        <w:rPr>
          <w:i/>
          <w:iCs/>
        </w:rPr>
        <w:t>Lumbini</w:t>
      </w:r>
      <w:proofErr w:type="spellEnd"/>
      <w:r w:rsidRPr="00AF2362">
        <w:rPr>
          <w:i/>
          <w:iCs/>
        </w:rPr>
        <w:t xml:space="preserve"> Journal of Business and Economics</w:t>
      </w:r>
      <w:r w:rsidRPr="00AF2362">
        <w:t>, </w:t>
      </w:r>
      <w:r w:rsidRPr="00AF2362">
        <w:rPr>
          <w:i/>
          <w:iCs/>
        </w:rPr>
        <w:t>11</w:t>
      </w:r>
      <w:r w:rsidRPr="00AF2362">
        <w:t>(1), 100-115.</w:t>
      </w:r>
      <w:r>
        <w:t xml:space="preserve"> </w:t>
      </w:r>
      <w:hyperlink r:id="rId43" w:history="1">
        <w:r w:rsidR="00035BFE" w:rsidRPr="008A00F5">
          <w:rPr>
            <w:rStyle w:val="Hyperlink"/>
          </w:rPr>
          <w:t>https://nepjol.info/index.php/ljbe/article/download/54320/40697</w:t>
        </w:r>
      </w:hyperlink>
    </w:p>
    <w:p w14:paraId="3FEDF66F" w14:textId="77777777" w:rsidR="00035BFE" w:rsidRDefault="00BB0E4D" w:rsidP="00380418">
      <w:pPr>
        <w:jc w:val="left"/>
      </w:pPr>
      <w:r w:rsidRPr="00AF2362">
        <w:t xml:space="preserve">Ramadan, A., </w:t>
      </w:r>
      <w:r>
        <w:t>and</w:t>
      </w:r>
      <w:r w:rsidRPr="00AF2362">
        <w:t xml:space="preserve"> </w:t>
      </w:r>
      <w:proofErr w:type="spellStart"/>
      <w:r w:rsidRPr="00AF2362">
        <w:t>Morshed</w:t>
      </w:r>
      <w:proofErr w:type="spellEnd"/>
      <w:r w:rsidRPr="00AF2362">
        <w:t>, A. (2023). Working capital management roles for multinational retail industry profitability: a qualita</w:t>
      </w:r>
      <w:r w:rsidRPr="00AF2362">
        <w:t>tive study, worldwide perspective. </w:t>
      </w:r>
      <w:r w:rsidRPr="00AF2362">
        <w:rPr>
          <w:i/>
          <w:iCs/>
        </w:rPr>
        <w:t>Information Sciences Letters</w:t>
      </w:r>
      <w:r w:rsidRPr="00AF2362">
        <w:t>, </w:t>
      </w:r>
      <w:r w:rsidRPr="00AF2362">
        <w:rPr>
          <w:i/>
          <w:iCs/>
        </w:rPr>
        <w:t>12</w:t>
      </w:r>
      <w:r w:rsidRPr="00AF2362">
        <w:t>(10), 2707-2717.</w:t>
      </w:r>
      <w:r>
        <w:t xml:space="preserve"> </w:t>
      </w:r>
      <w:hyperlink r:id="rId44" w:history="1">
        <w:r w:rsidR="00035BFE" w:rsidRPr="008A00F5">
          <w:rPr>
            <w:rStyle w:val="Hyperlink"/>
          </w:rPr>
          <w:t>https://www.naturalspublishing.com/download.asp?ArtcID=27775</w:t>
        </w:r>
      </w:hyperlink>
    </w:p>
    <w:p w14:paraId="3D5DC92F" w14:textId="77777777" w:rsidR="00035BFE" w:rsidRDefault="00BB0E4D" w:rsidP="00380418">
      <w:pPr>
        <w:jc w:val="left"/>
      </w:pPr>
      <w:r w:rsidRPr="009E3C91">
        <w:t xml:space="preserve">Sam, R. (2025). How to Adjust the </w:t>
      </w:r>
      <w:r w:rsidRPr="009E3C91">
        <w:t xml:space="preserve">P/E Ratio for Earnings Growth in Equity Valuation: PEG or </w:t>
      </w:r>
      <w:proofErr w:type="gramStart"/>
      <w:r w:rsidRPr="009E3C91">
        <w:t>PPP?.</w:t>
      </w:r>
      <w:proofErr w:type="gramEnd"/>
      <w:r w:rsidRPr="009E3C91">
        <w:t> </w:t>
      </w:r>
      <w:r w:rsidRPr="009E3C91">
        <w:rPr>
          <w:i/>
          <w:iCs/>
        </w:rPr>
        <w:t>E Ratio for Earnings Growth in Equity Valuation: PEG or PPP</w:t>
      </w:r>
      <w:r w:rsidRPr="009E3C91">
        <w:t>.</w:t>
      </w:r>
      <w:r>
        <w:t xml:space="preserve"> </w:t>
      </w:r>
      <w:hyperlink r:id="rId45" w:history="1">
        <w:r w:rsidR="00035BFE" w:rsidRPr="007B5AF6">
          <w:rPr>
            <w:rStyle w:val="Hyperlink"/>
          </w:rPr>
          <w:t>https://papers.ssrn.com/sol3/Delivery.cfm?abstractid=5241650</w:t>
        </w:r>
      </w:hyperlink>
    </w:p>
    <w:p w14:paraId="51FBE20C" w14:textId="77777777" w:rsidR="00035BFE" w:rsidRDefault="00BB0E4D" w:rsidP="00380418">
      <w:pPr>
        <w:jc w:val="left"/>
      </w:pPr>
      <w:r w:rsidRPr="00AF2362">
        <w:t xml:space="preserve">Sánchez, A. C., </w:t>
      </w:r>
      <w:proofErr w:type="spellStart"/>
      <w:r w:rsidRPr="00AF2362">
        <w:t>Kamau</w:t>
      </w:r>
      <w:proofErr w:type="spellEnd"/>
      <w:r w:rsidRPr="00AF2362">
        <w:t xml:space="preserve">, H. N., </w:t>
      </w:r>
      <w:proofErr w:type="spellStart"/>
      <w:r w:rsidRPr="00AF2362">
        <w:t>Grazioli</w:t>
      </w:r>
      <w:proofErr w:type="spellEnd"/>
      <w:r w:rsidRPr="00AF2362">
        <w:t xml:space="preserve">, F., </w:t>
      </w:r>
      <w:r>
        <w:t>and</w:t>
      </w:r>
      <w:r w:rsidRPr="00AF2362">
        <w:t xml:space="preserve"> Jones, S. K. (2022). Financial profitability of diversified farming systems: A global meta-analysis. </w:t>
      </w:r>
      <w:r w:rsidRPr="00AF2362">
        <w:rPr>
          <w:i/>
          <w:iCs/>
        </w:rPr>
        <w:t>Ecological Economics</w:t>
      </w:r>
      <w:r w:rsidRPr="00AF2362">
        <w:t>, </w:t>
      </w:r>
      <w:r w:rsidRPr="00AF2362">
        <w:rPr>
          <w:i/>
          <w:iCs/>
        </w:rPr>
        <w:t>201</w:t>
      </w:r>
      <w:r w:rsidRPr="00AF2362">
        <w:t>, 107595.</w:t>
      </w:r>
      <w:r>
        <w:t xml:space="preserve"> </w:t>
      </w:r>
      <w:hyperlink r:id="rId46" w:history="1">
        <w:r w:rsidR="00035BFE" w:rsidRPr="008A00F5">
          <w:rPr>
            <w:rStyle w:val="Hyperlink"/>
          </w:rPr>
          <w:t>https://www.sciencedirect.com/science/article/pii/S0921800922002579</w:t>
        </w:r>
      </w:hyperlink>
    </w:p>
    <w:p w14:paraId="471BB542" w14:textId="77777777" w:rsidR="00035BFE" w:rsidRDefault="00BB0E4D" w:rsidP="00380418">
      <w:pPr>
        <w:jc w:val="left"/>
      </w:pPr>
      <w:proofErr w:type="spellStart"/>
      <w:r w:rsidRPr="00F42BE7">
        <w:t>Sekhar</w:t>
      </w:r>
      <w:proofErr w:type="spellEnd"/>
      <w:r w:rsidRPr="00F42BE7">
        <w:t xml:space="preserve">, S. C. (2025). Reassessing The Role </w:t>
      </w:r>
      <w:proofErr w:type="gramStart"/>
      <w:r w:rsidRPr="00F42BE7">
        <w:t>Of</w:t>
      </w:r>
      <w:proofErr w:type="gramEnd"/>
      <w:r w:rsidRPr="00F42BE7">
        <w:t xml:space="preserve"> Net Present Value In Capital Budgeting Decisions. </w:t>
      </w:r>
      <w:r w:rsidRPr="00F42BE7">
        <w:rPr>
          <w:i/>
          <w:iCs/>
        </w:rPr>
        <w:t>Internatio</w:t>
      </w:r>
      <w:r w:rsidRPr="00F42BE7">
        <w:rPr>
          <w:i/>
          <w:iCs/>
        </w:rPr>
        <w:t>nal Journal of Research and Analytical Reviews</w:t>
      </w:r>
      <w:r w:rsidRPr="00F42BE7">
        <w:t>.</w:t>
      </w:r>
      <w:r>
        <w:t xml:space="preserve"> </w:t>
      </w:r>
      <w:hyperlink r:id="rId47" w:history="1">
        <w:r w:rsidR="00035BFE" w:rsidRPr="007B5AF6">
          <w:rPr>
            <w:rStyle w:val="Hyperlink"/>
          </w:rPr>
          <w:t>https://www.academia.edu/download/124979573/28_2025_IJRAR.pdf</w:t>
        </w:r>
      </w:hyperlink>
    </w:p>
    <w:p w14:paraId="0D058916" w14:textId="77777777" w:rsidR="00035BFE" w:rsidRDefault="00BB0E4D" w:rsidP="00380418">
      <w:pPr>
        <w:jc w:val="left"/>
      </w:pPr>
      <w:proofErr w:type="spellStart"/>
      <w:r w:rsidRPr="00F42BE7">
        <w:t>Sinaga</w:t>
      </w:r>
      <w:proofErr w:type="spellEnd"/>
      <w:r w:rsidRPr="00F42BE7">
        <w:t xml:space="preserve">, A. S., Sari, M. M., </w:t>
      </w:r>
      <w:proofErr w:type="spellStart"/>
      <w:r w:rsidRPr="00F42BE7">
        <w:t>Hutasuhut</w:t>
      </w:r>
      <w:proofErr w:type="spellEnd"/>
      <w:r w:rsidRPr="00F42BE7">
        <w:t xml:space="preserve">, A. A., </w:t>
      </w:r>
      <w:proofErr w:type="spellStart"/>
      <w:r w:rsidRPr="00F42BE7">
        <w:t>Zahara</w:t>
      </w:r>
      <w:proofErr w:type="spellEnd"/>
      <w:r w:rsidRPr="00F42BE7">
        <w:t>, S. T., Amanda,</w:t>
      </w:r>
      <w:r w:rsidRPr="00F42BE7">
        <w:t xml:space="preserve"> A., </w:t>
      </w:r>
      <w:proofErr w:type="spellStart"/>
      <w:r w:rsidRPr="00F42BE7">
        <w:t>Fitri</w:t>
      </w:r>
      <w:proofErr w:type="spellEnd"/>
      <w:r w:rsidRPr="00F42BE7">
        <w:t xml:space="preserve">, A., </w:t>
      </w:r>
      <w:r>
        <w:t>and</w:t>
      </w:r>
      <w:r w:rsidRPr="00F42BE7">
        <w:t xml:space="preserve"> </w:t>
      </w:r>
      <w:proofErr w:type="spellStart"/>
      <w:r w:rsidRPr="00F42BE7">
        <w:t>Caesario</w:t>
      </w:r>
      <w:proofErr w:type="spellEnd"/>
      <w:r w:rsidRPr="00F42BE7">
        <w:t xml:space="preserve">, M. A. (2023). Comparison of capital budgeting methods: NPV, IRR, </w:t>
      </w:r>
      <w:r w:rsidRPr="00F42BE7">
        <w:lastRenderedPageBreak/>
        <w:t>PAYBACK PERIOD. </w:t>
      </w:r>
      <w:r w:rsidRPr="00F42BE7">
        <w:rPr>
          <w:i/>
          <w:iCs/>
        </w:rPr>
        <w:t>World Journal of Advanced Research and Reviews</w:t>
      </w:r>
      <w:r w:rsidRPr="00F42BE7">
        <w:t>, </w:t>
      </w:r>
      <w:r w:rsidRPr="00F42BE7">
        <w:rPr>
          <w:i/>
          <w:iCs/>
        </w:rPr>
        <w:t>19</w:t>
      </w:r>
      <w:r w:rsidRPr="00F42BE7">
        <w:t>(2), 1078-1081.</w:t>
      </w:r>
      <w:r>
        <w:t xml:space="preserve"> </w:t>
      </w:r>
      <w:hyperlink r:id="rId48" w:history="1">
        <w:r w:rsidR="00035BFE" w:rsidRPr="007B5AF6">
          <w:rPr>
            <w:rStyle w:val="Hyperlink"/>
          </w:rPr>
          <w:t>https://pdfs.semanticscholar.org/35f5/923a958b071288b38d4e960e8268477ec19a.pdf</w:t>
        </w:r>
      </w:hyperlink>
    </w:p>
    <w:p w14:paraId="2868B7E2" w14:textId="77777777" w:rsidR="00035BFE" w:rsidRDefault="00BB0E4D" w:rsidP="00380418">
      <w:pPr>
        <w:jc w:val="left"/>
      </w:pPr>
      <w:r w:rsidRPr="00D23719">
        <w:t xml:space="preserve">Stavropoulos, A. S., </w:t>
      </w:r>
      <w:r>
        <w:t>and</w:t>
      </w:r>
      <w:r w:rsidRPr="00D23719">
        <w:t xml:space="preserve"> </w:t>
      </w:r>
      <w:proofErr w:type="spellStart"/>
      <w:r w:rsidRPr="00D23719">
        <w:t>Zounta</w:t>
      </w:r>
      <w:proofErr w:type="spellEnd"/>
      <w:r w:rsidRPr="00D23719">
        <w:t>, S. (2025). Cash conversion cycle and profitability: Evidence from Greek service firms. </w:t>
      </w:r>
      <w:r w:rsidRPr="00D23719">
        <w:rPr>
          <w:i/>
          <w:iCs/>
        </w:rPr>
        <w:t>Journal of Risk and Financial Management</w:t>
      </w:r>
      <w:r w:rsidRPr="00D23719">
        <w:t>,</w:t>
      </w:r>
      <w:r w:rsidRPr="00D23719">
        <w:t> </w:t>
      </w:r>
      <w:r w:rsidRPr="00D23719">
        <w:rPr>
          <w:i/>
          <w:iCs/>
        </w:rPr>
        <w:t>18</w:t>
      </w:r>
      <w:r w:rsidRPr="00D23719">
        <w:t>(4), 208.</w:t>
      </w:r>
      <w:r>
        <w:t xml:space="preserve"> </w:t>
      </w:r>
      <w:hyperlink r:id="rId49" w:history="1">
        <w:r w:rsidR="00035BFE" w:rsidRPr="007B5AF6">
          <w:rPr>
            <w:rStyle w:val="Hyperlink"/>
          </w:rPr>
          <w:t>https://www.mdpi.com/1911-8074/18/4/208</w:t>
        </w:r>
      </w:hyperlink>
    </w:p>
    <w:p w14:paraId="546316FE" w14:textId="77777777" w:rsidR="00035BFE" w:rsidRDefault="00BB0E4D" w:rsidP="00380418">
      <w:pPr>
        <w:jc w:val="left"/>
      </w:pPr>
      <w:proofErr w:type="spellStart"/>
      <w:r w:rsidRPr="00F42BE7">
        <w:t>Tulhayat</w:t>
      </w:r>
      <w:proofErr w:type="spellEnd"/>
      <w:r w:rsidRPr="00F42BE7">
        <w:t xml:space="preserve">, J. M., </w:t>
      </w:r>
      <w:proofErr w:type="spellStart"/>
      <w:r w:rsidRPr="00F42BE7">
        <w:t>Azis</w:t>
      </w:r>
      <w:proofErr w:type="spellEnd"/>
      <w:r w:rsidRPr="00F42BE7">
        <w:t xml:space="preserve">, F., </w:t>
      </w:r>
      <w:r>
        <w:t>and</w:t>
      </w:r>
      <w:r w:rsidRPr="00F42BE7">
        <w:t xml:space="preserve"> Musa, K. S. P. (2025). Investment Feasibility Analysis in MSMEs Using Payback Period and Profitability Index Approac</w:t>
      </w:r>
      <w:r w:rsidRPr="00F42BE7">
        <w:t xml:space="preserve">hes: Case Study on </w:t>
      </w:r>
      <w:proofErr w:type="spellStart"/>
      <w:r w:rsidRPr="00F42BE7">
        <w:t>Jalangkote</w:t>
      </w:r>
      <w:proofErr w:type="spellEnd"/>
      <w:r w:rsidRPr="00F42BE7">
        <w:t xml:space="preserve"> Master. </w:t>
      </w:r>
      <w:r w:rsidRPr="00F42BE7">
        <w:rPr>
          <w:i/>
          <w:iCs/>
        </w:rPr>
        <w:t>SIMAK</w:t>
      </w:r>
      <w:r w:rsidRPr="00F42BE7">
        <w:t>, </w:t>
      </w:r>
      <w:r w:rsidRPr="00F42BE7">
        <w:rPr>
          <w:i/>
          <w:iCs/>
        </w:rPr>
        <w:t>23</w:t>
      </w:r>
      <w:r w:rsidRPr="00F42BE7">
        <w:t>(02), 103-116.</w:t>
      </w:r>
      <w:r>
        <w:t xml:space="preserve"> </w:t>
      </w:r>
      <w:hyperlink r:id="rId50" w:history="1">
        <w:r w:rsidR="00035BFE" w:rsidRPr="007B5AF6">
          <w:rPr>
            <w:rStyle w:val="Hyperlink"/>
          </w:rPr>
          <w:t>http://ojs.feb.uajm.ac.id/index.php/simak/article/download/658/342</w:t>
        </w:r>
      </w:hyperlink>
    </w:p>
    <w:p w14:paraId="7875E975" w14:textId="77777777" w:rsidR="00035BFE" w:rsidRDefault="00BB0E4D" w:rsidP="00380418">
      <w:pPr>
        <w:jc w:val="left"/>
      </w:pPr>
      <w:proofErr w:type="spellStart"/>
      <w:r w:rsidRPr="00F42BE7">
        <w:t>Usodan</w:t>
      </w:r>
      <w:proofErr w:type="spellEnd"/>
      <w:r w:rsidRPr="00F42BE7">
        <w:t xml:space="preserve">, A. K. M., Jalal, F. D. H., Bandera, A. D., </w:t>
      </w:r>
      <w:r>
        <w:t>and</w:t>
      </w:r>
      <w:r w:rsidRPr="00F42BE7">
        <w:t xml:space="preserve"> Usman-</w:t>
      </w:r>
      <w:proofErr w:type="spellStart"/>
      <w:r w:rsidRPr="00F42BE7">
        <w:t>Macadaag</w:t>
      </w:r>
      <w:proofErr w:type="spellEnd"/>
      <w:r w:rsidRPr="00F42BE7">
        <w:t>, O. M. (2025). Making the Right Choice: A Literature-Based Analysis on Investment Appraisal. </w:t>
      </w:r>
      <w:r w:rsidRPr="00F42BE7">
        <w:rPr>
          <w:i/>
          <w:iCs/>
        </w:rPr>
        <w:t>International Research Journal of Economics and Management Studies IRJEMS</w:t>
      </w:r>
      <w:r w:rsidRPr="00F42BE7">
        <w:t>, </w:t>
      </w:r>
      <w:r w:rsidRPr="00F42BE7">
        <w:rPr>
          <w:i/>
          <w:iCs/>
        </w:rPr>
        <w:t>4</w:t>
      </w:r>
      <w:r w:rsidRPr="00F42BE7">
        <w:t>(11).</w:t>
      </w:r>
      <w:r>
        <w:t xml:space="preserve"> </w:t>
      </w:r>
      <w:hyperlink r:id="rId51" w:history="1">
        <w:r w:rsidR="00035BFE" w:rsidRPr="007B5AF6">
          <w:rPr>
            <w:rStyle w:val="Hyperlink"/>
          </w:rPr>
          <w:t>https://irjems.org/Volume-4-Issue-11/IRJEMS-V4I11P113.pdf</w:t>
        </w:r>
      </w:hyperlink>
    </w:p>
    <w:p w14:paraId="5E8A2FE1" w14:textId="77777777" w:rsidR="00035BFE" w:rsidRDefault="00BB0E4D" w:rsidP="00380418">
      <w:pPr>
        <w:jc w:val="left"/>
      </w:pPr>
      <w:proofErr w:type="spellStart"/>
      <w:r w:rsidRPr="00850C35">
        <w:t>Volz</w:t>
      </w:r>
      <w:proofErr w:type="spellEnd"/>
      <w:r w:rsidRPr="00850C35">
        <w:t xml:space="preserve">, U., Lo, Y. C., </w:t>
      </w:r>
      <w:r>
        <w:t>and</w:t>
      </w:r>
      <w:r w:rsidRPr="00850C35">
        <w:t xml:space="preserve"> Mishra, V. (2024). </w:t>
      </w:r>
      <w:r w:rsidRPr="00850C35">
        <w:rPr>
          <w:i/>
          <w:iCs/>
        </w:rPr>
        <w:t xml:space="preserve">Scaling up green investment in the global south: strengthening domestic financial resource </w:t>
      </w:r>
      <w:r w:rsidRPr="00850C35">
        <w:rPr>
          <w:i/>
          <w:iCs/>
        </w:rPr>
        <w:t>mobilisation and attracting patient international capital</w:t>
      </w:r>
      <w:r w:rsidRPr="00850C35">
        <w:t>. SOAS University of London.</w:t>
      </w:r>
      <w:r>
        <w:t xml:space="preserve"> </w:t>
      </w:r>
      <w:hyperlink r:id="rId52" w:history="1">
        <w:r w:rsidR="00035BFE" w:rsidRPr="007B5AF6">
          <w:rPr>
            <w:rStyle w:val="Hyperlink"/>
          </w:rPr>
          <w:t>https://repository.londonmet.ac.uk/9863/1/Volz%20et%20al%202024%20Scaling%20Up%20Green%20Investment%20in%20the%20Global%20South-FINAL.pdf</w:t>
        </w:r>
      </w:hyperlink>
    </w:p>
    <w:p w14:paraId="765BA6AC" w14:textId="77777777" w:rsidR="00035BFE" w:rsidRDefault="00BB0E4D" w:rsidP="00380418">
      <w:pPr>
        <w:jc w:val="left"/>
      </w:pPr>
      <w:proofErr w:type="spellStart"/>
      <w:r w:rsidRPr="00F42BE7">
        <w:t>Wangchuk</w:t>
      </w:r>
      <w:proofErr w:type="spellEnd"/>
      <w:r w:rsidRPr="00F42BE7">
        <w:t>, P. (2022). Application of depreciation net present value and internal rate of return in engineering projects a brief literat</w:t>
      </w:r>
      <w:r w:rsidRPr="00F42BE7">
        <w:t>ure review. </w:t>
      </w:r>
      <w:r w:rsidRPr="00F42BE7">
        <w:rPr>
          <w:i/>
          <w:iCs/>
        </w:rPr>
        <w:t>Journal of Applied Engineering, Technology and Management</w:t>
      </w:r>
      <w:r w:rsidRPr="00F42BE7">
        <w:t>, </w:t>
      </w:r>
      <w:r w:rsidRPr="00F42BE7">
        <w:rPr>
          <w:i/>
          <w:iCs/>
        </w:rPr>
        <w:t>2</w:t>
      </w:r>
      <w:r w:rsidRPr="00F42BE7">
        <w:t>(1), 25-30.</w:t>
      </w:r>
      <w:r>
        <w:t xml:space="preserve"> </w:t>
      </w:r>
      <w:hyperlink r:id="rId53" w:history="1">
        <w:r w:rsidR="00035BFE" w:rsidRPr="007B5AF6">
          <w:rPr>
            <w:rStyle w:val="Hyperlink"/>
          </w:rPr>
          <w:t>https://journal.jnec.edu.bt/index.php/jaetm/article/download/55/26</w:t>
        </w:r>
      </w:hyperlink>
    </w:p>
    <w:p w14:paraId="35160FD1" w14:textId="77777777" w:rsidR="00035BFE" w:rsidRDefault="00BB0E4D" w:rsidP="00380418">
      <w:pPr>
        <w:jc w:val="left"/>
      </w:pPr>
      <w:r w:rsidRPr="00850C35">
        <w:t xml:space="preserve">Xiao, J. J., </w:t>
      </w:r>
      <w:r>
        <w:t>and</w:t>
      </w:r>
      <w:r w:rsidRPr="00850C35">
        <w:t xml:space="preserve"> Yao, </w:t>
      </w:r>
      <w:r w:rsidRPr="00850C35">
        <w:t>R. (2022). Good debt, bad debt: family debt portfolios and financial burdens. </w:t>
      </w:r>
      <w:r w:rsidRPr="00850C35">
        <w:rPr>
          <w:i/>
          <w:iCs/>
        </w:rPr>
        <w:t>International Journal of Bank Marketing</w:t>
      </w:r>
      <w:r w:rsidRPr="00850C35">
        <w:t>, </w:t>
      </w:r>
      <w:r w:rsidRPr="00850C35">
        <w:rPr>
          <w:i/>
          <w:iCs/>
        </w:rPr>
        <w:t>40</w:t>
      </w:r>
      <w:r w:rsidRPr="00850C35">
        <w:t>(4), 659-678.</w:t>
      </w:r>
      <w:r>
        <w:t xml:space="preserve"> </w:t>
      </w:r>
      <w:hyperlink r:id="rId54" w:history="1">
        <w:r w:rsidR="00035BFE" w:rsidRPr="007B5AF6">
          <w:rPr>
            <w:rStyle w:val="Hyperlink"/>
          </w:rPr>
          <w:t>https://www.emerald.com/ijbm/article/40/4/659/113228</w:t>
        </w:r>
      </w:hyperlink>
    </w:p>
    <w:p w14:paraId="2A699E2B" w14:textId="77777777" w:rsidR="00035BFE" w:rsidRDefault="00BB0E4D" w:rsidP="00380418">
      <w:pPr>
        <w:jc w:val="left"/>
      </w:pPr>
      <w:r w:rsidRPr="00AF2362">
        <w:t xml:space="preserve">Yuan, D., </w:t>
      </w:r>
      <w:proofErr w:type="spellStart"/>
      <w:r w:rsidRPr="00AF2362">
        <w:t>Gazi</w:t>
      </w:r>
      <w:proofErr w:type="spellEnd"/>
      <w:r w:rsidRPr="00AF2362">
        <w:t xml:space="preserve">, M. A. I., </w:t>
      </w:r>
      <w:proofErr w:type="spellStart"/>
      <w:r w:rsidRPr="00AF2362">
        <w:t>Harymawan</w:t>
      </w:r>
      <w:proofErr w:type="spellEnd"/>
      <w:r w:rsidRPr="00AF2362">
        <w:t xml:space="preserve">, I., </w:t>
      </w:r>
      <w:proofErr w:type="spellStart"/>
      <w:r w:rsidRPr="00AF2362">
        <w:t>Dhar</w:t>
      </w:r>
      <w:proofErr w:type="spellEnd"/>
      <w:r w:rsidRPr="00AF2362">
        <w:t xml:space="preserve">, B. K., </w:t>
      </w:r>
      <w:r>
        <w:t>and</w:t>
      </w:r>
      <w:r w:rsidRPr="00AF2362">
        <w:t xml:space="preserve"> Hossain, A. I. (2022). Profitability determining factors of banking sector: Panel data analysis of commercial banks in South Asian countries. </w:t>
      </w:r>
      <w:r w:rsidRPr="00AF2362">
        <w:rPr>
          <w:i/>
          <w:iCs/>
        </w:rPr>
        <w:t>Frontiers in psychology</w:t>
      </w:r>
      <w:r w:rsidRPr="00AF2362">
        <w:t>, </w:t>
      </w:r>
      <w:r w:rsidRPr="00AF2362">
        <w:rPr>
          <w:i/>
          <w:iCs/>
        </w:rPr>
        <w:t>13</w:t>
      </w:r>
      <w:r w:rsidRPr="00AF2362">
        <w:t>, 1000412.</w:t>
      </w:r>
      <w:r>
        <w:t xml:space="preserve"> </w:t>
      </w:r>
      <w:hyperlink r:id="rId55" w:history="1">
        <w:r w:rsidR="00035BFE" w:rsidRPr="008A00F5">
          <w:rPr>
            <w:rStyle w:val="Hyperlink"/>
          </w:rPr>
          <w:t>https://www.frontiersin.org/journals/psychology/articles/10.3389/fpsyg.2022.1000412/pdf</w:t>
        </w:r>
      </w:hyperlink>
    </w:p>
    <w:p w14:paraId="30E597E9" w14:textId="77777777" w:rsidR="00035BFE" w:rsidRDefault="00BB0E4D" w:rsidP="00380418">
      <w:pPr>
        <w:jc w:val="left"/>
      </w:pPr>
      <w:proofErr w:type="spellStart"/>
      <w:r w:rsidRPr="00D23719">
        <w:t>Zaher</w:t>
      </w:r>
      <w:proofErr w:type="spellEnd"/>
      <w:r w:rsidRPr="00D23719">
        <w:t xml:space="preserve">, H., </w:t>
      </w:r>
      <w:r>
        <w:t>and</w:t>
      </w:r>
      <w:r w:rsidRPr="00D23719">
        <w:t xml:space="preserve"> </w:t>
      </w:r>
      <w:proofErr w:type="spellStart"/>
      <w:r w:rsidRPr="00D23719">
        <w:t>Illescas</w:t>
      </w:r>
      <w:proofErr w:type="spellEnd"/>
      <w:r w:rsidRPr="00D23719">
        <w:t>, G. M. (2022). The Cash Conversion Cycle: A Systematic Li</w:t>
      </w:r>
      <w:r w:rsidRPr="00D23719">
        <w:t>terature Review. </w:t>
      </w:r>
      <w:r w:rsidRPr="00D23719">
        <w:rPr>
          <w:i/>
          <w:iCs/>
        </w:rPr>
        <w:t>Economic and Social Development: Book of Proceedings</w:t>
      </w:r>
      <w:r w:rsidRPr="00D23719">
        <w:t>, 18-35.</w:t>
      </w:r>
      <w:r>
        <w:t xml:space="preserve"> </w:t>
      </w:r>
      <w:hyperlink r:id="rId56" w:anchor="page=23" w:history="1">
        <w:r w:rsidR="00035BFE" w:rsidRPr="007B5AF6">
          <w:rPr>
            <w:rStyle w:val="Hyperlink"/>
          </w:rPr>
          <w:t>https://www.researchgate.net/profile/Ana-Markuz/publication/367203897_PROJECT_MANAGER'S_SOCIAL_RESPONSIBILITY_ENSURING_WORK-LIFE_BALANCE_AND_EQUAL_OPPORTUNITY_IN_PROJECT/links/63c7f2a0e922c50e99a376bb/PROJECT-MANAGERS-SOCIAL-RESPONSIBILITY-ENSURING-WORK-LIFE-BALANCE-AND-EQUAL-OPPORTUNITY-IN-PROJECT.pdf#page=23</w:t>
        </w:r>
      </w:hyperlink>
    </w:p>
    <w:p w14:paraId="0BBB64B1" w14:textId="783091CF" w:rsidR="00BD71EE" w:rsidRDefault="00BD71EE" w:rsidP="00846699">
      <w:pPr>
        <w:spacing w:line="259" w:lineRule="auto"/>
        <w:jc w:val="left"/>
        <w:rPr>
          <w:lang w:val="en-US"/>
        </w:rPr>
        <w:sectPr w:rsidR="00BD71EE" w:rsidSect="004861F1">
          <w:footerReference w:type="default" r:id="rId57"/>
          <w:pgSz w:w="11906" w:h="16838"/>
          <w:pgMar w:top="1440" w:right="1440" w:bottom="1440" w:left="1440" w:header="708" w:footer="708" w:gutter="0"/>
          <w:pgNumType w:start="0"/>
          <w:cols w:space="708"/>
          <w:titlePg/>
          <w:docGrid w:linePitch="360"/>
        </w:sectPr>
      </w:pPr>
    </w:p>
    <w:p w14:paraId="1F6FF3CF" w14:textId="77777777" w:rsidR="00035BFE" w:rsidRDefault="00BB0E4D" w:rsidP="00E17AD9">
      <w:pPr>
        <w:pStyle w:val="Heading1"/>
        <w:rPr>
          <w:lang w:val="en-US"/>
        </w:rPr>
      </w:pPr>
      <w:bookmarkStart w:id="49" w:name="_Toc227090084"/>
      <w:r>
        <w:rPr>
          <w:lang w:val="en-US"/>
        </w:rPr>
        <w:lastRenderedPageBreak/>
        <w:t>Appendices</w:t>
      </w:r>
      <w:bookmarkEnd w:id="49"/>
    </w:p>
    <w:p w14:paraId="24E90DC3" w14:textId="68D6644E" w:rsidR="00035BFE" w:rsidRDefault="00BB0E4D" w:rsidP="00E17AD9">
      <w:pPr>
        <w:pStyle w:val="Heading2"/>
      </w:pPr>
      <w:bookmarkStart w:id="50" w:name="_Toc227090085"/>
      <w:r>
        <w:rPr>
          <w:lang w:val="en-US"/>
        </w:rPr>
        <w:t xml:space="preserve">Appendix 1 - </w:t>
      </w:r>
      <w:r w:rsidR="00E17AD9" w:rsidRPr="00E17AD9">
        <w:t xml:space="preserve">Ratio </w:t>
      </w:r>
      <w:r w:rsidR="00846699" w:rsidRPr="00E17AD9">
        <w:t xml:space="preserve">Tables </w:t>
      </w:r>
      <w:r w:rsidR="00E17AD9" w:rsidRPr="00E17AD9">
        <w:t>and graphs</w:t>
      </w:r>
      <w:bookmarkEnd w:id="50"/>
    </w:p>
    <w:tbl>
      <w:tblPr>
        <w:tblW w:w="13640" w:type="dxa"/>
        <w:tblLook w:val="04A0" w:firstRow="1" w:lastRow="0" w:firstColumn="1" w:lastColumn="0" w:noHBand="0" w:noVBand="1"/>
      </w:tblPr>
      <w:tblGrid>
        <w:gridCol w:w="2700"/>
        <w:gridCol w:w="4580"/>
        <w:gridCol w:w="1880"/>
        <w:gridCol w:w="1120"/>
        <w:gridCol w:w="1120"/>
        <w:gridCol w:w="1120"/>
        <w:gridCol w:w="1120"/>
      </w:tblGrid>
      <w:tr w:rsidR="00BD71EE" w:rsidRPr="00BD71EE" w14:paraId="5E8D24E9" w14:textId="77777777" w:rsidTr="00BD71EE">
        <w:trPr>
          <w:trHeight w:val="300"/>
        </w:trPr>
        <w:tc>
          <w:tcPr>
            <w:tcW w:w="2700" w:type="dxa"/>
            <w:tcBorders>
              <w:top w:val="single" w:sz="4" w:space="0" w:color="auto"/>
              <w:left w:val="single" w:sz="4" w:space="0" w:color="auto"/>
              <w:bottom w:val="single" w:sz="4" w:space="0" w:color="auto"/>
              <w:right w:val="single" w:sz="4" w:space="0" w:color="auto"/>
            </w:tcBorders>
            <w:shd w:val="clear" w:color="000000" w:fill="D0D0D0"/>
            <w:noWrap/>
            <w:vAlign w:val="bottom"/>
            <w:hideMark/>
          </w:tcPr>
          <w:p w14:paraId="306F5213" w14:textId="77777777" w:rsidR="00BD71EE" w:rsidRPr="00BD71EE" w:rsidRDefault="00BD71EE" w:rsidP="00BD71E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Financials</w:t>
            </w:r>
          </w:p>
        </w:tc>
        <w:tc>
          <w:tcPr>
            <w:tcW w:w="4580" w:type="dxa"/>
            <w:tcBorders>
              <w:top w:val="single" w:sz="4" w:space="0" w:color="auto"/>
              <w:left w:val="nil"/>
              <w:bottom w:val="single" w:sz="4" w:space="0" w:color="auto"/>
              <w:right w:val="single" w:sz="4" w:space="0" w:color="auto"/>
            </w:tcBorders>
            <w:shd w:val="clear" w:color="000000" w:fill="D0D0D0"/>
            <w:noWrap/>
            <w:vAlign w:val="bottom"/>
            <w:hideMark/>
          </w:tcPr>
          <w:p w14:paraId="39AC648A" w14:textId="77777777" w:rsidR="00BD71EE" w:rsidRPr="00BD71EE" w:rsidRDefault="00BD71EE" w:rsidP="00BD71E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 </w:t>
            </w:r>
          </w:p>
        </w:tc>
        <w:tc>
          <w:tcPr>
            <w:tcW w:w="1880" w:type="dxa"/>
            <w:tcBorders>
              <w:top w:val="single" w:sz="4" w:space="0" w:color="auto"/>
              <w:left w:val="nil"/>
              <w:bottom w:val="single" w:sz="4" w:space="0" w:color="auto"/>
              <w:right w:val="single" w:sz="4" w:space="0" w:color="auto"/>
            </w:tcBorders>
            <w:shd w:val="clear" w:color="000000" w:fill="D0D0D0"/>
            <w:noWrap/>
            <w:vAlign w:val="bottom"/>
            <w:hideMark/>
          </w:tcPr>
          <w:p w14:paraId="2599E078"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2025</w:t>
            </w:r>
          </w:p>
        </w:tc>
        <w:tc>
          <w:tcPr>
            <w:tcW w:w="1120" w:type="dxa"/>
            <w:tcBorders>
              <w:top w:val="single" w:sz="4" w:space="0" w:color="auto"/>
              <w:left w:val="nil"/>
              <w:bottom w:val="single" w:sz="4" w:space="0" w:color="auto"/>
              <w:right w:val="single" w:sz="4" w:space="0" w:color="auto"/>
            </w:tcBorders>
            <w:shd w:val="clear" w:color="000000" w:fill="D0D0D0"/>
            <w:noWrap/>
            <w:vAlign w:val="bottom"/>
            <w:hideMark/>
          </w:tcPr>
          <w:p w14:paraId="1B45295F"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2024</w:t>
            </w:r>
          </w:p>
        </w:tc>
        <w:tc>
          <w:tcPr>
            <w:tcW w:w="1120" w:type="dxa"/>
            <w:tcBorders>
              <w:top w:val="single" w:sz="4" w:space="0" w:color="auto"/>
              <w:left w:val="nil"/>
              <w:bottom w:val="single" w:sz="4" w:space="0" w:color="auto"/>
              <w:right w:val="single" w:sz="4" w:space="0" w:color="auto"/>
            </w:tcBorders>
            <w:shd w:val="clear" w:color="000000" w:fill="D0D0D0"/>
            <w:noWrap/>
            <w:vAlign w:val="bottom"/>
            <w:hideMark/>
          </w:tcPr>
          <w:p w14:paraId="4750E9D1"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2023</w:t>
            </w:r>
          </w:p>
        </w:tc>
        <w:tc>
          <w:tcPr>
            <w:tcW w:w="1120" w:type="dxa"/>
            <w:tcBorders>
              <w:top w:val="single" w:sz="4" w:space="0" w:color="auto"/>
              <w:left w:val="nil"/>
              <w:bottom w:val="single" w:sz="4" w:space="0" w:color="auto"/>
              <w:right w:val="single" w:sz="4" w:space="0" w:color="auto"/>
            </w:tcBorders>
            <w:shd w:val="clear" w:color="000000" w:fill="D0D0D0"/>
            <w:noWrap/>
            <w:vAlign w:val="bottom"/>
            <w:hideMark/>
          </w:tcPr>
          <w:p w14:paraId="0626DBA2"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2022</w:t>
            </w:r>
          </w:p>
        </w:tc>
        <w:tc>
          <w:tcPr>
            <w:tcW w:w="1120" w:type="dxa"/>
            <w:tcBorders>
              <w:top w:val="single" w:sz="4" w:space="0" w:color="auto"/>
              <w:left w:val="nil"/>
              <w:bottom w:val="single" w:sz="4" w:space="0" w:color="auto"/>
              <w:right w:val="single" w:sz="4" w:space="0" w:color="auto"/>
            </w:tcBorders>
            <w:shd w:val="clear" w:color="000000" w:fill="D0D0D0"/>
            <w:noWrap/>
            <w:vAlign w:val="bottom"/>
            <w:hideMark/>
          </w:tcPr>
          <w:p w14:paraId="1BC48E20"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2021</w:t>
            </w:r>
          </w:p>
        </w:tc>
      </w:tr>
      <w:tr w:rsidR="00BD71EE" w:rsidRPr="00BD71EE" w14:paraId="7F2E611D"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67CDDCD4"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Revenue</w:t>
            </w:r>
          </w:p>
        </w:tc>
        <w:tc>
          <w:tcPr>
            <w:tcW w:w="4580" w:type="dxa"/>
            <w:tcBorders>
              <w:top w:val="nil"/>
              <w:left w:val="nil"/>
              <w:bottom w:val="single" w:sz="4" w:space="0" w:color="auto"/>
              <w:right w:val="single" w:sz="4" w:space="0" w:color="auto"/>
            </w:tcBorders>
            <w:noWrap/>
            <w:vAlign w:val="bottom"/>
            <w:hideMark/>
          </w:tcPr>
          <w:p w14:paraId="5F9D9737"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3BBF0FE4"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861,131</w:t>
            </w:r>
          </w:p>
        </w:tc>
        <w:tc>
          <w:tcPr>
            <w:tcW w:w="1120" w:type="dxa"/>
            <w:tcBorders>
              <w:top w:val="nil"/>
              <w:left w:val="nil"/>
              <w:bottom w:val="single" w:sz="4" w:space="0" w:color="auto"/>
              <w:right w:val="single" w:sz="4" w:space="0" w:color="auto"/>
            </w:tcBorders>
            <w:noWrap/>
            <w:vAlign w:val="bottom"/>
            <w:hideMark/>
          </w:tcPr>
          <w:p w14:paraId="2BD181C9"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830,169</w:t>
            </w:r>
          </w:p>
        </w:tc>
        <w:tc>
          <w:tcPr>
            <w:tcW w:w="1120" w:type="dxa"/>
            <w:tcBorders>
              <w:top w:val="nil"/>
              <w:left w:val="nil"/>
              <w:bottom w:val="single" w:sz="4" w:space="0" w:color="auto"/>
              <w:right w:val="single" w:sz="4" w:space="0" w:color="auto"/>
            </w:tcBorders>
            <w:noWrap/>
            <w:vAlign w:val="bottom"/>
            <w:hideMark/>
          </w:tcPr>
          <w:p w14:paraId="1F6CBB5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656,779</w:t>
            </w:r>
          </w:p>
        </w:tc>
        <w:tc>
          <w:tcPr>
            <w:tcW w:w="1120" w:type="dxa"/>
            <w:tcBorders>
              <w:top w:val="nil"/>
              <w:left w:val="nil"/>
              <w:bottom w:val="single" w:sz="4" w:space="0" w:color="auto"/>
              <w:right w:val="single" w:sz="4" w:space="0" w:color="auto"/>
            </w:tcBorders>
            <w:noWrap/>
            <w:vAlign w:val="bottom"/>
            <w:hideMark/>
          </w:tcPr>
          <w:p w14:paraId="295B986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486,366</w:t>
            </w:r>
          </w:p>
        </w:tc>
        <w:tc>
          <w:tcPr>
            <w:tcW w:w="1120" w:type="dxa"/>
            <w:tcBorders>
              <w:top w:val="nil"/>
              <w:left w:val="nil"/>
              <w:bottom w:val="single" w:sz="4" w:space="0" w:color="auto"/>
              <w:right w:val="single" w:sz="4" w:space="0" w:color="auto"/>
            </w:tcBorders>
            <w:noWrap/>
            <w:vAlign w:val="bottom"/>
            <w:hideMark/>
          </w:tcPr>
          <w:p w14:paraId="39F1755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257,619</w:t>
            </w:r>
          </w:p>
        </w:tc>
      </w:tr>
      <w:tr w:rsidR="00BD71EE" w:rsidRPr="00BD71EE" w14:paraId="3C611DFD"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31509AAF"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Cost of sales</w:t>
            </w:r>
          </w:p>
        </w:tc>
        <w:tc>
          <w:tcPr>
            <w:tcW w:w="4580" w:type="dxa"/>
            <w:tcBorders>
              <w:top w:val="nil"/>
              <w:left w:val="nil"/>
              <w:bottom w:val="single" w:sz="4" w:space="0" w:color="auto"/>
              <w:right w:val="single" w:sz="4" w:space="0" w:color="auto"/>
            </w:tcBorders>
            <w:noWrap/>
            <w:vAlign w:val="bottom"/>
            <w:hideMark/>
          </w:tcPr>
          <w:p w14:paraId="7C4AFCDE"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63D3D3EC"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731,589</w:t>
            </w:r>
          </w:p>
        </w:tc>
        <w:tc>
          <w:tcPr>
            <w:tcW w:w="1120" w:type="dxa"/>
            <w:tcBorders>
              <w:top w:val="nil"/>
              <w:left w:val="nil"/>
              <w:bottom w:val="single" w:sz="4" w:space="0" w:color="auto"/>
              <w:right w:val="single" w:sz="4" w:space="0" w:color="auto"/>
            </w:tcBorders>
            <w:noWrap/>
            <w:vAlign w:val="bottom"/>
            <w:hideMark/>
          </w:tcPr>
          <w:p w14:paraId="5075E79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689,932</w:t>
            </w:r>
          </w:p>
        </w:tc>
        <w:tc>
          <w:tcPr>
            <w:tcW w:w="1120" w:type="dxa"/>
            <w:tcBorders>
              <w:top w:val="nil"/>
              <w:left w:val="nil"/>
              <w:bottom w:val="single" w:sz="4" w:space="0" w:color="auto"/>
              <w:right w:val="single" w:sz="4" w:space="0" w:color="auto"/>
            </w:tcBorders>
            <w:noWrap/>
            <w:vAlign w:val="bottom"/>
            <w:hideMark/>
          </w:tcPr>
          <w:p w14:paraId="56416F8E"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537,605</w:t>
            </w:r>
          </w:p>
        </w:tc>
        <w:tc>
          <w:tcPr>
            <w:tcW w:w="1120" w:type="dxa"/>
            <w:tcBorders>
              <w:top w:val="nil"/>
              <w:left w:val="nil"/>
              <w:bottom w:val="single" w:sz="4" w:space="0" w:color="auto"/>
              <w:right w:val="single" w:sz="4" w:space="0" w:color="auto"/>
            </w:tcBorders>
            <w:noWrap/>
            <w:vAlign w:val="bottom"/>
            <w:hideMark/>
          </w:tcPr>
          <w:p w14:paraId="2761782C"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412,993</w:t>
            </w:r>
          </w:p>
        </w:tc>
        <w:tc>
          <w:tcPr>
            <w:tcW w:w="1120" w:type="dxa"/>
            <w:tcBorders>
              <w:top w:val="nil"/>
              <w:left w:val="nil"/>
              <w:bottom w:val="single" w:sz="4" w:space="0" w:color="auto"/>
              <w:right w:val="single" w:sz="4" w:space="0" w:color="auto"/>
            </w:tcBorders>
            <w:noWrap/>
            <w:vAlign w:val="bottom"/>
            <w:hideMark/>
          </w:tcPr>
          <w:p w14:paraId="614C04CD"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229,396</w:t>
            </w:r>
          </w:p>
        </w:tc>
      </w:tr>
      <w:tr w:rsidR="00BD71EE" w:rsidRPr="00BD71EE" w14:paraId="014527C3"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74C853DD"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Operating profit</w:t>
            </w:r>
          </w:p>
        </w:tc>
        <w:tc>
          <w:tcPr>
            <w:tcW w:w="4580" w:type="dxa"/>
            <w:tcBorders>
              <w:top w:val="nil"/>
              <w:left w:val="nil"/>
              <w:bottom w:val="single" w:sz="4" w:space="0" w:color="auto"/>
              <w:right w:val="single" w:sz="4" w:space="0" w:color="auto"/>
            </w:tcBorders>
            <w:noWrap/>
            <w:vAlign w:val="bottom"/>
            <w:hideMark/>
          </w:tcPr>
          <w:p w14:paraId="44464723"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5723DB5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24,387</w:t>
            </w:r>
          </w:p>
        </w:tc>
        <w:tc>
          <w:tcPr>
            <w:tcW w:w="1120" w:type="dxa"/>
            <w:tcBorders>
              <w:top w:val="nil"/>
              <w:left w:val="nil"/>
              <w:bottom w:val="single" w:sz="4" w:space="0" w:color="auto"/>
              <w:right w:val="single" w:sz="4" w:space="0" w:color="auto"/>
            </w:tcBorders>
            <w:noWrap/>
            <w:vAlign w:val="bottom"/>
            <w:hideMark/>
          </w:tcPr>
          <w:p w14:paraId="15A15E7D"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38,833</w:t>
            </w:r>
          </w:p>
        </w:tc>
        <w:tc>
          <w:tcPr>
            <w:tcW w:w="1120" w:type="dxa"/>
            <w:tcBorders>
              <w:top w:val="nil"/>
              <w:left w:val="nil"/>
              <w:bottom w:val="single" w:sz="4" w:space="0" w:color="auto"/>
              <w:right w:val="single" w:sz="4" w:space="0" w:color="auto"/>
            </w:tcBorders>
            <w:noWrap/>
            <w:vAlign w:val="bottom"/>
            <w:hideMark/>
          </w:tcPr>
          <w:p w14:paraId="6AB28D64"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32,478</w:t>
            </w:r>
          </w:p>
        </w:tc>
        <w:tc>
          <w:tcPr>
            <w:tcW w:w="1120" w:type="dxa"/>
            <w:tcBorders>
              <w:top w:val="nil"/>
              <w:left w:val="nil"/>
              <w:bottom w:val="single" w:sz="4" w:space="0" w:color="auto"/>
              <w:right w:val="single" w:sz="4" w:space="0" w:color="auto"/>
            </w:tcBorders>
            <w:noWrap/>
            <w:vAlign w:val="bottom"/>
            <w:hideMark/>
          </w:tcPr>
          <w:p w14:paraId="5EE72711"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22,435</w:t>
            </w:r>
          </w:p>
        </w:tc>
        <w:tc>
          <w:tcPr>
            <w:tcW w:w="1120" w:type="dxa"/>
            <w:tcBorders>
              <w:top w:val="nil"/>
              <w:left w:val="nil"/>
              <w:bottom w:val="single" w:sz="4" w:space="0" w:color="auto"/>
              <w:right w:val="single" w:sz="4" w:space="0" w:color="auto"/>
            </w:tcBorders>
            <w:noWrap/>
            <w:vAlign w:val="bottom"/>
            <w:hideMark/>
          </w:tcPr>
          <w:p w14:paraId="64D2AD09"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5,073</w:t>
            </w:r>
          </w:p>
        </w:tc>
      </w:tr>
      <w:tr w:rsidR="00BD71EE" w:rsidRPr="00BD71EE" w14:paraId="79703A1D"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5513101F"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Net profit</w:t>
            </w:r>
          </w:p>
        </w:tc>
        <w:tc>
          <w:tcPr>
            <w:tcW w:w="4580" w:type="dxa"/>
            <w:tcBorders>
              <w:top w:val="nil"/>
              <w:left w:val="nil"/>
              <w:bottom w:val="single" w:sz="4" w:space="0" w:color="auto"/>
              <w:right w:val="single" w:sz="4" w:space="0" w:color="auto"/>
            </w:tcBorders>
            <w:noWrap/>
            <w:vAlign w:val="bottom"/>
            <w:hideMark/>
          </w:tcPr>
          <w:p w14:paraId="575E5C83"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5A0FFE6E"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35,059</w:t>
            </w:r>
          </w:p>
        </w:tc>
        <w:tc>
          <w:tcPr>
            <w:tcW w:w="1120" w:type="dxa"/>
            <w:tcBorders>
              <w:top w:val="nil"/>
              <w:left w:val="nil"/>
              <w:bottom w:val="single" w:sz="4" w:space="0" w:color="auto"/>
              <w:right w:val="single" w:sz="4" w:space="0" w:color="auto"/>
            </w:tcBorders>
            <w:noWrap/>
            <w:vAlign w:val="bottom"/>
            <w:hideMark/>
          </w:tcPr>
          <w:p w14:paraId="32A0B0EE"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43,678</w:t>
            </w:r>
          </w:p>
        </w:tc>
        <w:tc>
          <w:tcPr>
            <w:tcW w:w="1120" w:type="dxa"/>
            <w:tcBorders>
              <w:top w:val="nil"/>
              <w:left w:val="nil"/>
              <w:bottom w:val="single" w:sz="4" w:space="0" w:color="auto"/>
              <w:right w:val="single" w:sz="4" w:space="0" w:color="auto"/>
            </w:tcBorders>
            <w:noWrap/>
            <w:vAlign w:val="bottom"/>
            <w:hideMark/>
          </w:tcPr>
          <w:p w14:paraId="59B074AC"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33,239</w:t>
            </w:r>
          </w:p>
        </w:tc>
        <w:tc>
          <w:tcPr>
            <w:tcW w:w="1120" w:type="dxa"/>
            <w:tcBorders>
              <w:top w:val="nil"/>
              <w:left w:val="nil"/>
              <w:bottom w:val="single" w:sz="4" w:space="0" w:color="auto"/>
              <w:right w:val="single" w:sz="4" w:space="0" w:color="auto"/>
            </w:tcBorders>
            <w:noWrap/>
            <w:vAlign w:val="bottom"/>
            <w:hideMark/>
          </w:tcPr>
          <w:p w14:paraId="6178DEFF"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19,330</w:t>
            </w:r>
          </w:p>
        </w:tc>
        <w:tc>
          <w:tcPr>
            <w:tcW w:w="1120" w:type="dxa"/>
            <w:tcBorders>
              <w:top w:val="nil"/>
              <w:left w:val="nil"/>
              <w:bottom w:val="single" w:sz="4" w:space="0" w:color="auto"/>
              <w:right w:val="single" w:sz="4" w:space="0" w:color="auto"/>
            </w:tcBorders>
            <w:noWrap/>
            <w:vAlign w:val="bottom"/>
            <w:hideMark/>
          </w:tcPr>
          <w:p w14:paraId="750FC7C8"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3,670</w:t>
            </w:r>
          </w:p>
        </w:tc>
      </w:tr>
      <w:tr w:rsidR="00BD71EE" w:rsidRPr="00BD71EE" w14:paraId="295DAD04"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6172717B"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Current Assets</w:t>
            </w:r>
          </w:p>
        </w:tc>
        <w:tc>
          <w:tcPr>
            <w:tcW w:w="4580" w:type="dxa"/>
            <w:tcBorders>
              <w:top w:val="nil"/>
              <w:left w:val="nil"/>
              <w:bottom w:val="single" w:sz="4" w:space="0" w:color="auto"/>
              <w:right w:val="single" w:sz="4" w:space="0" w:color="auto"/>
            </w:tcBorders>
            <w:noWrap/>
            <w:vAlign w:val="bottom"/>
            <w:hideMark/>
          </w:tcPr>
          <w:p w14:paraId="7E785AC4"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6A3EFE4C"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413,746</w:t>
            </w:r>
          </w:p>
        </w:tc>
        <w:tc>
          <w:tcPr>
            <w:tcW w:w="1120" w:type="dxa"/>
            <w:tcBorders>
              <w:top w:val="nil"/>
              <w:left w:val="nil"/>
              <w:bottom w:val="single" w:sz="4" w:space="0" w:color="auto"/>
              <w:right w:val="single" w:sz="4" w:space="0" w:color="auto"/>
            </w:tcBorders>
            <w:noWrap/>
            <w:vAlign w:val="bottom"/>
            <w:hideMark/>
          </w:tcPr>
          <w:p w14:paraId="0DAE956F"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394,367</w:t>
            </w:r>
          </w:p>
        </w:tc>
        <w:tc>
          <w:tcPr>
            <w:tcW w:w="1120" w:type="dxa"/>
            <w:tcBorders>
              <w:top w:val="nil"/>
              <w:left w:val="nil"/>
              <w:bottom w:val="single" w:sz="4" w:space="0" w:color="auto"/>
              <w:right w:val="single" w:sz="4" w:space="0" w:color="auto"/>
            </w:tcBorders>
            <w:noWrap/>
            <w:vAlign w:val="bottom"/>
            <w:hideMark/>
          </w:tcPr>
          <w:p w14:paraId="7DA78568"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332,637</w:t>
            </w:r>
          </w:p>
        </w:tc>
        <w:tc>
          <w:tcPr>
            <w:tcW w:w="1120" w:type="dxa"/>
            <w:tcBorders>
              <w:top w:val="nil"/>
              <w:left w:val="nil"/>
              <w:bottom w:val="single" w:sz="4" w:space="0" w:color="auto"/>
              <w:right w:val="single" w:sz="4" w:space="0" w:color="auto"/>
            </w:tcBorders>
            <w:noWrap/>
            <w:vAlign w:val="bottom"/>
            <w:hideMark/>
          </w:tcPr>
          <w:p w14:paraId="1EB5EEEE"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270,360</w:t>
            </w:r>
          </w:p>
        </w:tc>
        <w:tc>
          <w:tcPr>
            <w:tcW w:w="1120" w:type="dxa"/>
            <w:tcBorders>
              <w:top w:val="nil"/>
              <w:left w:val="nil"/>
              <w:bottom w:val="single" w:sz="4" w:space="0" w:color="auto"/>
              <w:right w:val="single" w:sz="4" w:space="0" w:color="auto"/>
            </w:tcBorders>
            <w:noWrap/>
            <w:vAlign w:val="bottom"/>
            <w:hideMark/>
          </w:tcPr>
          <w:p w14:paraId="449BD59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203,197</w:t>
            </w:r>
          </w:p>
        </w:tc>
      </w:tr>
      <w:tr w:rsidR="00BD71EE" w:rsidRPr="00BD71EE" w14:paraId="483EE366"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09C33DE9"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Current Liabilities</w:t>
            </w:r>
          </w:p>
        </w:tc>
        <w:tc>
          <w:tcPr>
            <w:tcW w:w="4580" w:type="dxa"/>
            <w:tcBorders>
              <w:top w:val="nil"/>
              <w:left w:val="nil"/>
              <w:bottom w:val="single" w:sz="4" w:space="0" w:color="auto"/>
              <w:right w:val="single" w:sz="4" w:space="0" w:color="auto"/>
            </w:tcBorders>
            <w:noWrap/>
            <w:vAlign w:val="bottom"/>
            <w:hideMark/>
          </w:tcPr>
          <w:p w14:paraId="222AC3C0"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5DA467C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521,768</w:t>
            </w:r>
          </w:p>
        </w:tc>
        <w:tc>
          <w:tcPr>
            <w:tcW w:w="1120" w:type="dxa"/>
            <w:tcBorders>
              <w:top w:val="nil"/>
              <w:left w:val="nil"/>
              <w:bottom w:val="single" w:sz="4" w:space="0" w:color="auto"/>
              <w:right w:val="single" w:sz="4" w:space="0" w:color="auto"/>
            </w:tcBorders>
            <w:noWrap/>
            <w:vAlign w:val="bottom"/>
            <w:hideMark/>
          </w:tcPr>
          <w:p w14:paraId="072D2A23"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527,833</w:t>
            </w:r>
          </w:p>
        </w:tc>
        <w:tc>
          <w:tcPr>
            <w:tcW w:w="1120" w:type="dxa"/>
            <w:tcBorders>
              <w:top w:val="nil"/>
              <w:left w:val="nil"/>
              <w:bottom w:val="single" w:sz="4" w:space="0" w:color="auto"/>
              <w:right w:val="single" w:sz="4" w:space="0" w:color="auto"/>
            </w:tcBorders>
            <w:noWrap/>
            <w:vAlign w:val="bottom"/>
            <w:hideMark/>
          </w:tcPr>
          <w:p w14:paraId="6AB63E14"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499,489</w:t>
            </w:r>
          </w:p>
        </w:tc>
        <w:tc>
          <w:tcPr>
            <w:tcW w:w="1120" w:type="dxa"/>
            <w:tcBorders>
              <w:top w:val="nil"/>
              <w:left w:val="nil"/>
              <w:bottom w:val="single" w:sz="4" w:space="0" w:color="auto"/>
              <w:right w:val="single" w:sz="4" w:space="0" w:color="auto"/>
            </w:tcBorders>
            <w:noWrap/>
            <w:vAlign w:val="bottom"/>
            <w:hideMark/>
          </w:tcPr>
          <w:p w14:paraId="6C787C6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374,259</w:t>
            </w:r>
          </w:p>
        </w:tc>
        <w:tc>
          <w:tcPr>
            <w:tcW w:w="1120" w:type="dxa"/>
            <w:tcBorders>
              <w:top w:val="nil"/>
              <w:left w:val="nil"/>
              <w:bottom w:val="single" w:sz="4" w:space="0" w:color="auto"/>
              <w:right w:val="single" w:sz="4" w:space="0" w:color="auto"/>
            </w:tcBorders>
            <w:noWrap/>
            <w:vAlign w:val="bottom"/>
            <w:hideMark/>
          </w:tcPr>
          <w:p w14:paraId="65494DE9"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209,550</w:t>
            </w:r>
          </w:p>
        </w:tc>
      </w:tr>
      <w:tr w:rsidR="00BD71EE" w:rsidRPr="00BD71EE" w14:paraId="5AD40138"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2FA68E48"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Inventories</w:t>
            </w:r>
          </w:p>
        </w:tc>
        <w:tc>
          <w:tcPr>
            <w:tcW w:w="4580" w:type="dxa"/>
            <w:tcBorders>
              <w:top w:val="nil"/>
              <w:left w:val="nil"/>
              <w:bottom w:val="single" w:sz="4" w:space="0" w:color="auto"/>
              <w:right w:val="single" w:sz="4" w:space="0" w:color="auto"/>
            </w:tcBorders>
            <w:noWrap/>
            <w:vAlign w:val="bottom"/>
            <w:hideMark/>
          </w:tcPr>
          <w:p w14:paraId="23AD2BE9"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457A559F"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154,175</w:t>
            </w:r>
          </w:p>
        </w:tc>
        <w:tc>
          <w:tcPr>
            <w:tcW w:w="1120" w:type="dxa"/>
            <w:tcBorders>
              <w:top w:val="nil"/>
              <w:left w:val="nil"/>
              <w:bottom w:val="single" w:sz="4" w:space="0" w:color="auto"/>
              <w:right w:val="single" w:sz="4" w:space="0" w:color="auto"/>
            </w:tcBorders>
            <w:noWrap/>
            <w:vAlign w:val="bottom"/>
            <w:hideMark/>
          </w:tcPr>
          <w:p w14:paraId="013395A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123,487</w:t>
            </w:r>
          </w:p>
        </w:tc>
        <w:tc>
          <w:tcPr>
            <w:tcW w:w="1120" w:type="dxa"/>
            <w:tcBorders>
              <w:top w:val="nil"/>
              <w:left w:val="nil"/>
              <w:bottom w:val="single" w:sz="4" w:space="0" w:color="auto"/>
              <w:right w:val="single" w:sz="4" w:space="0" w:color="auto"/>
            </w:tcBorders>
            <w:noWrap/>
            <w:vAlign w:val="bottom"/>
            <w:hideMark/>
          </w:tcPr>
          <w:p w14:paraId="3300AF7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96,533</w:t>
            </w:r>
          </w:p>
        </w:tc>
        <w:tc>
          <w:tcPr>
            <w:tcW w:w="1120" w:type="dxa"/>
            <w:tcBorders>
              <w:top w:val="nil"/>
              <w:left w:val="nil"/>
              <w:bottom w:val="single" w:sz="4" w:space="0" w:color="auto"/>
              <w:right w:val="single" w:sz="4" w:space="0" w:color="auto"/>
            </w:tcBorders>
            <w:noWrap/>
            <w:vAlign w:val="bottom"/>
            <w:hideMark/>
          </w:tcPr>
          <w:p w14:paraId="3C581783"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88,817</w:t>
            </w:r>
          </w:p>
        </w:tc>
        <w:tc>
          <w:tcPr>
            <w:tcW w:w="1120" w:type="dxa"/>
            <w:tcBorders>
              <w:top w:val="nil"/>
              <w:left w:val="nil"/>
              <w:bottom w:val="single" w:sz="4" w:space="0" w:color="auto"/>
              <w:right w:val="single" w:sz="4" w:space="0" w:color="auto"/>
            </w:tcBorders>
            <w:noWrap/>
            <w:vAlign w:val="bottom"/>
            <w:hideMark/>
          </w:tcPr>
          <w:p w14:paraId="1A8AD32C"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53,034</w:t>
            </w:r>
          </w:p>
        </w:tc>
      </w:tr>
      <w:tr w:rsidR="00BD71EE" w:rsidRPr="00BD71EE" w14:paraId="366CA6E2"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123FB111"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Accounts receivable</w:t>
            </w:r>
          </w:p>
        </w:tc>
        <w:tc>
          <w:tcPr>
            <w:tcW w:w="4580" w:type="dxa"/>
            <w:tcBorders>
              <w:top w:val="nil"/>
              <w:left w:val="nil"/>
              <w:bottom w:val="single" w:sz="4" w:space="0" w:color="auto"/>
              <w:right w:val="single" w:sz="4" w:space="0" w:color="auto"/>
            </w:tcBorders>
            <w:noWrap/>
            <w:vAlign w:val="bottom"/>
            <w:hideMark/>
          </w:tcPr>
          <w:p w14:paraId="307885FC"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1AB8DFDA"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94,090</w:t>
            </w:r>
          </w:p>
        </w:tc>
        <w:tc>
          <w:tcPr>
            <w:tcW w:w="1120" w:type="dxa"/>
            <w:tcBorders>
              <w:top w:val="nil"/>
              <w:left w:val="nil"/>
              <w:bottom w:val="single" w:sz="4" w:space="0" w:color="auto"/>
              <w:right w:val="single" w:sz="4" w:space="0" w:color="auto"/>
            </w:tcBorders>
            <w:noWrap/>
            <w:vAlign w:val="bottom"/>
            <w:hideMark/>
          </w:tcPr>
          <w:p w14:paraId="417076BA"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112,325</w:t>
            </w:r>
          </w:p>
        </w:tc>
        <w:tc>
          <w:tcPr>
            <w:tcW w:w="1120" w:type="dxa"/>
            <w:tcBorders>
              <w:top w:val="nil"/>
              <w:left w:val="nil"/>
              <w:bottom w:val="single" w:sz="4" w:space="0" w:color="auto"/>
              <w:right w:val="single" w:sz="4" w:space="0" w:color="auto"/>
            </w:tcBorders>
            <w:noWrap/>
            <w:vAlign w:val="bottom"/>
            <w:hideMark/>
          </w:tcPr>
          <w:p w14:paraId="128790D2"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101,725</w:t>
            </w:r>
          </w:p>
        </w:tc>
        <w:tc>
          <w:tcPr>
            <w:tcW w:w="1120" w:type="dxa"/>
            <w:tcBorders>
              <w:top w:val="nil"/>
              <w:left w:val="nil"/>
              <w:bottom w:val="single" w:sz="4" w:space="0" w:color="auto"/>
              <w:right w:val="single" w:sz="4" w:space="0" w:color="auto"/>
            </w:tcBorders>
            <w:noWrap/>
            <w:vAlign w:val="bottom"/>
            <w:hideMark/>
          </w:tcPr>
          <w:p w14:paraId="75CB7432"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89,254</w:t>
            </w:r>
          </w:p>
        </w:tc>
        <w:tc>
          <w:tcPr>
            <w:tcW w:w="1120" w:type="dxa"/>
            <w:tcBorders>
              <w:top w:val="nil"/>
              <w:left w:val="nil"/>
              <w:bottom w:val="single" w:sz="4" w:space="0" w:color="auto"/>
              <w:right w:val="single" w:sz="4" w:space="0" w:color="auto"/>
            </w:tcBorders>
            <w:noWrap/>
            <w:vAlign w:val="bottom"/>
            <w:hideMark/>
          </w:tcPr>
          <w:p w14:paraId="19358CF1"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74,331</w:t>
            </w:r>
          </w:p>
        </w:tc>
      </w:tr>
      <w:tr w:rsidR="00BD71EE" w:rsidRPr="00BD71EE" w14:paraId="717603C0"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014B01D3"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Accounts payable</w:t>
            </w:r>
          </w:p>
        </w:tc>
        <w:tc>
          <w:tcPr>
            <w:tcW w:w="4580" w:type="dxa"/>
            <w:tcBorders>
              <w:top w:val="nil"/>
              <w:left w:val="nil"/>
              <w:bottom w:val="single" w:sz="4" w:space="0" w:color="auto"/>
              <w:right w:val="single" w:sz="4" w:space="0" w:color="auto"/>
            </w:tcBorders>
            <w:noWrap/>
            <w:vAlign w:val="bottom"/>
            <w:hideMark/>
          </w:tcPr>
          <w:p w14:paraId="3591A756"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2FCD641D"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207,996</w:t>
            </w:r>
          </w:p>
        </w:tc>
        <w:tc>
          <w:tcPr>
            <w:tcW w:w="1120" w:type="dxa"/>
            <w:tcBorders>
              <w:top w:val="nil"/>
              <w:left w:val="nil"/>
              <w:bottom w:val="single" w:sz="4" w:space="0" w:color="auto"/>
              <w:right w:val="single" w:sz="4" w:space="0" w:color="auto"/>
            </w:tcBorders>
            <w:noWrap/>
            <w:vAlign w:val="bottom"/>
            <w:hideMark/>
          </w:tcPr>
          <w:p w14:paraId="7586719E"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257,160</w:t>
            </w:r>
          </w:p>
        </w:tc>
        <w:tc>
          <w:tcPr>
            <w:tcW w:w="1120" w:type="dxa"/>
            <w:tcBorders>
              <w:top w:val="nil"/>
              <w:left w:val="nil"/>
              <w:bottom w:val="single" w:sz="4" w:space="0" w:color="auto"/>
              <w:right w:val="single" w:sz="4" w:space="0" w:color="auto"/>
            </w:tcBorders>
            <w:noWrap/>
            <w:vAlign w:val="bottom"/>
            <w:hideMark/>
          </w:tcPr>
          <w:p w14:paraId="41C1A65F"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214,068</w:t>
            </w:r>
          </w:p>
        </w:tc>
        <w:tc>
          <w:tcPr>
            <w:tcW w:w="1120" w:type="dxa"/>
            <w:tcBorders>
              <w:top w:val="nil"/>
              <w:left w:val="nil"/>
              <w:bottom w:val="single" w:sz="4" w:space="0" w:color="auto"/>
              <w:right w:val="single" w:sz="4" w:space="0" w:color="auto"/>
            </w:tcBorders>
            <w:noWrap/>
            <w:vAlign w:val="bottom"/>
            <w:hideMark/>
          </w:tcPr>
          <w:p w14:paraId="3D185A9C"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157,675</w:t>
            </w:r>
          </w:p>
        </w:tc>
        <w:tc>
          <w:tcPr>
            <w:tcW w:w="1120" w:type="dxa"/>
            <w:tcBorders>
              <w:top w:val="nil"/>
              <w:left w:val="nil"/>
              <w:bottom w:val="single" w:sz="4" w:space="0" w:color="auto"/>
              <w:right w:val="single" w:sz="4" w:space="0" w:color="auto"/>
            </w:tcBorders>
            <w:noWrap/>
            <w:vAlign w:val="bottom"/>
            <w:hideMark/>
          </w:tcPr>
          <w:p w14:paraId="6A58F32D"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89,494</w:t>
            </w:r>
          </w:p>
        </w:tc>
      </w:tr>
      <w:tr w:rsidR="00BD71EE" w:rsidRPr="00BD71EE" w14:paraId="0C6C2F44"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577AC6FF"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xml:space="preserve">Operating </w:t>
            </w:r>
            <w:proofErr w:type="spellStart"/>
            <w:r w:rsidRPr="00BD71EE">
              <w:rPr>
                <w:rFonts w:ascii="Aptos Narrow" w:eastAsia="Times New Roman" w:hAnsi="Aptos Narrow" w:cs="Times New Roman"/>
                <w:color w:val="000000"/>
                <w:sz w:val="22"/>
                <w:lang w:eastAsia="en-GB"/>
              </w:rPr>
              <w:t>cashflow</w:t>
            </w:r>
            <w:proofErr w:type="spellEnd"/>
          </w:p>
        </w:tc>
        <w:tc>
          <w:tcPr>
            <w:tcW w:w="4580" w:type="dxa"/>
            <w:tcBorders>
              <w:top w:val="nil"/>
              <w:left w:val="nil"/>
              <w:bottom w:val="single" w:sz="4" w:space="0" w:color="auto"/>
              <w:right w:val="single" w:sz="4" w:space="0" w:color="auto"/>
            </w:tcBorders>
            <w:noWrap/>
            <w:vAlign w:val="bottom"/>
            <w:hideMark/>
          </w:tcPr>
          <w:p w14:paraId="1C31145B"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21E6BA3B"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64,525</w:t>
            </w:r>
          </w:p>
        </w:tc>
        <w:tc>
          <w:tcPr>
            <w:tcW w:w="1120" w:type="dxa"/>
            <w:tcBorders>
              <w:top w:val="nil"/>
              <w:left w:val="nil"/>
              <w:bottom w:val="single" w:sz="4" w:space="0" w:color="auto"/>
              <w:right w:val="single" w:sz="4" w:space="0" w:color="auto"/>
            </w:tcBorders>
            <w:noWrap/>
            <w:vAlign w:val="bottom"/>
            <w:hideMark/>
          </w:tcPr>
          <w:p w14:paraId="2B8334BD"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145,203</w:t>
            </w:r>
          </w:p>
        </w:tc>
        <w:tc>
          <w:tcPr>
            <w:tcW w:w="1120" w:type="dxa"/>
            <w:tcBorders>
              <w:top w:val="nil"/>
              <w:left w:val="nil"/>
              <w:bottom w:val="single" w:sz="4" w:space="0" w:color="auto"/>
              <w:right w:val="single" w:sz="4" w:space="0" w:color="auto"/>
            </w:tcBorders>
            <w:noWrap/>
            <w:vAlign w:val="bottom"/>
            <w:hideMark/>
          </w:tcPr>
          <w:p w14:paraId="638AFF3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187,758</w:t>
            </w:r>
          </w:p>
        </w:tc>
        <w:tc>
          <w:tcPr>
            <w:tcW w:w="1120" w:type="dxa"/>
            <w:tcBorders>
              <w:top w:val="nil"/>
              <w:left w:val="nil"/>
              <w:bottom w:val="single" w:sz="4" w:space="0" w:color="auto"/>
              <w:right w:val="single" w:sz="4" w:space="0" w:color="auto"/>
            </w:tcBorders>
            <w:noWrap/>
            <w:vAlign w:val="bottom"/>
            <w:hideMark/>
          </w:tcPr>
          <w:p w14:paraId="666CCE0B"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163,927</w:t>
            </w:r>
          </w:p>
        </w:tc>
        <w:tc>
          <w:tcPr>
            <w:tcW w:w="1120" w:type="dxa"/>
            <w:tcBorders>
              <w:top w:val="nil"/>
              <w:left w:val="nil"/>
              <w:bottom w:val="single" w:sz="4" w:space="0" w:color="auto"/>
              <w:right w:val="single" w:sz="4" w:space="0" w:color="auto"/>
            </w:tcBorders>
            <w:noWrap/>
            <w:vAlign w:val="bottom"/>
            <w:hideMark/>
          </w:tcPr>
          <w:p w14:paraId="772974A1"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79,073</w:t>
            </w:r>
          </w:p>
        </w:tc>
      </w:tr>
      <w:tr w:rsidR="00BD71EE" w:rsidRPr="00BD71EE" w14:paraId="6A2DAC60"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2D5DF109"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Total assets</w:t>
            </w:r>
          </w:p>
        </w:tc>
        <w:tc>
          <w:tcPr>
            <w:tcW w:w="4580" w:type="dxa"/>
            <w:tcBorders>
              <w:top w:val="nil"/>
              <w:left w:val="nil"/>
              <w:bottom w:val="single" w:sz="4" w:space="0" w:color="auto"/>
              <w:right w:val="single" w:sz="4" w:space="0" w:color="auto"/>
            </w:tcBorders>
            <w:noWrap/>
            <w:vAlign w:val="bottom"/>
            <w:hideMark/>
          </w:tcPr>
          <w:p w14:paraId="07F4BBFE"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52DCAAF5"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991,212</w:t>
            </w:r>
          </w:p>
        </w:tc>
        <w:tc>
          <w:tcPr>
            <w:tcW w:w="1120" w:type="dxa"/>
            <w:tcBorders>
              <w:top w:val="nil"/>
              <w:left w:val="nil"/>
              <w:bottom w:val="single" w:sz="4" w:space="0" w:color="auto"/>
              <w:right w:val="single" w:sz="4" w:space="0" w:color="auto"/>
            </w:tcBorders>
            <w:noWrap/>
            <w:vAlign w:val="bottom"/>
            <w:hideMark/>
          </w:tcPr>
          <w:p w14:paraId="76974EDE"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841,748</w:t>
            </w:r>
          </w:p>
        </w:tc>
        <w:tc>
          <w:tcPr>
            <w:tcW w:w="1120" w:type="dxa"/>
            <w:tcBorders>
              <w:top w:val="nil"/>
              <w:left w:val="nil"/>
              <w:bottom w:val="single" w:sz="4" w:space="0" w:color="auto"/>
              <w:right w:val="single" w:sz="4" w:space="0" w:color="auto"/>
            </w:tcBorders>
            <w:noWrap/>
            <w:vAlign w:val="bottom"/>
            <w:hideMark/>
          </w:tcPr>
          <w:p w14:paraId="25B9A0FF"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755,176</w:t>
            </w:r>
          </w:p>
        </w:tc>
        <w:tc>
          <w:tcPr>
            <w:tcW w:w="1120" w:type="dxa"/>
            <w:tcBorders>
              <w:top w:val="nil"/>
              <w:left w:val="nil"/>
              <w:bottom w:val="single" w:sz="4" w:space="0" w:color="auto"/>
              <w:right w:val="single" w:sz="4" w:space="0" w:color="auto"/>
            </w:tcBorders>
            <w:noWrap/>
            <w:vAlign w:val="bottom"/>
            <w:hideMark/>
          </w:tcPr>
          <w:p w14:paraId="5D62245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557,196</w:t>
            </w:r>
          </w:p>
        </w:tc>
        <w:tc>
          <w:tcPr>
            <w:tcW w:w="1120" w:type="dxa"/>
            <w:tcBorders>
              <w:top w:val="nil"/>
              <w:left w:val="nil"/>
              <w:bottom w:val="single" w:sz="4" w:space="0" w:color="auto"/>
              <w:right w:val="single" w:sz="4" w:space="0" w:color="auto"/>
            </w:tcBorders>
            <w:noWrap/>
            <w:vAlign w:val="bottom"/>
            <w:hideMark/>
          </w:tcPr>
          <w:p w14:paraId="1918DEF2"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362,922</w:t>
            </w:r>
          </w:p>
        </w:tc>
      </w:tr>
      <w:tr w:rsidR="00BD71EE" w:rsidRPr="00BD71EE" w14:paraId="5644EAC9"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753ABD22"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Total debt</w:t>
            </w:r>
          </w:p>
        </w:tc>
        <w:tc>
          <w:tcPr>
            <w:tcW w:w="4580" w:type="dxa"/>
            <w:tcBorders>
              <w:top w:val="nil"/>
              <w:left w:val="nil"/>
              <w:bottom w:val="single" w:sz="4" w:space="0" w:color="auto"/>
              <w:right w:val="single" w:sz="4" w:space="0" w:color="auto"/>
            </w:tcBorders>
            <w:noWrap/>
            <w:vAlign w:val="bottom"/>
            <w:hideMark/>
          </w:tcPr>
          <w:p w14:paraId="6976AE85"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0912172F"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184169</w:t>
            </w:r>
          </w:p>
        </w:tc>
        <w:tc>
          <w:tcPr>
            <w:tcW w:w="1120" w:type="dxa"/>
            <w:tcBorders>
              <w:top w:val="nil"/>
              <w:left w:val="nil"/>
              <w:bottom w:val="single" w:sz="4" w:space="0" w:color="auto"/>
              <w:right w:val="single" w:sz="4" w:space="0" w:color="auto"/>
            </w:tcBorders>
            <w:noWrap/>
            <w:vAlign w:val="bottom"/>
            <w:hideMark/>
          </w:tcPr>
          <w:p w14:paraId="16102B03"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61446</w:t>
            </w:r>
          </w:p>
        </w:tc>
        <w:tc>
          <w:tcPr>
            <w:tcW w:w="1120" w:type="dxa"/>
            <w:tcBorders>
              <w:top w:val="nil"/>
              <w:left w:val="nil"/>
              <w:bottom w:val="single" w:sz="4" w:space="0" w:color="auto"/>
              <w:right w:val="single" w:sz="4" w:space="0" w:color="auto"/>
            </w:tcBorders>
            <w:noWrap/>
            <w:vAlign w:val="bottom"/>
            <w:hideMark/>
          </w:tcPr>
          <w:p w14:paraId="054EC9C4"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56084</w:t>
            </w:r>
          </w:p>
        </w:tc>
        <w:tc>
          <w:tcPr>
            <w:tcW w:w="1120" w:type="dxa"/>
            <w:tcBorders>
              <w:top w:val="nil"/>
              <w:left w:val="nil"/>
              <w:bottom w:val="single" w:sz="4" w:space="0" w:color="auto"/>
              <w:right w:val="single" w:sz="4" w:space="0" w:color="auto"/>
            </w:tcBorders>
            <w:noWrap/>
            <w:vAlign w:val="bottom"/>
            <w:hideMark/>
          </w:tcPr>
          <w:p w14:paraId="3A9F161B"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31703</w:t>
            </w:r>
          </w:p>
        </w:tc>
        <w:tc>
          <w:tcPr>
            <w:tcW w:w="1120" w:type="dxa"/>
            <w:tcBorders>
              <w:top w:val="nil"/>
              <w:left w:val="nil"/>
              <w:bottom w:val="single" w:sz="4" w:space="0" w:color="auto"/>
              <w:right w:val="single" w:sz="4" w:space="0" w:color="auto"/>
            </w:tcBorders>
            <w:noWrap/>
            <w:vAlign w:val="bottom"/>
            <w:hideMark/>
          </w:tcPr>
          <w:p w14:paraId="041FE29A"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55838</w:t>
            </w:r>
          </w:p>
        </w:tc>
      </w:tr>
      <w:tr w:rsidR="00BD71EE" w:rsidRPr="00BD71EE" w14:paraId="2577DE14"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2CF00DBE"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Total equity</w:t>
            </w:r>
          </w:p>
        </w:tc>
        <w:tc>
          <w:tcPr>
            <w:tcW w:w="4580" w:type="dxa"/>
            <w:tcBorders>
              <w:top w:val="nil"/>
              <w:left w:val="nil"/>
              <w:bottom w:val="single" w:sz="4" w:space="0" w:color="auto"/>
              <w:right w:val="single" w:sz="4" w:space="0" w:color="auto"/>
            </w:tcBorders>
            <w:noWrap/>
            <w:vAlign w:val="bottom"/>
            <w:hideMark/>
          </w:tcPr>
          <w:p w14:paraId="104BFB02"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4DE92C0E"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267,098</w:t>
            </w:r>
          </w:p>
        </w:tc>
        <w:tc>
          <w:tcPr>
            <w:tcW w:w="1120" w:type="dxa"/>
            <w:tcBorders>
              <w:top w:val="nil"/>
              <w:left w:val="nil"/>
              <w:bottom w:val="single" w:sz="4" w:space="0" w:color="auto"/>
              <w:right w:val="single" w:sz="4" w:space="0" w:color="auto"/>
            </w:tcBorders>
            <w:noWrap/>
            <w:vAlign w:val="bottom"/>
            <w:hideMark/>
          </w:tcPr>
          <w:p w14:paraId="054BF50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195,596</w:t>
            </w:r>
          </w:p>
        </w:tc>
        <w:tc>
          <w:tcPr>
            <w:tcW w:w="1120" w:type="dxa"/>
            <w:tcBorders>
              <w:top w:val="nil"/>
              <w:left w:val="nil"/>
              <w:bottom w:val="single" w:sz="4" w:space="0" w:color="auto"/>
              <w:right w:val="single" w:sz="4" w:space="0" w:color="auto"/>
            </w:tcBorders>
            <w:noWrap/>
            <w:vAlign w:val="bottom"/>
            <w:hideMark/>
          </w:tcPr>
          <w:p w14:paraId="4E02A14B"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165,660</w:t>
            </w:r>
          </w:p>
        </w:tc>
        <w:tc>
          <w:tcPr>
            <w:tcW w:w="1120" w:type="dxa"/>
            <w:tcBorders>
              <w:top w:val="nil"/>
              <w:left w:val="nil"/>
              <w:bottom w:val="single" w:sz="4" w:space="0" w:color="auto"/>
              <w:right w:val="single" w:sz="4" w:space="0" w:color="auto"/>
            </w:tcBorders>
            <w:noWrap/>
            <w:vAlign w:val="bottom"/>
            <w:hideMark/>
          </w:tcPr>
          <w:p w14:paraId="55F29F19"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136,289</w:t>
            </w:r>
          </w:p>
        </w:tc>
        <w:tc>
          <w:tcPr>
            <w:tcW w:w="1120" w:type="dxa"/>
            <w:tcBorders>
              <w:top w:val="nil"/>
              <w:left w:val="nil"/>
              <w:bottom w:val="single" w:sz="4" w:space="0" w:color="auto"/>
              <w:right w:val="single" w:sz="4" w:space="0" w:color="auto"/>
            </w:tcBorders>
            <w:noWrap/>
            <w:vAlign w:val="bottom"/>
            <w:hideMark/>
          </w:tcPr>
          <w:p w14:paraId="57CE6EA7"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127,518</w:t>
            </w:r>
          </w:p>
        </w:tc>
      </w:tr>
      <w:tr w:rsidR="00BD71EE" w:rsidRPr="00BD71EE" w14:paraId="7C242BE9"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028F5DD7"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Earnings per share (EPS)</w:t>
            </w:r>
          </w:p>
        </w:tc>
        <w:tc>
          <w:tcPr>
            <w:tcW w:w="4580" w:type="dxa"/>
            <w:tcBorders>
              <w:top w:val="nil"/>
              <w:left w:val="nil"/>
              <w:bottom w:val="single" w:sz="4" w:space="0" w:color="auto"/>
              <w:right w:val="single" w:sz="4" w:space="0" w:color="auto"/>
            </w:tcBorders>
            <w:noWrap/>
            <w:vAlign w:val="bottom"/>
            <w:hideMark/>
          </w:tcPr>
          <w:p w14:paraId="510FB9E7"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635BA09E"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3.88</w:t>
            </w:r>
          </w:p>
        </w:tc>
        <w:tc>
          <w:tcPr>
            <w:tcW w:w="1120" w:type="dxa"/>
            <w:tcBorders>
              <w:top w:val="nil"/>
              <w:left w:val="nil"/>
              <w:bottom w:val="single" w:sz="4" w:space="0" w:color="auto"/>
              <w:right w:val="single" w:sz="4" w:space="0" w:color="auto"/>
            </w:tcBorders>
            <w:noWrap/>
            <w:vAlign w:val="bottom"/>
            <w:hideMark/>
          </w:tcPr>
          <w:p w14:paraId="4D2DCC1A"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w:t>
            </w:r>
          </w:p>
        </w:tc>
        <w:tc>
          <w:tcPr>
            <w:tcW w:w="1120" w:type="dxa"/>
            <w:tcBorders>
              <w:top w:val="nil"/>
              <w:left w:val="nil"/>
              <w:bottom w:val="single" w:sz="4" w:space="0" w:color="auto"/>
              <w:right w:val="single" w:sz="4" w:space="0" w:color="auto"/>
            </w:tcBorders>
            <w:noWrap/>
            <w:vAlign w:val="bottom"/>
            <w:hideMark/>
          </w:tcPr>
          <w:p w14:paraId="70FBE133"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3.8</w:t>
            </w:r>
          </w:p>
        </w:tc>
        <w:tc>
          <w:tcPr>
            <w:tcW w:w="1120" w:type="dxa"/>
            <w:tcBorders>
              <w:top w:val="nil"/>
              <w:left w:val="nil"/>
              <w:bottom w:val="single" w:sz="4" w:space="0" w:color="auto"/>
              <w:right w:val="single" w:sz="4" w:space="0" w:color="auto"/>
            </w:tcBorders>
            <w:noWrap/>
            <w:vAlign w:val="bottom"/>
            <w:hideMark/>
          </w:tcPr>
          <w:p w14:paraId="09FB66FA"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2.21</w:t>
            </w:r>
          </w:p>
        </w:tc>
        <w:tc>
          <w:tcPr>
            <w:tcW w:w="1120" w:type="dxa"/>
            <w:tcBorders>
              <w:top w:val="nil"/>
              <w:left w:val="nil"/>
              <w:bottom w:val="single" w:sz="4" w:space="0" w:color="auto"/>
              <w:right w:val="single" w:sz="4" w:space="0" w:color="auto"/>
            </w:tcBorders>
            <w:noWrap/>
            <w:vAlign w:val="bottom"/>
            <w:hideMark/>
          </w:tcPr>
          <w:p w14:paraId="0CAA4BA2"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0.43</w:t>
            </w:r>
          </w:p>
        </w:tc>
      </w:tr>
      <w:tr w:rsidR="00BD71EE" w:rsidRPr="00BD71EE" w14:paraId="20D214CD"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12B59457"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Share price</w:t>
            </w:r>
          </w:p>
        </w:tc>
        <w:tc>
          <w:tcPr>
            <w:tcW w:w="4580" w:type="dxa"/>
            <w:tcBorders>
              <w:top w:val="nil"/>
              <w:left w:val="nil"/>
              <w:bottom w:val="single" w:sz="4" w:space="0" w:color="auto"/>
              <w:right w:val="single" w:sz="4" w:space="0" w:color="auto"/>
            </w:tcBorders>
            <w:noWrap/>
            <w:vAlign w:val="bottom"/>
            <w:hideMark/>
          </w:tcPr>
          <w:p w14:paraId="5B088979"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noWrap/>
            <w:vAlign w:val="bottom"/>
            <w:hideMark/>
          </w:tcPr>
          <w:p w14:paraId="718EC5D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97.75</w:t>
            </w:r>
          </w:p>
        </w:tc>
        <w:tc>
          <w:tcPr>
            <w:tcW w:w="1120" w:type="dxa"/>
            <w:tcBorders>
              <w:top w:val="nil"/>
              <w:left w:val="nil"/>
              <w:bottom w:val="single" w:sz="4" w:space="0" w:color="auto"/>
              <w:right w:val="single" w:sz="4" w:space="0" w:color="auto"/>
            </w:tcBorders>
            <w:noWrap/>
            <w:vAlign w:val="bottom"/>
            <w:hideMark/>
          </w:tcPr>
          <w:p w14:paraId="0D47BB1F"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90.93</w:t>
            </w:r>
          </w:p>
        </w:tc>
        <w:tc>
          <w:tcPr>
            <w:tcW w:w="1120" w:type="dxa"/>
            <w:tcBorders>
              <w:top w:val="nil"/>
              <w:left w:val="nil"/>
              <w:bottom w:val="single" w:sz="4" w:space="0" w:color="auto"/>
              <w:right w:val="single" w:sz="4" w:space="0" w:color="auto"/>
            </w:tcBorders>
            <w:noWrap/>
            <w:vAlign w:val="bottom"/>
            <w:hideMark/>
          </w:tcPr>
          <w:p w14:paraId="13E23FCC"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58.1</w:t>
            </w:r>
          </w:p>
        </w:tc>
        <w:tc>
          <w:tcPr>
            <w:tcW w:w="1120" w:type="dxa"/>
            <w:tcBorders>
              <w:top w:val="nil"/>
              <w:left w:val="nil"/>
              <w:bottom w:val="single" w:sz="4" w:space="0" w:color="auto"/>
              <w:right w:val="single" w:sz="4" w:space="0" w:color="auto"/>
            </w:tcBorders>
            <w:noWrap/>
            <w:vAlign w:val="bottom"/>
            <w:hideMark/>
          </w:tcPr>
          <w:p w14:paraId="69B63D0A"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81.67</w:t>
            </w:r>
          </w:p>
        </w:tc>
        <w:tc>
          <w:tcPr>
            <w:tcW w:w="1120" w:type="dxa"/>
            <w:tcBorders>
              <w:top w:val="nil"/>
              <w:left w:val="nil"/>
              <w:bottom w:val="single" w:sz="4" w:space="0" w:color="auto"/>
              <w:right w:val="single" w:sz="4" w:space="0" w:color="auto"/>
            </w:tcBorders>
            <w:noWrap/>
            <w:vAlign w:val="bottom"/>
            <w:hideMark/>
          </w:tcPr>
          <w:p w14:paraId="0F5090DD"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73.93</w:t>
            </w:r>
          </w:p>
        </w:tc>
      </w:tr>
      <w:tr w:rsidR="00BD71EE" w:rsidRPr="00BD71EE" w14:paraId="41B23D09" w14:textId="77777777" w:rsidTr="00BD71EE">
        <w:trPr>
          <w:trHeight w:val="300"/>
        </w:trPr>
        <w:tc>
          <w:tcPr>
            <w:tcW w:w="2700" w:type="dxa"/>
            <w:tcBorders>
              <w:top w:val="nil"/>
              <w:left w:val="single" w:sz="4" w:space="0" w:color="auto"/>
              <w:bottom w:val="single" w:sz="4" w:space="0" w:color="auto"/>
              <w:right w:val="single" w:sz="4" w:space="0" w:color="auto"/>
            </w:tcBorders>
            <w:shd w:val="clear" w:color="000000" w:fill="D0D0D0"/>
            <w:noWrap/>
            <w:vAlign w:val="bottom"/>
            <w:hideMark/>
          </w:tcPr>
          <w:p w14:paraId="3674BDE3" w14:textId="77777777" w:rsidR="00BD71EE" w:rsidRPr="00BD71EE" w:rsidRDefault="00BD71EE" w:rsidP="00BD71E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Ratios</w:t>
            </w:r>
          </w:p>
        </w:tc>
        <w:tc>
          <w:tcPr>
            <w:tcW w:w="4580" w:type="dxa"/>
            <w:tcBorders>
              <w:top w:val="nil"/>
              <w:left w:val="nil"/>
              <w:bottom w:val="single" w:sz="4" w:space="0" w:color="auto"/>
              <w:right w:val="single" w:sz="4" w:space="0" w:color="auto"/>
            </w:tcBorders>
            <w:shd w:val="clear" w:color="000000" w:fill="D0D0D0"/>
            <w:noWrap/>
            <w:vAlign w:val="bottom"/>
            <w:hideMark/>
          </w:tcPr>
          <w:p w14:paraId="37A576E5" w14:textId="77777777" w:rsidR="00BD71EE" w:rsidRPr="00BD71EE" w:rsidRDefault="00BD71EE" w:rsidP="00BD71E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Formulae</w:t>
            </w:r>
          </w:p>
        </w:tc>
        <w:tc>
          <w:tcPr>
            <w:tcW w:w="1880" w:type="dxa"/>
            <w:tcBorders>
              <w:top w:val="nil"/>
              <w:left w:val="nil"/>
              <w:bottom w:val="single" w:sz="4" w:space="0" w:color="auto"/>
              <w:right w:val="single" w:sz="4" w:space="0" w:color="auto"/>
            </w:tcBorders>
            <w:shd w:val="clear" w:color="000000" w:fill="D0D0D0"/>
            <w:noWrap/>
            <w:vAlign w:val="bottom"/>
            <w:hideMark/>
          </w:tcPr>
          <w:p w14:paraId="61CF0954"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2025</w:t>
            </w:r>
          </w:p>
        </w:tc>
        <w:tc>
          <w:tcPr>
            <w:tcW w:w="1120" w:type="dxa"/>
            <w:tcBorders>
              <w:top w:val="nil"/>
              <w:left w:val="nil"/>
              <w:bottom w:val="single" w:sz="4" w:space="0" w:color="auto"/>
              <w:right w:val="single" w:sz="4" w:space="0" w:color="auto"/>
            </w:tcBorders>
            <w:shd w:val="clear" w:color="000000" w:fill="D0D0D0"/>
            <w:noWrap/>
            <w:vAlign w:val="bottom"/>
            <w:hideMark/>
          </w:tcPr>
          <w:p w14:paraId="5EA5C90F"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2024</w:t>
            </w:r>
          </w:p>
        </w:tc>
        <w:tc>
          <w:tcPr>
            <w:tcW w:w="1120" w:type="dxa"/>
            <w:tcBorders>
              <w:top w:val="nil"/>
              <w:left w:val="nil"/>
              <w:bottom w:val="single" w:sz="4" w:space="0" w:color="auto"/>
              <w:right w:val="single" w:sz="4" w:space="0" w:color="auto"/>
            </w:tcBorders>
            <w:shd w:val="clear" w:color="000000" w:fill="D0D0D0"/>
            <w:noWrap/>
            <w:vAlign w:val="bottom"/>
            <w:hideMark/>
          </w:tcPr>
          <w:p w14:paraId="191F33B8"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2023</w:t>
            </w:r>
          </w:p>
        </w:tc>
        <w:tc>
          <w:tcPr>
            <w:tcW w:w="1120" w:type="dxa"/>
            <w:tcBorders>
              <w:top w:val="nil"/>
              <w:left w:val="nil"/>
              <w:bottom w:val="single" w:sz="4" w:space="0" w:color="auto"/>
              <w:right w:val="single" w:sz="4" w:space="0" w:color="auto"/>
            </w:tcBorders>
            <w:shd w:val="clear" w:color="000000" w:fill="D0D0D0"/>
            <w:noWrap/>
            <w:vAlign w:val="bottom"/>
            <w:hideMark/>
          </w:tcPr>
          <w:p w14:paraId="5D0FE991"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2022</w:t>
            </w:r>
          </w:p>
        </w:tc>
        <w:tc>
          <w:tcPr>
            <w:tcW w:w="1120" w:type="dxa"/>
            <w:tcBorders>
              <w:top w:val="nil"/>
              <w:left w:val="nil"/>
              <w:bottom w:val="single" w:sz="4" w:space="0" w:color="auto"/>
              <w:right w:val="single" w:sz="4" w:space="0" w:color="auto"/>
            </w:tcBorders>
            <w:shd w:val="clear" w:color="000000" w:fill="D0D0D0"/>
            <w:noWrap/>
            <w:vAlign w:val="bottom"/>
            <w:hideMark/>
          </w:tcPr>
          <w:p w14:paraId="468043B4"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2021</w:t>
            </w:r>
          </w:p>
        </w:tc>
      </w:tr>
      <w:tr w:rsidR="00BD71EE" w:rsidRPr="00BD71EE" w14:paraId="49516ADC" w14:textId="77777777" w:rsidTr="00BD71EE">
        <w:trPr>
          <w:trHeight w:val="300"/>
        </w:trPr>
        <w:tc>
          <w:tcPr>
            <w:tcW w:w="2700" w:type="dxa"/>
            <w:tcBorders>
              <w:top w:val="nil"/>
              <w:left w:val="single" w:sz="4" w:space="0" w:color="auto"/>
              <w:bottom w:val="single" w:sz="4" w:space="0" w:color="auto"/>
              <w:right w:val="single" w:sz="4" w:space="0" w:color="auto"/>
            </w:tcBorders>
            <w:shd w:val="clear" w:color="000000" w:fill="83CCEB"/>
            <w:noWrap/>
            <w:vAlign w:val="bottom"/>
            <w:hideMark/>
          </w:tcPr>
          <w:p w14:paraId="6DDC6AA4" w14:textId="77777777" w:rsidR="00BD71EE" w:rsidRPr="00BD71EE" w:rsidRDefault="00BD71EE" w:rsidP="00BD71EE">
            <w:pPr>
              <w:spacing w:after="0" w:line="240" w:lineRule="auto"/>
              <w:jc w:val="left"/>
              <w:rPr>
                <w:rFonts w:ascii="Aptos Narrow" w:eastAsia="Times New Roman" w:hAnsi="Aptos Narrow" w:cs="Times New Roman"/>
                <w:b/>
                <w:bCs/>
                <w:i/>
                <w:iCs/>
                <w:color w:val="000000"/>
                <w:sz w:val="22"/>
                <w:lang w:eastAsia="en-GB"/>
              </w:rPr>
            </w:pPr>
            <w:r w:rsidRPr="00BD71EE">
              <w:rPr>
                <w:rFonts w:ascii="Aptos Narrow" w:eastAsia="Times New Roman" w:hAnsi="Aptos Narrow" w:cs="Times New Roman"/>
                <w:b/>
                <w:bCs/>
                <w:i/>
                <w:iCs/>
                <w:color w:val="000000"/>
                <w:sz w:val="22"/>
                <w:lang w:eastAsia="en-GB"/>
              </w:rPr>
              <w:t>Liquidity</w:t>
            </w:r>
          </w:p>
        </w:tc>
        <w:tc>
          <w:tcPr>
            <w:tcW w:w="4580" w:type="dxa"/>
            <w:tcBorders>
              <w:top w:val="nil"/>
              <w:left w:val="nil"/>
              <w:bottom w:val="single" w:sz="4" w:space="0" w:color="auto"/>
              <w:right w:val="single" w:sz="4" w:space="0" w:color="auto"/>
            </w:tcBorders>
            <w:shd w:val="clear" w:color="000000" w:fill="83CCEB"/>
            <w:noWrap/>
            <w:vAlign w:val="bottom"/>
            <w:hideMark/>
          </w:tcPr>
          <w:p w14:paraId="3BF416C1" w14:textId="77777777" w:rsidR="00BD71EE" w:rsidRPr="00BD71EE" w:rsidRDefault="00BD71EE" w:rsidP="00BD71EE">
            <w:pPr>
              <w:spacing w:after="0" w:line="240" w:lineRule="auto"/>
              <w:jc w:val="left"/>
              <w:rPr>
                <w:rFonts w:ascii="Aptos Narrow" w:eastAsia="Times New Roman" w:hAnsi="Aptos Narrow" w:cs="Times New Roman"/>
                <w:b/>
                <w:bCs/>
                <w:i/>
                <w:iCs/>
                <w:color w:val="000000"/>
                <w:sz w:val="22"/>
                <w:lang w:eastAsia="en-GB"/>
              </w:rPr>
            </w:pPr>
            <w:r w:rsidRPr="00BD71EE">
              <w:rPr>
                <w:rFonts w:ascii="Aptos Narrow" w:eastAsia="Times New Roman" w:hAnsi="Aptos Narrow" w:cs="Times New Roman"/>
                <w:b/>
                <w:bCs/>
                <w:i/>
                <w:iCs/>
                <w:color w:val="000000"/>
                <w:sz w:val="22"/>
                <w:lang w:eastAsia="en-GB"/>
              </w:rPr>
              <w:t> </w:t>
            </w:r>
          </w:p>
        </w:tc>
        <w:tc>
          <w:tcPr>
            <w:tcW w:w="1880" w:type="dxa"/>
            <w:tcBorders>
              <w:top w:val="nil"/>
              <w:left w:val="nil"/>
              <w:bottom w:val="single" w:sz="4" w:space="0" w:color="auto"/>
              <w:right w:val="single" w:sz="4" w:space="0" w:color="auto"/>
            </w:tcBorders>
            <w:shd w:val="clear" w:color="000000" w:fill="83CCEB"/>
            <w:noWrap/>
            <w:vAlign w:val="bottom"/>
            <w:hideMark/>
          </w:tcPr>
          <w:p w14:paraId="1E19C9A6"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5E59AF7B"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31ADFB25"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7A887EC6"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617464F1"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6BF49167"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537D56AF"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Current ratio</w:t>
            </w:r>
          </w:p>
        </w:tc>
        <w:tc>
          <w:tcPr>
            <w:tcW w:w="4580" w:type="dxa"/>
            <w:tcBorders>
              <w:top w:val="nil"/>
              <w:left w:val="nil"/>
              <w:bottom w:val="single" w:sz="4" w:space="0" w:color="auto"/>
              <w:right w:val="single" w:sz="4" w:space="0" w:color="auto"/>
            </w:tcBorders>
            <w:noWrap/>
            <w:vAlign w:val="bottom"/>
            <w:hideMark/>
          </w:tcPr>
          <w:p w14:paraId="0A734C79"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Current Assets/Current Liabilities</w:t>
            </w:r>
          </w:p>
        </w:tc>
        <w:tc>
          <w:tcPr>
            <w:tcW w:w="1880" w:type="dxa"/>
            <w:tcBorders>
              <w:top w:val="nil"/>
              <w:left w:val="nil"/>
              <w:bottom w:val="single" w:sz="4" w:space="0" w:color="auto"/>
              <w:right w:val="single" w:sz="4" w:space="0" w:color="auto"/>
            </w:tcBorders>
            <w:noWrap/>
            <w:vAlign w:val="bottom"/>
            <w:hideMark/>
          </w:tcPr>
          <w:p w14:paraId="044969B8"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0.793</w:t>
            </w:r>
          </w:p>
        </w:tc>
        <w:tc>
          <w:tcPr>
            <w:tcW w:w="1120" w:type="dxa"/>
            <w:tcBorders>
              <w:top w:val="nil"/>
              <w:left w:val="nil"/>
              <w:bottom w:val="single" w:sz="4" w:space="0" w:color="auto"/>
              <w:right w:val="single" w:sz="4" w:space="0" w:color="auto"/>
            </w:tcBorders>
            <w:noWrap/>
            <w:vAlign w:val="bottom"/>
            <w:hideMark/>
          </w:tcPr>
          <w:p w14:paraId="0F696E52"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0.747</w:t>
            </w:r>
          </w:p>
        </w:tc>
        <w:tc>
          <w:tcPr>
            <w:tcW w:w="1120" w:type="dxa"/>
            <w:tcBorders>
              <w:top w:val="nil"/>
              <w:left w:val="nil"/>
              <w:bottom w:val="single" w:sz="4" w:space="0" w:color="auto"/>
              <w:right w:val="single" w:sz="4" w:space="0" w:color="auto"/>
            </w:tcBorders>
            <w:noWrap/>
            <w:vAlign w:val="bottom"/>
            <w:hideMark/>
          </w:tcPr>
          <w:p w14:paraId="5AB9F549"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0.666</w:t>
            </w:r>
          </w:p>
        </w:tc>
        <w:tc>
          <w:tcPr>
            <w:tcW w:w="1120" w:type="dxa"/>
            <w:tcBorders>
              <w:top w:val="nil"/>
              <w:left w:val="nil"/>
              <w:bottom w:val="single" w:sz="4" w:space="0" w:color="auto"/>
              <w:right w:val="single" w:sz="4" w:space="0" w:color="auto"/>
            </w:tcBorders>
            <w:noWrap/>
            <w:vAlign w:val="bottom"/>
            <w:hideMark/>
          </w:tcPr>
          <w:p w14:paraId="2B03E5E3"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0.722</w:t>
            </w:r>
          </w:p>
        </w:tc>
        <w:tc>
          <w:tcPr>
            <w:tcW w:w="1120" w:type="dxa"/>
            <w:tcBorders>
              <w:top w:val="nil"/>
              <w:left w:val="nil"/>
              <w:bottom w:val="single" w:sz="4" w:space="0" w:color="auto"/>
              <w:right w:val="single" w:sz="4" w:space="0" w:color="auto"/>
            </w:tcBorders>
            <w:noWrap/>
            <w:vAlign w:val="bottom"/>
            <w:hideMark/>
          </w:tcPr>
          <w:p w14:paraId="4F96EC5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0.970</w:t>
            </w:r>
          </w:p>
        </w:tc>
      </w:tr>
      <w:tr w:rsidR="00BD71EE" w:rsidRPr="00BD71EE" w14:paraId="49049C0E"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207AFC2E"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lastRenderedPageBreak/>
              <w:t>Quick ratio</w:t>
            </w:r>
          </w:p>
        </w:tc>
        <w:tc>
          <w:tcPr>
            <w:tcW w:w="4580" w:type="dxa"/>
            <w:tcBorders>
              <w:top w:val="nil"/>
              <w:left w:val="nil"/>
              <w:bottom w:val="single" w:sz="4" w:space="0" w:color="auto"/>
              <w:right w:val="single" w:sz="4" w:space="0" w:color="auto"/>
            </w:tcBorders>
            <w:noWrap/>
            <w:vAlign w:val="bottom"/>
            <w:hideMark/>
          </w:tcPr>
          <w:p w14:paraId="29292995"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(Current Assets - Inventories)/Current Liabilities</w:t>
            </w:r>
          </w:p>
        </w:tc>
        <w:tc>
          <w:tcPr>
            <w:tcW w:w="1880" w:type="dxa"/>
            <w:tcBorders>
              <w:top w:val="nil"/>
              <w:left w:val="nil"/>
              <w:bottom w:val="single" w:sz="4" w:space="0" w:color="auto"/>
              <w:right w:val="single" w:sz="4" w:space="0" w:color="auto"/>
            </w:tcBorders>
            <w:noWrap/>
            <w:vAlign w:val="bottom"/>
            <w:hideMark/>
          </w:tcPr>
          <w:p w14:paraId="2B2D0DCD"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0.497</w:t>
            </w:r>
          </w:p>
        </w:tc>
        <w:tc>
          <w:tcPr>
            <w:tcW w:w="1120" w:type="dxa"/>
            <w:tcBorders>
              <w:top w:val="nil"/>
              <w:left w:val="nil"/>
              <w:bottom w:val="single" w:sz="4" w:space="0" w:color="auto"/>
              <w:right w:val="single" w:sz="4" w:space="0" w:color="auto"/>
            </w:tcBorders>
            <w:noWrap/>
            <w:vAlign w:val="bottom"/>
            <w:hideMark/>
          </w:tcPr>
          <w:p w14:paraId="7A772EB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0.513</w:t>
            </w:r>
          </w:p>
        </w:tc>
        <w:tc>
          <w:tcPr>
            <w:tcW w:w="1120" w:type="dxa"/>
            <w:tcBorders>
              <w:top w:val="nil"/>
              <w:left w:val="nil"/>
              <w:bottom w:val="single" w:sz="4" w:space="0" w:color="auto"/>
              <w:right w:val="single" w:sz="4" w:space="0" w:color="auto"/>
            </w:tcBorders>
            <w:noWrap/>
            <w:vAlign w:val="bottom"/>
            <w:hideMark/>
          </w:tcPr>
          <w:p w14:paraId="4946FF23"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0.473</w:t>
            </w:r>
          </w:p>
        </w:tc>
        <w:tc>
          <w:tcPr>
            <w:tcW w:w="1120" w:type="dxa"/>
            <w:tcBorders>
              <w:top w:val="nil"/>
              <w:left w:val="nil"/>
              <w:bottom w:val="single" w:sz="4" w:space="0" w:color="auto"/>
              <w:right w:val="single" w:sz="4" w:space="0" w:color="auto"/>
            </w:tcBorders>
            <w:noWrap/>
            <w:vAlign w:val="bottom"/>
            <w:hideMark/>
          </w:tcPr>
          <w:p w14:paraId="43B6BC74"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0.485</w:t>
            </w:r>
          </w:p>
        </w:tc>
        <w:tc>
          <w:tcPr>
            <w:tcW w:w="1120" w:type="dxa"/>
            <w:tcBorders>
              <w:top w:val="nil"/>
              <w:left w:val="nil"/>
              <w:bottom w:val="single" w:sz="4" w:space="0" w:color="auto"/>
              <w:right w:val="single" w:sz="4" w:space="0" w:color="auto"/>
            </w:tcBorders>
            <w:noWrap/>
            <w:vAlign w:val="bottom"/>
            <w:hideMark/>
          </w:tcPr>
          <w:p w14:paraId="546886B4"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0.717</w:t>
            </w:r>
          </w:p>
        </w:tc>
      </w:tr>
      <w:tr w:rsidR="00BD71EE" w:rsidRPr="00BD71EE" w14:paraId="4B562E27" w14:textId="77777777" w:rsidTr="00BD71EE">
        <w:trPr>
          <w:trHeight w:val="300"/>
        </w:trPr>
        <w:tc>
          <w:tcPr>
            <w:tcW w:w="2700" w:type="dxa"/>
            <w:tcBorders>
              <w:top w:val="nil"/>
              <w:left w:val="single" w:sz="4" w:space="0" w:color="auto"/>
              <w:bottom w:val="single" w:sz="4" w:space="0" w:color="auto"/>
              <w:right w:val="single" w:sz="4" w:space="0" w:color="auto"/>
            </w:tcBorders>
            <w:shd w:val="clear" w:color="000000" w:fill="83CCEB"/>
            <w:noWrap/>
            <w:vAlign w:val="bottom"/>
            <w:hideMark/>
          </w:tcPr>
          <w:p w14:paraId="50E397CE" w14:textId="77777777" w:rsidR="00BD71EE" w:rsidRPr="00BD71EE" w:rsidRDefault="00BD71EE" w:rsidP="00BD71EE">
            <w:pPr>
              <w:spacing w:after="0" w:line="240" w:lineRule="auto"/>
              <w:jc w:val="left"/>
              <w:rPr>
                <w:rFonts w:ascii="Aptos Narrow" w:eastAsia="Times New Roman" w:hAnsi="Aptos Narrow" w:cs="Times New Roman"/>
                <w:b/>
                <w:bCs/>
                <w:i/>
                <w:iCs/>
                <w:color w:val="000000"/>
                <w:sz w:val="22"/>
                <w:lang w:eastAsia="en-GB"/>
              </w:rPr>
            </w:pPr>
            <w:r w:rsidRPr="00BD71EE">
              <w:rPr>
                <w:rFonts w:ascii="Aptos Narrow" w:eastAsia="Times New Roman" w:hAnsi="Aptos Narrow" w:cs="Times New Roman"/>
                <w:b/>
                <w:bCs/>
                <w:i/>
                <w:iCs/>
                <w:color w:val="000000"/>
                <w:sz w:val="22"/>
                <w:lang w:eastAsia="en-GB"/>
              </w:rPr>
              <w:t>Profitability</w:t>
            </w:r>
          </w:p>
        </w:tc>
        <w:tc>
          <w:tcPr>
            <w:tcW w:w="4580" w:type="dxa"/>
            <w:tcBorders>
              <w:top w:val="nil"/>
              <w:left w:val="nil"/>
              <w:bottom w:val="single" w:sz="4" w:space="0" w:color="auto"/>
              <w:right w:val="single" w:sz="4" w:space="0" w:color="auto"/>
            </w:tcBorders>
            <w:shd w:val="clear" w:color="000000" w:fill="83CCEB"/>
            <w:noWrap/>
            <w:vAlign w:val="bottom"/>
            <w:hideMark/>
          </w:tcPr>
          <w:p w14:paraId="4643A80E"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shd w:val="clear" w:color="000000" w:fill="83CCEB"/>
            <w:noWrap/>
            <w:vAlign w:val="bottom"/>
            <w:hideMark/>
          </w:tcPr>
          <w:p w14:paraId="2C930258"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1ECDBAF8"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558A7D21"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3CEF4E4E"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439BCEB7"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63F76807"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443568AE"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Net margin</w:t>
            </w:r>
          </w:p>
        </w:tc>
        <w:tc>
          <w:tcPr>
            <w:tcW w:w="4580" w:type="dxa"/>
            <w:tcBorders>
              <w:top w:val="nil"/>
              <w:left w:val="nil"/>
              <w:bottom w:val="single" w:sz="4" w:space="0" w:color="auto"/>
              <w:right w:val="single" w:sz="4" w:space="0" w:color="auto"/>
            </w:tcBorders>
            <w:noWrap/>
            <w:vAlign w:val="bottom"/>
            <w:hideMark/>
          </w:tcPr>
          <w:p w14:paraId="4FFDC53C"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Net profit/Revenue</w:t>
            </w:r>
          </w:p>
        </w:tc>
        <w:tc>
          <w:tcPr>
            <w:tcW w:w="1880" w:type="dxa"/>
            <w:tcBorders>
              <w:top w:val="nil"/>
              <w:left w:val="nil"/>
              <w:bottom w:val="single" w:sz="4" w:space="0" w:color="auto"/>
              <w:right w:val="single" w:sz="4" w:space="0" w:color="auto"/>
            </w:tcBorders>
            <w:noWrap/>
            <w:vAlign w:val="bottom"/>
            <w:hideMark/>
          </w:tcPr>
          <w:p w14:paraId="5584697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4.07%</w:t>
            </w:r>
          </w:p>
        </w:tc>
        <w:tc>
          <w:tcPr>
            <w:tcW w:w="1120" w:type="dxa"/>
            <w:tcBorders>
              <w:top w:val="nil"/>
              <w:left w:val="nil"/>
              <w:bottom w:val="single" w:sz="4" w:space="0" w:color="auto"/>
              <w:right w:val="single" w:sz="4" w:space="0" w:color="auto"/>
            </w:tcBorders>
            <w:noWrap/>
            <w:vAlign w:val="bottom"/>
            <w:hideMark/>
          </w:tcPr>
          <w:p w14:paraId="53CEA577"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5.26%</w:t>
            </w:r>
          </w:p>
        </w:tc>
        <w:tc>
          <w:tcPr>
            <w:tcW w:w="1120" w:type="dxa"/>
            <w:tcBorders>
              <w:top w:val="nil"/>
              <w:left w:val="nil"/>
              <w:bottom w:val="single" w:sz="4" w:space="0" w:color="auto"/>
              <w:right w:val="single" w:sz="4" w:space="0" w:color="auto"/>
            </w:tcBorders>
            <w:noWrap/>
            <w:vAlign w:val="bottom"/>
            <w:hideMark/>
          </w:tcPr>
          <w:p w14:paraId="39AE98A7"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5.06%</w:t>
            </w:r>
          </w:p>
        </w:tc>
        <w:tc>
          <w:tcPr>
            <w:tcW w:w="1120" w:type="dxa"/>
            <w:tcBorders>
              <w:top w:val="nil"/>
              <w:left w:val="nil"/>
              <w:bottom w:val="single" w:sz="4" w:space="0" w:color="auto"/>
              <w:right w:val="single" w:sz="4" w:space="0" w:color="auto"/>
            </w:tcBorders>
            <w:noWrap/>
            <w:vAlign w:val="bottom"/>
            <w:hideMark/>
          </w:tcPr>
          <w:p w14:paraId="7A231103"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3.97%</w:t>
            </w:r>
          </w:p>
        </w:tc>
        <w:tc>
          <w:tcPr>
            <w:tcW w:w="1120" w:type="dxa"/>
            <w:tcBorders>
              <w:top w:val="nil"/>
              <w:left w:val="nil"/>
              <w:bottom w:val="single" w:sz="4" w:space="0" w:color="auto"/>
              <w:right w:val="single" w:sz="4" w:space="0" w:color="auto"/>
            </w:tcBorders>
            <w:noWrap/>
            <w:vAlign w:val="bottom"/>
            <w:hideMark/>
          </w:tcPr>
          <w:p w14:paraId="2E5091D5"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1.42%</w:t>
            </w:r>
          </w:p>
        </w:tc>
      </w:tr>
      <w:tr w:rsidR="00BD71EE" w:rsidRPr="00BD71EE" w14:paraId="2126C524"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255EB19B"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ROE (return on equity)</w:t>
            </w:r>
          </w:p>
        </w:tc>
        <w:tc>
          <w:tcPr>
            <w:tcW w:w="4580" w:type="dxa"/>
            <w:tcBorders>
              <w:top w:val="nil"/>
              <w:left w:val="nil"/>
              <w:bottom w:val="single" w:sz="4" w:space="0" w:color="auto"/>
              <w:right w:val="single" w:sz="4" w:space="0" w:color="auto"/>
            </w:tcBorders>
            <w:noWrap/>
            <w:vAlign w:val="bottom"/>
            <w:hideMark/>
          </w:tcPr>
          <w:p w14:paraId="3CD051B7"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Net profit/Total equity</w:t>
            </w:r>
          </w:p>
        </w:tc>
        <w:tc>
          <w:tcPr>
            <w:tcW w:w="1880" w:type="dxa"/>
            <w:tcBorders>
              <w:top w:val="nil"/>
              <w:left w:val="nil"/>
              <w:bottom w:val="single" w:sz="4" w:space="0" w:color="auto"/>
              <w:right w:val="single" w:sz="4" w:space="0" w:color="auto"/>
            </w:tcBorders>
            <w:noWrap/>
            <w:vAlign w:val="bottom"/>
            <w:hideMark/>
          </w:tcPr>
          <w:p w14:paraId="1EDB9B1F"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13.13%</w:t>
            </w:r>
          </w:p>
        </w:tc>
        <w:tc>
          <w:tcPr>
            <w:tcW w:w="1120" w:type="dxa"/>
            <w:tcBorders>
              <w:top w:val="nil"/>
              <w:left w:val="nil"/>
              <w:bottom w:val="single" w:sz="4" w:space="0" w:color="auto"/>
              <w:right w:val="single" w:sz="4" w:space="0" w:color="auto"/>
            </w:tcBorders>
            <w:noWrap/>
            <w:vAlign w:val="bottom"/>
            <w:hideMark/>
          </w:tcPr>
          <w:p w14:paraId="69DAAC3B"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22.33%</w:t>
            </w:r>
          </w:p>
        </w:tc>
        <w:tc>
          <w:tcPr>
            <w:tcW w:w="1120" w:type="dxa"/>
            <w:tcBorders>
              <w:top w:val="nil"/>
              <w:left w:val="nil"/>
              <w:bottom w:val="single" w:sz="4" w:space="0" w:color="auto"/>
              <w:right w:val="single" w:sz="4" w:space="0" w:color="auto"/>
            </w:tcBorders>
            <w:noWrap/>
            <w:vAlign w:val="bottom"/>
            <w:hideMark/>
          </w:tcPr>
          <w:p w14:paraId="050E4794"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20.06%</w:t>
            </w:r>
          </w:p>
        </w:tc>
        <w:tc>
          <w:tcPr>
            <w:tcW w:w="1120" w:type="dxa"/>
            <w:tcBorders>
              <w:top w:val="nil"/>
              <w:left w:val="nil"/>
              <w:bottom w:val="single" w:sz="4" w:space="0" w:color="auto"/>
              <w:right w:val="single" w:sz="4" w:space="0" w:color="auto"/>
            </w:tcBorders>
            <w:noWrap/>
            <w:vAlign w:val="bottom"/>
            <w:hideMark/>
          </w:tcPr>
          <w:p w14:paraId="0FDC9AB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14.18%</w:t>
            </w:r>
          </w:p>
        </w:tc>
        <w:tc>
          <w:tcPr>
            <w:tcW w:w="1120" w:type="dxa"/>
            <w:tcBorders>
              <w:top w:val="nil"/>
              <w:left w:val="nil"/>
              <w:bottom w:val="single" w:sz="4" w:space="0" w:color="auto"/>
              <w:right w:val="single" w:sz="4" w:space="0" w:color="auto"/>
            </w:tcBorders>
            <w:noWrap/>
            <w:vAlign w:val="bottom"/>
            <w:hideMark/>
          </w:tcPr>
          <w:p w14:paraId="1D27F67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2.88%</w:t>
            </w:r>
          </w:p>
        </w:tc>
      </w:tr>
      <w:tr w:rsidR="00BD71EE" w:rsidRPr="00BD71EE" w14:paraId="17856ED5"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6765B95D"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ROA (return on assets)</w:t>
            </w:r>
          </w:p>
        </w:tc>
        <w:tc>
          <w:tcPr>
            <w:tcW w:w="4580" w:type="dxa"/>
            <w:tcBorders>
              <w:top w:val="nil"/>
              <w:left w:val="nil"/>
              <w:bottom w:val="single" w:sz="4" w:space="0" w:color="auto"/>
              <w:right w:val="single" w:sz="4" w:space="0" w:color="auto"/>
            </w:tcBorders>
            <w:noWrap/>
            <w:vAlign w:val="bottom"/>
            <w:hideMark/>
          </w:tcPr>
          <w:p w14:paraId="448502F8"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Net profit/Total assets</w:t>
            </w:r>
          </w:p>
        </w:tc>
        <w:tc>
          <w:tcPr>
            <w:tcW w:w="1880" w:type="dxa"/>
            <w:tcBorders>
              <w:top w:val="nil"/>
              <w:left w:val="nil"/>
              <w:bottom w:val="single" w:sz="4" w:space="0" w:color="auto"/>
              <w:right w:val="single" w:sz="4" w:space="0" w:color="auto"/>
            </w:tcBorders>
            <w:noWrap/>
            <w:vAlign w:val="bottom"/>
            <w:hideMark/>
          </w:tcPr>
          <w:p w14:paraId="3DCFCA4C"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3.54%</w:t>
            </w:r>
          </w:p>
        </w:tc>
        <w:tc>
          <w:tcPr>
            <w:tcW w:w="1120" w:type="dxa"/>
            <w:tcBorders>
              <w:top w:val="nil"/>
              <w:left w:val="nil"/>
              <w:bottom w:val="single" w:sz="4" w:space="0" w:color="auto"/>
              <w:right w:val="single" w:sz="4" w:space="0" w:color="auto"/>
            </w:tcBorders>
            <w:noWrap/>
            <w:vAlign w:val="bottom"/>
            <w:hideMark/>
          </w:tcPr>
          <w:p w14:paraId="67909628"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5.19%</w:t>
            </w:r>
          </w:p>
        </w:tc>
        <w:tc>
          <w:tcPr>
            <w:tcW w:w="1120" w:type="dxa"/>
            <w:tcBorders>
              <w:top w:val="nil"/>
              <w:left w:val="nil"/>
              <w:bottom w:val="single" w:sz="4" w:space="0" w:color="auto"/>
              <w:right w:val="single" w:sz="4" w:space="0" w:color="auto"/>
            </w:tcBorders>
            <w:noWrap/>
            <w:vAlign w:val="bottom"/>
            <w:hideMark/>
          </w:tcPr>
          <w:p w14:paraId="30DD607D"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4.40%</w:t>
            </w:r>
          </w:p>
        </w:tc>
        <w:tc>
          <w:tcPr>
            <w:tcW w:w="1120" w:type="dxa"/>
            <w:tcBorders>
              <w:top w:val="nil"/>
              <w:left w:val="nil"/>
              <w:bottom w:val="single" w:sz="4" w:space="0" w:color="auto"/>
              <w:right w:val="single" w:sz="4" w:space="0" w:color="auto"/>
            </w:tcBorders>
            <w:noWrap/>
            <w:vAlign w:val="bottom"/>
            <w:hideMark/>
          </w:tcPr>
          <w:p w14:paraId="37CB5ABA"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3.47%</w:t>
            </w:r>
          </w:p>
        </w:tc>
        <w:tc>
          <w:tcPr>
            <w:tcW w:w="1120" w:type="dxa"/>
            <w:tcBorders>
              <w:top w:val="nil"/>
              <w:left w:val="nil"/>
              <w:bottom w:val="single" w:sz="4" w:space="0" w:color="auto"/>
              <w:right w:val="single" w:sz="4" w:space="0" w:color="auto"/>
            </w:tcBorders>
            <w:noWrap/>
            <w:vAlign w:val="bottom"/>
            <w:hideMark/>
          </w:tcPr>
          <w:p w14:paraId="0F6457B5"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1.01%</w:t>
            </w:r>
          </w:p>
        </w:tc>
      </w:tr>
      <w:tr w:rsidR="00BD71EE" w:rsidRPr="00BD71EE" w14:paraId="50C750D1" w14:textId="77777777" w:rsidTr="00BD71EE">
        <w:trPr>
          <w:trHeight w:val="300"/>
        </w:trPr>
        <w:tc>
          <w:tcPr>
            <w:tcW w:w="2700" w:type="dxa"/>
            <w:tcBorders>
              <w:top w:val="nil"/>
              <w:left w:val="single" w:sz="4" w:space="0" w:color="auto"/>
              <w:bottom w:val="single" w:sz="4" w:space="0" w:color="auto"/>
              <w:right w:val="single" w:sz="4" w:space="0" w:color="auto"/>
            </w:tcBorders>
            <w:shd w:val="clear" w:color="000000" w:fill="83CCEB"/>
            <w:noWrap/>
            <w:vAlign w:val="bottom"/>
            <w:hideMark/>
          </w:tcPr>
          <w:p w14:paraId="74F99E11" w14:textId="77777777" w:rsidR="00BD71EE" w:rsidRPr="00BD71EE" w:rsidRDefault="00BD71EE" w:rsidP="00BD71EE">
            <w:pPr>
              <w:spacing w:after="0" w:line="240" w:lineRule="auto"/>
              <w:jc w:val="left"/>
              <w:rPr>
                <w:rFonts w:ascii="Aptos Narrow" w:eastAsia="Times New Roman" w:hAnsi="Aptos Narrow" w:cs="Times New Roman"/>
                <w:b/>
                <w:bCs/>
                <w:i/>
                <w:iCs/>
                <w:color w:val="000000"/>
                <w:sz w:val="22"/>
                <w:lang w:eastAsia="en-GB"/>
              </w:rPr>
            </w:pPr>
            <w:r w:rsidRPr="00BD71EE">
              <w:rPr>
                <w:rFonts w:ascii="Aptos Narrow" w:eastAsia="Times New Roman" w:hAnsi="Aptos Narrow" w:cs="Times New Roman"/>
                <w:b/>
                <w:bCs/>
                <w:i/>
                <w:iCs/>
                <w:color w:val="000000"/>
                <w:sz w:val="22"/>
                <w:lang w:eastAsia="en-GB"/>
              </w:rPr>
              <w:t>Gearing</w:t>
            </w:r>
          </w:p>
        </w:tc>
        <w:tc>
          <w:tcPr>
            <w:tcW w:w="4580" w:type="dxa"/>
            <w:tcBorders>
              <w:top w:val="nil"/>
              <w:left w:val="nil"/>
              <w:bottom w:val="single" w:sz="4" w:space="0" w:color="auto"/>
              <w:right w:val="single" w:sz="4" w:space="0" w:color="auto"/>
            </w:tcBorders>
            <w:shd w:val="clear" w:color="000000" w:fill="83CCEB"/>
            <w:noWrap/>
            <w:vAlign w:val="bottom"/>
            <w:hideMark/>
          </w:tcPr>
          <w:p w14:paraId="2731F753"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shd w:val="clear" w:color="000000" w:fill="83CCEB"/>
            <w:noWrap/>
            <w:vAlign w:val="bottom"/>
            <w:hideMark/>
          </w:tcPr>
          <w:p w14:paraId="42E9FC73"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2586A4B1"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3968D6C5"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06040D73"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6484ABFF"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6C44042F"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09745372"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D/E (Debt to Equity) ratio</w:t>
            </w:r>
          </w:p>
        </w:tc>
        <w:tc>
          <w:tcPr>
            <w:tcW w:w="4580" w:type="dxa"/>
            <w:tcBorders>
              <w:top w:val="nil"/>
              <w:left w:val="nil"/>
              <w:bottom w:val="single" w:sz="4" w:space="0" w:color="auto"/>
              <w:right w:val="single" w:sz="4" w:space="0" w:color="auto"/>
            </w:tcBorders>
            <w:noWrap/>
            <w:vAlign w:val="bottom"/>
            <w:hideMark/>
          </w:tcPr>
          <w:p w14:paraId="4EB1F702"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Total debt/Total equity</w:t>
            </w:r>
          </w:p>
        </w:tc>
        <w:tc>
          <w:tcPr>
            <w:tcW w:w="1880" w:type="dxa"/>
            <w:tcBorders>
              <w:top w:val="nil"/>
              <w:left w:val="nil"/>
              <w:bottom w:val="single" w:sz="4" w:space="0" w:color="auto"/>
              <w:right w:val="single" w:sz="4" w:space="0" w:color="auto"/>
            </w:tcBorders>
            <w:noWrap/>
            <w:vAlign w:val="bottom"/>
            <w:hideMark/>
          </w:tcPr>
          <w:p w14:paraId="1C5DE337"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68.95%</w:t>
            </w:r>
          </w:p>
        </w:tc>
        <w:tc>
          <w:tcPr>
            <w:tcW w:w="1120" w:type="dxa"/>
            <w:tcBorders>
              <w:top w:val="nil"/>
              <w:left w:val="nil"/>
              <w:bottom w:val="single" w:sz="4" w:space="0" w:color="auto"/>
              <w:right w:val="single" w:sz="4" w:space="0" w:color="auto"/>
            </w:tcBorders>
            <w:noWrap/>
            <w:vAlign w:val="bottom"/>
            <w:hideMark/>
          </w:tcPr>
          <w:p w14:paraId="58E2868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31.41%</w:t>
            </w:r>
          </w:p>
        </w:tc>
        <w:tc>
          <w:tcPr>
            <w:tcW w:w="1120" w:type="dxa"/>
            <w:tcBorders>
              <w:top w:val="nil"/>
              <w:left w:val="nil"/>
              <w:bottom w:val="single" w:sz="4" w:space="0" w:color="auto"/>
              <w:right w:val="single" w:sz="4" w:space="0" w:color="auto"/>
            </w:tcBorders>
            <w:noWrap/>
            <w:vAlign w:val="bottom"/>
            <w:hideMark/>
          </w:tcPr>
          <w:p w14:paraId="054ECE52"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33.85%</w:t>
            </w:r>
          </w:p>
        </w:tc>
        <w:tc>
          <w:tcPr>
            <w:tcW w:w="1120" w:type="dxa"/>
            <w:tcBorders>
              <w:top w:val="nil"/>
              <w:left w:val="nil"/>
              <w:bottom w:val="single" w:sz="4" w:space="0" w:color="auto"/>
              <w:right w:val="single" w:sz="4" w:space="0" w:color="auto"/>
            </w:tcBorders>
            <w:noWrap/>
            <w:vAlign w:val="bottom"/>
            <w:hideMark/>
          </w:tcPr>
          <w:p w14:paraId="3B4DCFE5"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23.26%</w:t>
            </w:r>
          </w:p>
        </w:tc>
        <w:tc>
          <w:tcPr>
            <w:tcW w:w="1120" w:type="dxa"/>
            <w:tcBorders>
              <w:top w:val="nil"/>
              <w:left w:val="nil"/>
              <w:bottom w:val="single" w:sz="4" w:space="0" w:color="auto"/>
              <w:right w:val="single" w:sz="4" w:space="0" w:color="auto"/>
            </w:tcBorders>
            <w:noWrap/>
            <w:vAlign w:val="bottom"/>
            <w:hideMark/>
          </w:tcPr>
          <w:p w14:paraId="332D4F32"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43.79%</w:t>
            </w:r>
          </w:p>
        </w:tc>
      </w:tr>
      <w:tr w:rsidR="00BD71EE" w:rsidRPr="00BD71EE" w14:paraId="3286989B"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086162CF"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D/C (Debt to Coverage) ratio</w:t>
            </w:r>
          </w:p>
        </w:tc>
        <w:tc>
          <w:tcPr>
            <w:tcW w:w="4580" w:type="dxa"/>
            <w:tcBorders>
              <w:top w:val="nil"/>
              <w:left w:val="nil"/>
              <w:bottom w:val="single" w:sz="4" w:space="0" w:color="auto"/>
              <w:right w:val="single" w:sz="4" w:space="0" w:color="auto"/>
            </w:tcBorders>
            <w:noWrap/>
            <w:vAlign w:val="bottom"/>
            <w:hideMark/>
          </w:tcPr>
          <w:p w14:paraId="1B1849B0"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Total debt/(Total debt + Total equity)</w:t>
            </w:r>
          </w:p>
        </w:tc>
        <w:tc>
          <w:tcPr>
            <w:tcW w:w="1880" w:type="dxa"/>
            <w:tcBorders>
              <w:top w:val="nil"/>
              <w:left w:val="nil"/>
              <w:bottom w:val="single" w:sz="4" w:space="0" w:color="auto"/>
              <w:right w:val="single" w:sz="4" w:space="0" w:color="auto"/>
            </w:tcBorders>
            <w:noWrap/>
            <w:vAlign w:val="bottom"/>
            <w:hideMark/>
          </w:tcPr>
          <w:p w14:paraId="0DCF980B"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40.81%</w:t>
            </w:r>
          </w:p>
        </w:tc>
        <w:tc>
          <w:tcPr>
            <w:tcW w:w="1120" w:type="dxa"/>
            <w:tcBorders>
              <w:top w:val="nil"/>
              <w:left w:val="nil"/>
              <w:bottom w:val="single" w:sz="4" w:space="0" w:color="auto"/>
              <w:right w:val="single" w:sz="4" w:space="0" w:color="auto"/>
            </w:tcBorders>
            <w:noWrap/>
            <w:vAlign w:val="bottom"/>
            <w:hideMark/>
          </w:tcPr>
          <w:p w14:paraId="70088CD3"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23.91%</w:t>
            </w:r>
          </w:p>
        </w:tc>
        <w:tc>
          <w:tcPr>
            <w:tcW w:w="1120" w:type="dxa"/>
            <w:tcBorders>
              <w:top w:val="nil"/>
              <w:left w:val="nil"/>
              <w:bottom w:val="single" w:sz="4" w:space="0" w:color="auto"/>
              <w:right w:val="single" w:sz="4" w:space="0" w:color="auto"/>
            </w:tcBorders>
            <w:noWrap/>
            <w:vAlign w:val="bottom"/>
            <w:hideMark/>
          </w:tcPr>
          <w:p w14:paraId="130F68A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25.29%</w:t>
            </w:r>
          </w:p>
        </w:tc>
        <w:tc>
          <w:tcPr>
            <w:tcW w:w="1120" w:type="dxa"/>
            <w:tcBorders>
              <w:top w:val="nil"/>
              <w:left w:val="nil"/>
              <w:bottom w:val="single" w:sz="4" w:space="0" w:color="auto"/>
              <w:right w:val="single" w:sz="4" w:space="0" w:color="auto"/>
            </w:tcBorders>
            <w:noWrap/>
            <w:vAlign w:val="bottom"/>
            <w:hideMark/>
          </w:tcPr>
          <w:p w14:paraId="512E74A8"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18.87%</w:t>
            </w:r>
          </w:p>
        </w:tc>
        <w:tc>
          <w:tcPr>
            <w:tcW w:w="1120" w:type="dxa"/>
            <w:tcBorders>
              <w:top w:val="nil"/>
              <w:left w:val="nil"/>
              <w:bottom w:val="single" w:sz="4" w:space="0" w:color="auto"/>
              <w:right w:val="single" w:sz="4" w:space="0" w:color="auto"/>
            </w:tcBorders>
            <w:noWrap/>
            <w:vAlign w:val="bottom"/>
            <w:hideMark/>
          </w:tcPr>
          <w:p w14:paraId="7E3E2E63"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30.45%</w:t>
            </w:r>
          </w:p>
        </w:tc>
      </w:tr>
      <w:tr w:rsidR="00BD71EE" w:rsidRPr="00BD71EE" w14:paraId="30734CB9" w14:textId="77777777" w:rsidTr="00BD71EE">
        <w:trPr>
          <w:trHeight w:val="300"/>
        </w:trPr>
        <w:tc>
          <w:tcPr>
            <w:tcW w:w="2700" w:type="dxa"/>
            <w:tcBorders>
              <w:top w:val="nil"/>
              <w:left w:val="single" w:sz="4" w:space="0" w:color="auto"/>
              <w:bottom w:val="single" w:sz="4" w:space="0" w:color="auto"/>
              <w:right w:val="single" w:sz="4" w:space="0" w:color="auto"/>
            </w:tcBorders>
            <w:shd w:val="clear" w:color="000000" w:fill="83CCEB"/>
            <w:noWrap/>
            <w:vAlign w:val="bottom"/>
            <w:hideMark/>
          </w:tcPr>
          <w:p w14:paraId="709949E6" w14:textId="77777777" w:rsidR="00BD71EE" w:rsidRPr="00BD71EE" w:rsidRDefault="00BD71EE" w:rsidP="00BD71EE">
            <w:pPr>
              <w:spacing w:after="0" w:line="240" w:lineRule="auto"/>
              <w:jc w:val="left"/>
              <w:rPr>
                <w:rFonts w:ascii="Aptos Narrow" w:eastAsia="Times New Roman" w:hAnsi="Aptos Narrow" w:cs="Times New Roman"/>
                <w:b/>
                <w:bCs/>
                <w:i/>
                <w:iCs/>
                <w:color w:val="000000"/>
                <w:sz w:val="22"/>
                <w:lang w:eastAsia="en-GB"/>
              </w:rPr>
            </w:pPr>
            <w:r w:rsidRPr="00BD71EE">
              <w:rPr>
                <w:rFonts w:ascii="Aptos Narrow" w:eastAsia="Times New Roman" w:hAnsi="Aptos Narrow" w:cs="Times New Roman"/>
                <w:b/>
                <w:bCs/>
                <w:i/>
                <w:iCs/>
                <w:color w:val="000000"/>
                <w:sz w:val="22"/>
                <w:lang w:eastAsia="en-GB"/>
              </w:rPr>
              <w:t>Efficiency</w:t>
            </w:r>
          </w:p>
        </w:tc>
        <w:tc>
          <w:tcPr>
            <w:tcW w:w="4580" w:type="dxa"/>
            <w:tcBorders>
              <w:top w:val="nil"/>
              <w:left w:val="nil"/>
              <w:bottom w:val="single" w:sz="4" w:space="0" w:color="auto"/>
              <w:right w:val="single" w:sz="4" w:space="0" w:color="auto"/>
            </w:tcBorders>
            <w:shd w:val="clear" w:color="000000" w:fill="83CCEB"/>
            <w:noWrap/>
            <w:vAlign w:val="bottom"/>
            <w:hideMark/>
          </w:tcPr>
          <w:p w14:paraId="43B4E35B"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shd w:val="clear" w:color="000000" w:fill="83CCEB"/>
            <w:noWrap/>
            <w:vAlign w:val="bottom"/>
            <w:hideMark/>
          </w:tcPr>
          <w:p w14:paraId="0D82FBFE"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750A0242"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1C0586A7"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1B0B8512"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23FCB332"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2C905562"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52531A97"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Accounts receivable days</w:t>
            </w:r>
          </w:p>
        </w:tc>
        <w:tc>
          <w:tcPr>
            <w:tcW w:w="4580" w:type="dxa"/>
            <w:tcBorders>
              <w:top w:val="nil"/>
              <w:left w:val="nil"/>
              <w:bottom w:val="single" w:sz="4" w:space="0" w:color="auto"/>
              <w:right w:val="single" w:sz="4" w:space="0" w:color="auto"/>
            </w:tcBorders>
            <w:noWrap/>
            <w:vAlign w:val="bottom"/>
            <w:hideMark/>
          </w:tcPr>
          <w:p w14:paraId="592FF456"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Accounts receivable*365/Revenue</w:t>
            </w:r>
          </w:p>
        </w:tc>
        <w:tc>
          <w:tcPr>
            <w:tcW w:w="1880" w:type="dxa"/>
            <w:tcBorders>
              <w:top w:val="nil"/>
              <w:left w:val="nil"/>
              <w:bottom w:val="single" w:sz="4" w:space="0" w:color="auto"/>
              <w:right w:val="single" w:sz="4" w:space="0" w:color="auto"/>
            </w:tcBorders>
            <w:noWrap/>
            <w:vAlign w:val="bottom"/>
            <w:hideMark/>
          </w:tcPr>
          <w:p w14:paraId="1FBD6D2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39.881</w:t>
            </w:r>
          </w:p>
        </w:tc>
        <w:tc>
          <w:tcPr>
            <w:tcW w:w="1120" w:type="dxa"/>
            <w:tcBorders>
              <w:top w:val="nil"/>
              <w:left w:val="nil"/>
              <w:bottom w:val="single" w:sz="4" w:space="0" w:color="auto"/>
              <w:right w:val="single" w:sz="4" w:space="0" w:color="auto"/>
            </w:tcBorders>
            <w:noWrap/>
            <w:vAlign w:val="bottom"/>
            <w:hideMark/>
          </w:tcPr>
          <w:p w14:paraId="4110FF7B"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49.386</w:t>
            </w:r>
          </w:p>
        </w:tc>
        <w:tc>
          <w:tcPr>
            <w:tcW w:w="1120" w:type="dxa"/>
            <w:tcBorders>
              <w:top w:val="nil"/>
              <w:left w:val="nil"/>
              <w:bottom w:val="single" w:sz="4" w:space="0" w:color="auto"/>
              <w:right w:val="single" w:sz="4" w:space="0" w:color="auto"/>
            </w:tcBorders>
            <w:noWrap/>
            <w:vAlign w:val="bottom"/>
            <w:hideMark/>
          </w:tcPr>
          <w:p w14:paraId="4425DFC2"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56.533</w:t>
            </w:r>
          </w:p>
        </w:tc>
        <w:tc>
          <w:tcPr>
            <w:tcW w:w="1120" w:type="dxa"/>
            <w:tcBorders>
              <w:top w:val="nil"/>
              <w:left w:val="nil"/>
              <w:bottom w:val="single" w:sz="4" w:space="0" w:color="auto"/>
              <w:right w:val="single" w:sz="4" w:space="0" w:color="auto"/>
            </w:tcBorders>
            <w:noWrap/>
            <w:vAlign w:val="bottom"/>
            <w:hideMark/>
          </w:tcPr>
          <w:p w14:paraId="7C05F9A7"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66.982</w:t>
            </w:r>
          </w:p>
        </w:tc>
        <w:tc>
          <w:tcPr>
            <w:tcW w:w="1120" w:type="dxa"/>
            <w:tcBorders>
              <w:top w:val="nil"/>
              <w:left w:val="nil"/>
              <w:bottom w:val="single" w:sz="4" w:space="0" w:color="auto"/>
              <w:right w:val="single" w:sz="4" w:space="0" w:color="auto"/>
            </w:tcBorders>
            <w:noWrap/>
            <w:vAlign w:val="bottom"/>
            <w:hideMark/>
          </w:tcPr>
          <w:p w14:paraId="0C477641"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105.314</w:t>
            </w:r>
          </w:p>
        </w:tc>
      </w:tr>
      <w:tr w:rsidR="00BD71EE" w:rsidRPr="00BD71EE" w14:paraId="72867F27"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38286C2A"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Accounts payable days</w:t>
            </w:r>
          </w:p>
        </w:tc>
        <w:tc>
          <w:tcPr>
            <w:tcW w:w="4580" w:type="dxa"/>
            <w:tcBorders>
              <w:top w:val="nil"/>
              <w:left w:val="nil"/>
              <w:bottom w:val="single" w:sz="4" w:space="0" w:color="auto"/>
              <w:right w:val="single" w:sz="4" w:space="0" w:color="auto"/>
            </w:tcBorders>
            <w:noWrap/>
            <w:vAlign w:val="bottom"/>
            <w:hideMark/>
          </w:tcPr>
          <w:p w14:paraId="01CA5FC1"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Accounts payable*365/Cost of sales</w:t>
            </w:r>
          </w:p>
        </w:tc>
        <w:tc>
          <w:tcPr>
            <w:tcW w:w="1880" w:type="dxa"/>
            <w:tcBorders>
              <w:top w:val="nil"/>
              <w:left w:val="nil"/>
              <w:bottom w:val="single" w:sz="4" w:space="0" w:color="auto"/>
              <w:right w:val="single" w:sz="4" w:space="0" w:color="auto"/>
            </w:tcBorders>
            <w:noWrap/>
            <w:vAlign w:val="bottom"/>
            <w:hideMark/>
          </w:tcPr>
          <w:p w14:paraId="4BC81015"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103.772</w:t>
            </w:r>
          </w:p>
        </w:tc>
        <w:tc>
          <w:tcPr>
            <w:tcW w:w="1120" w:type="dxa"/>
            <w:tcBorders>
              <w:top w:val="nil"/>
              <w:left w:val="nil"/>
              <w:bottom w:val="single" w:sz="4" w:space="0" w:color="auto"/>
              <w:right w:val="single" w:sz="4" w:space="0" w:color="auto"/>
            </w:tcBorders>
            <w:noWrap/>
            <w:vAlign w:val="bottom"/>
            <w:hideMark/>
          </w:tcPr>
          <w:p w14:paraId="551DCC79"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136.047</w:t>
            </w:r>
          </w:p>
        </w:tc>
        <w:tc>
          <w:tcPr>
            <w:tcW w:w="1120" w:type="dxa"/>
            <w:tcBorders>
              <w:top w:val="nil"/>
              <w:left w:val="nil"/>
              <w:bottom w:val="single" w:sz="4" w:space="0" w:color="auto"/>
              <w:right w:val="single" w:sz="4" w:space="0" w:color="auto"/>
            </w:tcBorders>
            <w:noWrap/>
            <w:vAlign w:val="bottom"/>
            <w:hideMark/>
          </w:tcPr>
          <w:p w14:paraId="733A1C7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145.339</w:t>
            </w:r>
          </w:p>
        </w:tc>
        <w:tc>
          <w:tcPr>
            <w:tcW w:w="1120" w:type="dxa"/>
            <w:tcBorders>
              <w:top w:val="nil"/>
              <w:left w:val="nil"/>
              <w:bottom w:val="single" w:sz="4" w:space="0" w:color="auto"/>
              <w:right w:val="single" w:sz="4" w:space="0" w:color="auto"/>
            </w:tcBorders>
            <w:noWrap/>
            <w:vAlign w:val="bottom"/>
            <w:hideMark/>
          </w:tcPr>
          <w:p w14:paraId="1761F6C4"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139.352</w:t>
            </w:r>
          </w:p>
        </w:tc>
        <w:tc>
          <w:tcPr>
            <w:tcW w:w="1120" w:type="dxa"/>
            <w:tcBorders>
              <w:top w:val="nil"/>
              <w:left w:val="nil"/>
              <w:bottom w:val="single" w:sz="4" w:space="0" w:color="auto"/>
              <w:right w:val="single" w:sz="4" w:space="0" w:color="auto"/>
            </w:tcBorders>
            <w:noWrap/>
            <w:vAlign w:val="bottom"/>
            <w:hideMark/>
          </w:tcPr>
          <w:p w14:paraId="24447D45"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142.397</w:t>
            </w:r>
          </w:p>
        </w:tc>
      </w:tr>
      <w:tr w:rsidR="00BD71EE" w:rsidRPr="00BD71EE" w14:paraId="21BD99AA"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2CC8F920"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Inventory days</w:t>
            </w:r>
          </w:p>
        </w:tc>
        <w:tc>
          <w:tcPr>
            <w:tcW w:w="4580" w:type="dxa"/>
            <w:tcBorders>
              <w:top w:val="nil"/>
              <w:left w:val="nil"/>
              <w:bottom w:val="single" w:sz="4" w:space="0" w:color="auto"/>
              <w:right w:val="single" w:sz="4" w:space="0" w:color="auto"/>
            </w:tcBorders>
            <w:noWrap/>
            <w:vAlign w:val="bottom"/>
            <w:hideMark/>
          </w:tcPr>
          <w:p w14:paraId="350A0124"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Inventory*365/Cost of sales</w:t>
            </w:r>
          </w:p>
        </w:tc>
        <w:tc>
          <w:tcPr>
            <w:tcW w:w="1880" w:type="dxa"/>
            <w:tcBorders>
              <w:top w:val="nil"/>
              <w:left w:val="nil"/>
              <w:bottom w:val="single" w:sz="4" w:space="0" w:color="auto"/>
              <w:right w:val="single" w:sz="4" w:space="0" w:color="auto"/>
            </w:tcBorders>
            <w:noWrap/>
            <w:vAlign w:val="bottom"/>
            <w:hideMark/>
          </w:tcPr>
          <w:p w14:paraId="5BDA849D"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76.920</w:t>
            </w:r>
          </w:p>
        </w:tc>
        <w:tc>
          <w:tcPr>
            <w:tcW w:w="1120" w:type="dxa"/>
            <w:tcBorders>
              <w:top w:val="nil"/>
              <w:left w:val="nil"/>
              <w:bottom w:val="single" w:sz="4" w:space="0" w:color="auto"/>
              <w:right w:val="single" w:sz="4" w:space="0" w:color="auto"/>
            </w:tcBorders>
            <w:noWrap/>
            <w:vAlign w:val="bottom"/>
            <w:hideMark/>
          </w:tcPr>
          <w:p w14:paraId="691E6043"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65.329</w:t>
            </w:r>
          </w:p>
        </w:tc>
        <w:tc>
          <w:tcPr>
            <w:tcW w:w="1120" w:type="dxa"/>
            <w:tcBorders>
              <w:top w:val="nil"/>
              <w:left w:val="nil"/>
              <w:bottom w:val="single" w:sz="4" w:space="0" w:color="auto"/>
              <w:right w:val="single" w:sz="4" w:space="0" w:color="auto"/>
            </w:tcBorders>
            <w:noWrap/>
            <w:vAlign w:val="bottom"/>
            <w:hideMark/>
          </w:tcPr>
          <w:p w14:paraId="4D5FD364"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65.540</w:t>
            </w:r>
          </w:p>
        </w:tc>
        <w:tc>
          <w:tcPr>
            <w:tcW w:w="1120" w:type="dxa"/>
            <w:tcBorders>
              <w:top w:val="nil"/>
              <w:left w:val="nil"/>
              <w:bottom w:val="single" w:sz="4" w:space="0" w:color="auto"/>
              <w:right w:val="single" w:sz="4" w:space="0" w:color="auto"/>
            </w:tcBorders>
            <w:noWrap/>
            <w:vAlign w:val="bottom"/>
            <w:hideMark/>
          </w:tcPr>
          <w:p w14:paraId="703D7021"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78.496</w:t>
            </w:r>
          </w:p>
        </w:tc>
        <w:tc>
          <w:tcPr>
            <w:tcW w:w="1120" w:type="dxa"/>
            <w:tcBorders>
              <w:top w:val="nil"/>
              <w:left w:val="nil"/>
              <w:bottom w:val="single" w:sz="4" w:space="0" w:color="auto"/>
              <w:right w:val="single" w:sz="4" w:space="0" w:color="auto"/>
            </w:tcBorders>
            <w:noWrap/>
            <w:vAlign w:val="bottom"/>
            <w:hideMark/>
          </w:tcPr>
          <w:p w14:paraId="000382CD"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84.384</w:t>
            </w:r>
          </w:p>
        </w:tc>
      </w:tr>
      <w:tr w:rsidR="00BD71EE" w:rsidRPr="00BD71EE" w14:paraId="51534A80" w14:textId="77777777" w:rsidTr="00BD71EE">
        <w:trPr>
          <w:trHeight w:val="300"/>
        </w:trPr>
        <w:tc>
          <w:tcPr>
            <w:tcW w:w="2700" w:type="dxa"/>
            <w:tcBorders>
              <w:top w:val="nil"/>
              <w:left w:val="single" w:sz="4" w:space="0" w:color="auto"/>
              <w:bottom w:val="single" w:sz="4" w:space="0" w:color="auto"/>
              <w:right w:val="single" w:sz="4" w:space="0" w:color="auto"/>
            </w:tcBorders>
            <w:shd w:val="clear" w:color="000000" w:fill="83CCEB"/>
            <w:noWrap/>
            <w:vAlign w:val="bottom"/>
            <w:hideMark/>
          </w:tcPr>
          <w:p w14:paraId="01BCC22A" w14:textId="77777777" w:rsidR="00BD71EE" w:rsidRPr="00BD71EE" w:rsidRDefault="00BD71EE" w:rsidP="00BD71EE">
            <w:pPr>
              <w:spacing w:after="0" w:line="240" w:lineRule="auto"/>
              <w:jc w:val="left"/>
              <w:rPr>
                <w:rFonts w:ascii="Aptos Narrow" w:eastAsia="Times New Roman" w:hAnsi="Aptos Narrow" w:cs="Times New Roman"/>
                <w:b/>
                <w:bCs/>
                <w:i/>
                <w:iCs/>
                <w:color w:val="000000"/>
                <w:sz w:val="22"/>
                <w:lang w:eastAsia="en-GB"/>
              </w:rPr>
            </w:pPr>
            <w:r w:rsidRPr="00BD71EE">
              <w:rPr>
                <w:rFonts w:ascii="Aptos Narrow" w:eastAsia="Times New Roman" w:hAnsi="Aptos Narrow" w:cs="Times New Roman"/>
                <w:b/>
                <w:bCs/>
                <w:i/>
                <w:iCs/>
                <w:color w:val="000000"/>
                <w:sz w:val="22"/>
                <w:lang w:eastAsia="en-GB"/>
              </w:rPr>
              <w:t>Investment</w:t>
            </w:r>
          </w:p>
        </w:tc>
        <w:tc>
          <w:tcPr>
            <w:tcW w:w="4580" w:type="dxa"/>
            <w:tcBorders>
              <w:top w:val="nil"/>
              <w:left w:val="nil"/>
              <w:bottom w:val="single" w:sz="4" w:space="0" w:color="auto"/>
              <w:right w:val="single" w:sz="4" w:space="0" w:color="auto"/>
            </w:tcBorders>
            <w:shd w:val="clear" w:color="000000" w:fill="83CCEB"/>
            <w:noWrap/>
            <w:vAlign w:val="bottom"/>
            <w:hideMark/>
          </w:tcPr>
          <w:p w14:paraId="4171776C"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shd w:val="clear" w:color="000000" w:fill="83CCEB"/>
            <w:noWrap/>
            <w:vAlign w:val="bottom"/>
            <w:hideMark/>
          </w:tcPr>
          <w:p w14:paraId="38FF483C"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3482FE5D"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20650416"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5E5A92B6"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53BB3E56"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0B81F483"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035DE180"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P/E (Price to Earning) ratio</w:t>
            </w:r>
          </w:p>
        </w:tc>
        <w:tc>
          <w:tcPr>
            <w:tcW w:w="4580" w:type="dxa"/>
            <w:tcBorders>
              <w:top w:val="nil"/>
              <w:left w:val="nil"/>
              <w:bottom w:val="single" w:sz="4" w:space="0" w:color="auto"/>
              <w:right w:val="single" w:sz="4" w:space="0" w:color="auto"/>
            </w:tcBorders>
            <w:noWrap/>
            <w:vAlign w:val="bottom"/>
            <w:hideMark/>
          </w:tcPr>
          <w:p w14:paraId="43A0AC8A"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Share price/EPS</w:t>
            </w:r>
          </w:p>
        </w:tc>
        <w:tc>
          <w:tcPr>
            <w:tcW w:w="1880" w:type="dxa"/>
            <w:tcBorders>
              <w:top w:val="nil"/>
              <w:left w:val="nil"/>
              <w:bottom w:val="single" w:sz="4" w:space="0" w:color="auto"/>
              <w:right w:val="single" w:sz="4" w:space="0" w:color="auto"/>
            </w:tcBorders>
            <w:noWrap/>
            <w:vAlign w:val="bottom"/>
            <w:hideMark/>
          </w:tcPr>
          <w:p w14:paraId="0607F717"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25.193</w:t>
            </w:r>
          </w:p>
        </w:tc>
        <w:tc>
          <w:tcPr>
            <w:tcW w:w="1120" w:type="dxa"/>
            <w:tcBorders>
              <w:top w:val="nil"/>
              <w:left w:val="nil"/>
              <w:bottom w:val="single" w:sz="4" w:space="0" w:color="auto"/>
              <w:right w:val="single" w:sz="4" w:space="0" w:color="auto"/>
            </w:tcBorders>
            <w:noWrap/>
            <w:vAlign w:val="bottom"/>
            <w:hideMark/>
          </w:tcPr>
          <w:p w14:paraId="7A9ECF5F"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18.186</w:t>
            </w:r>
          </w:p>
        </w:tc>
        <w:tc>
          <w:tcPr>
            <w:tcW w:w="1120" w:type="dxa"/>
            <w:tcBorders>
              <w:top w:val="nil"/>
              <w:left w:val="nil"/>
              <w:bottom w:val="single" w:sz="4" w:space="0" w:color="auto"/>
              <w:right w:val="single" w:sz="4" w:space="0" w:color="auto"/>
            </w:tcBorders>
            <w:noWrap/>
            <w:vAlign w:val="bottom"/>
            <w:hideMark/>
          </w:tcPr>
          <w:p w14:paraId="39865B2F"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15.289</w:t>
            </w:r>
          </w:p>
        </w:tc>
        <w:tc>
          <w:tcPr>
            <w:tcW w:w="1120" w:type="dxa"/>
            <w:tcBorders>
              <w:top w:val="nil"/>
              <w:left w:val="nil"/>
              <w:bottom w:val="single" w:sz="4" w:space="0" w:color="auto"/>
              <w:right w:val="single" w:sz="4" w:space="0" w:color="auto"/>
            </w:tcBorders>
            <w:noWrap/>
            <w:vAlign w:val="bottom"/>
            <w:hideMark/>
          </w:tcPr>
          <w:p w14:paraId="7264F4A9"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36.955</w:t>
            </w:r>
          </w:p>
        </w:tc>
        <w:tc>
          <w:tcPr>
            <w:tcW w:w="1120" w:type="dxa"/>
            <w:tcBorders>
              <w:top w:val="nil"/>
              <w:left w:val="nil"/>
              <w:bottom w:val="single" w:sz="4" w:space="0" w:color="auto"/>
              <w:right w:val="single" w:sz="4" w:space="0" w:color="auto"/>
            </w:tcBorders>
            <w:noWrap/>
            <w:vAlign w:val="bottom"/>
            <w:hideMark/>
          </w:tcPr>
          <w:p w14:paraId="260AE863"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171.930</w:t>
            </w:r>
          </w:p>
        </w:tc>
      </w:tr>
      <w:tr w:rsidR="00BD71EE" w:rsidRPr="00BD71EE" w14:paraId="3FD03E14" w14:textId="77777777" w:rsidTr="00BD71EE">
        <w:trPr>
          <w:trHeight w:val="300"/>
        </w:trPr>
        <w:tc>
          <w:tcPr>
            <w:tcW w:w="2700" w:type="dxa"/>
            <w:tcBorders>
              <w:top w:val="nil"/>
              <w:left w:val="single" w:sz="4" w:space="0" w:color="auto"/>
              <w:bottom w:val="single" w:sz="4" w:space="0" w:color="auto"/>
              <w:right w:val="single" w:sz="4" w:space="0" w:color="auto"/>
            </w:tcBorders>
            <w:shd w:val="clear" w:color="000000" w:fill="83CCEB"/>
            <w:noWrap/>
            <w:vAlign w:val="bottom"/>
            <w:hideMark/>
          </w:tcPr>
          <w:p w14:paraId="138DF133" w14:textId="77777777" w:rsidR="00BD71EE" w:rsidRPr="00BD71EE" w:rsidRDefault="00BD71EE" w:rsidP="00BD71EE">
            <w:pPr>
              <w:spacing w:after="0" w:line="240" w:lineRule="auto"/>
              <w:jc w:val="left"/>
              <w:rPr>
                <w:rFonts w:ascii="Aptos Narrow" w:eastAsia="Times New Roman" w:hAnsi="Aptos Narrow" w:cs="Times New Roman"/>
                <w:b/>
                <w:bCs/>
                <w:i/>
                <w:iCs/>
                <w:color w:val="000000"/>
                <w:sz w:val="22"/>
                <w:lang w:eastAsia="en-GB"/>
              </w:rPr>
            </w:pPr>
            <w:r w:rsidRPr="00BD71EE">
              <w:rPr>
                <w:rFonts w:ascii="Aptos Narrow" w:eastAsia="Times New Roman" w:hAnsi="Aptos Narrow" w:cs="Times New Roman"/>
                <w:b/>
                <w:bCs/>
                <w:i/>
                <w:iCs/>
                <w:color w:val="000000"/>
                <w:sz w:val="22"/>
                <w:lang w:eastAsia="en-GB"/>
              </w:rPr>
              <w:t>Cash flow</w:t>
            </w:r>
          </w:p>
        </w:tc>
        <w:tc>
          <w:tcPr>
            <w:tcW w:w="4580" w:type="dxa"/>
            <w:tcBorders>
              <w:top w:val="nil"/>
              <w:left w:val="nil"/>
              <w:bottom w:val="single" w:sz="4" w:space="0" w:color="auto"/>
              <w:right w:val="single" w:sz="4" w:space="0" w:color="auto"/>
            </w:tcBorders>
            <w:shd w:val="clear" w:color="000000" w:fill="83CCEB"/>
            <w:noWrap/>
            <w:vAlign w:val="bottom"/>
            <w:hideMark/>
          </w:tcPr>
          <w:p w14:paraId="476B006D"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880" w:type="dxa"/>
            <w:tcBorders>
              <w:top w:val="nil"/>
              <w:left w:val="nil"/>
              <w:bottom w:val="single" w:sz="4" w:space="0" w:color="auto"/>
              <w:right w:val="single" w:sz="4" w:space="0" w:color="auto"/>
            </w:tcBorders>
            <w:shd w:val="clear" w:color="000000" w:fill="83CCEB"/>
            <w:noWrap/>
            <w:vAlign w:val="bottom"/>
            <w:hideMark/>
          </w:tcPr>
          <w:p w14:paraId="6EFC39B3"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5D3E7BA4"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411A26E8"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23537470"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20" w:type="dxa"/>
            <w:tcBorders>
              <w:top w:val="nil"/>
              <w:left w:val="nil"/>
              <w:bottom w:val="single" w:sz="4" w:space="0" w:color="auto"/>
              <w:right w:val="single" w:sz="4" w:space="0" w:color="auto"/>
            </w:tcBorders>
            <w:shd w:val="clear" w:color="000000" w:fill="83CCEB"/>
            <w:noWrap/>
            <w:vAlign w:val="bottom"/>
            <w:hideMark/>
          </w:tcPr>
          <w:p w14:paraId="53A6C494"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6427A84E" w14:textId="77777777" w:rsidTr="00BD71EE">
        <w:trPr>
          <w:trHeight w:val="300"/>
        </w:trPr>
        <w:tc>
          <w:tcPr>
            <w:tcW w:w="2700" w:type="dxa"/>
            <w:tcBorders>
              <w:top w:val="nil"/>
              <w:left w:val="single" w:sz="4" w:space="0" w:color="auto"/>
              <w:bottom w:val="single" w:sz="4" w:space="0" w:color="auto"/>
              <w:right w:val="single" w:sz="4" w:space="0" w:color="auto"/>
            </w:tcBorders>
            <w:noWrap/>
            <w:vAlign w:val="bottom"/>
            <w:hideMark/>
          </w:tcPr>
          <w:p w14:paraId="32EA56B7"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Operating cash conversion</w:t>
            </w:r>
          </w:p>
        </w:tc>
        <w:tc>
          <w:tcPr>
            <w:tcW w:w="4580" w:type="dxa"/>
            <w:tcBorders>
              <w:top w:val="nil"/>
              <w:left w:val="nil"/>
              <w:bottom w:val="single" w:sz="4" w:space="0" w:color="auto"/>
              <w:right w:val="single" w:sz="4" w:space="0" w:color="auto"/>
            </w:tcBorders>
            <w:noWrap/>
            <w:vAlign w:val="bottom"/>
            <w:hideMark/>
          </w:tcPr>
          <w:p w14:paraId="630D6EF7"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xml:space="preserve">Operating </w:t>
            </w:r>
            <w:proofErr w:type="spellStart"/>
            <w:r w:rsidRPr="00BD71EE">
              <w:rPr>
                <w:rFonts w:ascii="Aptos Narrow" w:eastAsia="Times New Roman" w:hAnsi="Aptos Narrow" w:cs="Times New Roman"/>
                <w:color w:val="000000"/>
                <w:sz w:val="22"/>
                <w:lang w:eastAsia="en-GB"/>
              </w:rPr>
              <w:t>cashflow</w:t>
            </w:r>
            <w:proofErr w:type="spellEnd"/>
            <w:r w:rsidRPr="00BD71EE">
              <w:rPr>
                <w:rFonts w:ascii="Aptos Narrow" w:eastAsia="Times New Roman" w:hAnsi="Aptos Narrow" w:cs="Times New Roman"/>
                <w:color w:val="000000"/>
                <w:sz w:val="22"/>
                <w:lang w:eastAsia="en-GB"/>
              </w:rPr>
              <w:t>/Operating profit</w:t>
            </w:r>
          </w:p>
        </w:tc>
        <w:tc>
          <w:tcPr>
            <w:tcW w:w="1880" w:type="dxa"/>
            <w:tcBorders>
              <w:top w:val="nil"/>
              <w:left w:val="nil"/>
              <w:bottom w:val="single" w:sz="4" w:space="0" w:color="auto"/>
              <w:right w:val="single" w:sz="4" w:space="0" w:color="auto"/>
            </w:tcBorders>
            <w:noWrap/>
            <w:vAlign w:val="bottom"/>
            <w:hideMark/>
          </w:tcPr>
          <w:p w14:paraId="1566D452"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2.646</w:t>
            </w:r>
          </w:p>
        </w:tc>
        <w:tc>
          <w:tcPr>
            <w:tcW w:w="1120" w:type="dxa"/>
            <w:tcBorders>
              <w:top w:val="nil"/>
              <w:left w:val="nil"/>
              <w:bottom w:val="single" w:sz="4" w:space="0" w:color="auto"/>
              <w:right w:val="single" w:sz="4" w:space="0" w:color="auto"/>
            </w:tcBorders>
            <w:noWrap/>
            <w:vAlign w:val="bottom"/>
            <w:hideMark/>
          </w:tcPr>
          <w:p w14:paraId="24EC186B"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3.739</w:t>
            </w:r>
          </w:p>
        </w:tc>
        <w:tc>
          <w:tcPr>
            <w:tcW w:w="1120" w:type="dxa"/>
            <w:tcBorders>
              <w:top w:val="nil"/>
              <w:left w:val="nil"/>
              <w:bottom w:val="single" w:sz="4" w:space="0" w:color="auto"/>
              <w:right w:val="single" w:sz="4" w:space="0" w:color="auto"/>
            </w:tcBorders>
            <w:noWrap/>
            <w:vAlign w:val="bottom"/>
            <w:hideMark/>
          </w:tcPr>
          <w:p w14:paraId="1071976B"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5.781</w:t>
            </w:r>
          </w:p>
        </w:tc>
        <w:tc>
          <w:tcPr>
            <w:tcW w:w="1120" w:type="dxa"/>
            <w:tcBorders>
              <w:top w:val="nil"/>
              <w:left w:val="nil"/>
              <w:bottom w:val="single" w:sz="4" w:space="0" w:color="auto"/>
              <w:right w:val="single" w:sz="4" w:space="0" w:color="auto"/>
            </w:tcBorders>
            <w:noWrap/>
            <w:vAlign w:val="bottom"/>
            <w:hideMark/>
          </w:tcPr>
          <w:p w14:paraId="70CA8F7A"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7.307</w:t>
            </w:r>
          </w:p>
        </w:tc>
        <w:tc>
          <w:tcPr>
            <w:tcW w:w="1120" w:type="dxa"/>
            <w:tcBorders>
              <w:top w:val="nil"/>
              <w:left w:val="nil"/>
              <w:bottom w:val="single" w:sz="4" w:space="0" w:color="auto"/>
              <w:right w:val="single" w:sz="4" w:space="0" w:color="auto"/>
            </w:tcBorders>
            <w:noWrap/>
            <w:vAlign w:val="bottom"/>
            <w:hideMark/>
          </w:tcPr>
          <w:p w14:paraId="25EF3096"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15.587</w:t>
            </w:r>
          </w:p>
        </w:tc>
      </w:tr>
    </w:tbl>
    <w:p w14:paraId="1BC1C935" w14:textId="77777777" w:rsidR="00E17AD9" w:rsidRDefault="00E17AD9" w:rsidP="0098028B"/>
    <w:p w14:paraId="23F3928D" w14:textId="096B6B98" w:rsidR="00BD71EE" w:rsidRDefault="00BD71EE" w:rsidP="00846699">
      <w:pPr>
        <w:jc w:val="center"/>
      </w:pPr>
      <w:r>
        <w:rPr>
          <w:noProof/>
          <w:lang w:val="en-US"/>
          <w14:ligatures w14:val="standardContextual"/>
        </w:rPr>
        <w:lastRenderedPageBreak/>
        <w:drawing>
          <wp:inline distT="0" distB="0" distL="0" distR="0" wp14:anchorId="790B4A1B" wp14:editId="4126EE3C">
            <wp:extent cx="4540624" cy="2743200"/>
            <wp:effectExtent l="0" t="0" r="12700" b="0"/>
            <wp:docPr id="1922690932" name="Chart 1">
              <a:extLst xmlns:a="http://schemas.openxmlformats.org/drawingml/2006/main">
                <a:ext uri="{FF2B5EF4-FFF2-40B4-BE49-F238E27FC236}">
                  <a16:creationId xmlns:a16="http://schemas.microsoft.com/office/drawing/2014/main" id="{4377C68F-CB28-5CD4-31AA-CC43F7BA62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14:paraId="3B9A078D" w14:textId="679C8C26" w:rsidR="00BD71EE" w:rsidRDefault="00BD71EE" w:rsidP="00846699">
      <w:pPr>
        <w:jc w:val="center"/>
      </w:pPr>
      <w:r>
        <w:rPr>
          <w:noProof/>
          <w:lang w:val="en-US"/>
          <w14:ligatures w14:val="standardContextual"/>
        </w:rPr>
        <w:drawing>
          <wp:inline distT="0" distB="0" distL="0" distR="0" wp14:anchorId="7BB98E3A" wp14:editId="18925403">
            <wp:extent cx="4540624" cy="2743200"/>
            <wp:effectExtent l="0" t="0" r="12700" b="0"/>
            <wp:docPr id="1749940245" name="Chart 1">
              <a:extLst xmlns:a="http://schemas.openxmlformats.org/drawingml/2006/main">
                <a:ext uri="{FF2B5EF4-FFF2-40B4-BE49-F238E27FC236}">
                  <a16:creationId xmlns:a16="http://schemas.microsoft.com/office/drawing/2014/main" id="{F6ACC506-E7C2-4190-8862-0540E3DDD8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p>
    <w:p w14:paraId="0842EE01" w14:textId="5B41924C" w:rsidR="00BD71EE" w:rsidRDefault="00BD71EE" w:rsidP="00846699">
      <w:pPr>
        <w:jc w:val="center"/>
      </w:pPr>
      <w:r>
        <w:rPr>
          <w:noProof/>
          <w:lang w:val="en-US"/>
          <w14:ligatures w14:val="standardContextual"/>
        </w:rPr>
        <w:lastRenderedPageBreak/>
        <w:drawing>
          <wp:inline distT="0" distB="0" distL="0" distR="0" wp14:anchorId="7D965349" wp14:editId="0B060405">
            <wp:extent cx="4567517" cy="2743200"/>
            <wp:effectExtent l="0" t="0" r="5080" b="0"/>
            <wp:docPr id="1767029964" name="Chart 1">
              <a:extLst xmlns:a="http://schemas.openxmlformats.org/drawingml/2006/main">
                <a:ext uri="{FF2B5EF4-FFF2-40B4-BE49-F238E27FC236}">
                  <a16:creationId xmlns:a16="http://schemas.microsoft.com/office/drawing/2014/main" id="{8408A596-DEB4-4C36-9D56-17766E27DC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14:paraId="5BD4DCC7" w14:textId="40F926B0" w:rsidR="00BD71EE" w:rsidRDefault="00BD71EE" w:rsidP="00846699">
      <w:pPr>
        <w:jc w:val="center"/>
      </w:pPr>
      <w:r>
        <w:rPr>
          <w:noProof/>
          <w:lang w:val="en-US"/>
          <w14:ligatures w14:val="standardContextual"/>
        </w:rPr>
        <w:drawing>
          <wp:inline distT="0" distB="0" distL="0" distR="0" wp14:anchorId="314DFB31" wp14:editId="17AA44B2">
            <wp:extent cx="4572000" cy="2743200"/>
            <wp:effectExtent l="0" t="0" r="0" b="0"/>
            <wp:docPr id="352310745" name="Chart 1">
              <a:extLst xmlns:a="http://schemas.openxmlformats.org/drawingml/2006/main">
                <a:ext uri="{FF2B5EF4-FFF2-40B4-BE49-F238E27FC236}">
                  <a16:creationId xmlns:a16="http://schemas.microsoft.com/office/drawing/2014/main" id="{FB651DD6-9AE3-4147-8A75-6B4ED754E2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p>
    <w:p w14:paraId="0DFDB975" w14:textId="454A0D78" w:rsidR="00BD71EE" w:rsidRDefault="00BD71EE" w:rsidP="00846699">
      <w:pPr>
        <w:jc w:val="center"/>
      </w:pPr>
      <w:r>
        <w:rPr>
          <w:noProof/>
          <w:lang w:val="en-US"/>
          <w14:ligatures w14:val="standardContextual"/>
        </w:rPr>
        <w:lastRenderedPageBreak/>
        <w:drawing>
          <wp:inline distT="0" distB="0" distL="0" distR="0" wp14:anchorId="44F39CAB" wp14:editId="50CE316C">
            <wp:extent cx="4572000" cy="2743200"/>
            <wp:effectExtent l="0" t="0" r="0" b="0"/>
            <wp:docPr id="620176424" name="Chart 1">
              <a:extLst xmlns:a="http://schemas.openxmlformats.org/drawingml/2006/main">
                <a:ext uri="{FF2B5EF4-FFF2-40B4-BE49-F238E27FC236}">
                  <a16:creationId xmlns:a16="http://schemas.microsoft.com/office/drawing/2014/main" id="{06099395-6CFC-49A2-8653-F981D5D63F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14:paraId="3047B974" w14:textId="47F7776A" w:rsidR="00BD71EE" w:rsidRDefault="00BD71EE" w:rsidP="00846699">
      <w:pPr>
        <w:jc w:val="center"/>
      </w:pPr>
      <w:r>
        <w:rPr>
          <w:noProof/>
          <w:lang w:val="en-US"/>
          <w14:ligatures w14:val="standardContextual"/>
        </w:rPr>
        <w:drawing>
          <wp:inline distT="0" distB="0" distL="0" distR="0" wp14:anchorId="7BACFD1D" wp14:editId="3677390C">
            <wp:extent cx="4567517" cy="2743200"/>
            <wp:effectExtent l="0" t="0" r="5080" b="0"/>
            <wp:docPr id="889766855" name="Chart 1">
              <a:extLst xmlns:a="http://schemas.openxmlformats.org/drawingml/2006/main">
                <a:ext uri="{FF2B5EF4-FFF2-40B4-BE49-F238E27FC236}">
                  <a16:creationId xmlns:a16="http://schemas.microsoft.com/office/drawing/2014/main" id="{51FAC249-184C-4794-B825-198F2BD87F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tbl>
      <w:tblPr>
        <w:tblW w:w="7280" w:type="dxa"/>
        <w:jc w:val="center"/>
        <w:tblLook w:val="04A0" w:firstRow="1" w:lastRow="0" w:firstColumn="1" w:lastColumn="0" w:noHBand="0" w:noVBand="1"/>
      </w:tblPr>
      <w:tblGrid>
        <w:gridCol w:w="2480"/>
        <w:gridCol w:w="1012"/>
        <w:gridCol w:w="1012"/>
        <w:gridCol w:w="1012"/>
        <w:gridCol w:w="1012"/>
        <w:gridCol w:w="1012"/>
      </w:tblGrid>
      <w:tr w:rsidR="00BD71EE" w:rsidRPr="00BD71EE" w14:paraId="0D70AB87" w14:textId="77777777" w:rsidTr="00846699">
        <w:trPr>
          <w:trHeight w:val="300"/>
          <w:jc w:val="center"/>
        </w:trPr>
        <w:tc>
          <w:tcPr>
            <w:tcW w:w="2480" w:type="dxa"/>
            <w:tcBorders>
              <w:top w:val="single" w:sz="4" w:space="0" w:color="auto"/>
              <w:left w:val="single" w:sz="4" w:space="0" w:color="auto"/>
              <w:bottom w:val="single" w:sz="4" w:space="0" w:color="auto"/>
              <w:right w:val="single" w:sz="4" w:space="0" w:color="auto"/>
            </w:tcBorders>
            <w:shd w:val="clear" w:color="000000" w:fill="83CCEB"/>
            <w:noWrap/>
            <w:vAlign w:val="bottom"/>
            <w:hideMark/>
          </w:tcPr>
          <w:p w14:paraId="70D49106" w14:textId="77777777" w:rsidR="00BD71EE" w:rsidRPr="00BD71EE" w:rsidRDefault="00BD71EE" w:rsidP="00BD71E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lastRenderedPageBreak/>
              <w:t>CCC components</w:t>
            </w:r>
          </w:p>
        </w:tc>
        <w:tc>
          <w:tcPr>
            <w:tcW w:w="960" w:type="dxa"/>
            <w:tcBorders>
              <w:top w:val="single" w:sz="4" w:space="0" w:color="auto"/>
              <w:left w:val="nil"/>
              <w:bottom w:val="single" w:sz="4" w:space="0" w:color="auto"/>
              <w:right w:val="single" w:sz="4" w:space="0" w:color="auto"/>
            </w:tcBorders>
            <w:shd w:val="clear" w:color="000000" w:fill="83CCEB"/>
            <w:noWrap/>
            <w:vAlign w:val="bottom"/>
            <w:hideMark/>
          </w:tcPr>
          <w:p w14:paraId="25CC756A"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2025</w:t>
            </w:r>
          </w:p>
        </w:tc>
        <w:tc>
          <w:tcPr>
            <w:tcW w:w="960" w:type="dxa"/>
            <w:tcBorders>
              <w:top w:val="single" w:sz="4" w:space="0" w:color="auto"/>
              <w:left w:val="nil"/>
              <w:bottom w:val="single" w:sz="4" w:space="0" w:color="auto"/>
              <w:right w:val="single" w:sz="4" w:space="0" w:color="auto"/>
            </w:tcBorders>
            <w:shd w:val="clear" w:color="000000" w:fill="83CCEB"/>
            <w:noWrap/>
            <w:vAlign w:val="bottom"/>
            <w:hideMark/>
          </w:tcPr>
          <w:p w14:paraId="2FC11C14"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2024</w:t>
            </w:r>
          </w:p>
        </w:tc>
        <w:tc>
          <w:tcPr>
            <w:tcW w:w="960" w:type="dxa"/>
            <w:tcBorders>
              <w:top w:val="single" w:sz="4" w:space="0" w:color="auto"/>
              <w:left w:val="nil"/>
              <w:bottom w:val="single" w:sz="4" w:space="0" w:color="auto"/>
              <w:right w:val="single" w:sz="4" w:space="0" w:color="auto"/>
            </w:tcBorders>
            <w:shd w:val="clear" w:color="000000" w:fill="83CCEB"/>
            <w:noWrap/>
            <w:vAlign w:val="bottom"/>
            <w:hideMark/>
          </w:tcPr>
          <w:p w14:paraId="1E5F0A6D"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2023</w:t>
            </w:r>
          </w:p>
        </w:tc>
        <w:tc>
          <w:tcPr>
            <w:tcW w:w="960" w:type="dxa"/>
            <w:tcBorders>
              <w:top w:val="single" w:sz="4" w:space="0" w:color="auto"/>
              <w:left w:val="nil"/>
              <w:bottom w:val="single" w:sz="4" w:space="0" w:color="auto"/>
              <w:right w:val="single" w:sz="4" w:space="0" w:color="auto"/>
            </w:tcBorders>
            <w:shd w:val="clear" w:color="000000" w:fill="83CCEB"/>
            <w:noWrap/>
            <w:vAlign w:val="bottom"/>
            <w:hideMark/>
          </w:tcPr>
          <w:p w14:paraId="3F1FC54C"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2022</w:t>
            </w:r>
          </w:p>
        </w:tc>
        <w:tc>
          <w:tcPr>
            <w:tcW w:w="960" w:type="dxa"/>
            <w:tcBorders>
              <w:top w:val="single" w:sz="4" w:space="0" w:color="auto"/>
              <w:left w:val="nil"/>
              <w:bottom w:val="single" w:sz="4" w:space="0" w:color="auto"/>
              <w:right w:val="single" w:sz="4" w:space="0" w:color="auto"/>
            </w:tcBorders>
            <w:shd w:val="clear" w:color="000000" w:fill="83CCEB"/>
            <w:noWrap/>
            <w:vAlign w:val="bottom"/>
            <w:hideMark/>
          </w:tcPr>
          <w:p w14:paraId="40E0DC4F"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2021</w:t>
            </w:r>
          </w:p>
        </w:tc>
      </w:tr>
      <w:tr w:rsidR="00BD71EE" w:rsidRPr="00BD71EE" w14:paraId="37BAB359" w14:textId="77777777" w:rsidTr="00846699">
        <w:trPr>
          <w:trHeight w:val="300"/>
          <w:jc w:val="center"/>
        </w:trPr>
        <w:tc>
          <w:tcPr>
            <w:tcW w:w="2480" w:type="dxa"/>
            <w:tcBorders>
              <w:top w:val="nil"/>
              <w:left w:val="single" w:sz="4" w:space="0" w:color="auto"/>
              <w:bottom w:val="single" w:sz="4" w:space="0" w:color="auto"/>
              <w:right w:val="single" w:sz="4" w:space="0" w:color="auto"/>
            </w:tcBorders>
            <w:noWrap/>
            <w:vAlign w:val="bottom"/>
            <w:hideMark/>
          </w:tcPr>
          <w:p w14:paraId="367111F1"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Accounts receivable days</w:t>
            </w:r>
          </w:p>
        </w:tc>
        <w:tc>
          <w:tcPr>
            <w:tcW w:w="960" w:type="dxa"/>
            <w:tcBorders>
              <w:top w:val="nil"/>
              <w:left w:val="nil"/>
              <w:bottom w:val="single" w:sz="4" w:space="0" w:color="auto"/>
              <w:right w:val="single" w:sz="4" w:space="0" w:color="auto"/>
            </w:tcBorders>
            <w:noWrap/>
            <w:vAlign w:val="bottom"/>
            <w:hideMark/>
          </w:tcPr>
          <w:p w14:paraId="2ACA115C"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39.881</w:t>
            </w:r>
          </w:p>
        </w:tc>
        <w:tc>
          <w:tcPr>
            <w:tcW w:w="960" w:type="dxa"/>
            <w:tcBorders>
              <w:top w:val="nil"/>
              <w:left w:val="nil"/>
              <w:bottom w:val="single" w:sz="4" w:space="0" w:color="auto"/>
              <w:right w:val="single" w:sz="4" w:space="0" w:color="auto"/>
            </w:tcBorders>
            <w:noWrap/>
            <w:vAlign w:val="bottom"/>
            <w:hideMark/>
          </w:tcPr>
          <w:p w14:paraId="2508C2DA"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49.386</w:t>
            </w:r>
          </w:p>
        </w:tc>
        <w:tc>
          <w:tcPr>
            <w:tcW w:w="960" w:type="dxa"/>
            <w:tcBorders>
              <w:top w:val="nil"/>
              <w:left w:val="nil"/>
              <w:bottom w:val="single" w:sz="4" w:space="0" w:color="auto"/>
              <w:right w:val="single" w:sz="4" w:space="0" w:color="auto"/>
            </w:tcBorders>
            <w:noWrap/>
            <w:vAlign w:val="bottom"/>
            <w:hideMark/>
          </w:tcPr>
          <w:p w14:paraId="5C27E329"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56.533</w:t>
            </w:r>
          </w:p>
        </w:tc>
        <w:tc>
          <w:tcPr>
            <w:tcW w:w="960" w:type="dxa"/>
            <w:tcBorders>
              <w:top w:val="nil"/>
              <w:left w:val="nil"/>
              <w:bottom w:val="single" w:sz="4" w:space="0" w:color="auto"/>
              <w:right w:val="single" w:sz="4" w:space="0" w:color="auto"/>
            </w:tcBorders>
            <w:noWrap/>
            <w:vAlign w:val="bottom"/>
            <w:hideMark/>
          </w:tcPr>
          <w:p w14:paraId="01427E0E"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66.982</w:t>
            </w:r>
          </w:p>
        </w:tc>
        <w:tc>
          <w:tcPr>
            <w:tcW w:w="960" w:type="dxa"/>
            <w:tcBorders>
              <w:top w:val="nil"/>
              <w:left w:val="nil"/>
              <w:bottom w:val="single" w:sz="4" w:space="0" w:color="auto"/>
              <w:right w:val="single" w:sz="4" w:space="0" w:color="auto"/>
            </w:tcBorders>
            <w:noWrap/>
            <w:vAlign w:val="bottom"/>
            <w:hideMark/>
          </w:tcPr>
          <w:p w14:paraId="6EEA909C"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105.314</w:t>
            </w:r>
          </w:p>
        </w:tc>
      </w:tr>
      <w:tr w:rsidR="00BD71EE" w:rsidRPr="00BD71EE" w14:paraId="13A3024F" w14:textId="77777777" w:rsidTr="00846699">
        <w:trPr>
          <w:trHeight w:val="300"/>
          <w:jc w:val="center"/>
        </w:trPr>
        <w:tc>
          <w:tcPr>
            <w:tcW w:w="2480" w:type="dxa"/>
            <w:tcBorders>
              <w:top w:val="nil"/>
              <w:left w:val="single" w:sz="4" w:space="0" w:color="auto"/>
              <w:bottom w:val="single" w:sz="4" w:space="0" w:color="auto"/>
              <w:right w:val="single" w:sz="4" w:space="0" w:color="auto"/>
            </w:tcBorders>
            <w:noWrap/>
            <w:vAlign w:val="bottom"/>
            <w:hideMark/>
          </w:tcPr>
          <w:p w14:paraId="107F3A52"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Accounts payable days</w:t>
            </w:r>
          </w:p>
        </w:tc>
        <w:tc>
          <w:tcPr>
            <w:tcW w:w="960" w:type="dxa"/>
            <w:tcBorders>
              <w:top w:val="nil"/>
              <w:left w:val="nil"/>
              <w:bottom w:val="single" w:sz="4" w:space="0" w:color="auto"/>
              <w:right w:val="single" w:sz="4" w:space="0" w:color="auto"/>
            </w:tcBorders>
            <w:noWrap/>
            <w:vAlign w:val="bottom"/>
            <w:hideMark/>
          </w:tcPr>
          <w:p w14:paraId="7BED1F39"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103.772</w:t>
            </w:r>
          </w:p>
        </w:tc>
        <w:tc>
          <w:tcPr>
            <w:tcW w:w="960" w:type="dxa"/>
            <w:tcBorders>
              <w:top w:val="nil"/>
              <w:left w:val="nil"/>
              <w:bottom w:val="single" w:sz="4" w:space="0" w:color="auto"/>
              <w:right w:val="single" w:sz="4" w:space="0" w:color="auto"/>
            </w:tcBorders>
            <w:noWrap/>
            <w:vAlign w:val="bottom"/>
            <w:hideMark/>
          </w:tcPr>
          <w:p w14:paraId="52D3B9D4"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136.047</w:t>
            </w:r>
          </w:p>
        </w:tc>
        <w:tc>
          <w:tcPr>
            <w:tcW w:w="960" w:type="dxa"/>
            <w:tcBorders>
              <w:top w:val="nil"/>
              <w:left w:val="nil"/>
              <w:bottom w:val="single" w:sz="4" w:space="0" w:color="auto"/>
              <w:right w:val="single" w:sz="4" w:space="0" w:color="auto"/>
            </w:tcBorders>
            <w:noWrap/>
            <w:vAlign w:val="bottom"/>
            <w:hideMark/>
          </w:tcPr>
          <w:p w14:paraId="1F8CD80E"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145.339</w:t>
            </w:r>
          </w:p>
        </w:tc>
        <w:tc>
          <w:tcPr>
            <w:tcW w:w="960" w:type="dxa"/>
            <w:tcBorders>
              <w:top w:val="nil"/>
              <w:left w:val="nil"/>
              <w:bottom w:val="single" w:sz="4" w:space="0" w:color="auto"/>
              <w:right w:val="single" w:sz="4" w:space="0" w:color="auto"/>
            </w:tcBorders>
            <w:noWrap/>
            <w:vAlign w:val="bottom"/>
            <w:hideMark/>
          </w:tcPr>
          <w:p w14:paraId="794942FC"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139.352</w:t>
            </w:r>
          </w:p>
        </w:tc>
        <w:tc>
          <w:tcPr>
            <w:tcW w:w="960" w:type="dxa"/>
            <w:tcBorders>
              <w:top w:val="nil"/>
              <w:left w:val="nil"/>
              <w:bottom w:val="single" w:sz="4" w:space="0" w:color="auto"/>
              <w:right w:val="single" w:sz="4" w:space="0" w:color="auto"/>
            </w:tcBorders>
            <w:noWrap/>
            <w:vAlign w:val="bottom"/>
            <w:hideMark/>
          </w:tcPr>
          <w:p w14:paraId="0A9BBCB4"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142.397</w:t>
            </w:r>
          </w:p>
        </w:tc>
      </w:tr>
      <w:tr w:rsidR="00BD71EE" w:rsidRPr="00BD71EE" w14:paraId="36730D4C" w14:textId="77777777" w:rsidTr="00846699">
        <w:trPr>
          <w:trHeight w:val="300"/>
          <w:jc w:val="center"/>
        </w:trPr>
        <w:tc>
          <w:tcPr>
            <w:tcW w:w="2480" w:type="dxa"/>
            <w:tcBorders>
              <w:top w:val="nil"/>
              <w:left w:val="single" w:sz="4" w:space="0" w:color="auto"/>
              <w:bottom w:val="single" w:sz="4" w:space="0" w:color="auto"/>
              <w:right w:val="single" w:sz="4" w:space="0" w:color="auto"/>
            </w:tcBorders>
            <w:noWrap/>
            <w:vAlign w:val="bottom"/>
            <w:hideMark/>
          </w:tcPr>
          <w:p w14:paraId="6F9C5E06" w14:textId="77777777" w:rsidR="00BD71EE" w:rsidRPr="00BD71EE" w:rsidRDefault="00BD71EE" w:rsidP="00BD71E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Inventory days</w:t>
            </w:r>
          </w:p>
        </w:tc>
        <w:tc>
          <w:tcPr>
            <w:tcW w:w="960" w:type="dxa"/>
            <w:tcBorders>
              <w:top w:val="nil"/>
              <w:left w:val="nil"/>
              <w:bottom w:val="single" w:sz="4" w:space="0" w:color="auto"/>
              <w:right w:val="single" w:sz="4" w:space="0" w:color="auto"/>
            </w:tcBorders>
            <w:noWrap/>
            <w:vAlign w:val="bottom"/>
            <w:hideMark/>
          </w:tcPr>
          <w:p w14:paraId="5CCFF767"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76.920</w:t>
            </w:r>
          </w:p>
        </w:tc>
        <w:tc>
          <w:tcPr>
            <w:tcW w:w="960" w:type="dxa"/>
            <w:tcBorders>
              <w:top w:val="nil"/>
              <w:left w:val="nil"/>
              <w:bottom w:val="single" w:sz="4" w:space="0" w:color="auto"/>
              <w:right w:val="single" w:sz="4" w:space="0" w:color="auto"/>
            </w:tcBorders>
            <w:noWrap/>
            <w:vAlign w:val="bottom"/>
            <w:hideMark/>
          </w:tcPr>
          <w:p w14:paraId="31530190"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65.329</w:t>
            </w:r>
          </w:p>
        </w:tc>
        <w:tc>
          <w:tcPr>
            <w:tcW w:w="960" w:type="dxa"/>
            <w:tcBorders>
              <w:top w:val="nil"/>
              <w:left w:val="nil"/>
              <w:bottom w:val="single" w:sz="4" w:space="0" w:color="auto"/>
              <w:right w:val="single" w:sz="4" w:space="0" w:color="auto"/>
            </w:tcBorders>
            <w:noWrap/>
            <w:vAlign w:val="bottom"/>
            <w:hideMark/>
          </w:tcPr>
          <w:p w14:paraId="586FAE4E"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65.540</w:t>
            </w:r>
          </w:p>
        </w:tc>
        <w:tc>
          <w:tcPr>
            <w:tcW w:w="960" w:type="dxa"/>
            <w:tcBorders>
              <w:top w:val="nil"/>
              <w:left w:val="nil"/>
              <w:bottom w:val="single" w:sz="4" w:space="0" w:color="auto"/>
              <w:right w:val="single" w:sz="4" w:space="0" w:color="auto"/>
            </w:tcBorders>
            <w:noWrap/>
            <w:vAlign w:val="bottom"/>
            <w:hideMark/>
          </w:tcPr>
          <w:p w14:paraId="4F7EBAA1"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78.496</w:t>
            </w:r>
          </w:p>
        </w:tc>
        <w:tc>
          <w:tcPr>
            <w:tcW w:w="960" w:type="dxa"/>
            <w:tcBorders>
              <w:top w:val="nil"/>
              <w:left w:val="nil"/>
              <w:bottom w:val="single" w:sz="4" w:space="0" w:color="auto"/>
              <w:right w:val="single" w:sz="4" w:space="0" w:color="auto"/>
            </w:tcBorders>
            <w:noWrap/>
            <w:vAlign w:val="bottom"/>
            <w:hideMark/>
          </w:tcPr>
          <w:p w14:paraId="4BCA9997" w14:textId="77777777" w:rsidR="00BD71EE" w:rsidRPr="00BD71EE" w:rsidRDefault="00BD71EE" w:rsidP="00BD71E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84.384</w:t>
            </w:r>
          </w:p>
        </w:tc>
      </w:tr>
      <w:tr w:rsidR="00BD71EE" w:rsidRPr="00BD71EE" w14:paraId="562FEF0A" w14:textId="77777777" w:rsidTr="00846699">
        <w:trPr>
          <w:trHeight w:val="300"/>
          <w:jc w:val="center"/>
        </w:trPr>
        <w:tc>
          <w:tcPr>
            <w:tcW w:w="2480" w:type="dxa"/>
            <w:tcBorders>
              <w:top w:val="nil"/>
              <w:left w:val="single" w:sz="4" w:space="0" w:color="auto"/>
              <w:bottom w:val="single" w:sz="4" w:space="0" w:color="auto"/>
              <w:right w:val="single" w:sz="4" w:space="0" w:color="auto"/>
            </w:tcBorders>
            <w:noWrap/>
            <w:vAlign w:val="bottom"/>
            <w:hideMark/>
          </w:tcPr>
          <w:p w14:paraId="76D1F579" w14:textId="77777777" w:rsidR="00BD71EE" w:rsidRPr="00BD71EE" w:rsidRDefault="00BD71EE" w:rsidP="00BD71E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Cash Conversion Cycle</w:t>
            </w:r>
          </w:p>
        </w:tc>
        <w:tc>
          <w:tcPr>
            <w:tcW w:w="960" w:type="dxa"/>
            <w:tcBorders>
              <w:top w:val="nil"/>
              <w:left w:val="nil"/>
              <w:bottom w:val="single" w:sz="4" w:space="0" w:color="auto"/>
              <w:right w:val="single" w:sz="4" w:space="0" w:color="auto"/>
            </w:tcBorders>
            <w:noWrap/>
            <w:vAlign w:val="bottom"/>
            <w:hideMark/>
          </w:tcPr>
          <w:p w14:paraId="6FC30D21"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13.029</w:t>
            </w:r>
          </w:p>
        </w:tc>
        <w:tc>
          <w:tcPr>
            <w:tcW w:w="960" w:type="dxa"/>
            <w:tcBorders>
              <w:top w:val="nil"/>
              <w:left w:val="nil"/>
              <w:bottom w:val="single" w:sz="4" w:space="0" w:color="auto"/>
              <w:right w:val="single" w:sz="4" w:space="0" w:color="auto"/>
            </w:tcBorders>
            <w:noWrap/>
            <w:vAlign w:val="bottom"/>
            <w:hideMark/>
          </w:tcPr>
          <w:p w14:paraId="28DB93AA"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-21.332</w:t>
            </w:r>
          </w:p>
        </w:tc>
        <w:tc>
          <w:tcPr>
            <w:tcW w:w="960" w:type="dxa"/>
            <w:tcBorders>
              <w:top w:val="nil"/>
              <w:left w:val="nil"/>
              <w:bottom w:val="single" w:sz="4" w:space="0" w:color="auto"/>
              <w:right w:val="single" w:sz="4" w:space="0" w:color="auto"/>
            </w:tcBorders>
            <w:noWrap/>
            <w:vAlign w:val="bottom"/>
            <w:hideMark/>
          </w:tcPr>
          <w:p w14:paraId="0ABCB129"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-23.266</w:t>
            </w:r>
          </w:p>
        </w:tc>
        <w:tc>
          <w:tcPr>
            <w:tcW w:w="960" w:type="dxa"/>
            <w:tcBorders>
              <w:top w:val="nil"/>
              <w:left w:val="nil"/>
              <w:bottom w:val="single" w:sz="4" w:space="0" w:color="auto"/>
              <w:right w:val="single" w:sz="4" w:space="0" w:color="auto"/>
            </w:tcBorders>
            <w:noWrap/>
            <w:vAlign w:val="bottom"/>
            <w:hideMark/>
          </w:tcPr>
          <w:p w14:paraId="03E5218E"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6.126</w:t>
            </w:r>
          </w:p>
        </w:tc>
        <w:tc>
          <w:tcPr>
            <w:tcW w:w="960" w:type="dxa"/>
            <w:tcBorders>
              <w:top w:val="nil"/>
              <w:left w:val="nil"/>
              <w:bottom w:val="single" w:sz="4" w:space="0" w:color="auto"/>
              <w:right w:val="single" w:sz="4" w:space="0" w:color="auto"/>
            </w:tcBorders>
            <w:noWrap/>
            <w:vAlign w:val="bottom"/>
            <w:hideMark/>
          </w:tcPr>
          <w:p w14:paraId="0844E5C8" w14:textId="77777777" w:rsidR="00BD71EE" w:rsidRPr="00BD71EE" w:rsidRDefault="00BD71EE" w:rsidP="00BD71E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47.301</w:t>
            </w:r>
          </w:p>
        </w:tc>
      </w:tr>
    </w:tbl>
    <w:p w14:paraId="7450C826" w14:textId="77777777" w:rsidR="00E17AD9" w:rsidRDefault="00BB0E4D">
      <w:pPr>
        <w:spacing w:line="259" w:lineRule="auto"/>
        <w:jc w:val="left"/>
      </w:pPr>
      <w:r>
        <w:br w:type="page"/>
      </w:r>
    </w:p>
    <w:p w14:paraId="5A1B4819" w14:textId="77777777" w:rsidR="00E17AD9" w:rsidRDefault="00BB0E4D" w:rsidP="00E17AD9">
      <w:pPr>
        <w:pStyle w:val="Heading2"/>
      </w:pPr>
      <w:bookmarkStart w:id="51" w:name="_Toc227090086"/>
      <w:r>
        <w:rPr>
          <w:lang w:val="en-US"/>
        </w:rPr>
        <w:lastRenderedPageBreak/>
        <w:t xml:space="preserve">Appendix 2 - </w:t>
      </w:r>
      <w:r w:rsidRPr="00E17AD9">
        <w:t>Investment appraisal calculations (Excel outputs encouraged)</w:t>
      </w:r>
      <w:bookmarkEnd w:id="51"/>
    </w:p>
    <w:tbl>
      <w:tblPr>
        <w:tblW w:w="10520" w:type="dxa"/>
        <w:jc w:val="center"/>
        <w:tblLook w:val="04A0" w:firstRow="1" w:lastRow="0" w:firstColumn="1" w:lastColumn="0" w:noHBand="0" w:noVBand="1"/>
      </w:tblPr>
      <w:tblGrid>
        <w:gridCol w:w="3760"/>
        <w:gridCol w:w="960"/>
        <w:gridCol w:w="1160"/>
        <w:gridCol w:w="1160"/>
        <w:gridCol w:w="1160"/>
        <w:gridCol w:w="1160"/>
        <w:gridCol w:w="1160"/>
      </w:tblGrid>
      <w:tr w:rsidR="00BD71EE" w:rsidRPr="00BD71EE" w14:paraId="47FFDC10" w14:textId="77777777" w:rsidTr="00846699">
        <w:trPr>
          <w:trHeight w:val="300"/>
          <w:jc w:val="center"/>
        </w:trPr>
        <w:tc>
          <w:tcPr>
            <w:tcW w:w="3760" w:type="dxa"/>
            <w:tcBorders>
              <w:top w:val="single" w:sz="4" w:space="0" w:color="auto"/>
              <w:left w:val="single" w:sz="4" w:space="0" w:color="auto"/>
              <w:bottom w:val="single" w:sz="4" w:space="0" w:color="auto"/>
              <w:right w:val="single" w:sz="4" w:space="0" w:color="auto"/>
            </w:tcBorders>
            <w:noWrap/>
            <w:vAlign w:val="bottom"/>
            <w:hideMark/>
          </w:tcPr>
          <w:p w14:paraId="586C9F74"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w:t>
            </w:r>
          </w:p>
        </w:tc>
        <w:tc>
          <w:tcPr>
            <w:tcW w:w="960" w:type="dxa"/>
            <w:tcBorders>
              <w:top w:val="single" w:sz="4" w:space="0" w:color="auto"/>
              <w:left w:val="nil"/>
              <w:bottom w:val="single" w:sz="4" w:space="0" w:color="auto"/>
              <w:right w:val="single" w:sz="4" w:space="0" w:color="auto"/>
            </w:tcBorders>
            <w:noWrap/>
            <w:vAlign w:val="bottom"/>
            <w:hideMark/>
          </w:tcPr>
          <w:p w14:paraId="5A2E1C03"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 </w:t>
            </w:r>
          </w:p>
        </w:tc>
        <w:tc>
          <w:tcPr>
            <w:tcW w:w="1160" w:type="dxa"/>
            <w:tcBorders>
              <w:top w:val="single" w:sz="4" w:space="0" w:color="auto"/>
              <w:left w:val="nil"/>
              <w:bottom w:val="single" w:sz="4" w:space="0" w:color="auto"/>
              <w:right w:val="single" w:sz="4" w:space="0" w:color="auto"/>
            </w:tcBorders>
            <w:noWrap/>
            <w:vAlign w:val="bottom"/>
            <w:hideMark/>
          </w:tcPr>
          <w:p w14:paraId="35F592C8"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1</w:t>
            </w:r>
          </w:p>
        </w:tc>
        <w:tc>
          <w:tcPr>
            <w:tcW w:w="1160" w:type="dxa"/>
            <w:tcBorders>
              <w:top w:val="single" w:sz="4" w:space="0" w:color="auto"/>
              <w:left w:val="nil"/>
              <w:bottom w:val="single" w:sz="4" w:space="0" w:color="auto"/>
              <w:right w:val="single" w:sz="4" w:space="0" w:color="auto"/>
            </w:tcBorders>
            <w:noWrap/>
            <w:vAlign w:val="bottom"/>
            <w:hideMark/>
          </w:tcPr>
          <w:p w14:paraId="290CC784"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2</w:t>
            </w:r>
          </w:p>
        </w:tc>
        <w:tc>
          <w:tcPr>
            <w:tcW w:w="1160" w:type="dxa"/>
            <w:tcBorders>
              <w:top w:val="single" w:sz="4" w:space="0" w:color="auto"/>
              <w:left w:val="nil"/>
              <w:bottom w:val="single" w:sz="4" w:space="0" w:color="auto"/>
              <w:right w:val="single" w:sz="4" w:space="0" w:color="auto"/>
            </w:tcBorders>
            <w:noWrap/>
            <w:vAlign w:val="bottom"/>
            <w:hideMark/>
          </w:tcPr>
          <w:p w14:paraId="6A4EEA04"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3</w:t>
            </w:r>
          </w:p>
        </w:tc>
        <w:tc>
          <w:tcPr>
            <w:tcW w:w="1160" w:type="dxa"/>
            <w:tcBorders>
              <w:top w:val="single" w:sz="4" w:space="0" w:color="auto"/>
              <w:left w:val="nil"/>
              <w:bottom w:val="single" w:sz="4" w:space="0" w:color="auto"/>
              <w:right w:val="single" w:sz="4" w:space="0" w:color="auto"/>
            </w:tcBorders>
            <w:noWrap/>
            <w:vAlign w:val="bottom"/>
            <w:hideMark/>
          </w:tcPr>
          <w:p w14:paraId="70749E33"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4</w:t>
            </w:r>
          </w:p>
        </w:tc>
        <w:tc>
          <w:tcPr>
            <w:tcW w:w="1160" w:type="dxa"/>
            <w:tcBorders>
              <w:top w:val="single" w:sz="4" w:space="0" w:color="auto"/>
              <w:left w:val="nil"/>
              <w:bottom w:val="single" w:sz="4" w:space="0" w:color="auto"/>
              <w:right w:val="single" w:sz="4" w:space="0" w:color="auto"/>
            </w:tcBorders>
            <w:noWrap/>
            <w:vAlign w:val="bottom"/>
            <w:hideMark/>
          </w:tcPr>
          <w:p w14:paraId="44E6094E"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5</w:t>
            </w:r>
          </w:p>
        </w:tc>
      </w:tr>
      <w:tr w:rsidR="00BD71EE" w:rsidRPr="00BD71EE" w14:paraId="415640BC"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3DAA2CC7"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proofErr w:type="spellStart"/>
            <w:r w:rsidRPr="00BD71EE">
              <w:rPr>
                <w:rFonts w:ascii="Aptos Narrow" w:eastAsia="Times New Roman" w:hAnsi="Aptos Narrow" w:cs="Times New Roman"/>
                <w:color w:val="000000"/>
                <w:sz w:val="22"/>
                <w:lang w:eastAsia="en-GB"/>
              </w:rPr>
              <w:t>Discoun</w:t>
            </w:r>
            <w:proofErr w:type="spellEnd"/>
            <w:r w:rsidRPr="00BD71EE">
              <w:rPr>
                <w:rFonts w:ascii="Aptos Narrow" w:eastAsia="Times New Roman" w:hAnsi="Aptos Narrow" w:cs="Times New Roman"/>
                <w:color w:val="000000"/>
                <w:sz w:val="22"/>
                <w:lang w:eastAsia="en-GB"/>
              </w:rPr>
              <w:t xml:space="preserve"> rate</w:t>
            </w:r>
          </w:p>
        </w:tc>
        <w:tc>
          <w:tcPr>
            <w:tcW w:w="960" w:type="dxa"/>
            <w:tcBorders>
              <w:top w:val="nil"/>
              <w:left w:val="nil"/>
              <w:bottom w:val="single" w:sz="4" w:space="0" w:color="auto"/>
              <w:right w:val="single" w:sz="4" w:space="0" w:color="auto"/>
            </w:tcBorders>
            <w:noWrap/>
            <w:vAlign w:val="bottom"/>
            <w:hideMark/>
          </w:tcPr>
          <w:p w14:paraId="44849566"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w:t>
            </w:r>
          </w:p>
        </w:tc>
        <w:tc>
          <w:tcPr>
            <w:tcW w:w="1160" w:type="dxa"/>
            <w:tcBorders>
              <w:top w:val="nil"/>
              <w:left w:val="nil"/>
              <w:bottom w:val="single" w:sz="4" w:space="0" w:color="auto"/>
              <w:right w:val="single" w:sz="4" w:space="0" w:color="auto"/>
            </w:tcBorders>
            <w:noWrap/>
            <w:vAlign w:val="bottom"/>
            <w:hideMark/>
          </w:tcPr>
          <w:p w14:paraId="2D64525B"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7CB840E6"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39EC19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C74EE5B"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CE8FD9C"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514E63E3"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24FE37E7"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Discounting factor</w:t>
            </w:r>
          </w:p>
        </w:tc>
        <w:tc>
          <w:tcPr>
            <w:tcW w:w="960" w:type="dxa"/>
            <w:tcBorders>
              <w:top w:val="nil"/>
              <w:left w:val="nil"/>
              <w:bottom w:val="single" w:sz="4" w:space="0" w:color="auto"/>
              <w:right w:val="single" w:sz="4" w:space="0" w:color="auto"/>
            </w:tcBorders>
            <w:noWrap/>
            <w:vAlign w:val="bottom"/>
            <w:hideMark/>
          </w:tcPr>
          <w:p w14:paraId="47B356F5"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1.000</w:t>
            </w:r>
          </w:p>
        </w:tc>
        <w:tc>
          <w:tcPr>
            <w:tcW w:w="1160" w:type="dxa"/>
            <w:tcBorders>
              <w:top w:val="nil"/>
              <w:left w:val="nil"/>
              <w:bottom w:val="single" w:sz="4" w:space="0" w:color="auto"/>
              <w:right w:val="single" w:sz="4" w:space="0" w:color="auto"/>
            </w:tcBorders>
            <w:noWrap/>
            <w:vAlign w:val="bottom"/>
            <w:hideMark/>
          </w:tcPr>
          <w:p w14:paraId="461BDE21"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0.909</w:t>
            </w:r>
          </w:p>
        </w:tc>
        <w:tc>
          <w:tcPr>
            <w:tcW w:w="1160" w:type="dxa"/>
            <w:tcBorders>
              <w:top w:val="nil"/>
              <w:left w:val="nil"/>
              <w:bottom w:val="single" w:sz="4" w:space="0" w:color="auto"/>
              <w:right w:val="single" w:sz="4" w:space="0" w:color="auto"/>
            </w:tcBorders>
            <w:noWrap/>
            <w:vAlign w:val="bottom"/>
            <w:hideMark/>
          </w:tcPr>
          <w:p w14:paraId="36256BC2"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0.826</w:t>
            </w:r>
          </w:p>
        </w:tc>
        <w:tc>
          <w:tcPr>
            <w:tcW w:w="1160" w:type="dxa"/>
            <w:tcBorders>
              <w:top w:val="nil"/>
              <w:left w:val="nil"/>
              <w:bottom w:val="single" w:sz="4" w:space="0" w:color="auto"/>
              <w:right w:val="single" w:sz="4" w:space="0" w:color="auto"/>
            </w:tcBorders>
            <w:noWrap/>
            <w:vAlign w:val="bottom"/>
            <w:hideMark/>
          </w:tcPr>
          <w:p w14:paraId="54A3CE29"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0.751</w:t>
            </w:r>
          </w:p>
        </w:tc>
        <w:tc>
          <w:tcPr>
            <w:tcW w:w="1160" w:type="dxa"/>
            <w:tcBorders>
              <w:top w:val="nil"/>
              <w:left w:val="nil"/>
              <w:bottom w:val="single" w:sz="4" w:space="0" w:color="auto"/>
              <w:right w:val="single" w:sz="4" w:space="0" w:color="auto"/>
            </w:tcBorders>
            <w:noWrap/>
            <w:vAlign w:val="bottom"/>
            <w:hideMark/>
          </w:tcPr>
          <w:p w14:paraId="2B28EF2F"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0.683</w:t>
            </w:r>
          </w:p>
        </w:tc>
        <w:tc>
          <w:tcPr>
            <w:tcW w:w="1160" w:type="dxa"/>
            <w:tcBorders>
              <w:top w:val="nil"/>
              <w:left w:val="nil"/>
              <w:bottom w:val="single" w:sz="4" w:space="0" w:color="auto"/>
              <w:right w:val="single" w:sz="4" w:space="0" w:color="auto"/>
            </w:tcBorders>
            <w:noWrap/>
            <w:vAlign w:val="bottom"/>
            <w:hideMark/>
          </w:tcPr>
          <w:p w14:paraId="5C6CB451"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0.621</w:t>
            </w:r>
          </w:p>
        </w:tc>
      </w:tr>
    </w:tbl>
    <w:p w14:paraId="475ADAD9" w14:textId="77777777" w:rsidR="00BD71EE" w:rsidRDefault="00BD71EE" w:rsidP="00BD71EE"/>
    <w:tbl>
      <w:tblPr>
        <w:tblW w:w="10520" w:type="dxa"/>
        <w:jc w:val="center"/>
        <w:tblLook w:val="04A0" w:firstRow="1" w:lastRow="0" w:firstColumn="1" w:lastColumn="0" w:noHBand="0" w:noVBand="1"/>
      </w:tblPr>
      <w:tblGrid>
        <w:gridCol w:w="3760"/>
        <w:gridCol w:w="963"/>
        <w:gridCol w:w="1160"/>
        <w:gridCol w:w="1160"/>
        <w:gridCol w:w="1160"/>
        <w:gridCol w:w="1160"/>
        <w:gridCol w:w="1160"/>
      </w:tblGrid>
      <w:tr w:rsidR="00BD71EE" w:rsidRPr="00BD71EE" w14:paraId="00EBAA0B" w14:textId="77777777" w:rsidTr="00846699">
        <w:trPr>
          <w:trHeight w:val="300"/>
          <w:tblHeader/>
          <w:jc w:val="center"/>
        </w:trPr>
        <w:tc>
          <w:tcPr>
            <w:tcW w:w="3760" w:type="dxa"/>
            <w:tcBorders>
              <w:top w:val="single" w:sz="4" w:space="0" w:color="auto"/>
              <w:left w:val="single" w:sz="4" w:space="0" w:color="auto"/>
              <w:bottom w:val="single" w:sz="4" w:space="0" w:color="auto"/>
              <w:right w:val="single" w:sz="4" w:space="0" w:color="auto"/>
            </w:tcBorders>
            <w:noWrap/>
            <w:vAlign w:val="bottom"/>
            <w:hideMark/>
          </w:tcPr>
          <w:p w14:paraId="038A9971"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w:t>
            </w:r>
          </w:p>
        </w:tc>
        <w:tc>
          <w:tcPr>
            <w:tcW w:w="960" w:type="dxa"/>
            <w:tcBorders>
              <w:top w:val="single" w:sz="4" w:space="0" w:color="auto"/>
              <w:left w:val="nil"/>
              <w:bottom w:val="single" w:sz="4" w:space="0" w:color="auto"/>
              <w:right w:val="single" w:sz="4" w:space="0" w:color="auto"/>
            </w:tcBorders>
            <w:noWrap/>
            <w:vAlign w:val="bottom"/>
            <w:hideMark/>
          </w:tcPr>
          <w:p w14:paraId="772D3906"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 </w:t>
            </w:r>
          </w:p>
        </w:tc>
        <w:tc>
          <w:tcPr>
            <w:tcW w:w="1160" w:type="dxa"/>
            <w:tcBorders>
              <w:top w:val="single" w:sz="4" w:space="0" w:color="auto"/>
              <w:left w:val="nil"/>
              <w:bottom w:val="single" w:sz="4" w:space="0" w:color="auto"/>
              <w:right w:val="single" w:sz="4" w:space="0" w:color="auto"/>
            </w:tcBorders>
            <w:noWrap/>
            <w:vAlign w:val="bottom"/>
            <w:hideMark/>
          </w:tcPr>
          <w:p w14:paraId="1CF18521"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1 (£m)</w:t>
            </w:r>
          </w:p>
        </w:tc>
        <w:tc>
          <w:tcPr>
            <w:tcW w:w="1160" w:type="dxa"/>
            <w:tcBorders>
              <w:top w:val="single" w:sz="4" w:space="0" w:color="auto"/>
              <w:left w:val="nil"/>
              <w:bottom w:val="single" w:sz="4" w:space="0" w:color="auto"/>
              <w:right w:val="single" w:sz="4" w:space="0" w:color="auto"/>
            </w:tcBorders>
            <w:noWrap/>
            <w:vAlign w:val="bottom"/>
            <w:hideMark/>
          </w:tcPr>
          <w:p w14:paraId="788D16D4"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2 (£m)</w:t>
            </w:r>
          </w:p>
        </w:tc>
        <w:tc>
          <w:tcPr>
            <w:tcW w:w="1160" w:type="dxa"/>
            <w:tcBorders>
              <w:top w:val="single" w:sz="4" w:space="0" w:color="auto"/>
              <w:left w:val="nil"/>
              <w:bottom w:val="single" w:sz="4" w:space="0" w:color="auto"/>
              <w:right w:val="single" w:sz="4" w:space="0" w:color="auto"/>
            </w:tcBorders>
            <w:noWrap/>
            <w:vAlign w:val="bottom"/>
            <w:hideMark/>
          </w:tcPr>
          <w:p w14:paraId="57B1CD08"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3 (£m)</w:t>
            </w:r>
          </w:p>
        </w:tc>
        <w:tc>
          <w:tcPr>
            <w:tcW w:w="1160" w:type="dxa"/>
            <w:tcBorders>
              <w:top w:val="single" w:sz="4" w:space="0" w:color="auto"/>
              <w:left w:val="nil"/>
              <w:bottom w:val="single" w:sz="4" w:space="0" w:color="auto"/>
              <w:right w:val="single" w:sz="4" w:space="0" w:color="auto"/>
            </w:tcBorders>
            <w:noWrap/>
            <w:vAlign w:val="bottom"/>
            <w:hideMark/>
          </w:tcPr>
          <w:p w14:paraId="5B139C39"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4 (£m)</w:t>
            </w:r>
          </w:p>
        </w:tc>
        <w:tc>
          <w:tcPr>
            <w:tcW w:w="1160" w:type="dxa"/>
            <w:tcBorders>
              <w:top w:val="single" w:sz="4" w:space="0" w:color="auto"/>
              <w:left w:val="nil"/>
              <w:bottom w:val="single" w:sz="4" w:space="0" w:color="auto"/>
              <w:right w:val="single" w:sz="4" w:space="0" w:color="auto"/>
            </w:tcBorders>
            <w:noWrap/>
            <w:vAlign w:val="bottom"/>
            <w:hideMark/>
          </w:tcPr>
          <w:p w14:paraId="1A5D1B43"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5 (£m)</w:t>
            </w:r>
          </w:p>
        </w:tc>
      </w:tr>
      <w:tr w:rsidR="00BD71EE" w:rsidRPr="00BD71EE" w14:paraId="78184384"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6BE70D28"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 xml:space="preserve">Project A </w:t>
            </w:r>
          </w:p>
        </w:tc>
        <w:tc>
          <w:tcPr>
            <w:tcW w:w="960" w:type="dxa"/>
            <w:tcBorders>
              <w:top w:val="nil"/>
              <w:left w:val="nil"/>
              <w:bottom w:val="single" w:sz="4" w:space="0" w:color="auto"/>
              <w:right w:val="single" w:sz="4" w:space="0" w:color="auto"/>
            </w:tcBorders>
            <w:noWrap/>
            <w:vAlign w:val="bottom"/>
            <w:hideMark/>
          </w:tcPr>
          <w:p w14:paraId="19F0BB5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34F7E6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BB0023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A50D91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AA3E45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C7B0FC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07325FD2"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55E30814"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Investment</w:t>
            </w:r>
          </w:p>
        </w:tc>
        <w:tc>
          <w:tcPr>
            <w:tcW w:w="960" w:type="dxa"/>
            <w:tcBorders>
              <w:top w:val="nil"/>
              <w:left w:val="nil"/>
              <w:bottom w:val="single" w:sz="4" w:space="0" w:color="auto"/>
              <w:right w:val="single" w:sz="4" w:space="0" w:color="auto"/>
            </w:tcBorders>
            <w:noWrap/>
            <w:vAlign w:val="bottom"/>
            <w:hideMark/>
          </w:tcPr>
          <w:p w14:paraId="01B9BB1D"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50</w:t>
            </w:r>
          </w:p>
        </w:tc>
        <w:tc>
          <w:tcPr>
            <w:tcW w:w="1160" w:type="dxa"/>
            <w:tcBorders>
              <w:top w:val="nil"/>
              <w:left w:val="nil"/>
              <w:bottom w:val="single" w:sz="4" w:space="0" w:color="auto"/>
              <w:right w:val="single" w:sz="4" w:space="0" w:color="auto"/>
            </w:tcBorders>
            <w:noWrap/>
            <w:vAlign w:val="bottom"/>
            <w:hideMark/>
          </w:tcPr>
          <w:p w14:paraId="4D4C04D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786202D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3131FE8"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FBBFD97"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9FC82CB"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3BBD02F2"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3292A60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Cash inflows</w:t>
            </w:r>
          </w:p>
        </w:tc>
        <w:tc>
          <w:tcPr>
            <w:tcW w:w="960" w:type="dxa"/>
            <w:tcBorders>
              <w:top w:val="nil"/>
              <w:left w:val="nil"/>
              <w:bottom w:val="single" w:sz="4" w:space="0" w:color="auto"/>
              <w:right w:val="single" w:sz="4" w:space="0" w:color="auto"/>
            </w:tcBorders>
            <w:noWrap/>
            <w:vAlign w:val="bottom"/>
            <w:hideMark/>
          </w:tcPr>
          <w:p w14:paraId="3EF7160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814138F"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w:t>
            </w:r>
          </w:p>
        </w:tc>
        <w:tc>
          <w:tcPr>
            <w:tcW w:w="1160" w:type="dxa"/>
            <w:tcBorders>
              <w:top w:val="nil"/>
              <w:left w:val="nil"/>
              <w:bottom w:val="single" w:sz="4" w:space="0" w:color="auto"/>
              <w:right w:val="single" w:sz="4" w:space="0" w:color="auto"/>
            </w:tcBorders>
            <w:noWrap/>
            <w:vAlign w:val="bottom"/>
            <w:hideMark/>
          </w:tcPr>
          <w:p w14:paraId="253F1DB5"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12</w:t>
            </w:r>
          </w:p>
        </w:tc>
        <w:tc>
          <w:tcPr>
            <w:tcW w:w="1160" w:type="dxa"/>
            <w:tcBorders>
              <w:top w:val="nil"/>
              <w:left w:val="nil"/>
              <w:bottom w:val="single" w:sz="4" w:space="0" w:color="auto"/>
              <w:right w:val="single" w:sz="4" w:space="0" w:color="auto"/>
            </w:tcBorders>
            <w:noWrap/>
            <w:vAlign w:val="bottom"/>
            <w:hideMark/>
          </w:tcPr>
          <w:p w14:paraId="01636A8C"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14</w:t>
            </w:r>
          </w:p>
        </w:tc>
        <w:tc>
          <w:tcPr>
            <w:tcW w:w="1160" w:type="dxa"/>
            <w:tcBorders>
              <w:top w:val="nil"/>
              <w:left w:val="nil"/>
              <w:bottom w:val="single" w:sz="4" w:space="0" w:color="auto"/>
              <w:right w:val="single" w:sz="4" w:space="0" w:color="auto"/>
            </w:tcBorders>
            <w:noWrap/>
            <w:vAlign w:val="bottom"/>
            <w:hideMark/>
          </w:tcPr>
          <w:p w14:paraId="5DFB1C67"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w:t>
            </w:r>
          </w:p>
        </w:tc>
        <w:tc>
          <w:tcPr>
            <w:tcW w:w="1160" w:type="dxa"/>
            <w:tcBorders>
              <w:top w:val="nil"/>
              <w:left w:val="nil"/>
              <w:bottom w:val="single" w:sz="4" w:space="0" w:color="auto"/>
              <w:right w:val="single" w:sz="4" w:space="0" w:color="auto"/>
            </w:tcBorders>
            <w:noWrap/>
            <w:vAlign w:val="bottom"/>
            <w:hideMark/>
          </w:tcPr>
          <w:p w14:paraId="057D8752"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w:t>
            </w:r>
          </w:p>
        </w:tc>
      </w:tr>
      <w:tr w:rsidR="00BD71EE" w:rsidRPr="00BD71EE" w14:paraId="58C69B9E"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5D26D38E"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Net Cash inflows</w:t>
            </w:r>
          </w:p>
        </w:tc>
        <w:tc>
          <w:tcPr>
            <w:tcW w:w="960" w:type="dxa"/>
            <w:tcBorders>
              <w:top w:val="nil"/>
              <w:left w:val="nil"/>
              <w:bottom w:val="single" w:sz="4" w:space="0" w:color="auto"/>
              <w:right w:val="single" w:sz="4" w:space="0" w:color="auto"/>
            </w:tcBorders>
            <w:noWrap/>
            <w:vAlign w:val="bottom"/>
            <w:hideMark/>
          </w:tcPr>
          <w:p w14:paraId="358EE007"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-50</w:t>
            </w:r>
          </w:p>
        </w:tc>
        <w:tc>
          <w:tcPr>
            <w:tcW w:w="1160" w:type="dxa"/>
            <w:tcBorders>
              <w:top w:val="nil"/>
              <w:left w:val="nil"/>
              <w:bottom w:val="single" w:sz="4" w:space="0" w:color="auto"/>
              <w:right w:val="single" w:sz="4" w:space="0" w:color="auto"/>
            </w:tcBorders>
            <w:noWrap/>
            <w:vAlign w:val="bottom"/>
            <w:hideMark/>
          </w:tcPr>
          <w:p w14:paraId="45354688"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10</w:t>
            </w:r>
          </w:p>
        </w:tc>
        <w:tc>
          <w:tcPr>
            <w:tcW w:w="1160" w:type="dxa"/>
            <w:tcBorders>
              <w:top w:val="nil"/>
              <w:left w:val="nil"/>
              <w:bottom w:val="single" w:sz="4" w:space="0" w:color="auto"/>
              <w:right w:val="single" w:sz="4" w:space="0" w:color="auto"/>
            </w:tcBorders>
            <w:noWrap/>
            <w:vAlign w:val="bottom"/>
            <w:hideMark/>
          </w:tcPr>
          <w:p w14:paraId="27DFAF04"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12</w:t>
            </w:r>
          </w:p>
        </w:tc>
        <w:tc>
          <w:tcPr>
            <w:tcW w:w="1160" w:type="dxa"/>
            <w:tcBorders>
              <w:top w:val="nil"/>
              <w:left w:val="nil"/>
              <w:bottom w:val="single" w:sz="4" w:space="0" w:color="auto"/>
              <w:right w:val="single" w:sz="4" w:space="0" w:color="auto"/>
            </w:tcBorders>
            <w:noWrap/>
            <w:vAlign w:val="bottom"/>
            <w:hideMark/>
          </w:tcPr>
          <w:p w14:paraId="4B49FD9A"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14</w:t>
            </w:r>
          </w:p>
        </w:tc>
        <w:tc>
          <w:tcPr>
            <w:tcW w:w="1160" w:type="dxa"/>
            <w:tcBorders>
              <w:top w:val="nil"/>
              <w:left w:val="nil"/>
              <w:bottom w:val="single" w:sz="4" w:space="0" w:color="auto"/>
              <w:right w:val="single" w:sz="4" w:space="0" w:color="auto"/>
            </w:tcBorders>
            <w:noWrap/>
            <w:vAlign w:val="bottom"/>
            <w:hideMark/>
          </w:tcPr>
          <w:p w14:paraId="7092CBEB"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10</w:t>
            </w:r>
          </w:p>
        </w:tc>
        <w:tc>
          <w:tcPr>
            <w:tcW w:w="1160" w:type="dxa"/>
            <w:tcBorders>
              <w:top w:val="nil"/>
              <w:left w:val="nil"/>
              <w:bottom w:val="single" w:sz="4" w:space="0" w:color="auto"/>
              <w:right w:val="single" w:sz="4" w:space="0" w:color="auto"/>
            </w:tcBorders>
            <w:noWrap/>
            <w:vAlign w:val="bottom"/>
            <w:hideMark/>
          </w:tcPr>
          <w:p w14:paraId="4AA5E171"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8</w:t>
            </w:r>
          </w:p>
        </w:tc>
      </w:tr>
      <w:tr w:rsidR="00BD71EE" w:rsidRPr="00BD71EE" w14:paraId="08A9FA64"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564CE7F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proofErr w:type="spellStart"/>
            <w:r w:rsidRPr="00BD71EE">
              <w:rPr>
                <w:rFonts w:ascii="Aptos Narrow" w:eastAsia="Times New Roman" w:hAnsi="Aptos Narrow" w:cs="Times New Roman"/>
                <w:color w:val="000000"/>
                <w:sz w:val="22"/>
                <w:lang w:eastAsia="en-GB"/>
              </w:rPr>
              <w:t>Cummulative</w:t>
            </w:r>
            <w:proofErr w:type="spellEnd"/>
            <w:r w:rsidRPr="00BD71EE">
              <w:rPr>
                <w:rFonts w:ascii="Aptos Narrow" w:eastAsia="Times New Roman" w:hAnsi="Aptos Narrow" w:cs="Times New Roman"/>
                <w:color w:val="000000"/>
                <w:sz w:val="22"/>
                <w:lang w:eastAsia="en-GB"/>
              </w:rPr>
              <w:t xml:space="preserve"> Cash inflow</w:t>
            </w:r>
          </w:p>
        </w:tc>
        <w:tc>
          <w:tcPr>
            <w:tcW w:w="960" w:type="dxa"/>
            <w:tcBorders>
              <w:top w:val="nil"/>
              <w:left w:val="nil"/>
              <w:bottom w:val="single" w:sz="4" w:space="0" w:color="auto"/>
              <w:right w:val="single" w:sz="4" w:space="0" w:color="auto"/>
            </w:tcBorders>
            <w:noWrap/>
            <w:vAlign w:val="bottom"/>
            <w:hideMark/>
          </w:tcPr>
          <w:p w14:paraId="5F6CF52E"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-50</w:t>
            </w:r>
          </w:p>
        </w:tc>
        <w:tc>
          <w:tcPr>
            <w:tcW w:w="1160" w:type="dxa"/>
            <w:tcBorders>
              <w:top w:val="nil"/>
              <w:left w:val="nil"/>
              <w:bottom w:val="single" w:sz="4" w:space="0" w:color="auto"/>
              <w:right w:val="single" w:sz="4" w:space="0" w:color="auto"/>
            </w:tcBorders>
            <w:noWrap/>
            <w:vAlign w:val="bottom"/>
            <w:hideMark/>
          </w:tcPr>
          <w:p w14:paraId="7206D3DA"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-40</w:t>
            </w:r>
          </w:p>
        </w:tc>
        <w:tc>
          <w:tcPr>
            <w:tcW w:w="1160" w:type="dxa"/>
            <w:tcBorders>
              <w:top w:val="nil"/>
              <w:left w:val="nil"/>
              <w:bottom w:val="single" w:sz="4" w:space="0" w:color="auto"/>
              <w:right w:val="single" w:sz="4" w:space="0" w:color="auto"/>
            </w:tcBorders>
            <w:noWrap/>
            <w:vAlign w:val="bottom"/>
            <w:hideMark/>
          </w:tcPr>
          <w:p w14:paraId="0AFA52DA"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-28</w:t>
            </w:r>
          </w:p>
        </w:tc>
        <w:tc>
          <w:tcPr>
            <w:tcW w:w="1160" w:type="dxa"/>
            <w:tcBorders>
              <w:top w:val="nil"/>
              <w:left w:val="nil"/>
              <w:bottom w:val="single" w:sz="4" w:space="0" w:color="auto"/>
              <w:right w:val="single" w:sz="4" w:space="0" w:color="auto"/>
            </w:tcBorders>
            <w:noWrap/>
            <w:vAlign w:val="bottom"/>
            <w:hideMark/>
          </w:tcPr>
          <w:p w14:paraId="40492407"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-14</w:t>
            </w:r>
          </w:p>
        </w:tc>
        <w:tc>
          <w:tcPr>
            <w:tcW w:w="1160" w:type="dxa"/>
            <w:tcBorders>
              <w:top w:val="nil"/>
              <w:left w:val="nil"/>
              <w:bottom w:val="single" w:sz="4" w:space="0" w:color="auto"/>
              <w:right w:val="single" w:sz="4" w:space="0" w:color="auto"/>
            </w:tcBorders>
            <w:noWrap/>
            <w:vAlign w:val="bottom"/>
            <w:hideMark/>
          </w:tcPr>
          <w:p w14:paraId="50F7E82C"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w:t>
            </w:r>
          </w:p>
        </w:tc>
        <w:tc>
          <w:tcPr>
            <w:tcW w:w="1160" w:type="dxa"/>
            <w:tcBorders>
              <w:top w:val="nil"/>
              <w:left w:val="nil"/>
              <w:bottom w:val="single" w:sz="4" w:space="0" w:color="auto"/>
              <w:right w:val="single" w:sz="4" w:space="0" w:color="auto"/>
            </w:tcBorders>
            <w:noWrap/>
            <w:vAlign w:val="bottom"/>
            <w:hideMark/>
          </w:tcPr>
          <w:p w14:paraId="5192D2B3"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w:t>
            </w:r>
          </w:p>
        </w:tc>
      </w:tr>
      <w:tr w:rsidR="00BD71EE" w:rsidRPr="00BD71EE" w14:paraId="77768689"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7BF78E3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Payback after (years)</w:t>
            </w:r>
          </w:p>
        </w:tc>
        <w:tc>
          <w:tcPr>
            <w:tcW w:w="960" w:type="dxa"/>
            <w:tcBorders>
              <w:top w:val="nil"/>
              <w:left w:val="nil"/>
              <w:bottom w:val="single" w:sz="4" w:space="0" w:color="auto"/>
              <w:right w:val="single" w:sz="4" w:space="0" w:color="auto"/>
            </w:tcBorders>
            <w:noWrap/>
            <w:vAlign w:val="bottom"/>
            <w:hideMark/>
          </w:tcPr>
          <w:p w14:paraId="6318B80A"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w:t>
            </w:r>
          </w:p>
        </w:tc>
        <w:tc>
          <w:tcPr>
            <w:tcW w:w="1160" w:type="dxa"/>
            <w:tcBorders>
              <w:top w:val="nil"/>
              <w:left w:val="nil"/>
              <w:bottom w:val="single" w:sz="4" w:space="0" w:color="auto"/>
              <w:right w:val="single" w:sz="4" w:space="0" w:color="auto"/>
            </w:tcBorders>
            <w:noWrap/>
            <w:vAlign w:val="bottom"/>
            <w:hideMark/>
          </w:tcPr>
          <w:p w14:paraId="46593777"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7B1B648"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7AAD12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F25CB2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7F0AF0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7AA64472"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1914396C"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Payback Period/PBP (years)</w:t>
            </w:r>
          </w:p>
        </w:tc>
        <w:tc>
          <w:tcPr>
            <w:tcW w:w="960" w:type="dxa"/>
            <w:tcBorders>
              <w:top w:val="nil"/>
              <w:left w:val="nil"/>
              <w:bottom w:val="single" w:sz="4" w:space="0" w:color="auto"/>
              <w:right w:val="single" w:sz="4" w:space="0" w:color="auto"/>
            </w:tcBorders>
            <w:noWrap/>
            <w:vAlign w:val="bottom"/>
            <w:hideMark/>
          </w:tcPr>
          <w:p w14:paraId="37EB9D41"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4.50</w:t>
            </w:r>
          </w:p>
        </w:tc>
        <w:tc>
          <w:tcPr>
            <w:tcW w:w="1160" w:type="dxa"/>
            <w:tcBorders>
              <w:top w:val="nil"/>
              <w:left w:val="nil"/>
              <w:bottom w:val="single" w:sz="4" w:space="0" w:color="auto"/>
              <w:right w:val="single" w:sz="4" w:space="0" w:color="auto"/>
            </w:tcBorders>
            <w:noWrap/>
            <w:vAlign w:val="bottom"/>
            <w:hideMark/>
          </w:tcPr>
          <w:p w14:paraId="64FCA938"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BF4A4AE"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35E912A"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DF3A597"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724679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74EF2CC0"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579CC5A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Average profit</w:t>
            </w:r>
          </w:p>
        </w:tc>
        <w:tc>
          <w:tcPr>
            <w:tcW w:w="960" w:type="dxa"/>
            <w:tcBorders>
              <w:top w:val="nil"/>
              <w:left w:val="nil"/>
              <w:bottom w:val="single" w:sz="4" w:space="0" w:color="auto"/>
              <w:right w:val="single" w:sz="4" w:space="0" w:color="auto"/>
            </w:tcBorders>
            <w:noWrap/>
            <w:vAlign w:val="bottom"/>
            <w:hideMark/>
          </w:tcPr>
          <w:p w14:paraId="34572B13"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0.80</w:t>
            </w:r>
          </w:p>
        </w:tc>
        <w:tc>
          <w:tcPr>
            <w:tcW w:w="1160" w:type="dxa"/>
            <w:tcBorders>
              <w:top w:val="nil"/>
              <w:left w:val="nil"/>
              <w:bottom w:val="single" w:sz="4" w:space="0" w:color="auto"/>
              <w:right w:val="single" w:sz="4" w:space="0" w:color="auto"/>
            </w:tcBorders>
            <w:noWrap/>
            <w:vAlign w:val="bottom"/>
            <w:hideMark/>
          </w:tcPr>
          <w:p w14:paraId="0F1C5378"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CBAD4B8"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67F848A"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50C78F9"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A89D64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168DE6ED"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1694A75B"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proofErr w:type="spellStart"/>
            <w:r w:rsidRPr="00BD71EE">
              <w:rPr>
                <w:rFonts w:ascii="Aptos Narrow" w:eastAsia="Times New Roman" w:hAnsi="Aptos Narrow" w:cs="Times New Roman"/>
                <w:b/>
                <w:bCs/>
                <w:color w:val="000000"/>
                <w:sz w:val="22"/>
                <w:lang w:eastAsia="en-GB"/>
              </w:rPr>
              <w:t>Acounting</w:t>
            </w:r>
            <w:proofErr w:type="spellEnd"/>
            <w:r w:rsidRPr="00BD71EE">
              <w:rPr>
                <w:rFonts w:ascii="Aptos Narrow" w:eastAsia="Times New Roman" w:hAnsi="Aptos Narrow" w:cs="Times New Roman"/>
                <w:b/>
                <w:bCs/>
                <w:color w:val="000000"/>
                <w:sz w:val="22"/>
                <w:lang w:eastAsia="en-GB"/>
              </w:rPr>
              <w:t xml:space="preserve"> Rate of Return/ARR</w:t>
            </w:r>
          </w:p>
        </w:tc>
        <w:tc>
          <w:tcPr>
            <w:tcW w:w="960" w:type="dxa"/>
            <w:tcBorders>
              <w:top w:val="nil"/>
              <w:left w:val="nil"/>
              <w:bottom w:val="single" w:sz="4" w:space="0" w:color="auto"/>
              <w:right w:val="single" w:sz="4" w:space="0" w:color="auto"/>
            </w:tcBorders>
            <w:noWrap/>
            <w:vAlign w:val="bottom"/>
            <w:hideMark/>
          </w:tcPr>
          <w:p w14:paraId="5FE50D39"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1.60%</w:t>
            </w:r>
          </w:p>
        </w:tc>
        <w:tc>
          <w:tcPr>
            <w:tcW w:w="1160" w:type="dxa"/>
            <w:tcBorders>
              <w:top w:val="nil"/>
              <w:left w:val="nil"/>
              <w:bottom w:val="single" w:sz="4" w:space="0" w:color="auto"/>
              <w:right w:val="single" w:sz="4" w:space="0" w:color="auto"/>
            </w:tcBorders>
            <w:noWrap/>
            <w:vAlign w:val="bottom"/>
            <w:hideMark/>
          </w:tcPr>
          <w:p w14:paraId="71392244"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7E46D6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1452AFB"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58ECBFA"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2342C2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611CD6DA"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5CE0CC04"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Internal Rate of Return/IRR</w:t>
            </w:r>
          </w:p>
        </w:tc>
        <w:tc>
          <w:tcPr>
            <w:tcW w:w="960" w:type="dxa"/>
            <w:tcBorders>
              <w:top w:val="nil"/>
              <w:left w:val="nil"/>
              <w:bottom w:val="single" w:sz="4" w:space="0" w:color="auto"/>
              <w:right w:val="single" w:sz="4" w:space="0" w:color="auto"/>
            </w:tcBorders>
            <w:noWrap/>
            <w:vAlign w:val="bottom"/>
            <w:hideMark/>
          </w:tcPr>
          <w:p w14:paraId="36FF9EF4"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2.72%</w:t>
            </w:r>
          </w:p>
        </w:tc>
        <w:tc>
          <w:tcPr>
            <w:tcW w:w="1160" w:type="dxa"/>
            <w:tcBorders>
              <w:top w:val="nil"/>
              <w:left w:val="nil"/>
              <w:bottom w:val="single" w:sz="4" w:space="0" w:color="auto"/>
              <w:right w:val="single" w:sz="4" w:space="0" w:color="auto"/>
            </w:tcBorders>
            <w:noWrap/>
            <w:vAlign w:val="bottom"/>
            <w:hideMark/>
          </w:tcPr>
          <w:p w14:paraId="0781C6E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8B7E0E9"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13C1A7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9CF4C0C"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0A550E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7B3E5463"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2A6B407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proofErr w:type="spellStart"/>
            <w:r w:rsidRPr="00BD71EE">
              <w:rPr>
                <w:rFonts w:ascii="Aptos Narrow" w:eastAsia="Times New Roman" w:hAnsi="Aptos Narrow" w:cs="Times New Roman"/>
                <w:color w:val="000000"/>
                <w:sz w:val="22"/>
                <w:lang w:eastAsia="en-GB"/>
              </w:rPr>
              <w:t>Dicounted</w:t>
            </w:r>
            <w:proofErr w:type="spellEnd"/>
            <w:r w:rsidRPr="00BD71EE">
              <w:rPr>
                <w:rFonts w:ascii="Aptos Narrow" w:eastAsia="Times New Roman" w:hAnsi="Aptos Narrow" w:cs="Times New Roman"/>
                <w:color w:val="000000"/>
                <w:sz w:val="22"/>
                <w:lang w:eastAsia="en-GB"/>
              </w:rPr>
              <w:t xml:space="preserve"> Cash inflows</w:t>
            </w:r>
          </w:p>
        </w:tc>
        <w:tc>
          <w:tcPr>
            <w:tcW w:w="960" w:type="dxa"/>
            <w:tcBorders>
              <w:top w:val="nil"/>
              <w:left w:val="nil"/>
              <w:bottom w:val="single" w:sz="4" w:space="0" w:color="auto"/>
              <w:right w:val="single" w:sz="4" w:space="0" w:color="auto"/>
            </w:tcBorders>
            <w:noWrap/>
            <w:vAlign w:val="bottom"/>
            <w:hideMark/>
          </w:tcPr>
          <w:p w14:paraId="6F95D1CD"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-50.000</w:t>
            </w:r>
          </w:p>
        </w:tc>
        <w:tc>
          <w:tcPr>
            <w:tcW w:w="1160" w:type="dxa"/>
            <w:tcBorders>
              <w:top w:val="nil"/>
              <w:left w:val="nil"/>
              <w:bottom w:val="single" w:sz="4" w:space="0" w:color="auto"/>
              <w:right w:val="single" w:sz="4" w:space="0" w:color="auto"/>
            </w:tcBorders>
            <w:noWrap/>
            <w:vAlign w:val="bottom"/>
            <w:hideMark/>
          </w:tcPr>
          <w:p w14:paraId="619E8FDE"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9.091</w:t>
            </w:r>
          </w:p>
        </w:tc>
        <w:tc>
          <w:tcPr>
            <w:tcW w:w="1160" w:type="dxa"/>
            <w:tcBorders>
              <w:top w:val="nil"/>
              <w:left w:val="nil"/>
              <w:bottom w:val="single" w:sz="4" w:space="0" w:color="auto"/>
              <w:right w:val="single" w:sz="4" w:space="0" w:color="auto"/>
            </w:tcBorders>
            <w:noWrap/>
            <w:vAlign w:val="bottom"/>
            <w:hideMark/>
          </w:tcPr>
          <w:p w14:paraId="1B023528"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9.917</w:t>
            </w:r>
          </w:p>
        </w:tc>
        <w:tc>
          <w:tcPr>
            <w:tcW w:w="1160" w:type="dxa"/>
            <w:tcBorders>
              <w:top w:val="nil"/>
              <w:left w:val="nil"/>
              <w:bottom w:val="single" w:sz="4" w:space="0" w:color="auto"/>
              <w:right w:val="single" w:sz="4" w:space="0" w:color="auto"/>
            </w:tcBorders>
            <w:noWrap/>
            <w:vAlign w:val="bottom"/>
            <w:hideMark/>
          </w:tcPr>
          <w:p w14:paraId="3EBDFC86"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10.518</w:t>
            </w:r>
          </w:p>
        </w:tc>
        <w:tc>
          <w:tcPr>
            <w:tcW w:w="1160" w:type="dxa"/>
            <w:tcBorders>
              <w:top w:val="nil"/>
              <w:left w:val="nil"/>
              <w:bottom w:val="single" w:sz="4" w:space="0" w:color="auto"/>
              <w:right w:val="single" w:sz="4" w:space="0" w:color="auto"/>
            </w:tcBorders>
            <w:noWrap/>
            <w:vAlign w:val="bottom"/>
            <w:hideMark/>
          </w:tcPr>
          <w:p w14:paraId="198D74FA"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6.830</w:t>
            </w:r>
          </w:p>
        </w:tc>
        <w:tc>
          <w:tcPr>
            <w:tcW w:w="1160" w:type="dxa"/>
            <w:tcBorders>
              <w:top w:val="nil"/>
              <w:left w:val="nil"/>
              <w:bottom w:val="single" w:sz="4" w:space="0" w:color="auto"/>
              <w:right w:val="single" w:sz="4" w:space="0" w:color="auto"/>
            </w:tcBorders>
            <w:noWrap/>
            <w:vAlign w:val="bottom"/>
            <w:hideMark/>
          </w:tcPr>
          <w:p w14:paraId="62CD5B8E"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4.967</w:t>
            </w:r>
          </w:p>
        </w:tc>
      </w:tr>
      <w:tr w:rsidR="00BD71EE" w:rsidRPr="00BD71EE" w14:paraId="1643701E"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2138593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proofErr w:type="spellStart"/>
            <w:r w:rsidRPr="00BD71EE">
              <w:rPr>
                <w:rFonts w:ascii="Aptos Narrow" w:eastAsia="Times New Roman" w:hAnsi="Aptos Narrow" w:cs="Times New Roman"/>
                <w:color w:val="000000"/>
                <w:sz w:val="22"/>
                <w:lang w:eastAsia="en-GB"/>
              </w:rPr>
              <w:t>Dicounted</w:t>
            </w:r>
            <w:proofErr w:type="spellEnd"/>
            <w:r w:rsidRPr="00BD71EE">
              <w:rPr>
                <w:rFonts w:ascii="Aptos Narrow" w:eastAsia="Times New Roman" w:hAnsi="Aptos Narrow" w:cs="Times New Roman"/>
                <w:color w:val="000000"/>
                <w:sz w:val="22"/>
                <w:lang w:eastAsia="en-GB"/>
              </w:rPr>
              <w:t xml:space="preserve"> Cash inflow (ex. Investment)</w:t>
            </w:r>
          </w:p>
        </w:tc>
        <w:tc>
          <w:tcPr>
            <w:tcW w:w="960" w:type="dxa"/>
            <w:tcBorders>
              <w:top w:val="nil"/>
              <w:left w:val="nil"/>
              <w:bottom w:val="single" w:sz="4" w:space="0" w:color="auto"/>
              <w:right w:val="single" w:sz="4" w:space="0" w:color="auto"/>
            </w:tcBorders>
            <w:noWrap/>
            <w:vAlign w:val="bottom"/>
            <w:hideMark/>
          </w:tcPr>
          <w:p w14:paraId="09C29721"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41.324</w:t>
            </w:r>
          </w:p>
        </w:tc>
        <w:tc>
          <w:tcPr>
            <w:tcW w:w="1160" w:type="dxa"/>
            <w:tcBorders>
              <w:top w:val="nil"/>
              <w:left w:val="nil"/>
              <w:bottom w:val="single" w:sz="4" w:space="0" w:color="auto"/>
              <w:right w:val="single" w:sz="4" w:space="0" w:color="auto"/>
            </w:tcBorders>
            <w:noWrap/>
            <w:vAlign w:val="bottom"/>
            <w:hideMark/>
          </w:tcPr>
          <w:p w14:paraId="092C76C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9D65797"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7EEAE969"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5094BC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0AC8A54"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5AD35E0C"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3430D9D5"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Net Present Value/NPV</w:t>
            </w:r>
          </w:p>
        </w:tc>
        <w:tc>
          <w:tcPr>
            <w:tcW w:w="960" w:type="dxa"/>
            <w:tcBorders>
              <w:top w:val="nil"/>
              <w:left w:val="nil"/>
              <w:bottom w:val="single" w:sz="4" w:space="0" w:color="auto"/>
              <w:right w:val="single" w:sz="4" w:space="0" w:color="auto"/>
            </w:tcBorders>
            <w:noWrap/>
            <w:vAlign w:val="bottom"/>
            <w:hideMark/>
          </w:tcPr>
          <w:p w14:paraId="51219D4A"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-8.676</w:t>
            </w:r>
          </w:p>
        </w:tc>
        <w:tc>
          <w:tcPr>
            <w:tcW w:w="1160" w:type="dxa"/>
            <w:tcBorders>
              <w:top w:val="nil"/>
              <w:left w:val="nil"/>
              <w:bottom w:val="single" w:sz="4" w:space="0" w:color="auto"/>
              <w:right w:val="single" w:sz="4" w:space="0" w:color="auto"/>
            </w:tcBorders>
            <w:noWrap/>
            <w:vAlign w:val="bottom"/>
            <w:hideMark/>
          </w:tcPr>
          <w:p w14:paraId="119C02B7"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920F05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FB1D70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4923C8C"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929920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738486E5"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79CBCDD8"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Profitability Index/PI</w:t>
            </w:r>
          </w:p>
        </w:tc>
        <w:tc>
          <w:tcPr>
            <w:tcW w:w="960" w:type="dxa"/>
            <w:tcBorders>
              <w:top w:val="nil"/>
              <w:left w:val="nil"/>
              <w:bottom w:val="single" w:sz="4" w:space="0" w:color="auto"/>
              <w:right w:val="single" w:sz="4" w:space="0" w:color="auto"/>
            </w:tcBorders>
            <w:noWrap/>
            <w:vAlign w:val="bottom"/>
            <w:hideMark/>
          </w:tcPr>
          <w:p w14:paraId="1AA4CF5B"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82.65%</w:t>
            </w:r>
          </w:p>
        </w:tc>
        <w:tc>
          <w:tcPr>
            <w:tcW w:w="1160" w:type="dxa"/>
            <w:tcBorders>
              <w:top w:val="nil"/>
              <w:left w:val="nil"/>
              <w:bottom w:val="single" w:sz="4" w:space="0" w:color="auto"/>
              <w:right w:val="single" w:sz="4" w:space="0" w:color="auto"/>
            </w:tcBorders>
            <w:noWrap/>
            <w:vAlign w:val="bottom"/>
            <w:hideMark/>
          </w:tcPr>
          <w:p w14:paraId="3FB3A18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947F50E"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8910B7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F713429"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74EAEC9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bl>
    <w:p w14:paraId="3E37F833" w14:textId="77777777" w:rsidR="00BD71EE" w:rsidRDefault="00BD71EE" w:rsidP="00BD71EE"/>
    <w:tbl>
      <w:tblPr>
        <w:tblW w:w="10520" w:type="dxa"/>
        <w:jc w:val="center"/>
        <w:tblLook w:val="04A0" w:firstRow="1" w:lastRow="0" w:firstColumn="1" w:lastColumn="0" w:noHBand="0" w:noVBand="1"/>
      </w:tblPr>
      <w:tblGrid>
        <w:gridCol w:w="3760"/>
        <w:gridCol w:w="963"/>
        <w:gridCol w:w="1160"/>
        <w:gridCol w:w="1160"/>
        <w:gridCol w:w="1160"/>
        <w:gridCol w:w="1160"/>
        <w:gridCol w:w="1160"/>
      </w:tblGrid>
      <w:tr w:rsidR="00BD71EE" w:rsidRPr="00BD71EE" w14:paraId="7C161B46" w14:textId="77777777" w:rsidTr="00846699">
        <w:trPr>
          <w:trHeight w:val="300"/>
          <w:tblHeader/>
          <w:jc w:val="center"/>
        </w:trPr>
        <w:tc>
          <w:tcPr>
            <w:tcW w:w="3760" w:type="dxa"/>
            <w:tcBorders>
              <w:top w:val="single" w:sz="4" w:space="0" w:color="auto"/>
              <w:left w:val="single" w:sz="4" w:space="0" w:color="auto"/>
              <w:bottom w:val="single" w:sz="4" w:space="0" w:color="auto"/>
              <w:right w:val="single" w:sz="4" w:space="0" w:color="auto"/>
            </w:tcBorders>
            <w:noWrap/>
            <w:vAlign w:val="bottom"/>
            <w:hideMark/>
          </w:tcPr>
          <w:p w14:paraId="0439A3DC"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w:t>
            </w:r>
          </w:p>
        </w:tc>
        <w:tc>
          <w:tcPr>
            <w:tcW w:w="960" w:type="dxa"/>
            <w:tcBorders>
              <w:top w:val="single" w:sz="4" w:space="0" w:color="auto"/>
              <w:left w:val="nil"/>
              <w:bottom w:val="single" w:sz="4" w:space="0" w:color="auto"/>
              <w:right w:val="single" w:sz="4" w:space="0" w:color="auto"/>
            </w:tcBorders>
            <w:noWrap/>
            <w:vAlign w:val="bottom"/>
            <w:hideMark/>
          </w:tcPr>
          <w:p w14:paraId="324FCE8B"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 </w:t>
            </w:r>
          </w:p>
        </w:tc>
        <w:tc>
          <w:tcPr>
            <w:tcW w:w="1160" w:type="dxa"/>
            <w:tcBorders>
              <w:top w:val="single" w:sz="4" w:space="0" w:color="auto"/>
              <w:left w:val="nil"/>
              <w:bottom w:val="single" w:sz="4" w:space="0" w:color="auto"/>
              <w:right w:val="single" w:sz="4" w:space="0" w:color="auto"/>
            </w:tcBorders>
            <w:noWrap/>
            <w:vAlign w:val="bottom"/>
            <w:hideMark/>
          </w:tcPr>
          <w:p w14:paraId="3AB37700"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1 (£m)</w:t>
            </w:r>
          </w:p>
        </w:tc>
        <w:tc>
          <w:tcPr>
            <w:tcW w:w="1160" w:type="dxa"/>
            <w:tcBorders>
              <w:top w:val="single" w:sz="4" w:space="0" w:color="auto"/>
              <w:left w:val="nil"/>
              <w:bottom w:val="single" w:sz="4" w:space="0" w:color="auto"/>
              <w:right w:val="single" w:sz="4" w:space="0" w:color="auto"/>
            </w:tcBorders>
            <w:noWrap/>
            <w:vAlign w:val="bottom"/>
            <w:hideMark/>
          </w:tcPr>
          <w:p w14:paraId="11E8FFF0"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2 (£m)</w:t>
            </w:r>
          </w:p>
        </w:tc>
        <w:tc>
          <w:tcPr>
            <w:tcW w:w="1160" w:type="dxa"/>
            <w:tcBorders>
              <w:top w:val="single" w:sz="4" w:space="0" w:color="auto"/>
              <w:left w:val="nil"/>
              <w:bottom w:val="single" w:sz="4" w:space="0" w:color="auto"/>
              <w:right w:val="single" w:sz="4" w:space="0" w:color="auto"/>
            </w:tcBorders>
            <w:noWrap/>
            <w:vAlign w:val="bottom"/>
            <w:hideMark/>
          </w:tcPr>
          <w:p w14:paraId="32AF51DC"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3 (£m)</w:t>
            </w:r>
          </w:p>
        </w:tc>
        <w:tc>
          <w:tcPr>
            <w:tcW w:w="1160" w:type="dxa"/>
            <w:tcBorders>
              <w:top w:val="single" w:sz="4" w:space="0" w:color="auto"/>
              <w:left w:val="nil"/>
              <w:bottom w:val="single" w:sz="4" w:space="0" w:color="auto"/>
              <w:right w:val="single" w:sz="4" w:space="0" w:color="auto"/>
            </w:tcBorders>
            <w:noWrap/>
            <w:vAlign w:val="bottom"/>
            <w:hideMark/>
          </w:tcPr>
          <w:p w14:paraId="0AE43D31"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4 (£m)</w:t>
            </w:r>
          </w:p>
        </w:tc>
        <w:tc>
          <w:tcPr>
            <w:tcW w:w="1160" w:type="dxa"/>
            <w:tcBorders>
              <w:top w:val="single" w:sz="4" w:space="0" w:color="auto"/>
              <w:left w:val="nil"/>
              <w:bottom w:val="single" w:sz="4" w:space="0" w:color="auto"/>
              <w:right w:val="single" w:sz="4" w:space="0" w:color="auto"/>
            </w:tcBorders>
            <w:noWrap/>
            <w:vAlign w:val="bottom"/>
            <w:hideMark/>
          </w:tcPr>
          <w:p w14:paraId="710C333A"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5 (£m)</w:t>
            </w:r>
          </w:p>
        </w:tc>
      </w:tr>
      <w:tr w:rsidR="00BD71EE" w:rsidRPr="00BD71EE" w14:paraId="30E0D7C0"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77213926"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Project B</w:t>
            </w:r>
          </w:p>
        </w:tc>
        <w:tc>
          <w:tcPr>
            <w:tcW w:w="960" w:type="dxa"/>
            <w:tcBorders>
              <w:top w:val="nil"/>
              <w:left w:val="nil"/>
              <w:bottom w:val="single" w:sz="4" w:space="0" w:color="auto"/>
              <w:right w:val="single" w:sz="4" w:space="0" w:color="auto"/>
            </w:tcBorders>
            <w:noWrap/>
            <w:vAlign w:val="bottom"/>
            <w:hideMark/>
          </w:tcPr>
          <w:p w14:paraId="509A5639"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BEAA67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4001FC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3D10B1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5A412E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275163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7CD80114"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3CC1AFF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Investment</w:t>
            </w:r>
          </w:p>
        </w:tc>
        <w:tc>
          <w:tcPr>
            <w:tcW w:w="960" w:type="dxa"/>
            <w:tcBorders>
              <w:top w:val="nil"/>
              <w:left w:val="nil"/>
              <w:bottom w:val="single" w:sz="4" w:space="0" w:color="auto"/>
              <w:right w:val="single" w:sz="4" w:space="0" w:color="auto"/>
            </w:tcBorders>
            <w:noWrap/>
            <w:vAlign w:val="bottom"/>
            <w:hideMark/>
          </w:tcPr>
          <w:p w14:paraId="6D87D6E4"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50</w:t>
            </w:r>
          </w:p>
        </w:tc>
        <w:tc>
          <w:tcPr>
            <w:tcW w:w="1160" w:type="dxa"/>
            <w:tcBorders>
              <w:top w:val="nil"/>
              <w:left w:val="nil"/>
              <w:bottom w:val="single" w:sz="4" w:space="0" w:color="auto"/>
              <w:right w:val="single" w:sz="4" w:space="0" w:color="auto"/>
            </w:tcBorders>
            <w:noWrap/>
            <w:vAlign w:val="bottom"/>
            <w:hideMark/>
          </w:tcPr>
          <w:p w14:paraId="0F4BCBF6"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9DC5BD4"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5BBCE7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0EBE3F9"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495AB44"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30DE4287"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05AE510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Cash inflows</w:t>
            </w:r>
          </w:p>
        </w:tc>
        <w:tc>
          <w:tcPr>
            <w:tcW w:w="960" w:type="dxa"/>
            <w:tcBorders>
              <w:top w:val="nil"/>
              <w:left w:val="nil"/>
              <w:bottom w:val="single" w:sz="4" w:space="0" w:color="auto"/>
              <w:right w:val="single" w:sz="4" w:space="0" w:color="auto"/>
            </w:tcBorders>
            <w:noWrap/>
            <w:vAlign w:val="bottom"/>
            <w:hideMark/>
          </w:tcPr>
          <w:p w14:paraId="0B666D3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7378358F"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11</w:t>
            </w:r>
          </w:p>
        </w:tc>
        <w:tc>
          <w:tcPr>
            <w:tcW w:w="1160" w:type="dxa"/>
            <w:tcBorders>
              <w:top w:val="nil"/>
              <w:left w:val="nil"/>
              <w:bottom w:val="single" w:sz="4" w:space="0" w:color="auto"/>
              <w:right w:val="single" w:sz="4" w:space="0" w:color="auto"/>
            </w:tcBorders>
            <w:noWrap/>
            <w:vAlign w:val="bottom"/>
            <w:hideMark/>
          </w:tcPr>
          <w:p w14:paraId="65ABAEB3"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11</w:t>
            </w:r>
          </w:p>
        </w:tc>
        <w:tc>
          <w:tcPr>
            <w:tcW w:w="1160" w:type="dxa"/>
            <w:tcBorders>
              <w:top w:val="nil"/>
              <w:left w:val="nil"/>
              <w:bottom w:val="single" w:sz="4" w:space="0" w:color="auto"/>
              <w:right w:val="single" w:sz="4" w:space="0" w:color="auto"/>
            </w:tcBorders>
            <w:noWrap/>
            <w:vAlign w:val="bottom"/>
            <w:hideMark/>
          </w:tcPr>
          <w:p w14:paraId="0659FDB2"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11</w:t>
            </w:r>
          </w:p>
        </w:tc>
        <w:tc>
          <w:tcPr>
            <w:tcW w:w="1160" w:type="dxa"/>
            <w:tcBorders>
              <w:top w:val="nil"/>
              <w:left w:val="nil"/>
              <w:bottom w:val="single" w:sz="4" w:space="0" w:color="auto"/>
              <w:right w:val="single" w:sz="4" w:space="0" w:color="auto"/>
            </w:tcBorders>
            <w:noWrap/>
            <w:vAlign w:val="bottom"/>
            <w:hideMark/>
          </w:tcPr>
          <w:p w14:paraId="45664206"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11</w:t>
            </w:r>
          </w:p>
        </w:tc>
        <w:tc>
          <w:tcPr>
            <w:tcW w:w="1160" w:type="dxa"/>
            <w:tcBorders>
              <w:top w:val="nil"/>
              <w:left w:val="nil"/>
              <w:bottom w:val="single" w:sz="4" w:space="0" w:color="auto"/>
              <w:right w:val="single" w:sz="4" w:space="0" w:color="auto"/>
            </w:tcBorders>
            <w:noWrap/>
            <w:vAlign w:val="bottom"/>
            <w:hideMark/>
          </w:tcPr>
          <w:p w14:paraId="7EFFA808"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11</w:t>
            </w:r>
          </w:p>
        </w:tc>
      </w:tr>
      <w:tr w:rsidR="00BD71EE" w:rsidRPr="00BD71EE" w14:paraId="1E75C8DE"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59AB0630"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Net Cash inflows</w:t>
            </w:r>
          </w:p>
        </w:tc>
        <w:tc>
          <w:tcPr>
            <w:tcW w:w="960" w:type="dxa"/>
            <w:tcBorders>
              <w:top w:val="nil"/>
              <w:left w:val="nil"/>
              <w:bottom w:val="single" w:sz="4" w:space="0" w:color="auto"/>
              <w:right w:val="single" w:sz="4" w:space="0" w:color="auto"/>
            </w:tcBorders>
            <w:noWrap/>
            <w:vAlign w:val="bottom"/>
            <w:hideMark/>
          </w:tcPr>
          <w:p w14:paraId="111954C7"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-50</w:t>
            </w:r>
          </w:p>
        </w:tc>
        <w:tc>
          <w:tcPr>
            <w:tcW w:w="1160" w:type="dxa"/>
            <w:tcBorders>
              <w:top w:val="nil"/>
              <w:left w:val="nil"/>
              <w:bottom w:val="single" w:sz="4" w:space="0" w:color="auto"/>
              <w:right w:val="single" w:sz="4" w:space="0" w:color="auto"/>
            </w:tcBorders>
            <w:noWrap/>
            <w:vAlign w:val="bottom"/>
            <w:hideMark/>
          </w:tcPr>
          <w:p w14:paraId="13D61B01"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11</w:t>
            </w:r>
          </w:p>
        </w:tc>
        <w:tc>
          <w:tcPr>
            <w:tcW w:w="1160" w:type="dxa"/>
            <w:tcBorders>
              <w:top w:val="nil"/>
              <w:left w:val="nil"/>
              <w:bottom w:val="single" w:sz="4" w:space="0" w:color="auto"/>
              <w:right w:val="single" w:sz="4" w:space="0" w:color="auto"/>
            </w:tcBorders>
            <w:noWrap/>
            <w:vAlign w:val="bottom"/>
            <w:hideMark/>
          </w:tcPr>
          <w:p w14:paraId="17D6BE7F"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11</w:t>
            </w:r>
          </w:p>
        </w:tc>
        <w:tc>
          <w:tcPr>
            <w:tcW w:w="1160" w:type="dxa"/>
            <w:tcBorders>
              <w:top w:val="nil"/>
              <w:left w:val="nil"/>
              <w:bottom w:val="single" w:sz="4" w:space="0" w:color="auto"/>
              <w:right w:val="single" w:sz="4" w:space="0" w:color="auto"/>
            </w:tcBorders>
            <w:noWrap/>
            <w:vAlign w:val="bottom"/>
            <w:hideMark/>
          </w:tcPr>
          <w:p w14:paraId="2456CC67"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11</w:t>
            </w:r>
          </w:p>
        </w:tc>
        <w:tc>
          <w:tcPr>
            <w:tcW w:w="1160" w:type="dxa"/>
            <w:tcBorders>
              <w:top w:val="nil"/>
              <w:left w:val="nil"/>
              <w:bottom w:val="single" w:sz="4" w:space="0" w:color="auto"/>
              <w:right w:val="single" w:sz="4" w:space="0" w:color="auto"/>
            </w:tcBorders>
            <w:noWrap/>
            <w:vAlign w:val="bottom"/>
            <w:hideMark/>
          </w:tcPr>
          <w:p w14:paraId="30EC6316"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11</w:t>
            </w:r>
          </w:p>
        </w:tc>
        <w:tc>
          <w:tcPr>
            <w:tcW w:w="1160" w:type="dxa"/>
            <w:tcBorders>
              <w:top w:val="nil"/>
              <w:left w:val="nil"/>
              <w:bottom w:val="single" w:sz="4" w:space="0" w:color="auto"/>
              <w:right w:val="single" w:sz="4" w:space="0" w:color="auto"/>
            </w:tcBorders>
            <w:noWrap/>
            <w:vAlign w:val="bottom"/>
            <w:hideMark/>
          </w:tcPr>
          <w:p w14:paraId="77A20A65"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11</w:t>
            </w:r>
          </w:p>
        </w:tc>
      </w:tr>
      <w:tr w:rsidR="00BD71EE" w:rsidRPr="00BD71EE" w14:paraId="2E157ABC"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27A7B00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proofErr w:type="spellStart"/>
            <w:r w:rsidRPr="00BD71EE">
              <w:rPr>
                <w:rFonts w:ascii="Aptos Narrow" w:eastAsia="Times New Roman" w:hAnsi="Aptos Narrow" w:cs="Times New Roman"/>
                <w:color w:val="000000"/>
                <w:sz w:val="22"/>
                <w:lang w:eastAsia="en-GB"/>
              </w:rPr>
              <w:t>Cummulative</w:t>
            </w:r>
            <w:proofErr w:type="spellEnd"/>
            <w:r w:rsidRPr="00BD71EE">
              <w:rPr>
                <w:rFonts w:ascii="Aptos Narrow" w:eastAsia="Times New Roman" w:hAnsi="Aptos Narrow" w:cs="Times New Roman"/>
                <w:color w:val="000000"/>
                <w:sz w:val="22"/>
                <w:lang w:eastAsia="en-GB"/>
              </w:rPr>
              <w:t xml:space="preserve"> Cash inflow</w:t>
            </w:r>
          </w:p>
        </w:tc>
        <w:tc>
          <w:tcPr>
            <w:tcW w:w="960" w:type="dxa"/>
            <w:tcBorders>
              <w:top w:val="nil"/>
              <w:left w:val="nil"/>
              <w:bottom w:val="single" w:sz="4" w:space="0" w:color="auto"/>
              <w:right w:val="single" w:sz="4" w:space="0" w:color="auto"/>
            </w:tcBorders>
            <w:noWrap/>
            <w:vAlign w:val="bottom"/>
            <w:hideMark/>
          </w:tcPr>
          <w:p w14:paraId="671821E1"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-50</w:t>
            </w:r>
          </w:p>
        </w:tc>
        <w:tc>
          <w:tcPr>
            <w:tcW w:w="1160" w:type="dxa"/>
            <w:tcBorders>
              <w:top w:val="nil"/>
              <w:left w:val="nil"/>
              <w:bottom w:val="single" w:sz="4" w:space="0" w:color="auto"/>
              <w:right w:val="single" w:sz="4" w:space="0" w:color="auto"/>
            </w:tcBorders>
            <w:noWrap/>
            <w:vAlign w:val="bottom"/>
            <w:hideMark/>
          </w:tcPr>
          <w:p w14:paraId="23D896D2"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-39</w:t>
            </w:r>
          </w:p>
        </w:tc>
        <w:tc>
          <w:tcPr>
            <w:tcW w:w="1160" w:type="dxa"/>
            <w:tcBorders>
              <w:top w:val="nil"/>
              <w:left w:val="nil"/>
              <w:bottom w:val="single" w:sz="4" w:space="0" w:color="auto"/>
              <w:right w:val="single" w:sz="4" w:space="0" w:color="auto"/>
            </w:tcBorders>
            <w:noWrap/>
            <w:vAlign w:val="bottom"/>
            <w:hideMark/>
          </w:tcPr>
          <w:p w14:paraId="471EC736"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-28</w:t>
            </w:r>
          </w:p>
        </w:tc>
        <w:tc>
          <w:tcPr>
            <w:tcW w:w="1160" w:type="dxa"/>
            <w:tcBorders>
              <w:top w:val="nil"/>
              <w:left w:val="nil"/>
              <w:bottom w:val="single" w:sz="4" w:space="0" w:color="auto"/>
              <w:right w:val="single" w:sz="4" w:space="0" w:color="auto"/>
            </w:tcBorders>
            <w:noWrap/>
            <w:vAlign w:val="bottom"/>
            <w:hideMark/>
          </w:tcPr>
          <w:p w14:paraId="02CD430E"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-17</w:t>
            </w:r>
          </w:p>
        </w:tc>
        <w:tc>
          <w:tcPr>
            <w:tcW w:w="1160" w:type="dxa"/>
            <w:tcBorders>
              <w:top w:val="nil"/>
              <w:left w:val="nil"/>
              <w:bottom w:val="single" w:sz="4" w:space="0" w:color="auto"/>
              <w:right w:val="single" w:sz="4" w:space="0" w:color="auto"/>
            </w:tcBorders>
            <w:noWrap/>
            <w:vAlign w:val="bottom"/>
            <w:hideMark/>
          </w:tcPr>
          <w:p w14:paraId="17921ACC"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w:t>
            </w:r>
          </w:p>
        </w:tc>
        <w:tc>
          <w:tcPr>
            <w:tcW w:w="1160" w:type="dxa"/>
            <w:tcBorders>
              <w:top w:val="nil"/>
              <w:left w:val="nil"/>
              <w:bottom w:val="single" w:sz="4" w:space="0" w:color="auto"/>
              <w:right w:val="single" w:sz="4" w:space="0" w:color="auto"/>
            </w:tcBorders>
            <w:noWrap/>
            <w:vAlign w:val="bottom"/>
            <w:hideMark/>
          </w:tcPr>
          <w:p w14:paraId="5B1ACC1E"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w:t>
            </w:r>
          </w:p>
        </w:tc>
      </w:tr>
      <w:tr w:rsidR="00BD71EE" w:rsidRPr="00BD71EE" w14:paraId="19C5771E"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09123DF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Payback after (years)</w:t>
            </w:r>
          </w:p>
        </w:tc>
        <w:tc>
          <w:tcPr>
            <w:tcW w:w="960" w:type="dxa"/>
            <w:tcBorders>
              <w:top w:val="nil"/>
              <w:left w:val="nil"/>
              <w:bottom w:val="single" w:sz="4" w:space="0" w:color="auto"/>
              <w:right w:val="single" w:sz="4" w:space="0" w:color="auto"/>
            </w:tcBorders>
            <w:noWrap/>
            <w:vAlign w:val="bottom"/>
            <w:hideMark/>
          </w:tcPr>
          <w:p w14:paraId="1BE0D586"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w:t>
            </w:r>
          </w:p>
        </w:tc>
        <w:tc>
          <w:tcPr>
            <w:tcW w:w="1160" w:type="dxa"/>
            <w:tcBorders>
              <w:top w:val="nil"/>
              <w:left w:val="nil"/>
              <w:bottom w:val="single" w:sz="4" w:space="0" w:color="auto"/>
              <w:right w:val="single" w:sz="4" w:space="0" w:color="auto"/>
            </w:tcBorders>
            <w:noWrap/>
            <w:vAlign w:val="bottom"/>
            <w:hideMark/>
          </w:tcPr>
          <w:p w14:paraId="1B6C3B84"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233F58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E5EBC7E"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3720B0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91F1DC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1F146F84"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477772FE"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Payback Period/PBP (years)</w:t>
            </w:r>
          </w:p>
        </w:tc>
        <w:tc>
          <w:tcPr>
            <w:tcW w:w="960" w:type="dxa"/>
            <w:tcBorders>
              <w:top w:val="nil"/>
              <w:left w:val="nil"/>
              <w:bottom w:val="single" w:sz="4" w:space="0" w:color="auto"/>
              <w:right w:val="single" w:sz="4" w:space="0" w:color="auto"/>
            </w:tcBorders>
            <w:noWrap/>
            <w:vAlign w:val="bottom"/>
            <w:hideMark/>
          </w:tcPr>
          <w:p w14:paraId="4C8363D9"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4.55</w:t>
            </w:r>
          </w:p>
        </w:tc>
        <w:tc>
          <w:tcPr>
            <w:tcW w:w="1160" w:type="dxa"/>
            <w:tcBorders>
              <w:top w:val="nil"/>
              <w:left w:val="nil"/>
              <w:bottom w:val="single" w:sz="4" w:space="0" w:color="auto"/>
              <w:right w:val="single" w:sz="4" w:space="0" w:color="auto"/>
            </w:tcBorders>
            <w:noWrap/>
            <w:vAlign w:val="bottom"/>
            <w:hideMark/>
          </w:tcPr>
          <w:p w14:paraId="679A530C"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670DDA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2F552B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87450D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14F023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577A75A6"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6E06E0A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Average profit</w:t>
            </w:r>
          </w:p>
        </w:tc>
        <w:tc>
          <w:tcPr>
            <w:tcW w:w="960" w:type="dxa"/>
            <w:tcBorders>
              <w:top w:val="nil"/>
              <w:left w:val="nil"/>
              <w:bottom w:val="single" w:sz="4" w:space="0" w:color="auto"/>
              <w:right w:val="single" w:sz="4" w:space="0" w:color="auto"/>
            </w:tcBorders>
            <w:noWrap/>
            <w:vAlign w:val="bottom"/>
            <w:hideMark/>
          </w:tcPr>
          <w:p w14:paraId="18E4A436"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1.00</w:t>
            </w:r>
          </w:p>
        </w:tc>
        <w:tc>
          <w:tcPr>
            <w:tcW w:w="1160" w:type="dxa"/>
            <w:tcBorders>
              <w:top w:val="nil"/>
              <w:left w:val="nil"/>
              <w:bottom w:val="single" w:sz="4" w:space="0" w:color="auto"/>
              <w:right w:val="single" w:sz="4" w:space="0" w:color="auto"/>
            </w:tcBorders>
            <w:noWrap/>
            <w:vAlign w:val="bottom"/>
            <w:hideMark/>
          </w:tcPr>
          <w:p w14:paraId="167C5AC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BB234E4"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EA3F10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263AB4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4AFCDE4"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0CA8302D"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100048A2"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proofErr w:type="spellStart"/>
            <w:r w:rsidRPr="00BD71EE">
              <w:rPr>
                <w:rFonts w:ascii="Aptos Narrow" w:eastAsia="Times New Roman" w:hAnsi="Aptos Narrow" w:cs="Times New Roman"/>
                <w:b/>
                <w:bCs/>
                <w:color w:val="000000"/>
                <w:sz w:val="22"/>
                <w:lang w:eastAsia="en-GB"/>
              </w:rPr>
              <w:t>Acounting</w:t>
            </w:r>
            <w:proofErr w:type="spellEnd"/>
            <w:r w:rsidRPr="00BD71EE">
              <w:rPr>
                <w:rFonts w:ascii="Aptos Narrow" w:eastAsia="Times New Roman" w:hAnsi="Aptos Narrow" w:cs="Times New Roman"/>
                <w:b/>
                <w:bCs/>
                <w:color w:val="000000"/>
                <w:sz w:val="22"/>
                <w:lang w:eastAsia="en-GB"/>
              </w:rPr>
              <w:t xml:space="preserve"> Rate of Return/ARR</w:t>
            </w:r>
          </w:p>
        </w:tc>
        <w:tc>
          <w:tcPr>
            <w:tcW w:w="960" w:type="dxa"/>
            <w:tcBorders>
              <w:top w:val="nil"/>
              <w:left w:val="nil"/>
              <w:bottom w:val="single" w:sz="4" w:space="0" w:color="auto"/>
              <w:right w:val="single" w:sz="4" w:space="0" w:color="auto"/>
            </w:tcBorders>
            <w:noWrap/>
            <w:vAlign w:val="bottom"/>
            <w:hideMark/>
          </w:tcPr>
          <w:p w14:paraId="75EF34D5"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2.00%</w:t>
            </w:r>
          </w:p>
        </w:tc>
        <w:tc>
          <w:tcPr>
            <w:tcW w:w="1160" w:type="dxa"/>
            <w:tcBorders>
              <w:top w:val="nil"/>
              <w:left w:val="nil"/>
              <w:bottom w:val="single" w:sz="4" w:space="0" w:color="auto"/>
              <w:right w:val="single" w:sz="4" w:space="0" w:color="auto"/>
            </w:tcBorders>
            <w:noWrap/>
            <w:vAlign w:val="bottom"/>
            <w:hideMark/>
          </w:tcPr>
          <w:p w14:paraId="74CAC23E"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18AAFE6"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08AC94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758372E"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E49B4C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4F258819"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2B4CDC94"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Internal Rate of Return/IRR</w:t>
            </w:r>
          </w:p>
        </w:tc>
        <w:tc>
          <w:tcPr>
            <w:tcW w:w="960" w:type="dxa"/>
            <w:tcBorders>
              <w:top w:val="nil"/>
              <w:left w:val="nil"/>
              <w:bottom w:val="single" w:sz="4" w:space="0" w:color="auto"/>
              <w:right w:val="single" w:sz="4" w:space="0" w:color="auto"/>
            </w:tcBorders>
            <w:noWrap/>
            <w:vAlign w:val="bottom"/>
            <w:hideMark/>
          </w:tcPr>
          <w:p w14:paraId="3EB6F661"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3.26%</w:t>
            </w:r>
          </w:p>
        </w:tc>
        <w:tc>
          <w:tcPr>
            <w:tcW w:w="1160" w:type="dxa"/>
            <w:tcBorders>
              <w:top w:val="nil"/>
              <w:left w:val="nil"/>
              <w:bottom w:val="single" w:sz="4" w:space="0" w:color="auto"/>
              <w:right w:val="single" w:sz="4" w:space="0" w:color="auto"/>
            </w:tcBorders>
            <w:noWrap/>
            <w:vAlign w:val="bottom"/>
            <w:hideMark/>
          </w:tcPr>
          <w:p w14:paraId="0C16AE3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D258E87"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4D9AD2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DD3ADE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CC2FB0A"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7F0C3387"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6DE2FC46"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proofErr w:type="spellStart"/>
            <w:r w:rsidRPr="00BD71EE">
              <w:rPr>
                <w:rFonts w:ascii="Aptos Narrow" w:eastAsia="Times New Roman" w:hAnsi="Aptos Narrow" w:cs="Times New Roman"/>
                <w:color w:val="000000"/>
                <w:sz w:val="22"/>
                <w:lang w:eastAsia="en-GB"/>
              </w:rPr>
              <w:t>Dicounted</w:t>
            </w:r>
            <w:proofErr w:type="spellEnd"/>
            <w:r w:rsidRPr="00BD71EE">
              <w:rPr>
                <w:rFonts w:ascii="Aptos Narrow" w:eastAsia="Times New Roman" w:hAnsi="Aptos Narrow" w:cs="Times New Roman"/>
                <w:color w:val="000000"/>
                <w:sz w:val="22"/>
                <w:lang w:eastAsia="en-GB"/>
              </w:rPr>
              <w:t xml:space="preserve"> Cash inflows</w:t>
            </w:r>
          </w:p>
        </w:tc>
        <w:tc>
          <w:tcPr>
            <w:tcW w:w="960" w:type="dxa"/>
            <w:tcBorders>
              <w:top w:val="nil"/>
              <w:left w:val="nil"/>
              <w:bottom w:val="single" w:sz="4" w:space="0" w:color="auto"/>
              <w:right w:val="single" w:sz="4" w:space="0" w:color="auto"/>
            </w:tcBorders>
            <w:noWrap/>
            <w:vAlign w:val="bottom"/>
            <w:hideMark/>
          </w:tcPr>
          <w:p w14:paraId="37F4F76D"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-50.000</w:t>
            </w:r>
          </w:p>
        </w:tc>
        <w:tc>
          <w:tcPr>
            <w:tcW w:w="1160" w:type="dxa"/>
            <w:tcBorders>
              <w:top w:val="nil"/>
              <w:left w:val="nil"/>
              <w:bottom w:val="single" w:sz="4" w:space="0" w:color="auto"/>
              <w:right w:val="single" w:sz="4" w:space="0" w:color="auto"/>
            </w:tcBorders>
            <w:noWrap/>
            <w:vAlign w:val="bottom"/>
            <w:hideMark/>
          </w:tcPr>
          <w:p w14:paraId="4BC4DCF3"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10.000</w:t>
            </w:r>
          </w:p>
        </w:tc>
        <w:tc>
          <w:tcPr>
            <w:tcW w:w="1160" w:type="dxa"/>
            <w:tcBorders>
              <w:top w:val="nil"/>
              <w:left w:val="nil"/>
              <w:bottom w:val="single" w:sz="4" w:space="0" w:color="auto"/>
              <w:right w:val="single" w:sz="4" w:space="0" w:color="auto"/>
            </w:tcBorders>
            <w:noWrap/>
            <w:vAlign w:val="bottom"/>
            <w:hideMark/>
          </w:tcPr>
          <w:p w14:paraId="5A5D33A3"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9.091</w:t>
            </w:r>
          </w:p>
        </w:tc>
        <w:tc>
          <w:tcPr>
            <w:tcW w:w="1160" w:type="dxa"/>
            <w:tcBorders>
              <w:top w:val="nil"/>
              <w:left w:val="nil"/>
              <w:bottom w:val="single" w:sz="4" w:space="0" w:color="auto"/>
              <w:right w:val="single" w:sz="4" w:space="0" w:color="auto"/>
            </w:tcBorders>
            <w:noWrap/>
            <w:vAlign w:val="bottom"/>
            <w:hideMark/>
          </w:tcPr>
          <w:p w14:paraId="4492DA7E"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8.264</w:t>
            </w:r>
          </w:p>
        </w:tc>
        <w:tc>
          <w:tcPr>
            <w:tcW w:w="1160" w:type="dxa"/>
            <w:tcBorders>
              <w:top w:val="nil"/>
              <w:left w:val="nil"/>
              <w:bottom w:val="single" w:sz="4" w:space="0" w:color="auto"/>
              <w:right w:val="single" w:sz="4" w:space="0" w:color="auto"/>
            </w:tcBorders>
            <w:noWrap/>
            <w:vAlign w:val="bottom"/>
            <w:hideMark/>
          </w:tcPr>
          <w:p w14:paraId="50D4EB4A"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7.513</w:t>
            </w:r>
          </w:p>
        </w:tc>
        <w:tc>
          <w:tcPr>
            <w:tcW w:w="1160" w:type="dxa"/>
            <w:tcBorders>
              <w:top w:val="nil"/>
              <w:left w:val="nil"/>
              <w:bottom w:val="single" w:sz="4" w:space="0" w:color="auto"/>
              <w:right w:val="single" w:sz="4" w:space="0" w:color="auto"/>
            </w:tcBorders>
            <w:noWrap/>
            <w:vAlign w:val="bottom"/>
            <w:hideMark/>
          </w:tcPr>
          <w:p w14:paraId="135355B8"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6.830</w:t>
            </w:r>
          </w:p>
        </w:tc>
      </w:tr>
      <w:tr w:rsidR="00BD71EE" w:rsidRPr="00BD71EE" w14:paraId="2D99C032"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1221D16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proofErr w:type="spellStart"/>
            <w:r w:rsidRPr="00BD71EE">
              <w:rPr>
                <w:rFonts w:ascii="Aptos Narrow" w:eastAsia="Times New Roman" w:hAnsi="Aptos Narrow" w:cs="Times New Roman"/>
                <w:color w:val="000000"/>
                <w:sz w:val="22"/>
                <w:lang w:eastAsia="en-GB"/>
              </w:rPr>
              <w:t>Dicounted</w:t>
            </w:r>
            <w:proofErr w:type="spellEnd"/>
            <w:r w:rsidRPr="00BD71EE">
              <w:rPr>
                <w:rFonts w:ascii="Aptos Narrow" w:eastAsia="Times New Roman" w:hAnsi="Aptos Narrow" w:cs="Times New Roman"/>
                <w:color w:val="000000"/>
                <w:sz w:val="22"/>
                <w:lang w:eastAsia="en-GB"/>
              </w:rPr>
              <w:t xml:space="preserve"> Cash inflow (ex. Investment)</w:t>
            </w:r>
          </w:p>
        </w:tc>
        <w:tc>
          <w:tcPr>
            <w:tcW w:w="960" w:type="dxa"/>
            <w:tcBorders>
              <w:top w:val="nil"/>
              <w:left w:val="nil"/>
              <w:bottom w:val="single" w:sz="4" w:space="0" w:color="auto"/>
              <w:right w:val="single" w:sz="4" w:space="0" w:color="auto"/>
            </w:tcBorders>
            <w:noWrap/>
            <w:vAlign w:val="bottom"/>
            <w:hideMark/>
          </w:tcPr>
          <w:p w14:paraId="366A6283"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41.699</w:t>
            </w:r>
          </w:p>
        </w:tc>
        <w:tc>
          <w:tcPr>
            <w:tcW w:w="1160" w:type="dxa"/>
            <w:tcBorders>
              <w:top w:val="nil"/>
              <w:left w:val="nil"/>
              <w:bottom w:val="single" w:sz="4" w:space="0" w:color="auto"/>
              <w:right w:val="single" w:sz="4" w:space="0" w:color="auto"/>
            </w:tcBorders>
            <w:noWrap/>
            <w:vAlign w:val="bottom"/>
            <w:hideMark/>
          </w:tcPr>
          <w:p w14:paraId="2A52012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701F1A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0A17DE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E66AFC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473128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1ED99410"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7E6F1620"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Net Present Value/NPV</w:t>
            </w:r>
          </w:p>
        </w:tc>
        <w:tc>
          <w:tcPr>
            <w:tcW w:w="960" w:type="dxa"/>
            <w:tcBorders>
              <w:top w:val="nil"/>
              <w:left w:val="nil"/>
              <w:bottom w:val="single" w:sz="4" w:space="0" w:color="auto"/>
              <w:right w:val="single" w:sz="4" w:space="0" w:color="auto"/>
            </w:tcBorders>
            <w:noWrap/>
            <w:vAlign w:val="bottom"/>
            <w:hideMark/>
          </w:tcPr>
          <w:p w14:paraId="06B0D346"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-8.301</w:t>
            </w:r>
          </w:p>
        </w:tc>
        <w:tc>
          <w:tcPr>
            <w:tcW w:w="1160" w:type="dxa"/>
            <w:tcBorders>
              <w:top w:val="nil"/>
              <w:left w:val="nil"/>
              <w:bottom w:val="single" w:sz="4" w:space="0" w:color="auto"/>
              <w:right w:val="single" w:sz="4" w:space="0" w:color="auto"/>
            </w:tcBorders>
            <w:noWrap/>
            <w:vAlign w:val="bottom"/>
            <w:hideMark/>
          </w:tcPr>
          <w:p w14:paraId="48A5CB78"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B7B866C"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CE0B02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2D3B17A"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E4C440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3475EFFE"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1C11EF0C"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Profitability Index/PI</w:t>
            </w:r>
          </w:p>
        </w:tc>
        <w:tc>
          <w:tcPr>
            <w:tcW w:w="960" w:type="dxa"/>
            <w:tcBorders>
              <w:top w:val="nil"/>
              <w:left w:val="nil"/>
              <w:bottom w:val="single" w:sz="4" w:space="0" w:color="auto"/>
              <w:right w:val="single" w:sz="4" w:space="0" w:color="auto"/>
            </w:tcBorders>
            <w:noWrap/>
            <w:vAlign w:val="bottom"/>
            <w:hideMark/>
          </w:tcPr>
          <w:p w14:paraId="770C72E7"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83.40%</w:t>
            </w:r>
          </w:p>
        </w:tc>
        <w:tc>
          <w:tcPr>
            <w:tcW w:w="1160" w:type="dxa"/>
            <w:tcBorders>
              <w:top w:val="nil"/>
              <w:left w:val="nil"/>
              <w:bottom w:val="single" w:sz="4" w:space="0" w:color="auto"/>
              <w:right w:val="single" w:sz="4" w:space="0" w:color="auto"/>
            </w:tcBorders>
            <w:noWrap/>
            <w:vAlign w:val="bottom"/>
            <w:hideMark/>
          </w:tcPr>
          <w:p w14:paraId="33A0F61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10C9E4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C1FE04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DECEF2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59E497C"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bl>
    <w:p w14:paraId="2B84A3DD" w14:textId="77777777" w:rsidR="00BD71EE" w:rsidRDefault="00BD71EE" w:rsidP="00BD71EE"/>
    <w:tbl>
      <w:tblPr>
        <w:tblW w:w="10520" w:type="dxa"/>
        <w:jc w:val="center"/>
        <w:tblLook w:val="04A0" w:firstRow="1" w:lastRow="0" w:firstColumn="1" w:lastColumn="0" w:noHBand="0" w:noVBand="1"/>
      </w:tblPr>
      <w:tblGrid>
        <w:gridCol w:w="3760"/>
        <w:gridCol w:w="963"/>
        <w:gridCol w:w="1160"/>
        <w:gridCol w:w="1160"/>
        <w:gridCol w:w="1160"/>
        <w:gridCol w:w="1160"/>
        <w:gridCol w:w="1160"/>
      </w:tblGrid>
      <w:tr w:rsidR="00BD71EE" w:rsidRPr="00BD71EE" w14:paraId="0281812B" w14:textId="77777777" w:rsidTr="00846699">
        <w:trPr>
          <w:trHeight w:val="300"/>
          <w:tblHeader/>
          <w:jc w:val="center"/>
        </w:trPr>
        <w:tc>
          <w:tcPr>
            <w:tcW w:w="3760" w:type="dxa"/>
            <w:tcBorders>
              <w:top w:val="single" w:sz="4" w:space="0" w:color="auto"/>
              <w:left w:val="single" w:sz="4" w:space="0" w:color="auto"/>
              <w:bottom w:val="single" w:sz="4" w:space="0" w:color="auto"/>
              <w:right w:val="single" w:sz="4" w:space="0" w:color="auto"/>
            </w:tcBorders>
            <w:noWrap/>
            <w:vAlign w:val="bottom"/>
            <w:hideMark/>
          </w:tcPr>
          <w:p w14:paraId="1A8F1ECB"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w:t>
            </w:r>
          </w:p>
        </w:tc>
        <w:tc>
          <w:tcPr>
            <w:tcW w:w="960" w:type="dxa"/>
            <w:tcBorders>
              <w:top w:val="single" w:sz="4" w:space="0" w:color="auto"/>
              <w:left w:val="nil"/>
              <w:bottom w:val="single" w:sz="4" w:space="0" w:color="auto"/>
              <w:right w:val="single" w:sz="4" w:space="0" w:color="auto"/>
            </w:tcBorders>
            <w:noWrap/>
            <w:vAlign w:val="bottom"/>
            <w:hideMark/>
          </w:tcPr>
          <w:p w14:paraId="7F9D0C7C"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 </w:t>
            </w:r>
          </w:p>
        </w:tc>
        <w:tc>
          <w:tcPr>
            <w:tcW w:w="1160" w:type="dxa"/>
            <w:tcBorders>
              <w:top w:val="single" w:sz="4" w:space="0" w:color="auto"/>
              <w:left w:val="nil"/>
              <w:bottom w:val="single" w:sz="4" w:space="0" w:color="auto"/>
              <w:right w:val="single" w:sz="4" w:space="0" w:color="auto"/>
            </w:tcBorders>
            <w:noWrap/>
            <w:vAlign w:val="bottom"/>
            <w:hideMark/>
          </w:tcPr>
          <w:p w14:paraId="46F500D6"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1 (£m)</w:t>
            </w:r>
          </w:p>
        </w:tc>
        <w:tc>
          <w:tcPr>
            <w:tcW w:w="1160" w:type="dxa"/>
            <w:tcBorders>
              <w:top w:val="single" w:sz="4" w:space="0" w:color="auto"/>
              <w:left w:val="nil"/>
              <w:bottom w:val="single" w:sz="4" w:space="0" w:color="auto"/>
              <w:right w:val="single" w:sz="4" w:space="0" w:color="auto"/>
            </w:tcBorders>
            <w:noWrap/>
            <w:vAlign w:val="bottom"/>
            <w:hideMark/>
          </w:tcPr>
          <w:p w14:paraId="402DDB19"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2 (£m)</w:t>
            </w:r>
          </w:p>
        </w:tc>
        <w:tc>
          <w:tcPr>
            <w:tcW w:w="1160" w:type="dxa"/>
            <w:tcBorders>
              <w:top w:val="single" w:sz="4" w:space="0" w:color="auto"/>
              <w:left w:val="nil"/>
              <w:bottom w:val="single" w:sz="4" w:space="0" w:color="auto"/>
              <w:right w:val="single" w:sz="4" w:space="0" w:color="auto"/>
            </w:tcBorders>
            <w:noWrap/>
            <w:vAlign w:val="bottom"/>
            <w:hideMark/>
          </w:tcPr>
          <w:p w14:paraId="3A3B2141"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3 (£m)</w:t>
            </w:r>
          </w:p>
        </w:tc>
        <w:tc>
          <w:tcPr>
            <w:tcW w:w="1160" w:type="dxa"/>
            <w:tcBorders>
              <w:top w:val="single" w:sz="4" w:space="0" w:color="auto"/>
              <w:left w:val="nil"/>
              <w:bottom w:val="single" w:sz="4" w:space="0" w:color="auto"/>
              <w:right w:val="single" w:sz="4" w:space="0" w:color="auto"/>
            </w:tcBorders>
            <w:noWrap/>
            <w:vAlign w:val="bottom"/>
            <w:hideMark/>
          </w:tcPr>
          <w:p w14:paraId="097785EB"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4 (£m)</w:t>
            </w:r>
          </w:p>
        </w:tc>
        <w:tc>
          <w:tcPr>
            <w:tcW w:w="1160" w:type="dxa"/>
            <w:tcBorders>
              <w:top w:val="single" w:sz="4" w:space="0" w:color="auto"/>
              <w:left w:val="nil"/>
              <w:bottom w:val="single" w:sz="4" w:space="0" w:color="auto"/>
              <w:right w:val="single" w:sz="4" w:space="0" w:color="auto"/>
            </w:tcBorders>
            <w:noWrap/>
            <w:vAlign w:val="bottom"/>
            <w:hideMark/>
          </w:tcPr>
          <w:p w14:paraId="495950E7" w14:textId="77777777" w:rsidR="00BD71EE" w:rsidRPr="00BD71EE" w:rsidRDefault="00BD71EE" w:rsidP="00D13B5E">
            <w:pPr>
              <w:spacing w:after="0" w:line="240" w:lineRule="auto"/>
              <w:jc w:val="center"/>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Year 5 (£m)</w:t>
            </w:r>
          </w:p>
        </w:tc>
      </w:tr>
      <w:tr w:rsidR="00BD71EE" w:rsidRPr="00BD71EE" w14:paraId="75CAB3FA"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3D44FA88"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Project C</w:t>
            </w:r>
          </w:p>
        </w:tc>
        <w:tc>
          <w:tcPr>
            <w:tcW w:w="960" w:type="dxa"/>
            <w:tcBorders>
              <w:top w:val="nil"/>
              <w:left w:val="nil"/>
              <w:bottom w:val="single" w:sz="4" w:space="0" w:color="auto"/>
              <w:right w:val="single" w:sz="4" w:space="0" w:color="auto"/>
            </w:tcBorders>
            <w:noWrap/>
            <w:vAlign w:val="bottom"/>
            <w:hideMark/>
          </w:tcPr>
          <w:p w14:paraId="1A4BF7D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F6EF78C"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F1BA1E9"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21F186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DF8CA96"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7C80D72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6AC0295C"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7C6782AA"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Investment</w:t>
            </w:r>
          </w:p>
        </w:tc>
        <w:tc>
          <w:tcPr>
            <w:tcW w:w="960" w:type="dxa"/>
            <w:tcBorders>
              <w:top w:val="nil"/>
              <w:left w:val="nil"/>
              <w:bottom w:val="single" w:sz="4" w:space="0" w:color="auto"/>
              <w:right w:val="single" w:sz="4" w:space="0" w:color="auto"/>
            </w:tcBorders>
            <w:noWrap/>
            <w:vAlign w:val="bottom"/>
            <w:hideMark/>
          </w:tcPr>
          <w:p w14:paraId="2A0CB5E9"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50</w:t>
            </w:r>
          </w:p>
        </w:tc>
        <w:tc>
          <w:tcPr>
            <w:tcW w:w="1160" w:type="dxa"/>
            <w:tcBorders>
              <w:top w:val="nil"/>
              <w:left w:val="nil"/>
              <w:bottom w:val="single" w:sz="4" w:space="0" w:color="auto"/>
              <w:right w:val="single" w:sz="4" w:space="0" w:color="auto"/>
            </w:tcBorders>
            <w:noWrap/>
            <w:vAlign w:val="bottom"/>
            <w:hideMark/>
          </w:tcPr>
          <w:p w14:paraId="44AB72C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05E180E"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4CD7E9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A7D645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77EE91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75789E0F"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68FF95B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lastRenderedPageBreak/>
              <w:t>Cash inflows</w:t>
            </w:r>
          </w:p>
        </w:tc>
        <w:tc>
          <w:tcPr>
            <w:tcW w:w="960" w:type="dxa"/>
            <w:tcBorders>
              <w:top w:val="nil"/>
              <w:left w:val="nil"/>
              <w:bottom w:val="single" w:sz="4" w:space="0" w:color="auto"/>
              <w:right w:val="single" w:sz="4" w:space="0" w:color="auto"/>
            </w:tcBorders>
            <w:noWrap/>
            <w:vAlign w:val="bottom"/>
            <w:hideMark/>
          </w:tcPr>
          <w:p w14:paraId="3020ACBC"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708F74CC"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w:t>
            </w:r>
          </w:p>
        </w:tc>
        <w:tc>
          <w:tcPr>
            <w:tcW w:w="1160" w:type="dxa"/>
            <w:tcBorders>
              <w:top w:val="nil"/>
              <w:left w:val="nil"/>
              <w:bottom w:val="single" w:sz="4" w:space="0" w:color="auto"/>
              <w:right w:val="single" w:sz="4" w:space="0" w:color="auto"/>
            </w:tcBorders>
            <w:noWrap/>
            <w:vAlign w:val="bottom"/>
            <w:hideMark/>
          </w:tcPr>
          <w:p w14:paraId="4A80A168"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w:t>
            </w:r>
          </w:p>
        </w:tc>
        <w:tc>
          <w:tcPr>
            <w:tcW w:w="1160" w:type="dxa"/>
            <w:tcBorders>
              <w:top w:val="nil"/>
              <w:left w:val="nil"/>
              <w:bottom w:val="single" w:sz="4" w:space="0" w:color="auto"/>
              <w:right w:val="single" w:sz="4" w:space="0" w:color="auto"/>
            </w:tcBorders>
            <w:noWrap/>
            <w:vAlign w:val="bottom"/>
            <w:hideMark/>
          </w:tcPr>
          <w:p w14:paraId="43BCF0D1"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20</w:t>
            </w:r>
          </w:p>
        </w:tc>
        <w:tc>
          <w:tcPr>
            <w:tcW w:w="1160" w:type="dxa"/>
            <w:tcBorders>
              <w:top w:val="nil"/>
              <w:left w:val="nil"/>
              <w:bottom w:val="single" w:sz="4" w:space="0" w:color="auto"/>
              <w:right w:val="single" w:sz="4" w:space="0" w:color="auto"/>
            </w:tcBorders>
            <w:noWrap/>
            <w:vAlign w:val="bottom"/>
            <w:hideMark/>
          </w:tcPr>
          <w:p w14:paraId="426F5A31"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25</w:t>
            </w:r>
          </w:p>
        </w:tc>
        <w:tc>
          <w:tcPr>
            <w:tcW w:w="1160" w:type="dxa"/>
            <w:tcBorders>
              <w:top w:val="nil"/>
              <w:left w:val="nil"/>
              <w:bottom w:val="single" w:sz="4" w:space="0" w:color="auto"/>
              <w:right w:val="single" w:sz="4" w:space="0" w:color="auto"/>
            </w:tcBorders>
            <w:noWrap/>
            <w:vAlign w:val="bottom"/>
            <w:hideMark/>
          </w:tcPr>
          <w:p w14:paraId="44E3E297"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w:t>
            </w:r>
          </w:p>
        </w:tc>
      </w:tr>
      <w:tr w:rsidR="00BD71EE" w:rsidRPr="00BD71EE" w14:paraId="2CA96D41"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2F54922C"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Net Cash inflows</w:t>
            </w:r>
          </w:p>
        </w:tc>
        <w:tc>
          <w:tcPr>
            <w:tcW w:w="960" w:type="dxa"/>
            <w:tcBorders>
              <w:top w:val="nil"/>
              <w:left w:val="nil"/>
              <w:bottom w:val="single" w:sz="4" w:space="0" w:color="auto"/>
              <w:right w:val="single" w:sz="4" w:space="0" w:color="auto"/>
            </w:tcBorders>
            <w:noWrap/>
            <w:vAlign w:val="bottom"/>
            <w:hideMark/>
          </w:tcPr>
          <w:p w14:paraId="5A786B0A"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-50</w:t>
            </w:r>
          </w:p>
        </w:tc>
        <w:tc>
          <w:tcPr>
            <w:tcW w:w="1160" w:type="dxa"/>
            <w:tcBorders>
              <w:top w:val="nil"/>
              <w:left w:val="nil"/>
              <w:bottom w:val="single" w:sz="4" w:space="0" w:color="auto"/>
              <w:right w:val="single" w:sz="4" w:space="0" w:color="auto"/>
            </w:tcBorders>
            <w:noWrap/>
            <w:vAlign w:val="bottom"/>
            <w:hideMark/>
          </w:tcPr>
          <w:p w14:paraId="58AF3C4B"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5</w:t>
            </w:r>
          </w:p>
        </w:tc>
        <w:tc>
          <w:tcPr>
            <w:tcW w:w="1160" w:type="dxa"/>
            <w:tcBorders>
              <w:top w:val="nil"/>
              <w:left w:val="nil"/>
              <w:bottom w:val="single" w:sz="4" w:space="0" w:color="auto"/>
              <w:right w:val="single" w:sz="4" w:space="0" w:color="auto"/>
            </w:tcBorders>
            <w:noWrap/>
            <w:vAlign w:val="bottom"/>
            <w:hideMark/>
          </w:tcPr>
          <w:p w14:paraId="55A8E508"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10</w:t>
            </w:r>
          </w:p>
        </w:tc>
        <w:tc>
          <w:tcPr>
            <w:tcW w:w="1160" w:type="dxa"/>
            <w:tcBorders>
              <w:top w:val="nil"/>
              <w:left w:val="nil"/>
              <w:bottom w:val="single" w:sz="4" w:space="0" w:color="auto"/>
              <w:right w:val="single" w:sz="4" w:space="0" w:color="auto"/>
            </w:tcBorders>
            <w:noWrap/>
            <w:vAlign w:val="bottom"/>
            <w:hideMark/>
          </w:tcPr>
          <w:p w14:paraId="4B67514D"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w:t>
            </w:r>
          </w:p>
        </w:tc>
        <w:tc>
          <w:tcPr>
            <w:tcW w:w="1160" w:type="dxa"/>
            <w:tcBorders>
              <w:top w:val="nil"/>
              <w:left w:val="nil"/>
              <w:bottom w:val="single" w:sz="4" w:space="0" w:color="auto"/>
              <w:right w:val="single" w:sz="4" w:space="0" w:color="auto"/>
            </w:tcBorders>
            <w:noWrap/>
            <w:vAlign w:val="bottom"/>
            <w:hideMark/>
          </w:tcPr>
          <w:p w14:paraId="55A6D84E"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25</w:t>
            </w:r>
          </w:p>
        </w:tc>
        <w:tc>
          <w:tcPr>
            <w:tcW w:w="1160" w:type="dxa"/>
            <w:tcBorders>
              <w:top w:val="nil"/>
              <w:left w:val="nil"/>
              <w:bottom w:val="single" w:sz="4" w:space="0" w:color="auto"/>
              <w:right w:val="single" w:sz="4" w:space="0" w:color="auto"/>
            </w:tcBorders>
            <w:noWrap/>
            <w:vAlign w:val="bottom"/>
            <w:hideMark/>
          </w:tcPr>
          <w:p w14:paraId="7CC5004C"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5</w:t>
            </w:r>
          </w:p>
        </w:tc>
      </w:tr>
      <w:tr w:rsidR="00BD71EE" w:rsidRPr="00BD71EE" w14:paraId="1CE2D1B0"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7AD1240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proofErr w:type="spellStart"/>
            <w:r w:rsidRPr="00BD71EE">
              <w:rPr>
                <w:rFonts w:ascii="Aptos Narrow" w:eastAsia="Times New Roman" w:hAnsi="Aptos Narrow" w:cs="Times New Roman"/>
                <w:color w:val="000000"/>
                <w:sz w:val="22"/>
                <w:lang w:eastAsia="en-GB"/>
              </w:rPr>
              <w:t>Cummulative</w:t>
            </w:r>
            <w:proofErr w:type="spellEnd"/>
            <w:r w:rsidRPr="00BD71EE">
              <w:rPr>
                <w:rFonts w:ascii="Aptos Narrow" w:eastAsia="Times New Roman" w:hAnsi="Aptos Narrow" w:cs="Times New Roman"/>
                <w:color w:val="000000"/>
                <w:sz w:val="22"/>
                <w:lang w:eastAsia="en-GB"/>
              </w:rPr>
              <w:t xml:space="preserve"> Cash inflow</w:t>
            </w:r>
          </w:p>
        </w:tc>
        <w:tc>
          <w:tcPr>
            <w:tcW w:w="960" w:type="dxa"/>
            <w:tcBorders>
              <w:top w:val="nil"/>
              <w:left w:val="nil"/>
              <w:bottom w:val="single" w:sz="4" w:space="0" w:color="auto"/>
              <w:right w:val="single" w:sz="4" w:space="0" w:color="auto"/>
            </w:tcBorders>
            <w:noWrap/>
            <w:vAlign w:val="bottom"/>
            <w:hideMark/>
          </w:tcPr>
          <w:p w14:paraId="445F7948"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-50</w:t>
            </w:r>
          </w:p>
        </w:tc>
        <w:tc>
          <w:tcPr>
            <w:tcW w:w="1160" w:type="dxa"/>
            <w:tcBorders>
              <w:top w:val="nil"/>
              <w:left w:val="nil"/>
              <w:bottom w:val="single" w:sz="4" w:space="0" w:color="auto"/>
              <w:right w:val="single" w:sz="4" w:space="0" w:color="auto"/>
            </w:tcBorders>
            <w:noWrap/>
            <w:vAlign w:val="bottom"/>
            <w:hideMark/>
          </w:tcPr>
          <w:p w14:paraId="1DBC921B"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-45</w:t>
            </w:r>
          </w:p>
        </w:tc>
        <w:tc>
          <w:tcPr>
            <w:tcW w:w="1160" w:type="dxa"/>
            <w:tcBorders>
              <w:top w:val="nil"/>
              <w:left w:val="nil"/>
              <w:bottom w:val="single" w:sz="4" w:space="0" w:color="auto"/>
              <w:right w:val="single" w:sz="4" w:space="0" w:color="auto"/>
            </w:tcBorders>
            <w:noWrap/>
            <w:vAlign w:val="bottom"/>
            <w:hideMark/>
          </w:tcPr>
          <w:p w14:paraId="663DCC34"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-35</w:t>
            </w:r>
          </w:p>
        </w:tc>
        <w:tc>
          <w:tcPr>
            <w:tcW w:w="1160" w:type="dxa"/>
            <w:tcBorders>
              <w:top w:val="nil"/>
              <w:left w:val="nil"/>
              <w:bottom w:val="single" w:sz="4" w:space="0" w:color="auto"/>
              <w:right w:val="single" w:sz="4" w:space="0" w:color="auto"/>
            </w:tcBorders>
            <w:noWrap/>
            <w:vAlign w:val="bottom"/>
            <w:hideMark/>
          </w:tcPr>
          <w:p w14:paraId="6BCFE225"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-15</w:t>
            </w:r>
          </w:p>
        </w:tc>
        <w:tc>
          <w:tcPr>
            <w:tcW w:w="1160" w:type="dxa"/>
            <w:tcBorders>
              <w:top w:val="nil"/>
              <w:left w:val="nil"/>
              <w:bottom w:val="single" w:sz="4" w:space="0" w:color="auto"/>
              <w:right w:val="single" w:sz="4" w:space="0" w:color="auto"/>
            </w:tcBorders>
            <w:noWrap/>
            <w:vAlign w:val="bottom"/>
            <w:hideMark/>
          </w:tcPr>
          <w:p w14:paraId="21239DEE"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10</w:t>
            </w:r>
          </w:p>
        </w:tc>
        <w:tc>
          <w:tcPr>
            <w:tcW w:w="1160" w:type="dxa"/>
            <w:tcBorders>
              <w:top w:val="nil"/>
              <w:left w:val="nil"/>
              <w:bottom w:val="single" w:sz="4" w:space="0" w:color="auto"/>
              <w:right w:val="single" w:sz="4" w:space="0" w:color="auto"/>
            </w:tcBorders>
            <w:noWrap/>
            <w:vAlign w:val="bottom"/>
            <w:hideMark/>
          </w:tcPr>
          <w:p w14:paraId="6E6E69EE"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15</w:t>
            </w:r>
          </w:p>
        </w:tc>
      </w:tr>
      <w:tr w:rsidR="00BD71EE" w:rsidRPr="00BD71EE" w14:paraId="5632CE9E"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44931B16"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Payback after (years)</w:t>
            </w:r>
          </w:p>
        </w:tc>
        <w:tc>
          <w:tcPr>
            <w:tcW w:w="960" w:type="dxa"/>
            <w:tcBorders>
              <w:top w:val="nil"/>
              <w:left w:val="nil"/>
              <w:bottom w:val="single" w:sz="4" w:space="0" w:color="auto"/>
              <w:right w:val="single" w:sz="4" w:space="0" w:color="auto"/>
            </w:tcBorders>
            <w:noWrap/>
            <w:vAlign w:val="bottom"/>
            <w:hideMark/>
          </w:tcPr>
          <w:p w14:paraId="5A830623"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w:t>
            </w:r>
          </w:p>
        </w:tc>
        <w:tc>
          <w:tcPr>
            <w:tcW w:w="1160" w:type="dxa"/>
            <w:tcBorders>
              <w:top w:val="nil"/>
              <w:left w:val="nil"/>
              <w:bottom w:val="single" w:sz="4" w:space="0" w:color="auto"/>
              <w:right w:val="single" w:sz="4" w:space="0" w:color="auto"/>
            </w:tcBorders>
            <w:noWrap/>
            <w:vAlign w:val="bottom"/>
            <w:hideMark/>
          </w:tcPr>
          <w:p w14:paraId="6F8F632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ADC95DA"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B6DCA9A"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E0239E8"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674497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0D7E8C65"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762D5751"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Payback Period/PBP (years)</w:t>
            </w:r>
          </w:p>
        </w:tc>
        <w:tc>
          <w:tcPr>
            <w:tcW w:w="960" w:type="dxa"/>
            <w:tcBorders>
              <w:top w:val="nil"/>
              <w:left w:val="nil"/>
              <w:bottom w:val="single" w:sz="4" w:space="0" w:color="auto"/>
              <w:right w:val="single" w:sz="4" w:space="0" w:color="auto"/>
            </w:tcBorders>
            <w:noWrap/>
            <w:vAlign w:val="bottom"/>
            <w:hideMark/>
          </w:tcPr>
          <w:p w14:paraId="447BA90C"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2.00</w:t>
            </w:r>
          </w:p>
        </w:tc>
        <w:tc>
          <w:tcPr>
            <w:tcW w:w="1160" w:type="dxa"/>
            <w:tcBorders>
              <w:top w:val="nil"/>
              <w:left w:val="nil"/>
              <w:bottom w:val="single" w:sz="4" w:space="0" w:color="auto"/>
              <w:right w:val="single" w:sz="4" w:space="0" w:color="auto"/>
            </w:tcBorders>
            <w:noWrap/>
            <w:vAlign w:val="bottom"/>
            <w:hideMark/>
          </w:tcPr>
          <w:p w14:paraId="57111D7B"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6A4D5A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CA4EC3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E07BD1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9ED3E5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3A95D617"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4ADCB5EA"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Average profit</w:t>
            </w:r>
          </w:p>
        </w:tc>
        <w:tc>
          <w:tcPr>
            <w:tcW w:w="960" w:type="dxa"/>
            <w:tcBorders>
              <w:top w:val="nil"/>
              <w:left w:val="nil"/>
              <w:bottom w:val="single" w:sz="4" w:space="0" w:color="auto"/>
              <w:right w:val="single" w:sz="4" w:space="0" w:color="auto"/>
            </w:tcBorders>
            <w:noWrap/>
            <w:vAlign w:val="bottom"/>
            <w:hideMark/>
          </w:tcPr>
          <w:p w14:paraId="103BA6D4"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3.00</w:t>
            </w:r>
          </w:p>
        </w:tc>
        <w:tc>
          <w:tcPr>
            <w:tcW w:w="1160" w:type="dxa"/>
            <w:tcBorders>
              <w:top w:val="nil"/>
              <w:left w:val="nil"/>
              <w:bottom w:val="single" w:sz="4" w:space="0" w:color="auto"/>
              <w:right w:val="single" w:sz="4" w:space="0" w:color="auto"/>
            </w:tcBorders>
            <w:noWrap/>
            <w:vAlign w:val="bottom"/>
            <w:hideMark/>
          </w:tcPr>
          <w:p w14:paraId="5B7BDE2B"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A06F894"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87B214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6B78C2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A87E62B"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5175B2BB"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2142FB5C"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proofErr w:type="spellStart"/>
            <w:r w:rsidRPr="00BD71EE">
              <w:rPr>
                <w:rFonts w:ascii="Aptos Narrow" w:eastAsia="Times New Roman" w:hAnsi="Aptos Narrow" w:cs="Times New Roman"/>
                <w:b/>
                <w:bCs/>
                <w:color w:val="000000"/>
                <w:sz w:val="22"/>
                <w:lang w:eastAsia="en-GB"/>
              </w:rPr>
              <w:t>Acounting</w:t>
            </w:r>
            <w:proofErr w:type="spellEnd"/>
            <w:r w:rsidRPr="00BD71EE">
              <w:rPr>
                <w:rFonts w:ascii="Aptos Narrow" w:eastAsia="Times New Roman" w:hAnsi="Aptos Narrow" w:cs="Times New Roman"/>
                <w:b/>
                <w:bCs/>
                <w:color w:val="000000"/>
                <w:sz w:val="22"/>
                <w:lang w:eastAsia="en-GB"/>
              </w:rPr>
              <w:t xml:space="preserve"> Rate of Return/ARR</w:t>
            </w:r>
          </w:p>
        </w:tc>
        <w:tc>
          <w:tcPr>
            <w:tcW w:w="960" w:type="dxa"/>
            <w:tcBorders>
              <w:top w:val="nil"/>
              <w:left w:val="nil"/>
              <w:bottom w:val="single" w:sz="4" w:space="0" w:color="auto"/>
              <w:right w:val="single" w:sz="4" w:space="0" w:color="auto"/>
            </w:tcBorders>
            <w:noWrap/>
            <w:vAlign w:val="bottom"/>
            <w:hideMark/>
          </w:tcPr>
          <w:p w14:paraId="21B1CB72"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6.00%</w:t>
            </w:r>
          </w:p>
        </w:tc>
        <w:tc>
          <w:tcPr>
            <w:tcW w:w="1160" w:type="dxa"/>
            <w:tcBorders>
              <w:top w:val="nil"/>
              <w:left w:val="nil"/>
              <w:bottom w:val="single" w:sz="4" w:space="0" w:color="auto"/>
              <w:right w:val="single" w:sz="4" w:space="0" w:color="auto"/>
            </w:tcBorders>
            <w:noWrap/>
            <w:vAlign w:val="bottom"/>
            <w:hideMark/>
          </w:tcPr>
          <w:p w14:paraId="3CD691C8"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EA3766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0032C75"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4CD5DD3"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595088B"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1F4515E4"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2B56A1E7"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Internal Rate of Return/IRR</w:t>
            </w:r>
          </w:p>
        </w:tc>
        <w:tc>
          <w:tcPr>
            <w:tcW w:w="960" w:type="dxa"/>
            <w:tcBorders>
              <w:top w:val="nil"/>
              <w:left w:val="nil"/>
              <w:bottom w:val="single" w:sz="4" w:space="0" w:color="auto"/>
              <w:right w:val="single" w:sz="4" w:space="0" w:color="auto"/>
            </w:tcBorders>
            <w:noWrap/>
            <w:vAlign w:val="bottom"/>
            <w:hideMark/>
          </w:tcPr>
          <w:p w14:paraId="358DD8F6"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8.59%</w:t>
            </w:r>
          </w:p>
        </w:tc>
        <w:tc>
          <w:tcPr>
            <w:tcW w:w="1160" w:type="dxa"/>
            <w:tcBorders>
              <w:top w:val="nil"/>
              <w:left w:val="nil"/>
              <w:bottom w:val="single" w:sz="4" w:space="0" w:color="auto"/>
              <w:right w:val="single" w:sz="4" w:space="0" w:color="auto"/>
            </w:tcBorders>
            <w:noWrap/>
            <w:vAlign w:val="bottom"/>
            <w:hideMark/>
          </w:tcPr>
          <w:p w14:paraId="1DC9182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6AF7DC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5785829"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4DB113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632F0E5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2AAD4D85"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386584D9"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proofErr w:type="spellStart"/>
            <w:r w:rsidRPr="00BD71EE">
              <w:rPr>
                <w:rFonts w:ascii="Aptos Narrow" w:eastAsia="Times New Roman" w:hAnsi="Aptos Narrow" w:cs="Times New Roman"/>
                <w:color w:val="000000"/>
                <w:sz w:val="22"/>
                <w:lang w:eastAsia="en-GB"/>
              </w:rPr>
              <w:t>Dicounted</w:t>
            </w:r>
            <w:proofErr w:type="spellEnd"/>
            <w:r w:rsidRPr="00BD71EE">
              <w:rPr>
                <w:rFonts w:ascii="Aptos Narrow" w:eastAsia="Times New Roman" w:hAnsi="Aptos Narrow" w:cs="Times New Roman"/>
                <w:color w:val="000000"/>
                <w:sz w:val="22"/>
                <w:lang w:eastAsia="en-GB"/>
              </w:rPr>
              <w:t xml:space="preserve"> Cash inflows</w:t>
            </w:r>
          </w:p>
        </w:tc>
        <w:tc>
          <w:tcPr>
            <w:tcW w:w="960" w:type="dxa"/>
            <w:tcBorders>
              <w:top w:val="nil"/>
              <w:left w:val="nil"/>
              <w:bottom w:val="single" w:sz="4" w:space="0" w:color="auto"/>
              <w:right w:val="single" w:sz="4" w:space="0" w:color="auto"/>
            </w:tcBorders>
            <w:noWrap/>
            <w:vAlign w:val="bottom"/>
            <w:hideMark/>
          </w:tcPr>
          <w:p w14:paraId="29A65B70"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-50.000</w:t>
            </w:r>
          </w:p>
        </w:tc>
        <w:tc>
          <w:tcPr>
            <w:tcW w:w="1160" w:type="dxa"/>
            <w:tcBorders>
              <w:top w:val="nil"/>
              <w:left w:val="nil"/>
              <w:bottom w:val="single" w:sz="4" w:space="0" w:color="auto"/>
              <w:right w:val="single" w:sz="4" w:space="0" w:color="auto"/>
            </w:tcBorders>
            <w:noWrap/>
            <w:vAlign w:val="bottom"/>
            <w:hideMark/>
          </w:tcPr>
          <w:p w14:paraId="6E0EB306"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4.545</w:t>
            </w:r>
          </w:p>
        </w:tc>
        <w:tc>
          <w:tcPr>
            <w:tcW w:w="1160" w:type="dxa"/>
            <w:tcBorders>
              <w:top w:val="nil"/>
              <w:left w:val="nil"/>
              <w:bottom w:val="single" w:sz="4" w:space="0" w:color="auto"/>
              <w:right w:val="single" w:sz="4" w:space="0" w:color="auto"/>
            </w:tcBorders>
            <w:noWrap/>
            <w:vAlign w:val="bottom"/>
            <w:hideMark/>
          </w:tcPr>
          <w:p w14:paraId="44F6D721"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8.264</w:t>
            </w:r>
          </w:p>
        </w:tc>
        <w:tc>
          <w:tcPr>
            <w:tcW w:w="1160" w:type="dxa"/>
            <w:tcBorders>
              <w:top w:val="nil"/>
              <w:left w:val="nil"/>
              <w:bottom w:val="single" w:sz="4" w:space="0" w:color="auto"/>
              <w:right w:val="single" w:sz="4" w:space="0" w:color="auto"/>
            </w:tcBorders>
            <w:noWrap/>
            <w:vAlign w:val="bottom"/>
            <w:hideMark/>
          </w:tcPr>
          <w:p w14:paraId="4CA7E0D5"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15.026</w:t>
            </w:r>
          </w:p>
        </w:tc>
        <w:tc>
          <w:tcPr>
            <w:tcW w:w="1160" w:type="dxa"/>
            <w:tcBorders>
              <w:top w:val="nil"/>
              <w:left w:val="nil"/>
              <w:bottom w:val="single" w:sz="4" w:space="0" w:color="auto"/>
              <w:right w:val="single" w:sz="4" w:space="0" w:color="auto"/>
            </w:tcBorders>
            <w:noWrap/>
            <w:vAlign w:val="bottom"/>
            <w:hideMark/>
          </w:tcPr>
          <w:p w14:paraId="5F692F08"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17.075</w:t>
            </w:r>
          </w:p>
        </w:tc>
        <w:tc>
          <w:tcPr>
            <w:tcW w:w="1160" w:type="dxa"/>
            <w:tcBorders>
              <w:top w:val="nil"/>
              <w:left w:val="nil"/>
              <w:bottom w:val="single" w:sz="4" w:space="0" w:color="auto"/>
              <w:right w:val="single" w:sz="4" w:space="0" w:color="auto"/>
            </w:tcBorders>
            <w:noWrap/>
            <w:vAlign w:val="bottom"/>
            <w:hideMark/>
          </w:tcPr>
          <w:p w14:paraId="613E3612"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3.105</w:t>
            </w:r>
          </w:p>
        </w:tc>
      </w:tr>
      <w:tr w:rsidR="00BD71EE" w:rsidRPr="00BD71EE" w14:paraId="7D9E429B"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5583C04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proofErr w:type="spellStart"/>
            <w:r w:rsidRPr="00BD71EE">
              <w:rPr>
                <w:rFonts w:ascii="Aptos Narrow" w:eastAsia="Times New Roman" w:hAnsi="Aptos Narrow" w:cs="Times New Roman"/>
                <w:color w:val="000000"/>
                <w:sz w:val="22"/>
                <w:lang w:eastAsia="en-GB"/>
              </w:rPr>
              <w:t>Dicounted</w:t>
            </w:r>
            <w:proofErr w:type="spellEnd"/>
            <w:r w:rsidRPr="00BD71EE">
              <w:rPr>
                <w:rFonts w:ascii="Aptos Narrow" w:eastAsia="Times New Roman" w:hAnsi="Aptos Narrow" w:cs="Times New Roman"/>
                <w:color w:val="000000"/>
                <w:sz w:val="22"/>
                <w:lang w:eastAsia="en-GB"/>
              </w:rPr>
              <w:t xml:space="preserve"> Cash inflow (ex. Investment)</w:t>
            </w:r>
          </w:p>
        </w:tc>
        <w:tc>
          <w:tcPr>
            <w:tcW w:w="960" w:type="dxa"/>
            <w:tcBorders>
              <w:top w:val="nil"/>
              <w:left w:val="nil"/>
              <w:bottom w:val="single" w:sz="4" w:space="0" w:color="auto"/>
              <w:right w:val="single" w:sz="4" w:space="0" w:color="auto"/>
            </w:tcBorders>
            <w:noWrap/>
            <w:vAlign w:val="bottom"/>
            <w:hideMark/>
          </w:tcPr>
          <w:p w14:paraId="3A736EC1" w14:textId="77777777" w:rsidR="00BD71EE" w:rsidRPr="00BD71EE" w:rsidRDefault="00BD71EE" w:rsidP="00D13B5E">
            <w:pPr>
              <w:spacing w:after="0" w:line="240" w:lineRule="auto"/>
              <w:jc w:val="righ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48.016</w:t>
            </w:r>
          </w:p>
        </w:tc>
        <w:tc>
          <w:tcPr>
            <w:tcW w:w="1160" w:type="dxa"/>
            <w:tcBorders>
              <w:top w:val="nil"/>
              <w:left w:val="nil"/>
              <w:bottom w:val="single" w:sz="4" w:space="0" w:color="auto"/>
              <w:right w:val="single" w:sz="4" w:space="0" w:color="auto"/>
            </w:tcBorders>
            <w:noWrap/>
            <w:vAlign w:val="bottom"/>
            <w:hideMark/>
          </w:tcPr>
          <w:p w14:paraId="796CC697"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D0B7EF2"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D11FFEE"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56940428"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770634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0EBC80E6"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3B6E3902"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Net Present Value/NPV</w:t>
            </w:r>
          </w:p>
        </w:tc>
        <w:tc>
          <w:tcPr>
            <w:tcW w:w="960" w:type="dxa"/>
            <w:tcBorders>
              <w:top w:val="nil"/>
              <w:left w:val="nil"/>
              <w:bottom w:val="single" w:sz="4" w:space="0" w:color="auto"/>
              <w:right w:val="single" w:sz="4" w:space="0" w:color="auto"/>
            </w:tcBorders>
            <w:noWrap/>
            <w:vAlign w:val="bottom"/>
            <w:hideMark/>
          </w:tcPr>
          <w:p w14:paraId="0E8DCF95"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-1.984</w:t>
            </w:r>
          </w:p>
        </w:tc>
        <w:tc>
          <w:tcPr>
            <w:tcW w:w="1160" w:type="dxa"/>
            <w:tcBorders>
              <w:top w:val="nil"/>
              <w:left w:val="nil"/>
              <w:bottom w:val="single" w:sz="4" w:space="0" w:color="auto"/>
              <w:right w:val="single" w:sz="4" w:space="0" w:color="auto"/>
            </w:tcBorders>
            <w:noWrap/>
            <w:vAlign w:val="bottom"/>
            <w:hideMark/>
          </w:tcPr>
          <w:p w14:paraId="71613009"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87CD037"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274CAD11"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3982BE8"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3FD94F1A"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r w:rsidR="00BD71EE" w:rsidRPr="00BD71EE" w14:paraId="5AB8E751" w14:textId="77777777" w:rsidTr="00846699">
        <w:trPr>
          <w:trHeight w:val="300"/>
          <w:jc w:val="center"/>
        </w:trPr>
        <w:tc>
          <w:tcPr>
            <w:tcW w:w="3760" w:type="dxa"/>
            <w:tcBorders>
              <w:top w:val="nil"/>
              <w:left w:val="single" w:sz="4" w:space="0" w:color="auto"/>
              <w:bottom w:val="single" w:sz="4" w:space="0" w:color="auto"/>
              <w:right w:val="single" w:sz="4" w:space="0" w:color="auto"/>
            </w:tcBorders>
            <w:noWrap/>
            <w:vAlign w:val="bottom"/>
            <w:hideMark/>
          </w:tcPr>
          <w:p w14:paraId="70A9B2F8" w14:textId="77777777" w:rsidR="00BD71EE" w:rsidRPr="00BD71EE" w:rsidRDefault="00BD71EE" w:rsidP="00D13B5E">
            <w:pPr>
              <w:spacing w:after="0" w:line="240" w:lineRule="auto"/>
              <w:jc w:val="lef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Profitability Index/PI</w:t>
            </w:r>
          </w:p>
        </w:tc>
        <w:tc>
          <w:tcPr>
            <w:tcW w:w="960" w:type="dxa"/>
            <w:tcBorders>
              <w:top w:val="nil"/>
              <w:left w:val="nil"/>
              <w:bottom w:val="single" w:sz="4" w:space="0" w:color="auto"/>
              <w:right w:val="single" w:sz="4" w:space="0" w:color="auto"/>
            </w:tcBorders>
            <w:noWrap/>
            <w:vAlign w:val="bottom"/>
            <w:hideMark/>
          </w:tcPr>
          <w:p w14:paraId="3943D5DF" w14:textId="77777777" w:rsidR="00BD71EE" w:rsidRPr="00BD71EE" w:rsidRDefault="00BD71EE" w:rsidP="00D13B5E">
            <w:pPr>
              <w:spacing w:after="0" w:line="240" w:lineRule="auto"/>
              <w:jc w:val="right"/>
              <w:rPr>
                <w:rFonts w:ascii="Aptos Narrow" w:eastAsia="Times New Roman" w:hAnsi="Aptos Narrow" w:cs="Times New Roman"/>
                <w:b/>
                <w:bCs/>
                <w:color w:val="000000"/>
                <w:sz w:val="22"/>
                <w:lang w:eastAsia="en-GB"/>
              </w:rPr>
            </w:pPr>
            <w:r w:rsidRPr="00BD71EE">
              <w:rPr>
                <w:rFonts w:ascii="Aptos Narrow" w:eastAsia="Times New Roman" w:hAnsi="Aptos Narrow" w:cs="Times New Roman"/>
                <w:b/>
                <w:bCs/>
                <w:color w:val="000000"/>
                <w:sz w:val="22"/>
                <w:lang w:eastAsia="en-GB"/>
              </w:rPr>
              <w:t>96.03%</w:t>
            </w:r>
          </w:p>
        </w:tc>
        <w:tc>
          <w:tcPr>
            <w:tcW w:w="1160" w:type="dxa"/>
            <w:tcBorders>
              <w:top w:val="nil"/>
              <w:left w:val="nil"/>
              <w:bottom w:val="single" w:sz="4" w:space="0" w:color="auto"/>
              <w:right w:val="single" w:sz="4" w:space="0" w:color="auto"/>
            </w:tcBorders>
            <w:noWrap/>
            <w:vAlign w:val="bottom"/>
            <w:hideMark/>
          </w:tcPr>
          <w:p w14:paraId="7A70969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C4D0840"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4242557E"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05D69F3D"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c>
          <w:tcPr>
            <w:tcW w:w="1160" w:type="dxa"/>
            <w:tcBorders>
              <w:top w:val="nil"/>
              <w:left w:val="nil"/>
              <w:bottom w:val="single" w:sz="4" w:space="0" w:color="auto"/>
              <w:right w:val="single" w:sz="4" w:space="0" w:color="auto"/>
            </w:tcBorders>
            <w:noWrap/>
            <w:vAlign w:val="bottom"/>
            <w:hideMark/>
          </w:tcPr>
          <w:p w14:paraId="15A7A02F" w14:textId="77777777" w:rsidR="00BD71EE" w:rsidRPr="00BD71EE" w:rsidRDefault="00BD71EE" w:rsidP="00D13B5E">
            <w:pPr>
              <w:spacing w:after="0" w:line="240" w:lineRule="auto"/>
              <w:jc w:val="left"/>
              <w:rPr>
                <w:rFonts w:ascii="Aptos Narrow" w:eastAsia="Times New Roman" w:hAnsi="Aptos Narrow" w:cs="Times New Roman"/>
                <w:color w:val="000000"/>
                <w:sz w:val="22"/>
                <w:lang w:eastAsia="en-GB"/>
              </w:rPr>
            </w:pPr>
            <w:r w:rsidRPr="00BD71EE">
              <w:rPr>
                <w:rFonts w:ascii="Aptos Narrow" w:eastAsia="Times New Roman" w:hAnsi="Aptos Narrow" w:cs="Times New Roman"/>
                <w:color w:val="000000"/>
                <w:sz w:val="22"/>
                <w:lang w:eastAsia="en-GB"/>
              </w:rPr>
              <w:t> </w:t>
            </w:r>
          </w:p>
        </w:tc>
      </w:tr>
    </w:tbl>
    <w:p w14:paraId="0482D694" w14:textId="77777777" w:rsidR="00035BFE" w:rsidRPr="004861F1" w:rsidRDefault="00035BFE" w:rsidP="0098028B">
      <w:pPr>
        <w:rPr>
          <w:lang w:val="en-US"/>
        </w:rPr>
      </w:pPr>
    </w:p>
    <w:sectPr w:rsidR="00035BFE" w:rsidRPr="004861F1" w:rsidSect="00BD71EE">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64EB8A" w14:textId="77777777" w:rsidR="00BB0E4D" w:rsidRDefault="00BB0E4D">
      <w:pPr>
        <w:spacing w:after="0" w:line="240" w:lineRule="auto"/>
      </w:pPr>
      <w:r>
        <w:separator/>
      </w:r>
    </w:p>
  </w:endnote>
  <w:endnote w:type="continuationSeparator" w:id="0">
    <w:p w14:paraId="0BA630D6" w14:textId="77777777" w:rsidR="00BB0E4D" w:rsidRDefault="00BB0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Narrow">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bCs/>
      </w:rPr>
      <w:id w:val="-1069352007"/>
      <w:docPartObj>
        <w:docPartGallery w:val="Page Numbers (Bottom of Page)"/>
        <w:docPartUnique/>
      </w:docPartObj>
    </w:sdtPr>
    <w:sdtEndPr>
      <w:rPr>
        <w:noProof/>
      </w:rPr>
    </w:sdtEndPr>
    <w:sdtContent>
      <w:p w14:paraId="71676723" w14:textId="029F99C3" w:rsidR="00CA5093" w:rsidRPr="00CA5093" w:rsidRDefault="00BB0E4D">
        <w:pPr>
          <w:pStyle w:val="Footer"/>
          <w:jc w:val="center"/>
          <w:rPr>
            <w:b/>
            <w:bCs/>
          </w:rPr>
        </w:pPr>
        <w:r w:rsidRPr="00CA5093">
          <w:rPr>
            <w:b/>
            <w:bCs/>
          </w:rPr>
          <w:fldChar w:fldCharType="begin"/>
        </w:r>
        <w:r w:rsidRPr="00CA5093">
          <w:rPr>
            <w:b/>
            <w:bCs/>
          </w:rPr>
          <w:instrText xml:space="preserve"> PAGE   \* MERGEFORMAT </w:instrText>
        </w:r>
        <w:r w:rsidRPr="00CA5093">
          <w:rPr>
            <w:b/>
            <w:bCs/>
          </w:rPr>
          <w:fldChar w:fldCharType="separate"/>
        </w:r>
        <w:r w:rsidR="00380418">
          <w:rPr>
            <w:b/>
            <w:bCs/>
            <w:noProof/>
          </w:rPr>
          <w:t>20</w:t>
        </w:r>
        <w:r w:rsidRPr="00CA5093">
          <w:rPr>
            <w:b/>
            <w:bCs/>
            <w:noProof/>
          </w:rPr>
          <w:fldChar w:fldCharType="end"/>
        </w:r>
      </w:p>
    </w:sdtContent>
  </w:sdt>
  <w:p w14:paraId="26EC9145" w14:textId="77777777" w:rsidR="004861F1" w:rsidRPr="00CA5093" w:rsidRDefault="004861F1">
    <w:pPr>
      <w:pStyle w:val="Footer"/>
      <w:rPr>
        <w:b/>
        <w:bCs/>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0C55E3B" w14:textId="77777777" w:rsidR="00BB0E4D" w:rsidRDefault="00BB0E4D">
      <w:pPr>
        <w:spacing w:after="0" w:line="240" w:lineRule="auto"/>
      </w:pPr>
      <w:r>
        <w:separator/>
      </w:r>
    </w:p>
  </w:footnote>
  <w:footnote w:type="continuationSeparator" w:id="0">
    <w:p w14:paraId="5B98E140" w14:textId="77777777" w:rsidR="00BB0E4D" w:rsidRDefault="00BB0E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3E4B"/>
    <w:rsid w:val="00035BFE"/>
    <w:rsid w:val="00080F8F"/>
    <w:rsid w:val="000C1568"/>
    <w:rsid w:val="000C22E4"/>
    <w:rsid w:val="0011773E"/>
    <w:rsid w:val="00122B13"/>
    <w:rsid w:val="00127FBE"/>
    <w:rsid w:val="00201DAE"/>
    <w:rsid w:val="00247A4D"/>
    <w:rsid w:val="002969BB"/>
    <w:rsid w:val="002D22FC"/>
    <w:rsid w:val="00373D9E"/>
    <w:rsid w:val="00380418"/>
    <w:rsid w:val="00405E32"/>
    <w:rsid w:val="00456453"/>
    <w:rsid w:val="0046176C"/>
    <w:rsid w:val="004861F1"/>
    <w:rsid w:val="00496DCB"/>
    <w:rsid w:val="004B2E9E"/>
    <w:rsid w:val="004C6BAD"/>
    <w:rsid w:val="00503E4B"/>
    <w:rsid w:val="0052035C"/>
    <w:rsid w:val="0059562D"/>
    <w:rsid w:val="00614AFD"/>
    <w:rsid w:val="00665C2D"/>
    <w:rsid w:val="00734C61"/>
    <w:rsid w:val="00756922"/>
    <w:rsid w:val="007B5AF6"/>
    <w:rsid w:val="00810892"/>
    <w:rsid w:val="00836CF7"/>
    <w:rsid w:val="00846699"/>
    <w:rsid w:val="00850C35"/>
    <w:rsid w:val="008A00F5"/>
    <w:rsid w:val="008D61B9"/>
    <w:rsid w:val="0098028B"/>
    <w:rsid w:val="009E3C91"/>
    <w:rsid w:val="00AA7EA6"/>
    <w:rsid w:val="00AF2362"/>
    <w:rsid w:val="00B727D8"/>
    <w:rsid w:val="00B75658"/>
    <w:rsid w:val="00B759B2"/>
    <w:rsid w:val="00BB0E4D"/>
    <w:rsid w:val="00BD0BB8"/>
    <w:rsid w:val="00BD71EE"/>
    <w:rsid w:val="00BF65AF"/>
    <w:rsid w:val="00C17772"/>
    <w:rsid w:val="00CA5093"/>
    <w:rsid w:val="00D16D5B"/>
    <w:rsid w:val="00D23719"/>
    <w:rsid w:val="00DB49E9"/>
    <w:rsid w:val="00DF2A15"/>
    <w:rsid w:val="00E022BB"/>
    <w:rsid w:val="00E10E68"/>
    <w:rsid w:val="00E17AD9"/>
    <w:rsid w:val="00E67E50"/>
    <w:rsid w:val="00E72E0B"/>
    <w:rsid w:val="00F0279F"/>
    <w:rsid w:val="00F42BE7"/>
    <w:rsid w:val="00F66908"/>
    <w:rsid w:val="00F71B9C"/>
    <w:rsid w:val="00F97F5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C6C8F"/>
  <w15:chartTrackingRefBased/>
  <w15:docId w15:val="{3D899600-C129-46BD-BEC6-3E0B25A05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4C61"/>
    <w:pPr>
      <w:spacing w:before="120" w:after="120" w:line="360" w:lineRule="auto"/>
      <w:jc w:val="both"/>
    </w:pPr>
    <w:rPr>
      <w:rFonts w:ascii="Arial" w:hAnsi="Arial"/>
      <w:sz w:val="24"/>
      <w14:ligatures w14:val="none"/>
    </w:rPr>
  </w:style>
  <w:style w:type="paragraph" w:styleId="Heading1">
    <w:name w:val="heading 1"/>
    <w:basedOn w:val="Normal"/>
    <w:next w:val="Normal"/>
    <w:link w:val="Heading1Char"/>
    <w:uiPriority w:val="9"/>
    <w:qFormat/>
    <w:rsid w:val="00DF2A15"/>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F2A15"/>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DB49E9"/>
    <w:pPr>
      <w:jc w:val="center"/>
      <w:outlineLvl w:val="2"/>
    </w:pPr>
    <w:rPr>
      <w:b/>
      <w:bCs/>
      <w:lang w:val="en-US"/>
    </w:rPr>
  </w:style>
  <w:style w:type="paragraph" w:styleId="Heading4">
    <w:name w:val="heading 4"/>
    <w:basedOn w:val="Heading3"/>
    <w:next w:val="Normal"/>
    <w:link w:val="Heading4Char"/>
    <w:uiPriority w:val="9"/>
    <w:unhideWhenUsed/>
    <w:qFormat/>
    <w:rsid w:val="00DB49E9"/>
    <w:pPr>
      <w:outlineLvl w:val="3"/>
    </w:pPr>
  </w:style>
  <w:style w:type="paragraph" w:styleId="Heading5">
    <w:name w:val="heading 5"/>
    <w:basedOn w:val="Normal"/>
    <w:next w:val="Normal"/>
    <w:link w:val="Heading5Char"/>
    <w:autoRedefine/>
    <w:rsid w:val="004C6BAD"/>
    <w:pPr>
      <w:keepNext/>
      <w:keepLines/>
      <w:spacing w:before="240" w:after="80"/>
      <w:jc w:val="center"/>
      <w:outlineLvl w:val="4"/>
    </w:pPr>
    <w:rPr>
      <w:rFonts w:cs="Times New Roman"/>
      <w:b/>
      <w:color w:val="000000" w:themeColor="text1"/>
      <w:szCs w:val="24"/>
      <w14:ligatures w14:val="standardContextual"/>
    </w:rPr>
  </w:style>
  <w:style w:type="paragraph" w:styleId="Heading6">
    <w:name w:val="heading 6"/>
    <w:basedOn w:val="Normal"/>
    <w:next w:val="Normal"/>
    <w:link w:val="Heading6Char"/>
    <w:uiPriority w:val="9"/>
    <w:semiHidden/>
    <w:unhideWhenUsed/>
    <w:qFormat/>
    <w:rsid w:val="00503E4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03E4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03E4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03E4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A15"/>
    <w:rPr>
      <w:rFonts w:ascii="Arial" w:eastAsiaTheme="majorEastAsia" w:hAnsi="Arial" w:cstheme="majorBidi"/>
      <w:b/>
      <w:sz w:val="28"/>
      <w:szCs w:val="32"/>
      <w14:ligatures w14:val="none"/>
    </w:rPr>
  </w:style>
  <w:style w:type="character" w:customStyle="1" w:styleId="Heading2Char">
    <w:name w:val="Heading 2 Char"/>
    <w:basedOn w:val="DefaultParagraphFont"/>
    <w:link w:val="Heading2"/>
    <w:uiPriority w:val="9"/>
    <w:rsid w:val="00DF2A15"/>
    <w:rPr>
      <w:rFonts w:ascii="Arial" w:eastAsiaTheme="majorEastAsia" w:hAnsi="Arial" w:cstheme="majorBidi"/>
      <w:b/>
      <w:sz w:val="26"/>
      <w:szCs w:val="26"/>
      <w14:ligatures w14:val="none"/>
    </w:rPr>
  </w:style>
  <w:style w:type="character" w:customStyle="1" w:styleId="Heading3Char">
    <w:name w:val="Heading 3 Char"/>
    <w:basedOn w:val="DefaultParagraphFont"/>
    <w:link w:val="Heading3"/>
    <w:uiPriority w:val="9"/>
    <w:rsid w:val="00DB49E9"/>
    <w:rPr>
      <w:rFonts w:ascii="Arial" w:hAnsi="Arial"/>
      <w:b/>
      <w:bCs/>
      <w:sz w:val="24"/>
      <w:lang w:val="en-US"/>
      <w14:ligatures w14:val="none"/>
    </w:rPr>
  </w:style>
  <w:style w:type="character" w:customStyle="1" w:styleId="Heading5Char">
    <w:name w:val="Heading 5 Char"/>
    <w:basedOn w:val="DefaultParagraphFont"/>
    <w:link w:val="Heading5"/>
    <w:rsid w:val="004C6BAD"/>
    <w:rPr>
      <w:rFonts w:ascii="Times New Roman" w:hAnsi="Times New Roman" w:cs="Times New Roman"/>
      <w:b/>
      <w:color w:val="000000" w:themeColor="text1"/>
      <w:sz w:val="24"/>
      <w:szCs w:val="24"/>
    </w:rPr>
  </w:style>
  <w:style w:type="character" w:customStyle="1" w:styleId="Heading4Char">
    <w:name w:val="Heading 4 Char"/>
    <w:basedOn w:val="DefaultParagraphFont"/>
    <w:link w:val="Heading4"/>
    <w:uiPriority w:val="9"/>
    <w:rsid w:val="00DB49E9"/>
    <w:rPr>
      <w:rFonts w:ascii="Arial" w:hAnsi="Arial"/>
      <w:b/>
      <w:bCs/>
      <w:sz w:val="24"/>
      <w:lang w:val="en-US"/>
      <w14:ligatures w14:val="none"/>
    </w:rPr>
  </w:style>
  <w:style w:type="character" w:customStyle="1" w:styleId="Heading6Char">
    <w:name w:val="Heading 6 Char"/>
    <w:basedOn w:val="DefaultParagraphFont"/>
    <w:link w:val="Heading6"/>
    <w:uiPriority w:val="9"/>
    <w:semiHidden/>
    <w:rsid w:val="00503E4B"/>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503E4B"/>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503E4B"/>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503E4B"/>
    <w:rPr>
      <w:rFonts w:eastAsiaTheme="majorEastAsia" w:cstheme="majorBidi"/>
      <w:color w:val="272727" w:themeColor="text1" w:themeTint="D8"/>
      <w:sz w:val="24"/>
      <w14:ligatures w14:val="none"/>
    </w:rPr>
  </w:style>
  <w:style w:type="paragraph" w:styleId="Title">
    <w:name w:val="Title"/>
    <w:basedOn w:val="Normal"/>
    <w:next w:val="Normal"/>
    <w:link w:val="TitleChar"/>
    <w:uiPriority w:val="10"/>
    <w:rsid w:val="00503E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E4B"/>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503E4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E4B"/>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503E4B"/>
    <w:pPr>
      <w:spacing w:before="160"/>
      <w:jc w:val="center"/>
    </w:pPr>
    <w:rPr>
      <w:i/>
      <w:iCs/>
      <w:color w:val="404040" w:themeColor="text1" w:themeTint="BF"/>
    </w:rPr>
  </w:style>
  <w:style w:type="character" w:customStyle="1" w:styleId="QuoteChar">
    <w:name w:val="Quote Char"/>
    <w:basedOn w:val="DefaultParagraphFont"/>
    <w:link w:val="Quote"/>
    <w:uiPriority w:val="29"/>
    <w:rsid w:val="00503E4B"/>
    <w:rPr>
      <w:rFonts w:ascii="Times New Roman" w:hAnsi="Times New Roman"/>
      <w:i/>
      <w:iCs/>
      <w:color w:val="404040" w:themeColor="text1" w:themeTint="BF"/>
      <w:sz w:val="24"/>
      <w14:ligatures w14:val="none"/>
    </w:rPr>
  </w:style>
  <w:style w:type="paragraph" w:styleId="ListParagraph">
    <w:name w:val="List Paragraph"/>
    <w:basedOn w:val="Normal"/>
    <w:uiPriority w:val="34"/>
    <w:rsid w:val="00503E4B"/>
    <w:pPr>
      <w:ind w:left="720"/>
      <w:contextualSpacing/>
    </w:pPr>
  </w:style>
  <w:style w:type="character" w:styleId="IntenseEmphasis">
    <w:name w:val="Intense Emphasis"/>
    <w:basedOn w:val="DefaultParagraphFont"/>
    <w:uiPriority w:val="21"/>
    <w:qFormat/>
    <w:rsid w:val="00503E4B"/>
    <w:rPr>
      <w:i/>
      <w:iCs/>
      <w:color w:val="2F5496" w:themeColor="accent1" w:themeShade="BF"/>
    </w:rPr>
  </w:style>
  <w:style w:type="paragraph" w:styleId="IntenseQuote">
    <w:name w:val="Intense Quote"/>
    <w:basedOn w:val="Normal"/>
    <w:next w:val="Normal"/>
    <w:link w:val="IntenseQuoteChar"/>
    <w:uiPriority w:val="30"/>
    <w:qFormat/>
    <w:rsid w:val="00503E4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3E4B"/>
    <w:rPr>
      <w:rFonts w:ascii="Times New Roman" w:hAnsi="Times New Roman"/>
      <w:i/>
      <w:iCs/>
      <w:color w:val="2F5496" w:themeColor="accent1" w:themeShade="BF"/>
      <w:sz w:val="24"/>
      <w14:ligatures w14:val="none"/>
    </w:rPr>
  </w:style>
  <w:style w:type="character" w:styleId="IntenseReference">
    <w:name w:val="Intense Reference"/>
    <w:basedOn w:val="DefaultParagraphFont"/>
    <w:uiPriority w:val="32"/>
    <w:rsid w:val="00503E4B"/>
    <w:rPr>
      <w:b/>
      <w:bCs/>
      <w:smallCaps/>
      <w:color w:val="2F5496" w:themeColor="accent1" w:themeShade="BF"/>
      <w:spacing w:val="5"/>
    </w:rPr>
  </w:style>
  <w:style w:type="character" w:styleId="Hyperlink">
    <w:name w:val="Hyperlink"/>
    <w:basedOn w:val="DefaultParagraphFont"/>
    <w:uiPriority w:val="99"/>
    <w:unhideWhenUsed/>
    <w:rsid w:val="00503E4B"/>
    <w:rPr>
      <w:color w:val="0563C1" w:themeColor="hyperlink"/>
      <w:u w:val="single"/>
    </w:rPr>
  </w:style>
  <w:style w:type="character" w:customStyle="1" w:styleId="UnresolvedMention">
    <w:name w:val="Unresolved Mention"/>
    <w:basedOn w:val="DefaultParagraphFont"/>
    <w:uiPriority w:val="99"/>
    <w:semiHidden/>
    <w:unhideWhenUsed/>
    <w:rsid w:val="00503E4B"/>
    <w:rPr>
      <w:color w:val="605E5C"/>
      <w:shd w:val="clear" w:color="auto" w:fill="E1DFDD"/>
    </w:rPr>
  </w:style>
  <w:style w:type="paragraph" w:styleId="Header">
    <w:name w:val="header"/>
    <w:basedOn w:val="Normal"/>
    <w:link w:val="HeaderChar"/>
    <w:uiPriority w:val="99"/>
    <w:unhideWhenUsed/>
    <w:rsid w:val="00486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1F1"/>
    <w:rPr>
      <w:rFonts w:ascii="Arial" w:hAnsi="Arial"/>
      <w:sz w:val="24"/>
      <w14:ligatures w14:val="none"/>
    </w:rPr>
  </w:style>
  <w:style w:type="paragraph" w:styleId="Footer">
    <w:name w:val="footer"/>
    <w:basedOn w:val="Normal"/>
    <w:link w:val="FooterChar"/>
    <w:uiPriority w:val="99"/>
    <w:unhideWhenUsed/>
    <w:rsid w:val="00486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1F1"/>
    <w:rPr>
      <w:rFonts w:ascii="Arial" w:hAnsi="Arial"/>
      <w:sz w:val="24"/>
      <w14:ligatures w14:val="none"/>
    </w:rPr>
  </w:style>
  <w:style w:type="paragraph" w:styleId="TOCHeading">
    <w:name w:val="TOC Heading"/>
    <w:basedOn w:val="Heading1"/>
    <w:next w:val="Normal"/>
    <w:uiPriority w:val="39"/>
    <w:unhideWhenUsed/>
    <w:rsid w:val="00DB49E9"/>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D22FC"/>
    <w:pPr>
      <w:tabs>
        <w:tab w:val="right" w:leader="dot" w:pos="9016"/>
      </w:tabs>
    </w:pPr>
    <w:rPr>
      <w:b/>
      <w:bCs/>
      <w:noProof/>
      <w:lang w:val="en-US"/>
    </w:rPr>
  </w:style>
  <w:style w:type="paragraph" w:styleId="TOC2">
    <w:name w:val="toc 2"/>
    <w:basedOn w:val="Normal"/>
    <w:next w:val="Normal"/>
    <w:autoRedefine/>
    <w:uiPriority w:val="39"/>
    <w:unhideWhenUsed/>
    <w:rsid w:val="00DB49E9"/>
    <w:pPr>
      <w:spacing w:after="100"/>
      <w:ind w:left="240"/>
    </w:pPr>
  </w:style>
  <w:style w:type="paragraph" w:styleId="TableofFigures">
    <w:name w:val="table of figures"/>
    <w:basedOn w:val="Normal"/>
    <w:next w:val="Normal"/>
    <w:uiPriority w:val="99"/>
    <w:unhideWhenUsed/>
    <w:rsid w:val="008D61B9"/>
    <w:pPr>
      <w:spacing w:after="0"/>
    </w:pPr>
  </w:style>
  <w:style w:type="paragraph" w:styleId="NoSpacing">
    <w:name w:val="No Spacing"/>
    <w:uiPriority w:val="1"/>
    <w:qFormat/>
    <w:rsid w:val="00DF2A15"/>
    <w:pPr>
      <w:spacing w:before="120" w:after="120" w:line="360" w:lineRule="auto"/>
      <w:jc w:val="both"/>
    </w:pPr>
    <w:rPr>
      <w:rFonts w:ascii="Arial" w:hAnsi="Arial"/>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pdf/10.1111/fmii.12185" TargetMode="External"/><Relationship Id="rId21" Type="http://schemas.openxmlformats.org/officeDocument/2006/relationships/hyperlink" Target="https://www.aeaweb.org/conference/2024/program/paper/Y2zSr75r" TargetMode="External"/><Relationship Id="rId34" Type="http://schemas.openxmlformats.org/officeDocument/2006/relationships/hyperlink" Target="https://papers.ssrn.com/sol3/Delivery.cfm?abstractid=4549624" TargetMode="External"/><Relationship Id="rId42" Type="http://schemas.openxmlformats.org/officeDocument/2006/relationships/hyperlink" Target="https://knowledge.lancashire.ac.uk/id/eprint/46370/1/X%20HADJIELIAS_245583_%20EH.pdf" TargetMode="External"/><Relationship Id="rId47" Type="http://schemas.openxmlformats.org/officeDocument/2006/relationships/hyperlink" Target="https://www.academia.edu/download/124979573/28_2025_IJRAR.pdf" TargetMode="External"/><Relationship Id="rId50" Type="http://schemas.openxmlformats.org/officeDocument/2006/relationships/hyperlink" Target="http://ojs.feb.uajm.ac.id/index.php/simak/article/download/658/342" TargetMode="External"/><Relationship Id="rId55" Type="http://schemas.openxmlformats.org/officeDocument/2006/relationships/hyperlink" Target="https://www.frontiersin.org/journals/psychology/articles/10.3389/fpsyg.2022.1000412/pdf" TargetMode="External"/><Relationship Id="rId63" Type="http://schemas.openxmlformats.org/officeDocument/2006/relationships/chart" Target="charts/chart6.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emf"/><Relationship Id="rId29" Type="http://schemas.openxmlformats.org/officeDocument/2006/relationships/hyperlink" Target="https://yadda.icm.edu.pl/baztech/element/bwmeta1.element.baztech-90d6a8fe-8cd1-4f98-a24d-8d8944fb6286/c/50_evolution_and_innovation_of_hedge__29_40.pdf" TargetMode="External"/><Relationship Id="rId11" Type="http://schemas.openxmlformats.org/officeDocument/2006/relationships/image" Target="media/image5.png"/><Relationship Id="rId24" Type="http://schemas.openxmlformats.org/officeDocument/2006/relationships/hyperlink" Target="https://www.bydglobal.com/cn/en/BYD_ENInvestor/InvestorAnnals_mob.html" TargetMode="External"/><Relationship Id="rId32" Type="http://schemas.openxmlformats.org/officeDocument/2006/relationships/hyperlink" Target="https://scholar.archive.org/work/mdlbi2hanraitgfektlykiu5wa/access/wayback/https://jurnal.narotama.ac.id/index.php/ijebd/article/download/1897/1330" TargetMode="External"/><Relationship Id="rId37" Type="http://schemas.openxmlformats.org/officeDocument/2006/relationships/hyperlink" Target="https://dj.univ-danubius.ro/index.php/JAM/article/download/2756/2816" TargetMode="External"/><Relationship Id="rId40" Type="http://schemas.openxmlformats.org/officeDocument/2006/relationships/hyperlink" Target="https://www.researchgate.net/profile/Subharun-Pal/publication/375415923_Advancements_in_AI-Enhanced_Just-In-Time_Inventory_Elevating_Demand_Forecasting_Accuracy/links/65495776b1398a779d695871/Advancements-in-AI-Enhanced-Just-In-Time-Inventory-Elevating-Demand-Forecasting-Accuracy.pdf" TargetMode="External"/><Relationship Id="rId45" Type="http://schemas.openxmlformats.org/officeDocument/2006/relationships/hyperlink" Target="https://papers.ssrn.com/sol3/Delivery.cfm?abstractid=5241650" TargetMode="External"/><Relationship Id="rId53" Type="http://schemas.openxmlformats.org/officeDocument/2006/relationships/hyperlink" Target="https://journal.jnec.edu.bt/index.php/jaetm/article/download/55/26" TargetMode="External"/><Relationship Id="rId58" Type="http://schemas.openxmlformats.org/officeDocument/2006/relationships/chart" Target="charts/chart1.xml"/><Relationship Id="rId5" Type="http://schemas.openxmlformats.org/officeDocument/2006/relationships/footnotes" Target="footnotes.xml"/><Relationship Id="rId61" Type="http://schemas.openxmlformats.org/officeDocument/2006/relationships/chart" Target="charts/chart4.xml"/><Relationship Id="rId19" Type="http://schemas.openxmlformats.org/officeDocument/2006/relationships/hyperlink" Target="https://papers.ssrn.com/sol3/Delivery.cfm?abstractid=4125746" TargetMode="External"/><Relationship Id="rId14" Type="http://schemas.openxmlformats.org/officeDocument/2006/relationships/image" Target="media/image8.emf"/><Relationship Id="rId22" Type="http://schemas.openxmlformats.org/officeDocument/2006/relationships/hyperlink" Target="https://sobiad.org/menuscript/index.php/ijefs/article/download/1394/314" TargetMode="External"/><Relationship Id="rId27" Type="http://schemas.openxmlformats.org/officeDocument/2006/relationships/hyperlink" Target="https://journal.access-bg.org/journalfiles/journal/issue-6-1-2025/the_influence_of_cash_conversion_cycle_on_profitability.pdf" TargetMode="External"/><Relationship Id="rId30" Type="http://schemas.openxmlformats.org/officeDocument/2006/relationships/hyperlink" Target="https://financetp.fa.ru/jour/issue/download/94/103" TargetMode="External"/><Relationship Id="rId35" Type="http://schemas.openxmlformats.org/officeDocument/2006/relationships/hyperlink" Target="https://pubsonline.informs.org/doi/full/10.1287/mnsc.2021.02755" TargetMode="External"/><Relationship Id="rId43" Type="http://schemas.openxmlformats.org/officeDocument/2006/relationships/hyperlink" Target="https://nepjol.info/index.php/ljbe/article/download/54320/40697" TargetMode="External"/><Relationship Id="rId48" Type="http://schemas.openxmlformats.org/officeDocument/2006/relationships/hyperlink" Target="https://pdfs.semanticscholar.org/35f5/923a958b071288b38d4e960e8268477ec19a.pdf" TargetMode="External"/><Relationship Id="rId56" Type="http://schemas.openxmlformats.org/officeDocument/2006/relationships/hyperlink" Target="https://www.researchgate.net/profile/Ana-Markuz/publication/367203897_PROJECT_MANAGER'S_SOCIAL_RESPONSIBILITY_ENSURING_WORK-LIFE_BALANCE_AND_EQUAL_OPPORTUNITY_IN_PROJECT/links/63c7f2a0e922c50e99a376bb/PROJECT-MANAGERS-SOCIAL-RESPONSIBILITY-ENSURING-WORK-LIFE-BALANCE-AND-EQUAL-OPPORTUNITY-IN-PROJECT.pdf"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irjems.org/Volume-4-Issue-11/IRJEMS-V4I11P113.pdf"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emf"/><Relationship Id="rId25" Type="http://schemas.openxmlformats.org/officeDocument/2006/relationships/hyperlink" Target="https://cyberleninka.ru/article/n/international-practice-of-tax-risk-management" TargetMode="External"/><Relationship Id="rId33" Type="http://schemas.openxmlformats.org/officeDocument/2006/relationships/hyperlink" Target="https://www.atlantis-press.com/article/126013062.pdf" TargetMode="External"/><Relationship Id="rId38" Type="http://schemas.openxmlformats.org/officeDocument/2006/relationships/hyperlink" Targe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 TargetMode="External"/><Relationship Id="rId46" Type="http://schemas.openxmlformats.org/officeDocument/2006/relationships/hyperlink" Target="https://www.sciencedirect.com/science/article/pii/S0921800922002579" TargetMode="External"/><Relationship Id="rId59" Type="http://schemas.openxmlformats.org/officeDocument/2006/relationships/chart" Target="charts/chart2.xml"/><Relationship Id="rId20" Type="http://schemas.openxmlformats.org/officeDocument/2006/relationships/hyperlink" Target="https://www.academia.edu/download/106769993/cash-conversion-cycle-and-firms-performance.pdf" TargetMode="External"/><Relationship Id="rId41" Type="http://schemas.openxmlformats.org/officeDocument/2006/relationships/hyperlink" Target="https://www.academia.edu/download/125550883/Privatization_investment_funds_DPavelic_ENG_For_Publishing_FINAL.pdf" TargetMode="External"/><Relationship Id="rId54" Type="http://schemas.openxmlformats.org/officeDocument/2006/relationships/hyperlink" Target="https://www.emerald.com/ijbm/article/40/4/659/113228" TargetMode="External"/><Relationship Id="rId62"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emf"/><Relationship Id="rId23" Type="http://schemas.openxmlformats.org/officeDocument/2006/relationships/hyperlink" Target="https://www.researchgate.net/profile/Adri-Ridder/publication/369723213_Accounts_Payable_Management/links/67bb1955461fb56424e76018/Accounts-Payable-Management.pdf" TargetMode="External"/><Relationship Id="rId28" Type="http://schemas.openxmlformats.org/officeDocument/2006/relationships/hyperlink" Target="https://www.emerald.com/ajeb/article-pdf/8/1/67/9525823/ajeb-03-2022-0033.pdf" TargetMode="External"/><Relationship Id="rId36" Type="http://schemas.openxmlformats.org/officeDocument/2006/relationships/hyperlink" Target="https://www.emerald.com/jaar/article-pdf/26/6/205/9873185/jaar-12-2022-0325.pdf" TargetMode="External"/><Relationship Id="rId49" Type="http://schemas.openxmlformats.org/officeDocument/2006/relationships/hyperlink" Target="https://www.mdpi.com/1911-8074/18/4/208" TargetMode="External"/><Relationship Id="rId57" Type="http://schemas.openxmlformats.org/officeDocument/2006/relationships/footer" Target="footer1.xml"/><Relationship Id="rId10" Type="http://schemas.openxmlformats.org/officeDocument/2006/relationships/image" Target="media/image4.png"/><Relationship Id="rId31" Type="http://schemas.openxmlformats.org/officeDocument/2006/relationships/hyperlink" Target="https://www.sciencedirect.com/science/article/pii/S1029313223000027" TargetMode="External"/><Relationship Id="rId44" Type="http://schemas.openxmlformats.org/officeDocument/2006/relationships/hyperlink" Target="https://www.naturalspublishing.com/download.asp?ArtcID=27775" TargetMode="External"/><Relationship Id="rId52" Type="http://schemas.openxmlformats.org/officeDocument/2006/relationships/hyperlink" Target="https://repository.londonmet.ac.uk/9863/1/Volz%20et%20al%202024%20Scaling%20Up%20Green%20Investment%20in%20the%20Global%20South-FINAL.pdf" TargetMode="External"/><Relationship Id="rId60" Type="http://schemas.openxmlformats.org/officeDocument/2006/relationships/chart" Target="charts/chart3.xm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emf"/><Relationship Id="rId39" Type="http://schemas.openxmlformats.org/officeDocument/2006/relationships/hyperlink" Target="https://icanig.org/documents/23_CASH_FLOW_LIQUIDITY_AND_CAPITAL_STRUCTURE.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Work\2026\April%20'26\13.04.2026\TS_53805\TS_5380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Work\2026\April%20'26\13.04.2026\TS_53805\TS_53805.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Work\2026\April%20'26\13.04.2026\TS_53805\TS_53805.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Work\2026\April%20'26\13.04.2026\TS_53805\TS_53805.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Work\2026\April%20'26\13.04.2026\TS_53805\TS_53805.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Work\2026\April%20'26\13.04.2026\TS_53805\TS_53805.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a:t>Liquidity</a:t>
            </a:r>
          </a:p>
        </c:rich>
      </c:tx>
      <c:layout>
        <c:manualLayout>
          <c:xMode val="edge"/>
          <c:yMode val="edge"/>
          <c:x val="0.40375678040244967"/>
          <c:y val="3.7037037037037035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Sheet1!$B$20</c:f>
              <c:strCache>
                <c:ptCount val="1"/>
                <c:pt idx="0">
                  <c:v>Current ratio</c:v>
                </c:pt>
              </c:strCache>
            </c:strRef>
          </c:tx>
          <c:spPr>
            <a:solidFill>
              <a:schemeClr val="accent2"/>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Sheet1!$D$20:$H$20</c:f>
              <c:numCache>
                <c:formatCode>0.000</c:formatCode>
                <c:ptCount val="5"/>
                <c:pt idx="0">
                  <c:v>0.7929692890326735</c:v>
                </c:pt>
                <c:pt idx="1">
                  <c:v>0.74714350940543695</c:v>
                </c:pt>
                <c:pt idx="2">
                  <c:v>0.66595460560693032</c:v>
                </c:pt>
                <c:pt idx="3">
                  <c:v>0.72238743757665147</c:v>
                </c:pt>
                <c:pt idx="4">
                  <c:v>0.9696826533047006</c:v>
                </c:pt>
              </c:numCache>
            </c:numRef>
          </c:val>
          <c:extLst>
            <c:ext xmlns:c16="http://schemas.microsoft.com/office/drawing/2014/chart" uri="{C3380CC4-5D6E-409C-BE32-E72D297353CC}">
              <c16:uniqueId val="{00000000-68C6-4281-A5D1-249F624A7A8B}"/>
            </c:ext>
          </c:extLst>
        </c:ser>
        <c:ser>
          <c:idx val="2"/>
          <c:order val="1"/>
          <c:tx>
            <c:strRef>
              <c:f>Sheet1!$B$21</c:f>
              <c:strCache>
                <c:ptCount val="1"/>
                <c:pt idx="0">
                  <c:v>Quick ratio</c:v>
                </c:pt>
              </c:strCache>
            </c:strRef>
          </c:tx>
          <c:spPr>
            <a:solidFill>
              <a:schemeClr val="accent3"/>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Sheet1!$D$21:$H$21</c:f>
              <c:numCache>
                <c:formatCode>0.000</c:formatCode>
                <c:ptCount val="5"/>
                <c:pt idx="0">
                  <c:v>0.49748355590990634</c:v>
                </c:pt>
                <c:pt idx="1">
                  <c:v>0.5131926196353771</c:v>
                </c:pt>
                <c:pt idx="2">
                  <c:v>0.47269109029428075</c:v>
                </c:pt>
                <c:pt idx="3">
                  <c:v>0.48507317125306271</c:v>
                </c:pt>
                <c:pt idx="4">
                  <c:v>0.71659747077069913</c:v>
                </c:pt>
              </c:numCache>
            </c:numRef>
          </c:val>
          <c:extLst>
            <c:ext xmlns:c16="http://schemas.microsoft.com/office/drawing/2014/chart" uri="{C3380CC4-5D6E-409C-BE32-E72D297353CC}">
              <c16:uniqueId val="{00000001-68C6-4281-A5D1-249F624A7A8B}"/>
            </c:ext>
          </c:extLst>
        </c:ser>
        <c:dLbls>
          <c:showLegendKey val="0"/>
          <c:showVal val="0"/>
          <c:showCatName val="0"/>
          <c:showSerName val="0"/>
          <c:showPercent val="0"/>
          <c:showBubbleSize val="0"/>
        </c:dLbls>
        <c:gapWidth val="219"/>
        <c:overlap val="-27"/>
        <c:axId val="315490736"/>
        <c:axId val="315483056"/>
      </c:barChart>
      <c:catAx>
        <c:axId val="315490736"/>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83056"/>
        <c:crosses val="autoZero"/>
        <c:auto val="1"/>
        <c:lblAlgn val="ctr"/>
        <c:lblOffset val="100"/>
        <c:noMultiLvlLbl val="0"/>
      </c:catAx>
      <c:valAx>
        <c:axId val="315483056"/>
        <c:scaling>
          <c:orientation val="minMax"/>
        </c:scaling>
        <c:delete val="0"/>
        <c:axPos val="r"/>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90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a:t>Profitability</a:t>
            </a:r>
          </a:p>
        </c:rich>
      </c:tx>
      <c:layout>
        <c:manualLayout>
          <c:xMode val="edge"/>
          <c:yMode val="edge"/>
          <c:x val="0.40375678040244967"/>
          <c:y val="3.7037037037037035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Sheet1!$B$23</c:f>
              <c:strCache>
                <c:ptCount val="1"/>
                <c:pt idx="0">
                  <c:v>Net margin</c:v>
                </c:pt>
              </c:strCache>
            </c:strRef>
          </c:tx>
          <c:spPr>
            <a:solidFill>
              <a:schemeClr val="accent2"/>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Sheet1!$D$23:$H$23</c:f>
              <c:numCache>
                <c:formatCode>0.00%</c:formatCode>
                <c:ptCount val="5"/>
                <c:pt idx="0">
                  <c:v>4.0712737086459554E-2</c:v>
                </c:pt>
                <c:pt idx="1">
                  <c:v>5.2613383539978006E-2</c:v>
                </c:pt>
                <c:pt idx="2">
                  <c:v>5.0609109000135509E-2</c:v>
                </c:pt>
                <c:pt idx="3">
                  <c:v>3.9743732086535657E-2</c:v>
                </c:pt>
                <c:pt idx="4">
                  <c:v>1.424584366836297E-2</c:v>
                </c:pt>
              </c:numCache>
            </c:numRef>
          </c:val>
          <c:extLst>
            <c:ext xmlns:c16="http://schemas.microsoft.com/office/drawing/2014/chart" uri="{C3380CC4-5D6E-409C-BE32-E72D297353CC}">
              <c16:uniqueId val="{00000000-85A7-46DE-AEAD-593FE35492F5}"/>
            </c:ext>
          </c:extLst>
        </c:ser>
        <c:ser>
          <c:idx val="2"/>
          <c:order val="1"/>
          <c:tx>
            <c:strRef>
              <c:f>Sheet1!$B$24</c:f>
              <c:strCache>
                <c:ptCount val="1"/>
                <c:pt idx="0">
                  <c:v>ROE (return on equity)</c:v>
                </c:pt>
              </c:strCache>
            </c:strRef>
          </c:tx>
          <c:spPr>
            <a:solidFill>
              <a:schemeClr val="accent3"/>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Sheet1!$D$24:$H$24</c:f>
              <c:numCache>
                <c:formatCode>0.00%</c:formatCode>
                <c:ptCount val="5"/>
                <c:pt idx="0">
                  <c:v>0.1312589386667066</c:v>
                </c:pt>
                <c:pt idx="1">
                  <c:v>0.22330722509662773</c:v>
                </c:pt>
                <c:pt idx="2">
                  <c:v>0.20064590124351081</c:v>
                </c:pt>
                <c:pt idx="3">
                  <c:v>0.14183096214661492</c:v>
                </c:pt>
                <c:pt idx="4">
                  <c:v>2.8780250631283425E-2</c:v>
                </c:pt>
              </c:numCache>
            </c:numRef>
          </c:val>
          <c:extLst>
            <c:ext xmlns:c16="http://schemas.microsoft.com/office/drawing/2014/chart" uri="{C3380CC4-5D6E-409C-BE32-E72D297353CC}">
              <c16:uniqueId val="{00000001-85A7-46DE-AEAD-593FE35492F5}"/>
            </c:ext>
          </c:extLst>
        </c:ser>
        <c:ser>
          <c:idx val="0"/>
          <c:order val="2"/>
          <c:tx>
            <c:strRef>
              <c:f>Sheet1!$B$25</c:f>
              <c:strCache>
                <c:ptCount val="1"/>
                <c:pt idx="0">
                  <c:v>ROA (return on assets)</c:v>
                </c:pt>
              </c:strCache>
            </c:strRef>
          </c:tx>
          <c:spPr>
            <a:solidFill>
              <a:schemeClr val="accent1"/>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Sheet1!$D$25:$H$25</c:f>
              <c:numCache>
                <c:formatCode>0.00%</c:formatCode>
                <c:ptCount val="5"/>
                <c:pt idx="0">
                  <c:v>3.5369830066625502E-2</c:v>
                </c:pt>
                <c:pt idx="1">
                  <c:v>5.1889639179421868E-2</c:v>
                </c:pt>
                <c:pt idx="2">
                  <c:v>4.401490513469708E-2</c:v>
                </c:pt>
                <c:pt idx="3">
                  <c:v>3.4691562753501458E-2</c:v>
                </c:pt>
                <c:pt idx="4">
                  <c:v>1.0112365742501144E-2</c:v>
                </c:pt>
              </c:numCache>
            </c:numRef>
          </c:val>
          <c:extLst>
            <c:ext xmlns:c16="http://schemas.microsoft.com/office/drawing/2014/chart" uri="{C3380CC4-5D6E-409C-BE32-E72D297353CC}">
              <c16:uniqueId val="{00000002-85A7-46DE-AEAD-593FE35492F5}"/>
            </c:ext>
          </c:extLst>
        </c:ser>
        <c:dLbls>
          <c:showLegendKey val="0"/>
          <c:showVal val="0"/>
          <c:showCatName val="0"/>
          <c:showSerName val="0"/>
          <c:showPercent val="0"/>
          <c:showBubbleSize val="0"/>
        </c:dLbls>
        <c:gapWidth val="219"/>
        <c:overlap val="-27"/>
        <c:axId val="315490736"/>
        <c:axId val="315483056"/>
      </c:barChart>
      <c:catAx>
        <c:axId val="315490736"/>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83056"/>
        <c:crosses val="autoZero"/>
        <c:auto val="1"/>
        <c:lblAlgn val="ctr"/>
        <c:lblOffset val="100"/>
        <c:noMultiLvlLbl val="0"/>
      </c:catAx>
      <c:valAx>
        <c:axId val="315483056"/>
        <c:scaling>
          <c:orientation val="minMax"/>
        </c:scaling>
        <c:delete val="0"/>
        <c:axPos val="r"/>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90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a:t>Efficiency</a:t>
            </a:r>
          </a:p>
        </c:rich>
      </c:tx>
      <c:layout>
        <c:manualLayout>
          <c:xMode val="edge"/>
          <c:yMode val="edge"/>
          <c:x val="0.40375678040244967"/>
          <c:y val="3.7037037037037035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Sheet1!$B$30</c:f>
              <c:strCache>
                <c:ptCount val="1"/>
                <c:pt idx="0">
                  <c:v>Accounts receivable days</c:v>
                </c:pt>
              </c:strCache>
            </c:strRef>
          </c:tx>
          <c:spPr>
            <a:solidFill>
              <a:schemeClr val="accent2"/>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Sheet1!$D$30:$H$30</c:f>
              <c:numCache>
                <c:formatCode>0.000</c:formatCode>
                <c:ptCount val="5"/>
                <c:pt idx="0">
                  <c:v>39.881098230118297</c:v>
                </c:pt>
                <c:pt idx="1">
                  <c:v>49.38587805615483</c:v>
                </c:pt>
                <c:pt idx="2">
                  <c:v>56.532905284730482</c:v>
                </c:pt>
                <c:pt idx="3">
                  <c:v>66.981881957209183</c:v>
                </c:pt>
                <c:pt idx="4">
                  <c:v>105.31371909680574</c:v>
                </c:pt>
              </c:numCache>
            </c:numRef>
          </c:val>
          <c:extLst>
            <c:ext xmlns:c16="http://schemas.microsoft.com/office/drawing/2014/chart" uri="{C3380CC4-5D6E-409C-BE32-E72D297353CC}">
              <c16:uniqueId val="{00000000-4961-482C-B1B9-74D4263A4D61}"/>
            </c:ext>
          </c:extLst>
        </c:ser>
        <c:ser>
          <c:idx val="2"/>
          <c:order val="1"/>
          <c:tx>
            <c:strRef>
              <c:f>Sheet1!$B$31</c:f>
              <c:strCache>
                <c:ptCount val="1"/>
                <c:pt idx="0">
                  <c:v>Accounts payable days</c:v>
                </c:pt>
              </c:strCache>
            </c:strRef>
          </c:tx>
          <c:spPr>
            <a:solidFill>
              <a:schemeClr val="accent3"/>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Sheet1!$D$31:$H$31</c:f>
              <c:numCache>
                <c:formatCode>0.000</c:formatCode>
                <c:ptCount val="5"/>
                <c:pt idx="0">
                  <c:v>103.77211795147275</c:v>
                </c:pt>
                <c:pt idx="1">
                  <c:v>136.04732060550896</c:v>
                </c:pt>
                <c:pt idx="2">
                  <c:v>145.33871522772296</c:v>
                </c:pt>
                <c:pt idx="3">
                  <c:v>139.35193816844352</c:v>
                </c:pt>
                <c:pt idx="4">
                  <c:v>142.39703395002527</c:v>
                </c:pt>
              </c:numCache>
            </c:numRef>
          </c:val>
          <c:extLst>
            <c:ext xmlns:c16="http://schemas.microsoft.com/office/drawing/2014/chart" uri="{C3380CC4-5D6E-409C-BE32-E72D297353CC}">
              <c16:uniqueId val="{00000001-4961-482C-B1B9-74D4263A4D61}"/>
            </c:ext>
          </c:extLst>
        </c:ser>
        <c:ser>
          <c:idx val="0"/>
          <c:order val="2"/>
          <c:tx>
            <c:strRef>
              <c:f>Sheet1!$B$32</c:f>
              <c:strCache>
                <c:ptCount val="1"/>
                <c:pt idx="0">
                  <c:v>Inventory days</c:v>
                </c:pt>
              </c:strCache>
            </c:strRef>
          </c:tx>
          <c:spPr>
            <a:solidFill>
              <a:schemeClr val="accent1"/>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Sheet1!$D$32:$H$32</c:f>
              <c:numCache>
                <c:formatCode>0.000</c:formatCode>
                <c:ptCount val="5"/>
                <c:pt idx="0">
                  <c:v>76.920067141523447</c:v>
                </c:pt>
                <c:pt idx="1">
                  <c:v>65.329271580387626</c:v>
                </c:pt>
                <c:pt idx="2">
                  <c:v>65.539838729178484</c:v>
                </c:pt>
                <c:pt idx="3">
                  <c:v>78.495773536113205</c:v>
                </c:pt>
                <c:pt idx="4">
                  <c:v>84.384252558893792</c:v>
                </c:pt>
              </c:numCache>
            </c:numRef>
          </c:val>
          <c:extLst>
            <c:ext xmlns:c16="http://schemas.microsoft.com/office/drawing/2014/chart" uri="{C3380CC4-5D6E-409C-BE32-E72D297353CC}">
              <c16:uniqueId val="{00000002-4961-482C-B1B9-74D4263A4D61}"/>
            </c:ext>
          </c:extLst>
        </c:ser>
        <c:dLbls>
          <c:showLegendKey val="0"/>
          <c:showVal val="0"/>
          <c:showCatName val="0"/>
          <c:showSerName val="0"/>
          <c:showPercent val="0"/>
          <c:showBubbleSize val="0"/>
        </c:dLbls>
        <c:gapWidth val="219"/>
        <c:overlap val="-27"/>
        <c:axId val="315490736"/>
        <c:axId val="315483056"/>
      </c:barChart>
      <c:catAx>
        <c:axId val="315490736"/>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83056"/>
        <c:crosses val="autoZero"/>
        <c:auto val="1"/>
        <c:lblAlgn val="ctr"/>
        <c:lblOffset val="100"/>
        <c:noMultiLvlLbl val="0"/>
      </c:catAx>
      <c:valAx>
        <c:axId val="315483056"/>
        <c:scaling>
          <c:orientation val="minMax"/>
        </c:scaling>
        <c:delete val="0"/>
        <c:axPos val="r"/>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90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a:t>Gearing</a:t>
            </a:r>
          </a:p>
        </c:rich>
      </c:tx>
      <c:layout>
        <c:manualLayout>
          <c:xMode val="edge"/>
          <c:yMode val="edge"/>
          <c:x val="0.40375678040244967"/>
          <c:y val="3.7037037037037035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Sheet1!$B$27</c:f>
              <c:strCache>
                <c:ptCount val="1"/>
                <c:pt idx="0">
                  <c:v>D/E (Debt to Equity) ratio</c:v>
                </c:pt>
              </c:strCache>
            </c:strRef>
          </c:tx>
          <c:spPr>
            <a:solidFill>
              <a:schemeClr val="accent2"/>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Sheet1!$D$27:$H$27</c:f>
              <c:numCache>
                <c:formatCode>0.00%</c:formatCode>
                <c:ptCount val="5"/>
                <c:pt idx="0">
                  <c:v>0.68951845390081545</c:v>
                </c:pt>
                <c:pt idx="1">
                  <c:v>0.31414752857931655</c:v>
                </c:pt>
                <c:pt idx="2">
                  <c:v>0.33854883496317761</c:v>
                </c:pt>
                <c:pt idx="3">
                  <c:v>0.23261598514920501</c:v>
                </c:pt>
                <c:pt idx="4">
                  <c:v>0.43788327922332532</c:v>
                </c:pt>
              </c:numCache>
            </c:numRef>
          </c:val>
          <c:extLst>
            <c:ext xmlns:c16="http://schemas.microsoft.com/office/drawing/2014/chart" uri="{C3380CC4-5D6E-409C-BE32-E72D297353CC}">
              <c16:uniqueId val="{00000000-157E-4976-8D0E-4E11BF68C790}"/>
            </c:ext>
          </c:extLst>
        </c:ser>
        <c:ser>
          <c:idx val="2"/>
          <c:order val="1"/>
          <c:tx>
            <c:strRef>
              <c:f>Sheet1!$B$28</c:f>
              <c:strCache>
                <c:ptCount val="1"/>
                <c:pt idx="0">
                  <c:v>D/C (Debt to Coverage) ratio</c:v>
                </c:pt>
              </c:strCache>
            </c:strRef>
          </c:tx>
          <c:spPr>
            <a:solidFill>
              <a:schemeClr val="accent3"/>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Sheet1!$D$28:$H$28</c:f>
              <c:numCache>
                <c:formatCode>0.00%</c:formatCode>
                <c:ptCount val="5"/>
                <c:pt idx="0">
                  <c:v>0.4081153729388588</c:v>
                </c:pt>
                <c:pt idx="1">
                  <c:v>0.23905042755658609</c:v>
                </c:pt>
                <c:pt idx="2">
                  <c:v>0.25292228876542316</c:v>
                </c:pt>
                <c:pt idx="3">
                  <c:v>0.18871731987237486</c:v>
                </c:pt>
                <c:pt idx="4">
                  <c:v>0.30453325770631995</c:v>
                </c:pt>
              </c:numCache>
            </c:numRef>
          </c:val>
          <c:extLst>
            <c:ext xmlns:c16="http://schemas.microsoft.com/office/drawing/2014/chart" uri="{C3380CC4-5D6E-409C-BE32-E72D297353CC}">
              <c16:uniqueId val="{00000001-157E-4976-8D0E-4E11BF68C790}"/>
            </c:ext>
          </c:extLst>
        </c:ser>
        <c:dLbls>
          <c:showLegendKey val="0"/>
          <c:showVal val="0"/>
          <c:showCatName val="0"/>
          <c:showSerName val="0"/>
          <c:showPercent val="0"/>
          <c:showBubbleSize val="0"/>
        </c:dLbls>
        <c:gapWidth val="219"/>
        <c:overlap val="-27"/>
        <c:axId val="315490736"/>
        <c:axId val="315483056"/>
      </c:barChart>
      <c:catAx>
        <c:axId val="315490736"/>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83056"/>
        <c:crosses val="autoZero"/>
        <c:auto val="1"/>
        <c:lblAlgn val="ctr"/>
        <c:lblOffset val="100"/>
        <c:noMultiLvlLbl val="0"/>
      </c:catAx>
      <c:valAx>
        <c:axId val="315483056"/>
        <c:scaling>
          <c:orientation val="minMax"/>
        </c:scaling>
        <c:delete val="0"/>
        <c:axPos val="r"/>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90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a:t>Cash flow ratio</a:t>
            </a:r>
          </a:p>
        </c:rich>
      </c:tx>
      <c:layout>
        <c:manualLayout>
          <c:xMode val="edge"/>
          <c:yMode val="edge"/>
          <c:x val="0.40375678040244967"/>
          <c:y val="3.7037037037037035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Sheet1!$B$36</c:f>
              <c:strCache>
                <c:ptCount val="1"/>
                <c:pt idx="0">
                  <c:v>Operating cash conversion</c:v>
                </c:pt>
              </c:strCache>
            </c:strRef>
          </c:tx>
          <c:spPr>
            <a:solidFill>
              <a:schemeClr val="accent2"/>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Sheet1!$D$36:$H$36</c:f>
              <c:numCache>
                <c:formatCode>0.000</c:formatCode>
                <c:ptCount val="5"/>
                <c:pt idx="0">
                  <c:v>2.6458769016279167</c:v>
                </c:pt>
                <c:pt idx="1">
                  <c:v>3.7391651430484383</c:v>
                </c:pt>
                <c:pt idx="2">
                  <c:v>5.7810825789765383</c:v>
                </c:pt>
                <c:pt idx="3">
                  <c:v>7.3067528415422327</c:v>
                </c:pt>
                <c:pt idx="4">
                  <c:v>15.58702937118076</c:v>
                </c:pt>
              </c:numCache>
            </c:numRef>
          </c:val>
          <c:extLst>
            <c:ext xmlns:c16="http://schemas.microsoft.com/office/drawing/2014/chart" uri="{C3380CC4-5D6E-409C-BE32-E72D297353CC}">
              <c16:uniqueId val="{00000000-42DE-4C0C-B8A8-13C43AC55BCC}"/>
            </c:ext>
          </c:extLst>
        </c:ser>
        <c:dLbls>
          <c:showLegendKey val="0"/>
          <c:showVal val="0"/>
          <c:showCatName val="0"/>
          <c:showSerName val="0"/>
          <c:showPercent val="0"/>
          <c:showBubbleSize val="0"/>
        </c:dLbls>
        <c:gapWidth val="219"/>
        <c:overlap val="-27"/>
        <c:axId val="315490736"/>
        <c:axId val="315483056"/>
      </c:barChart>
      <c:catAx>
        <c:axId val="315490736"/>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83056"/>
        <c:crosses val="autoZero"/>
        <c:auto val="1"/>
        <c:lblAlgn val="ctr"/>
        <c:lblOffset val="100"/>
        <c:noMultiLvlLbl val="0"/>
      </c:catAx>
      <c:valAx>
        <c:axId val="315483056"/>
        <c:scaling>
          <c:orientation val="minMax"/>
        </c:scaling>
        <c:delete val="0"/>
        <c:axPos val="r"/>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90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a:t>Investment ratio</a:t>
            </a:r>
          </a:p>
        </c:rich>
      </c:tx>
      <c:layout>
        <c:manualLayout>
          <c:xMode val="edge"/>
          <c:yMode val="edge"/>
          <c:x val="0.40375678040244967"/>
          <c:y val="3.7037037037037035E-2"/>
        </c:manualLayout>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0"/>
          <c:tx>
            <c:strRef>
              <c:f>Sheet1!$B$34</c:f>
              <c:strCache>
                <c:ptCount val="1"/>
                <c:pt idx="0">
                  <c:v>P/E (Price to Earning) ratio</c:v>
                </c:pt>
              </c:strCache>
            </c:strRef>
          </c:tx>
          <c:spPr>
            <a:solidFill>
              <a:schemeClr val="accent2"/>
            </a:solidFill>
            <a:ln>
              <a:noFill/>
            </a:ln>
            <a:effectLst/>
          </c:spPr>
          <c:invertIfNegative val="0"/>
          <c:cat>
            <c:numRef>
              <c:f>Sheet1!$D$18:$H$18</c:f>
              <c:numCache>
                <c:formatCode>General</c:formatCode>
                <c:ptCount val="5"/>
                <c:pt idx="0">
                  <c:v>2025</c:v>
                </c:pt>
                <c:pt idx="1">
                  <c:v>2024</c:v>
                </c:pt>
                <c:pt idx="2">
                  <c:v>2023</c:v>
                </c:pt>
                <c:pt idx="3">
                  <c:v>2022</c:v>
                </c:pt>
                <c:pt idx="4">
                  <c:v>2021</c:v>
                </c:pt>
              </c:numCache>
            </c:numRef>
          </c:cat>
          <c:val>
            <c:numRef>
              <c:f>Sheet1!$D$34:$H$34</c:f>
              <c:numCache>
                <c:formatCode>0.000</c:formatCode>
                <c:ptCount val="5"/>
                <c:pt idx="0">
                  <c:v>25.193298969072167</c:v>
                </c:pt>
                <c:pt idx="1">
                  <c:v>18.186</c:v>
                </c:pt>
                <c:pt idx="2">
                  <c:v>15.289473684210527</c:v>
                </c:pt>
                <c:pt idx="3">
                  <c:v>36.95475113122172</c:v>
                </c:pt>
                <c:pt idx="4">
                  <c:v>171.93023255813955</c:v>
                </c:pt>
              </c:numCache>
            </c:numRef>
          </c:val>
          <c:extLst>
            <c:ext xmlns:c16="http://schemas.microsoft.com/office/drawing/2014/chart" uri="{C3380CC4-5D6E-409C-BE32-E72D297353CC}">
              <c16:uniqueId val="{00000000-67E4-4B07-8D0B-8ECC5DB111C6}"/>
            </c:ext>
          </c:extLst>
        </c:ser>
        <c:dLbls>
          <c:showLegendKey val="0"/>
          <c:showVal val="0"/>
          <c:showCatName val="0"/>
          <c:showSerName val="0"/>
          <c:showPercent val="0"/>
          <c:showBubbleSize val="0"/>
        </c:dLbls>
        <c:gapWidth val="219"/>
        <c:overlap val="-27"/>
        <c:axId val="315490736"/>
        <c:axId val="315483056"/>
      </c:barChart>
      <c:catAx>
        <c:axId val="315490736"/>
        <c:scaling>
          <c:orientation val="maxMin"/>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83056"/>
        <c:crosses val="autoZero"/>
        <c:auto val="1"/>
        <c:lblAlgn val="ctr"/>
        <c:lblOffset val="100"/>
        <c:noMultiLvlLbl val="0"/>
      </c:catAx>
      <c:valAx>
        <c:axId val="315483056"/>
        <c:scaling>
          <c:orientation val="minMax"/>
        </c:scaling>
        <c:delete val="0"/>
        <c:axPos val="r"/>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315490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29DBF-FA58-4747-A1DA-15FEED43D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3274</TotalTime>
  <Pages>38</Pages>
  <Words>8700</Words>
  <Characters>49592</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58176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DELL</cp:lastModifiedBy>
  <cp:revision>25</cp:revision>
  <dcterms:created xsi:type="dcterms:W3CDTF">2026-04-12T05:29:00Z</dcterms:created>
  <dcterms:modified xsi:type="dcterms:W3CDTF">2026-04-23T11:07:00Z</dcterms:modified>
  <cp:category/>
</cp:coreProperties>
</file>