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281D" w:rsidRPr="00514B95" w:rsidRDefault="009A5CBD" w:rsidP="001260FF">
      <w:pPr>
        <w:spacing w:line="276" w:lineRule="auto"/>
        <w:jc w:val="both"/>
        <w:rPr>
          <w:rFonts w:cs="Calibri"/>
        </w:rP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http://enrolment.smu.ac.uk/uwtsd-logo-bilingual.jpg" style="width:279.75pt;height:93pt;visibility:visible;mso-wrap-style:square">
            <v:imagedata r:id="rId9" o:title="uwtsd-logo-bilingual"/>
          </v:shape>
        </w:pict>
      </w:r>
    </w:p>
    <w:p w:rsidR="0064281D" w:rsidRPr="00514B95" w:rsidRDefault="009A5CBD" w:rsidP="001260FF">
      <w:pPr>
        <w:spacing w:line="276" w:lineRule="auto"/>
        <w:jc w:val="both"/>
        <w:rPr>
          <w:rFonts w:cs="Calibri"/>
        </w:rPr>
      </w:pPr>
      <w:r>
        <w:rPr>
          <w:noProof/>
        </w:rPr>
        <w:pict>
          <v:shapetype id="_x0000_t202" coordsize="21600,21600" o:spt="202" path="m,l,21600r21600,l21600,xe">
            <v:stroke joinstyle="miter"/>
            <v:path gradientshapeok="t" o:connecttype="rect"/>
          </v:shapetype>
          <v:shape id="Text Box 113" o:spid="_x0000_s1031" type="#_x0000_t202" style="position:absolute;left:0;text-align:left;margin-left:89.3pt;margin-top:508.5pt;width:435.9pt;height:196.3pt;z-index:2;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" filled="f" stroked="f" strokeweight=".5pt">
            <v:textbox inset="0,0,0,0">
              <w:txbxContent>
                <w:p w:rsidR="009A5CBD" w:rsidRPr="00A11CD0" w:rsidRDefault="009A5CBD" w:rsidP="00C41DDC">
                  <w:pPr>
                    <w:pStyle w:val="NoSpacing"/>
                    <w:jc w:val="right"/>
                    <w:rPr>
                      <w:caps/>
                      <w:color w:val="323E4F"/>
                      <w:sz w:val="72"/>
                      <w:szCs w:val="72"/>
                    </w:rPr>
                  </w:pPr>
                  <w:r w:rsidRPr="00A11CD0">
                    <w:rPr>
                      <w:caps/>
                      <w:color w:val="323E4F"/>
                      <w:sz w:val="68"/>
                      <w:szCs w:val="68"/>
                    </w:rPr>
                    <w:t>The Development on an Internal Standard for CSR &amp; CRI Testing</w:t>
                  </w:r>
                </w:p>
              </w:txbxContent>
            </v:textbox>
            <w10:wrap type="square" anchorx="page" anchory="page"/>
          </v:shape>
        </w:pict>
      </w:r>
      <w:r>
        <w:rPr>
          <w:noProof/>
        </w:rPr>
        <w:pict>
          <v:shape id="Text Box 111" o:spid="_x0000_s1030" type="#_x0000_t202" style="position:absolute;left:0;text-align:left;margin-left:89.3pt;margin-top:76.6pt;width:436.15pt;height:24.4pt;z-index:4;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" filled="f" stroked="f" strokeweight=".5pt">
            <v:textbox style="mso-fit-shape-to-text:t" inset="0,0,0,0">
              <w:txbxContent>
                <w:p w:rsidR="009A5CBD" w:rsidRPr="00A11CD0" w:rsidRDefault="009A5CBD">
                  <w:pPr>
                    <w:pStyle w:val="NoSpacing"/>
                    <w:jc w:val="right"/>
                    <w:rPr>
                      <w:caps/>
                      <w:color w:val="323E4F"/>
                      <w:sz w:val="40"/>
                      <w:szCs w:val="40"/>
                    </w:rPr>
                  </w:pPr>
                  <w:r w:rsidRPr="00A11CD0">
                    <w:rPr>
                      <w:caps/>
                      <w:color w:val="323E4F"/>
                      <w:sz w:val="40"/>
                      <w:szCs w:val="40"/>
                    </w:rPr>
                    <w:t xml:space="preserve">     </w:t>
                  </w:r>
                </w:p>
              </w:txbxContent>
            </v:textbox>
            <w10:wrap type="square" anchorx="page" anchory="page"/>
          </v:shape>
        </w:pict>
      </w:r>
      <w:r>
        <w:rPr>
          <w:noProof/>
        </w:rPr>
        <w:pict>
          <v:shape id="Text Box 112" o:spid="_x0000_s1029" type="#_x0000_t202" style="position:absolute;left:0;text-align:left;margin-left:89.3pt;margin-top:704.65pt;width:436.15pt;height:66.2pt;z-index:3;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" filled="f" stroked="f" strokeweight=".5pt">
            <v:textbox inset="0,0,0,0">
              <w:txbxContent>
                <w:p w:rsidR="009A5CBD" w:rsidRPr="00A11CD0" w:rsidRDefault="009A5CBD">
                  <w:pPr>
                    <w:pStyle w:val="NoSpacing"/>
                    <w:jc w:val="right"/>
                    <w:rPr>
                      <w:caps/>
                      <w:color w:val="262626"/>
                      <w:sz w:val="28"/>
                      <w:szCs w:val="28"/>
                    </w:rPr>
                  </w:pPr>
                  <w:r w:rsidRPr="00A11CD0">
                    <w:rPr>
                      <w:caps/>
                      <w:color w:val="262626"/>
                      <w:sz w:val="28"/>
                      <w:szCs w:val="28"/>
                      <w:lang w:val="en-GB"/>
                    </w:rPr>
                    <w:t>Lawrence Tuckett</w:t>
                  </w:r>
                </w:p>
                <w:p w:rsidR="009A5CBD" w:rsidRPr="00A11CD0" w:rsidRDefault="009A5CBD">
                  <w:pPr>
                    <w:pStyle w:val="NoSpacing"/>
                    <w:jc w:val="right"/>
                    <w:rPr>
                      <w:caps/>
                      <w:color w:val="262626"/>
                      <w:sz w:val="20"/>
                      <w:szCs w:val="20"/>
                    </w:rPr>
                  </w:pPr>
                  <w:r w:rsidRPr="00A11CD0">
                    <w:rPr>
                      <w:caps/>
                      <w:color w:val="262626"/>
                      <w:sz w:val="20"/>
                      <w:szCs w:val="20"/>
                    </w:rPr>
                    <w:t>p144081</w:t>
                  </w:r>
                </w:p>
                <w:p w:rsidR="009A5CBD" w:rsidRPr="00A11CD0" w:rsidRDefault="009A5CBD">
                  <w:pPr>
                    <w:pStyle w:val="NoSpacing"/>
                    <w:jc w:val="right"/>
                    <w:rPr>
                      <w:caps/>
                      <w:color w:val="262626"/>
                      <w:sz w:val="20"/>
                      <w:szCs w:val="20"/>
                    </w:rPr>
                  </w:pPr>
                  <w:r w:rsidRPr="00A11CD0">
                    <w:rPr>
                      <w:color w:val="262626"/>
                      <w:sz w:val="20"/>
                      <w:szCs w:val="20"/>
                    </w:rPr>
                    <w:t xml:space="preserve">BEng Material Science </w:t>
                  </w:r>
                </w:p>
              </w:txbxContent>
            </v:textbox>
            <w10:wrap type="square" anchorx="page" anchory="page"/>
          </v:shape>
        </w:pict>
      </w:r>
      <w:r>
        <w:rPr>
          <w:noProof/>
        </w:rPr>
        <w:pict>
          <v:group id="Group 114" o:spid="_x0000_s1026" style="position:absolute;left:0;text-align:left;margin-left:26.8pt;margin-top:38.3pt;width:17pt;height:765.25pt;z-index:1;mso-position-horizontal-relative:page;mso-position-vertical-relative:page"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">
            <v:rect id="Rectangle 115" o:spid="_x0000_s1027" style="position:absolute;width:2286;height:8782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" fillcolor="#ed7d31" stroked="f" strokeweight="1pt"/>
            <v:rect id="Rectangle 116" o:spid="_x0000_s1028" style="position:absolute;top:89154;width:2286;height:22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" fillcolor="#5b9bd5" stroked="f" strokeweight="1pt">
              <o:lock v:ext="edit" aspectratio="t"/>
            </v:rect>
            <w10:wrap anchorx="page" anchory="page"/>
          </v:group>
        </w:pict>
      </w:r>
      <w:r w:rsidR="0064281D" w:rsidRPr="00514B95">
        <w:rPr>
          <w:rFonts w:cs="Calibri"/>
        </w:rPr>
        <w:br w:type="page"/>
      </w:r>
    </w:p>
    <w:p w:rsidR="0064281D" w:rsidRPr="00A11CD0" w:rsidRDefault="008E1311" w:rsidP="001260FF">
      <w:pPr>
        <w:pStyle w:val="Heading1"/>
        <w:spacing w:line="276" w:lineRule="auto"/>
        <w:jc w:val="both"/>
        <w:rPr>
          <w:rFonts w:ascii="Calibri" w:hAnsi="Calibri" w:cs="Calibri"/>
        </w:rPr>
      </w:pPr>
      <w:bookmarkStart w:id="0" w:name="_Toc504330916"/>
      <w:bookmarkStart w:id="1" w:name="_Toc511503094"/>
      <w:bookmarkStart w:id="2" w:name="_Toc512166847"/>
      <w:bookmarkStart w:id="3" w:name="_Toc512168625"/>
      <w:bookmarkStart w:id="4" w:name="_Toc512169506"/>
      <w:bookmarkStart w:id="5" w:name="_Toc512334062"/>
      <w:r w:rsidRPr="00A11CD0">
        <w:rPr>
          <w:rFonts w:ascii="Calibri" w:hAnsi="Calibri" w:cs="Calibri"/>
        </w:rPr>
        <w:t>Declaration of Authenticity</w:t>
      </w:r>
      <w:bookmarkEnd w:id="0"/>
      <w:bookmarkEnd w:id="1"/>
      <w:bookmarkEnd w:id="2"/>
      <w:bookmarkEnd w:id="3"/>
      <w:bookmarkEnd w:id="4"/>
      <w:bookmarkEnd w:id="5"/>
    </w:p>
    <w:p w:rsidR="008E1311" w:rsidRPr="00514B95" w:rsidRDefault="008E1311" w:rsidP="001260FF">
      <w:pPr>
        <w:spacing w:line="276" w:lineRule="auto"/>
        <w:jc w:val="both"/>
        <w:rPr>
          <w:rFonts w:cs="Calibri"/>
        </w:rPr>
      </w:pPr>
    </w:p>
    <w:p w:rsidR="00373D61" w:rsidRDefault="00373D61" w:rsidP="001260FF">
      <w:pPr>
        <w:spacing w:line="276" w:lineRule="auto"/>
        <w:jc w:val="both"/>
        <w:rPr>
          <w:rFonts w:cs="Calibri"/>
        </w:rPr>
      </w:pPr>
      <w:r w:rsidRPr="00514B95">
        <w:rPr>
          <w:rFonts w:cs="Calibri"/>
        </w:rPr>
        <w:t xml:space="preserve">This </w:t>
      </w:r>
      <w:r w:rsidR="00C41DDC">
        <w:rPr>
          <w:rFonts w:cs="Calibri"/>
        </w:rPr>
        <w:t>thesis</w:t>
      </w:r>
      <w:r w:rsidRPr="00514B95">
        <w:rPr>
          <w:rFonts w:cs="Calibri"/>
        </w:rPr>
        <w:t xml:space="preserve"> is the result of the author’s original work. It has been composed by the author and has not been previously submitted for examination which has led to the award of a degree.</w:t>
      </w:r>
    </w:p>
    <w:p w:rsidR="00C41DDC" w:rsidRPr="00514B95" w:rsidRDefault="00C41DDC" w:rsidP="001260FF">
      <w:pPr>
        <w:spacing w:line="276" w:lineRule="auto"/>
        <w:jc w:val="both"/>
        <w:rPr>
          <w:rFonts w:cs="Calibri"/>
        </w:rPr>
      </w:pPr>
    </w:p>
    <w:p w:rsidR="00373D61" w:rsidRPr="00514B95" w:rsidRDefault="00373D61" w:rsidP="001260FF">
      <w:pPr>
        <w:spacing w:line="276" w:lineRule="auto"/>
        <w:jc w:val="both"/>
        <w:rPr>
          <w:rFonts w:cs="Calibri"/>
        </w:rPr>
      </w:pPr>
    </w:p>
    <w:p w:rsidR="00373D61" w:rsidRPr="00600964" w:rsidRDefault="005C1C0C" w:rsidP="001260FF">
      <w:pPr>
        <w:spacing w:line="276" w:lineRule="auto"/>
        <w:jc w:val="both"/>
        <w:rPr>
          <w:rFonts w:cs="Calibri"/>
          <w:b/>
        </w:rPr>
      </w:pPr>
      <w:r w:rsidRPr="00514B95">
        <w:rPr>
          <w:rFonts w:cs="Calibri"/>
        </w:rPr>
        <w:t>Signed:</w:t>
      </w:r>
      <w:r w:rsidR="00C41DDC">
        <w:rPr>
          <w:rFonts w:cs="Calibri"/>
        </w:rPr>
        <w:tab/>
      </w:r>
      <w:r w:rsidR="006D663A">
        <w:rPr>
          <w:rFonts w:cs="Calibri"/>
        </w:rPr>
        <w:t>.......................................................................................................</w:t>
      </w:r>
      <w:r w:rsidR="00C41DDC">
        <w:rPr>
          <w:rFonts w:cs="Calibri"/>
        </w:rPr>
        <w:tab/>
      </w:r>
      <w:r w:rsidRPr="00514B95">
        <w:rPr>
          <w:rFonts w:cs="Calibri"/>
        </w:rPr>
        <w:tab/>
      </w:r>
      <w:r w:rsidR="00373D61" w:rsidRPr="00514B95">
        <w:rPr>
          <w:rFonts w:cs="Calibri"/>
        </w:rPr>
        <w:t>Date:</w:t>
      </w:r>
      <w:r w:rsidRPr="00514B95">
        <w:rPr>
          <w:rFonts w:cs="Calibri"/>
        </w:rPr>
        <w:t xml:space="preserve"> </w:t>
      </w:r>
      <w:r w:rsidR="006D663A" w:rsidRPr="006D663A">
        <w:rPr>
          <w:rFonts w:cs="Calibri"/>
          <w:b/>
        </w:rPr>
        <w:t>24/04/2018</w:t>
      </w:r>
    </w:p>
    <w:p w:rsidR="0064281D" w:rsidRPr="00514B95" w:rsidRDefault="0064281D" w:rsidP="001260FF">
      <w:pPr>
        <w:spacing w:line="276" w:lineRule="auto"/>
        <w:jc w:val="both"/>
        <w:rPr>
          <w:rFonts w:cs="Calibri"/>
        </w:rPr>
      </w:pPr>
    </w:p>
    <w:p w:rsidR="0064281D" w:rsidRPr="00514B95" w:rsidRDefault="0064281D" w:rsidP="001260FF">
      <w:pPr>
        <w:spacing w:line="276" w:lineRule="auto"/>
        <w:jc w:val="both"/>
        <w:rPr>
          <w:rFonts w:cs="Calibri"/>
        </w:rPr>
      </w:pPr>
    </w:p>
    <w:p w:rsidR="008E1311" w:rsidRDefault="008E1311"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600964" w:rsidRDefault="00600964" w:rsidP="001260FF">
      <w:pPr>
        <w:spacing w:line="276" w:lineRule="auto"/>
        <w:jc w:val="both"/>
        <w:rPr>
          <w:rFonts w:cs="Calibri"/>
        </w:rPr>
      </w:pPr>
    </w:p>
    <w:p w:rsidR="00C41DDC" w:rsidRDefault="00C41DDC" w:rsidP="001260FF">
      <w:pPr>
        <w:spacing w:line="276" w:lineRule="auto"/>
        <w:jc w:val="both"/>
        <w:rPr>
          <w:rFonts w:cs="Calibri"/>
        </w:rPr>
      </w:pPr>
    </w:p>
    <w:p w:rsidR="009726D8" w:rsidRDefault="009726D8" w:rsidP="001260FF">
      <w:pPr>
        <w:spacing w:line="276" w:lineRule="auto"/>
        <w:jc w:val="both"/>
        <w:rPr>
          <w:rFonts w:cs="Calibri"/>
        </w:rPr>
      </w:pPr>
    </w:p>
    <w:p w:rsidR="009D3C7B" w:rsidRDefault="009D3C7B"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pStyle w:val="Heading1"/>
        <w:jc w:val="both"/>
      </w:pPr>
      <w:bookmarkStart w:id="6" w:name="_Toc511503095"/>
      <w:bookmarkStart w:id="7" w:name="_Toc512166848"/>
      <w:bookmarkStart w:id="8" w:name="_Toc512168626"/>
      <w:bookmarkStart w:id="9" w:name="_Toc512169507"/>
      <w:bookmarkStart w:id="10" w:name="_Toc512334063"/>
      <w:r>
        <w:lastRenderedPageBreak/>
        <w:t>Acknowledgements</w:t>
      </w:r>
      <w:bookmarkEnd w:id="6"/>
      <w:bookmarkEnd w:id="7"/>
      <w:bookmarkEnd w:id="8"/>
      <w:bookmarkEnd w:id="9"/>
      <w:bookmarkEnd w:id="10"/>
    </w:p>
    <w:p w:rsidR="00C41DDC" w:rsidRDefault="00C41DDC" w:rsidP="001260FF">
      <w:pPr>
        <w:jc w:val="both"/>
      </w:pPr>
    </w:p>
    <w:p w:rsidR="00C41DDC" w:rsidRDefault="00C41DDC" w:rsidP="001260FF">
      <w:pPr>
        <w:jc w:val="both"/>
      </w:pPr>
      <w:r>
        <w:t xml:space="preserve">Firstly, I would like to thank my </w:t>
      </w:r>
      <w:r w:rsidR="009D3C7B">
        <w:t>family and close friends</w:t>
      </w:r>
      <w:r>
        <w:t xml:space="preserve"> for all </w:t>
      </w:r>
      <w:r w:rsidR="009D3C7B">
        <w:t>their</w:t>
      </w:r>
      <w:r>
        <w:t xml:space="preserve"> wonderful support and motivation during every part of this journey. Through all the ups and downs you </w:t>
      </w:r>
      <w:r w:rsidR="009D3C7B">
        <w:t xml:space="preserve">all have </w:t>
      </w:r>
      <w:r>
        <w:t>kept me level and focussed. I am incredibly grateful.</w:t>
      </w:r>
    </w:p>
    <w:p w:rsidR="00B77DB5" w:rsidRDefault="00B77DB5" w:rsidP="001260FF">
      <w:pPr>
        <w:jc w:val="both"/>
      </w:pPr>
    </w:p>
    <w:p w:rsidR="00C41DDC" w:rsidRDefault="00C41DDC" w:rsidP="001260FF">
      <w:pPr>
        <w:jc w:val="both"/>
      </w:pPr>
      <w:r>
        <w:t>To every one of my colleagues that have sacrificed their own time in order to help complete various elements of this work</w:t>
      </w:r>
      <w:r w:rsidR="009D3C7B">
        <w:t xml:space="preserve">, and those who took on my work so I could focus on this, without you I would have failed. Thank you, truly.  </w:t>
      </w:r>
    </w:p>
    <w:p w:rsidR="00B77DB5" w:rsidRDefault="00B77DB5" w:rsidP="001260FF">
      <w:pPr>
        <w:jc w:val="both"/>
      </w:pPr>
    </w:p>
    <w:p w:rsidR="009D3C7B" w:rsidRDefault="009D3C7B" w:rsidP="001260FF">
      <w:pPr>
        <w:jc w:val="both"/>
      </w:pPr>
      <w:r>
        <w:t>To all of the lecturers at University of Wales Trinity Saint David I’ve had the privilege in being taught by, with your help I was able to lay the groundwork for this project, whether I knew it at the time or not. Particularly to Greg whose help and support with this project was brilliant</w:t>
      </w:r>
      <w:r w:rsidR="002920D4">
        <w:t>.</w:t>
      </w:r>
    </w:p>
    <w:p w:rsidR="00B77DB5" w:rsidRDefault="00B77DB5" w:rsidP="001260FF">
      <w:pPr>
        <w:jc w:val="both"/>
      </w:pPr>
    </w:p>
    <w:p w:rsidR="009D3C7B" w:rsidRPr="00C41DDC" w:rsidRDefault="009D3C7B" w:rsidP="001260FF">
      <w:pPr>
        <w:jc w:val="both"/>
      </w:pPr>
      <w:r>
        <w:t>Lastly, I would like to thank my partner Becky and my good friend</w:t>
      </w:r>
      <w:r w:rsidR="002920D4">
        <w:t xml:space="preserve"> and colleague</w:t>
      </w:r>
      <w:r>
        <w:t xml:space="preserve"> John. Your continued support over the last four years are the reason why I have been able to complete this course. I don’t think I’ll be able to truly repay all the faith you have had in me. But I’ll try.</w:t>
      </w: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9D3C7B" w:rsidRDefault="009D3C7B"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9265E3" w:rsidRDefault="009265E3"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C41DDC" w:rsidRDefault="00C41DDC" w:rsidP="001260FF">
      <w:pPr>
        <w:spacing w:line="276" w:lineRule="auto"/>
        <w:jc w:val="both"/>
        <w:rPr>
          <w:rFonts w:cs="Calibri"/>
        </w:rPr>
      </w:pPr>
    </w:p>
    <w:p w:rsidR="009D3C7B" w:rsidRDefault="009D3C7B" w:rsidP="001260FF">
      <w:pPr>
        <w:spacing w:line="276" w:lineRule="auto"/>
        <w:jc w:val="both"/>
        <w:rPr>
          <w:rFonts w:cs="Calibri"/>
        </w:rPr>
      </w:pPr>
    </w:p>
    <w:p w:rsidR="009726D8" w:rsidRDefault="009726D8" w:rsidP="001260FF">
      <w:pPr>
        <w:spacing w:line="276" w:lineRule="auto"/>
        <w:jc w:val="both"/>
        <w:rPr>
          <w:rFonts w:cs="Calibri"/>
        </w:rPr>
      </w:pPr>
    </w:p>
    <w:p w:rsidR="009D3C7B" w:rsidRDefault="009D3C7B" w:rsidP="001260FF">
      <w:pPr>
        <w:pStyle w:val="Heading1"/>
        <w:jc w:val="both"/>
      </w:pPr>
      <w:bookmarkStart w:id="11" w:name="_Toc511503096"/>
      <w:bookmarkStart w:id="12" w:name="_Toc512166849"/>
      <w:bookmarkStart w:id="13" w:name="_Toc512168627"/>
      <w:bookmarkStart w:id="14" w:name="_Toc512169508"/>
      <w:bookmarkStart w:id="15" w:name="_Toc512334064"/>
      <w:r>
        <w:lastRenderedPageBreak/>
        <w:t>Abstract</w:t>
      </w:r>
      <w:bookmarkEnd w:id="11"/>
      <w:bookmarkEnd w:id="12"/>
      <w:bookmarkEnd w:id="13"/>
      <w:bookmarkEnd w:id="14"/>
      <w:bookmarkEnd w:id="15"/>
    </w:p>
    <w:p w:rsidR="009D3C7B" w:rsidRDefault="009D3C7B" w:rsidP="001260FF">
      <w:pPr>
        <w:jc w:val="both"/>
      </w:pPr>
    </w:p>
    <w:p w:rsidR="00FF597B" w:rsidRDefault="00FF597B" w:rsidP="001260FF">
      <w:pPr>
        <w:jc w:val="both"/>
      </w:pPr>
      <w:r>
        <w:t>The results that were being achieved for a standard that was used for CSR and CRI testing were not tying up with the results the standard was stating. Whilst this was an ongoing issue, it was not considered a major issue within the department and across site as the on</w:t>
      </w:r>
      <w:r w:rsidR="00177D1A">
        <w:t>-</w:t>
      </w:r>
      <w:r>
        <w:t xml:space="preserve">site produced coke results were better than required. However, a </w:t>
      </w:r>
      <w:r w:rsidR="00177D1A">
        <w:t>considerable</w:t>
      </w:r>
      <w:r>
        <w:t xml:space="preserve"> drop in quality for the on</w:t>
      </w:r>
      <w:r w:rsidR="00177D1A">
        <w:t>-</w:t>
      </w:r>
      <w:r>
        <w:t xml:space="preserve">site produced coke lead to complaints from the </w:t>
      </w:r>
      <w:r w:rsidR="00177D1A">
        <w:t>coke ovens and blast furnace</w:t>
      </w:r>
      <w:r>
        <w:t xml:space="preserve"> team</w:t>
      </w:r>
      <w:r w:rsidR="00177D1A">
        <w:t>s against</w:t>
      </w:r>
      <w:r>
        <w:t xml:space="preserve"> the technical department. Other laboratories were contacted in order to try to establish why the </w:t>
      </w:r>
      <w:r w:rsidR="00177D1A">
        <w:t>expected result of the standard</w:t>
      </w:r>
      <w:r>
        <w:t xml:space="preserve"> could not </w:t>
      </w:r>
      <w:r w:rsidR="00177D1A">
        <w:t xml:space="preserve">be </w:t>
      </w:r>
      <w:r>
        <w:t>achieve</w:t>
      </w:r>
      <w:r w:rsidR="00177D1A">
        <w:t xml:space="preserve">d. </w:t>
      </w:r>
      <w:r>
        <w:t>Once the issue was identified, it was decided that the best cause of action was to attempt developing an internal standard that the department could then use and present the results to the coke ovens. This would show that the equipment and job method were being carried out correctly and prove that the dip in quality for onsite produced coke was a coke ovens issue that they had to address.</w:t>
      </w: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6B5DAC" w:rsidRDefault="006B5DAC" w:rsidP="001260FF">
      <w:pPr>
        <w:jc w:val="both"/>
      </w:pPr>
    </w:p>
    <w:p w:rsidR="00D460D7" w:rsidRDefault="00D460D7" w:rsidP="001260FF">
      <w:pPr>
        <w:jc w:val="both"/>
      </w:pPr>
    </w:p>
    <w:p w:rsidR="009145CE" w:rsidRDefault="009145CE" w:rsidP="001260FF">
      <w:pPr>
        <w:jc w:val="both"/>
      </w:pPr>
    </w:p>
    <w:p w:rsidR="009726D8" w:rsidRDefault="009726D8" w:rsidP="001260FF">
      <w:pPr>
        <w:jc w:val="both"/>
      </w:pPr>
    </w:p>
    <w:p w:rsidR="009145CE" w:rsidRDefault="009145CE" w:rsidP="001260FF">
      <w:pPr>
        <w:jc w:val="both"/>
      </w:pPr>
    </w:p>
    <w:p w:rsidR="009145CE" w:rsidRDefault="009145CE">
      <w:pPr>
        <w:pStyle w:val="TOCHeading"/>
      </w:pPr>
      <w:r>
        <w:lastRenderedPageBreak/>
        <w:t>Table of Contents</w:t>
      </w:r>
    </w:p>
    <w:p w:rsidR="00594B58" w:rsidRPr="00F76DC0" w:rsidRDefault="009145CE">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512334062" w:history="1">
        <w:r w:rsidR="00594B58" w:rsidRPr="0022098E">
          <w:rPr>
            <w:rStyle w:val="Hyperlink"/>
            <w:rFonts w:cs="Calibri"/>
            <w:noProof/>
          </w:rPr>
          <w:t>Declaration of Authenticity</w:t>
        </w:r>
        <w:r w:rsidR="00594B58">
          <w:rPr>
            <w:noProof/>
            <w:webHidden/>
          </w:rPr>
          <w:tab/>
        </w:r>
        <w:r w:rsidR="00594B58">
          <w:rPr>
            <w:noProof/>
            <w:webHidden/>
          </w:rPr>
          <w:fldChar w:fldCharType="begin"/>
        </w:r>
        <w:r w:rsidR="00594B58">
          <w:rPr>
            <w:noProof/>
            <w:webHidden/>
          </w:rPr>
          <w:instrText xml:space="preserve"> PAGEREF _Toc512334062 \h </w:instrText>
        </w:r>
        <w:r w:rsidR="00594B58">
          <w:rPr>
            <w:noProof/>
            <w:webHidden/>
          </w:rPr>
        </w:r>
        <w:r w:rsidR="00594B58">
          <w:rPr>
            <w:noProof/>
            <w:webHidden/>
          </w:rPr>
          <w:fldChar w:fldCharType="separate"/>
        </w:r>
        <w:r w:rsidR="009A5CBD">
          <w:rPr>
            <w:noProof/>
            <w:webHidden/>
          </w:rPr>
          <w:t>1</w:t>
        </w:r>
        <w:r w:rsidR="00594B58">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63" w:history="1">
        <w:r w:rsidRPr="0022098E">
          <w:rPr>
            <w:rStyle w:val="Hyperlink"/>
            <w:noProof/>
          </w:rPr>
          <w:t>Acknowledgements</w:t>
        </w:r>
        <w:r>
          <w:rPr>
            <w:noProof/>
            <w:webHidden/>
          </w:rPr>
          <w:tab/>
        </w:r>
        <w:r>
          <w:rPr>
            <w:noProof/>
            <w:webHidden/>
          </w:rPr>
          <w:fldChar w:fldCharType="begin"/>
        </w:r>
        <w:r>
          <w:rPr>
            <w:noProof/>
            <w:webHidden/>
          </w:rPr>
          <w:instrText xml:space="preserve"> PAGEREF _Toc512334063 \h </w:instrText>
        </w:r>
        <w:r>
          <w:rPr>
            <w:noProof/>
            <w:webHidden/>
          </w:rPr>
        </w:r>
        <w:r>
          <w:rPr>
            <w:noProof/>
            <w:webHidden/>
          </w:rPr>
          <w:fldChar w:fldCharType="separate"/>
        </w:r>
        <w:r w:rsidR="009A5CBD">
          <w:rPr>
            <w:noProof/>
            <w:webHidden/>
          </w:rPr>
          <w:t>2</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64" w:history="1">
        <w:r w:rsidRPr="0022098E">
          <w:rPr>
            <w:rStyle w:val="Hyperlink"/>
            <w:noProof/>
          </w:rPr>
          <w:t>Abstract</w:t>
        </w:r>
        <w:r>
          <w:rPr>
            <w:noProof/>
            <w:webHidden/>
          </w:rPr>
          <w:tab/>
        </w:r>
        <w:r>
          <w:rPr>
            <w:noProof/>
            <w:webHidden/>
          </w:rPr>
          <w:fldChar w:fldCharType="begin"/>
        </w:r>
        <w:r>
          <w:rPr>
            <w:noProof/>
            <w:webHidden/>
          </w:rPr>
          <w:instrText xml:space="preserve"> PAGEREF _Toc512334064 \h </w:instrText>
        </w:r>
        <w:r>
          <w:rPr>
            <w:noProof/>
            <w:webHidden/>
          </w:rPr>
        </w:r>
        <w:r>
          <w:rPr>
            <w:noProof/>
            <w:webHidden/>
          </w:rPr>
          <w:fldChar w:fldCharType="separate"/>
        </w:r>
        <w:r w:rsidR="009A5CBD">
          <w:rPr>
            <w:noProof/>
            <w:webHidden/>
          </w:rPr>
          <w:t>3</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65" w:history="1">
        <w:r w:rsidRPr="0022098E">
          <w:rPr>
            <w:rStyle w:val="Hyperlink"/>
            <w:noProof/>
          </w:rPr>
          <w:t>List of Figures</w:t>
        </w:r>
        <w:r>
          <w:rPr>
            <w:noProof/>
            <w:webHidden/>
          </w:rPr>
          <w:tab/>
        </w:r>
        <w:r>
          <w:rPr>
            <w:noProof/>
            <w:webHidden/>
          </w:rPr>
          <w:fldChar w:fldCharType="begin"/>
        </w:r>
        <w:r>
          <w:rPr>
            <w:noProof/>
            <w:webHidden/>
          </w:rPr>
          <w:instrText xml:space="preserve"> PAGEREF _Toc512334065 \h </w:instrText>
        </w:r>
        <w:r>
          <w:rPr>
            <w:noProof/>
            <w:webHidden/>
          </w:rPr>
        </w:r>
        <w:r>
          <w:rPr>
            <w:noProof/>
            <w:webHidden/>
          </w:rPr>
          <w:fldChar w:fldCharType="separate"/>
        </w:r>
        <w:r w:rsidR="009A5CBD">
          <w:rPr>
            <w:noProof/>
            <w:webHidden/>
          </w:rPr>
          <w:t>6</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66" w:history="1">
        <w:r w:rsidRPr="0022098E">
          <w:rPr>
            <w:rStyle w:val="Hyperlink"/>
            <w:noProof/>
          </w:rPr>
          <w:t>List of Tables</w:t>
        </w:r>
        <w:r>
          <w:rPr>
            <w:noProof/>
            <w:webHidden/>
          </w:rPr>
          <w:tab/>
        </w:r>
        <w:r>
          <w:rPr>
            <w:noProof/>
            <w:webHidden/>
          </w:rPr>
          <w:fldChar w:fldCharType="begin"/>
        </w:r>
        <w:r>
          <w:rPr>
            <w:noProof/>
            <w:webHidden/>
          </w:rPr>
          <w:instrText xml:space="preserve"> PAGEREF _Toc512334066 \h </w:instrText>
        </w:r>
        <w:r>
          <w:rPr>
            <w:noProof/>
            <w:webHidden/>
          </w:rPr>
        </w:r>
        <w:r>
          <w:rPr>
            <w:noProof/>
            <w:webHidden/>
          </w:rPr>
          <w:fldChar w:fldCharType="separate"/>
        </w:r>
        <w:r w:rsidR="009A5CBD">
          <w:rPr>
            <w:noProof/>
            <w:webHidden/>
          </w:rPr>
          <w:t>7</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67" w:history="1">
        <w:r w:rsidRPr="0022098E">
          <w:rPr>
            <w:rStyle w:val="Hyperlink"/>
            <w:noProof/>
            <w:shd w:val="clear" w:color="auto" w:fill="FFFFFF"/>
          </w:rPr>
          <w:t>Introduction</w:t>
        </w:r>
        <w:r>
          <w:rPr>
            <w:noProof/>
            <w:webHidden/>
          </w:rPr>
          <w:tab/>
        </w:r>
        <w:r>
          <w:rPr>
            <w:noProof/>
            <w:webHidden/>
          </w:rPr>
          <w:fldChar w:fldCharType="begin"/>
        </w:r>
        <w:r>
          <w:rPr>
            <w:noProof/>
            <w:webHidden/>
          </w:rPr>
          <w:instrText xml:space="preserve"> PAGEREF _Toc512334067 \h </w:instrText>
        </w:r>
        <w:r>
          <w:rPr>
            <w:noProof/>
            <w:webHidden/>
          </w:rPr>
        </w:r>
        <w:r>
          <w:rPr>
            <w:noProof/>
            <w:webHidden/>
          </w:rPr>
          <w:fldChar w:fldCharType="separate"/>
        </w:r>
        <w:r w:rsidR="009A5CBD">
          <w:rPr>
            <w:noProof/>
            <w:webHidden/>
          </w:rPr>
          <w:t>8</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68" w:history="1">
        <w:r w:rsidRPr="0022098E">
          <w:rPr>
            <w:rStyle w:val="Hyperlink"/>
            <w:noProof/>
          </w:rPr>
          <w:t>Initial Status</w:t>
        </w:r>
        <w:r>
          <w:rPr>
            <w:noProof/>
            <w:webHidden/>
          </w:rPr>
          <w:tab/>
        </w:r>
        <w:r>
          <w:rPr>
            <w:noProof/>
            <w:webHidden/>
          </w:rPr>
          <w:fldChar w:fldCharType="begin"/>
        </w:r>
        <w:r>
          <w:rPr>
            <w:noProof/>
            <w:webHidden/>
          </w:rPr>
          <w:instrText xml:space="preserve"> PAGEREF _Toc512334068 \h </w:instrText>
        </w:r>
        <w:r>
          <w:rPr>
            <w:noProof/>
            <w:webHidden/>
          </w:rPr>
        </w:r>
        <w:r>
          <w:rPr>
            <w:noProof/>
            <w:webHidden/>
          </w:rPr>
          <w:fldChar w:fldCharType="separate"/>
        </w:r>
        <w:r w:rsidR="009A5CBD">
          <w:rPr>
            <w:noProof/>
            <w:webHidden/>
          </w:rPr>
          <w:t>8</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69" w:history="1">
        <w:r w:rsidRPr="0022098E">
          <w:rPr>
            <w:rStyle w:val="Hyperlink"/>
            <w:noProof/>
          </w:rPr>
          <w:t>Solutions</w:t>
        </w:r>
        <w:r>
          <w:rPr>
            <w:noProof/>
            <w:webHidden/>
          </w:rPr>
          <w:tab/>
        </w:r>
        <w:r>
          <w:rPr>
            <w:noProof/>
            <w:webHidden/>
          </w:rPr>
          <w:fldChar w:fldCharType="begin"/>
        </w:r>
        <w:r>
          <w:rPr>
            <w:noProof/>
            <w:webHidden/>
          </w:rPr>
          <w:instrText xml:space="preserve"> PAGEREF _Toc512334069 \h </w:instrText>
        </w:r>
        <w:r>
          <w:rPr>
            <w:noProof/>
            <w:webHidden/>
          </w:rPr>
        </w:r>
        <w:r>
          <w:rPr>
            <w:noProof/>
            <w:webHidden/>
          </w:rPr>
          <w:fldChar w:fldCharType="separate"/>
        </w:r>
        <w:r w:rsidR="009A5CBD">
          <w:rPr>
            <w:noProof/>
            <w:webHidden/>
          </w:rPr>
          <w:t>8</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70" w:history="1">
        <w:r w:rsidRPr="0022098E">
          <w:rPr>
            <w:rStyle w:val="Hyperlink"/>
            <w:noProof/>
          </w:rPr>
          <w:t>Objectives</w:t>
        </w:r>
        <w:r>
          <w:rPr>
            <w:noProof/>
            <w:webHidden/>
          </w:rPr>
          <w:tab/>
        </w:r>
        <w:r>
          <w:rPr>
            <w:noProof/>
            <w:webHidden/>
          </w:rPr>
          <w:fldChar w:fldCharType="begin"/>
        </w:r>
        <w:r>
          <w:rPr>
            <w:noProof/>
            <w:webHidden/>
          </w:rPr>
          <w:instrText xml:space="preserve"> PAGEREF _Toc512334070 \h </w:instrText>
        </w:r>
        <w:r>
          <w:rPr>
            <w:noProof/>
            <w:webHidden/>
          </w:rPr>
        </w:r>
        <w:r>
          <w:rPr>
            <w:noProof/>
            <w:webHidden/>
          </w:rPr>
          <w:fldChar w:fldCharType="separate"/>
        </w:r>
        <w:r w:rsidR="009A5CBD">
          <w:rPr>
            <w:noProof/>
            <w:webHidden/>
          </w:rPr>
          <w:t>8</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71" w:history="1">
        <w:r w:rsidRPr="0022098E">
          <w:rPr>
            <w:rStyle w:val="Hyperlink"/>
            <w:noProof/>
          </w:rPr>
          <w:t>Timing Plan</w:t>
        </w:r>
        <w:r>
          <w:rPr>
            <w:noProof/>
            <w:webHidden/>
          </w:rPr>
          <w:tab/>
        </w:r>
        <w:r>
          <w:rPr>
            <w:noProof/>
            <w:webHidden/>
          </w:rPr>
          <w:fldChar w:fldCharType="begin"/>
        </w:r>
        <w:r>
          <w:rPr>
            <w:noProof/>
            <w:webHidden/>
          </w:rPr>
          <w:instrText xml:space="preserve"> PAGEREF _Toc512334071 \h </w:instrText>
        </w:r>
        <w:r>
          <w:rPr>
            <w:noProof/>
            <w:webHidden/>
          </w:rPr>
        </w:r>
        <w:r>
          <w:rPr>
            <w:noProof/>
            <w:webHidden/>
          </w:rPr>
          <w:fldChar w:fldCharType="separate"/>
        </w:r>
        <w:r w:rsidR="009A5CBD">
          <w:rPr>
            <w:noProof/>
            <w:webHidden/>
          </w:rPr>
          <w:t>9</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72" w:history="1">
        <w:r w:rsidRPr="0022098E">
          <w:rPr>
            <w:rStyle w:val="Hyperlink"/>
            <w:noProof/>
          </w:rPr>
          <w:t>Literature Review</w:t>
        </w:r>
        <w:r>
          <w:rPr>
            <w:noProof/>
            <w:webHidden/>
          </w:rPr>
          <w:tab/>
        </w:r>
        <w:r>
          <w:rPr>
            <w:noProof/>
            <w:webHidden/>
          </w:rPr>
          <w:fldChar w:fldCharType="begin"/>
        </w:r>
        <w:r>
          <w:rPr>
            <w:noProof/>
            <w:webHidden/>
          </w:rPr>
          <w:instrText xml:space="preserve"> PAGEREF _Toc512334072 \h </w:instrText>
        </w:r>
        <w:r>
          <w:rPr>
            <w:noProof/>
            <w:webHidden/>
          </w:rPr>
        </w:r>
        <w:r>
          <w:rPr>
            <w:noProof/>
            <w:webHidden/>
          </w:rPr>
          <w:fldChar w:fldCharType="separate"/>
        </w:r>
        <w:r w:rsidR="009A5CBD">
          <w:rPr>
            <w:noProof/>
            <w:webHidden/>
          </w:rPr>
          <w:t>10</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73" w:history="1">
        <w:r w:rsidRPr="0022098E">
          <w:rPr>
            <w:rStyle w:val="Hyperlink"/>
            <w:noProof/>
          </w:rPr>
          <w:t>Coke Making</w:t>
        </w:r>
        <w:r>
          <w:rPr>
            <w:noProof/>
            <w:webHidden/>
          </w:rPr>
          <w:tab/>
        </w:r>
        <w:r>
          <w:rPr>
            <w:noProof/>
            <w:webHidden/>
          </w:rPr>
          <w:fldChar w:fldCharType="begin"/>
        </w:r>
        <w:r>
          <w:rPr>
            <w:noProof/>
            <w:webHidden/>
          </w:rPr>
          <w:instrText xml:space="preserve"> PAGEREF _Toc512334073 \h </w:instrText>
        </w:r>
        <w:r>
          <w:rPr>
            <w:noProof/>
            <w:webHidden/>
          </w:rPr>
        </w:r>
        <w:r>
          <w:rPr>
            <w:noProof/>
            <w:webHidden/>
          </w:rPr>
          <w:fldChar w:fldCharType="separate"/>
        </w:r>
        <w:r w:rsidR="009A5CBD">
          <w:rPr>
            <w:noProof/>
            <w:webHidden/>
          </w:rPr>
          <w:t>10</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74" w:history="1">
        <w:r w:rsidRPr="0022098E">
          <w:rPr>
            <w:rStyle w:val="Hyperlink"/>
            <w:noProof/>
          </w:rPr>
          <w:t>Factors Affecting Coke Quality</w:t>
        </w:r>
        <w:r>
          <w:rPr>
            <w:noProof/>
            <w:webHidden/>
          </w:rPr>
          <w:tab/>
        </w:r>
        <w:r>
          <w:rPr>
            <w:noProof/>
            <w:webHidden/>
          </w:rPr>
          <w:fldChar w:fldCharType="begin"/>
        </w:r>
        <w:r>
          <w:rPr>
            <w:noProof/>
            <w:webHidden/>
          </w:rPr>
          <w:instrText xml:space="preserve"> PAGEREF _Toc512334074 \h </w:instrText>
        </w:r>
        <w:r>
          <w:rPr>
            <w:noProof/>
            <w:webHidden/>
          </w:rPr>
        </w:r>
        <w:r>
          <w:rPr>
            <w:noProof/>
            <w:webHidden/>
          </w:rPr>
          <w:fldChar w:fldCharType="separate"/>
        </w:r>
        <w:r w:rsidR="009A5CBD">
          <w:rPr>
            <w:noProof/>
            <w:webHidden/>
          </w:rPr>
          <w:t>11</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75" w:history="1">
        <w:r w:rsidRPr="0022098E">
          <w:rPr>
            <w:rStyle w:val="Hyperlink"/>
            <w:noProof/>
          </w:rPr>
          <w:t>Coal Handling &amp; Preparation</w:t>
        </w:r>
        <w:r>
          <w:rPr>
            <w:noProof/>
            <w:webHidden/>
          </w:rPr>
          <w:tab/>
        </w:r>
        <w:r>
          <w:rPr>
            <w:noProof/>
            <w:webHidden/>
          </w:rPr>
          <w:fldChar w:fldCharType="begin"/>
        </w:r>
        <w:r>
          <w:rPr>
            <w:noProof/>
            <w:webHidden/>
          </w:rPr>
          <w:instrText xml:space="preserve"> PAGEREF _Toc512334075 \h </w:instrText>
        </w:r>
        <w:r>
          <w:rPr>
            <w:noProof/>
            <w:webHidden/>
          </w:rPr>
        </w:r>
        <w:r>
          <w:rPr>
            <w:noProof/>
            <w:webHidden/>
          </w:rPr>
          <w:fldChar w:fldCharType="separate"/>
        </w:r>
        <w:r w:rsidR="009A5CBD">
          <w:rPr>
            <w:noProof/>
            <w:webHidden/>
          </w:rPr>
          <w:t>12</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76" w:history="1">
        <w:r w:rsidRPr="0022098E">
          <w:rPr>
            <w:rStyle w:val="Hyperlink"/>
            <w:noProof/>
            <w:bdr w:val="none" w:sz="0" w:space="0" w:color="auto" w:frame="1"/>
            <w:lang w:eastAsia="en-GB"/>
          </w:rPr>
          <w:t>Byproduct Coke Oven Batteries</w:t>
        </w:r>
        <w:r>
          <w:rPr>
            <w:noProof/>
            <w:webHidden/>
          </w:rPr>
          <w:tab/>
        </w:r>
        <w:r>
          <w:rPr>
            <w:noProof/>
            <w:webHidden/>
          </w:rPr>
          <w:fldChar w:fldCharType="begin"/>
        </w:r>
        <w:r>
          <w:rPr>
            <w:noProof/>
            <w:webHidden/>
          </w:rPr>
          <w:instrText xml:space="preserve"> PAGEREF _Toc512334076 \h </w:instrText>
        </w:r>
        <w:r>
          <w:rPr>
            <w:noProof/>
            <w:webHidden/>
          </w:rPr>
        </w:r>
        <w:r>
          <w:rPr>
            <w:noProof/>
            <w:webHidden/>
          </w:rPr>
          <w:fldChar w:fldCharType="separate"/>
        </w:r>
        <w:r w:rsidR="009A5CBD">
          <w:rPr>
            <w:noProof/>
            <w:webHidden/>
          </w:rPr>
          <w:t>12</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77" w:history="1">
        <w:r w:rsidRPr="0022098E">
          <w:rPr>
            <w:rStyle w:val="Hyperlink"/>
            <w:noProof/>
          </w:rPr>
          <w:t>Carbonisation Process</w:t>
        </w:r>
        <w:r>
          <w:rPr>
            <w:noProof/>
            <w:webHidden/>
          </w:rPr>
          <w:tab/>
        </w:r>
        <w:r>
          <w:rPr>
            <w:noProof/>
            <w:webHidden/>
          </w:rPr>
          <w:fldChar w:fldCharType="begin"/>
        </w:r>
        <w:r>
          <w:rPr>
            <w:noProof/>
            <w:webHidden/>
          </w:rPr>
          <w:instrText xml:space="preserve"> PAGEREF _Toc512334077 \h </w:instrText>
        </w:r>
        <w:r>
          <w:rPr>
            <w:noProof/>
            <w:webHidden/>
          </w:rPr>
        </w:r>
        <w:r>
          <w:rPr>
            <w:noProof/>
            <w:webHidden/>
          </w:rPr>
          <w:fldChar w:fldCharType="separate"/>
        </w:r>
        <w:r w:rsidR="009A5CBD">
          <w:rPr>
            <w:noProof/>
            <w:webHidden/>
          </w:rPr>
          <w:t>13</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78" w:history="1">
        <w:r w:rsidRPr="0022098E">
          <w:rPr>
            <w:rStyle w:val="Hyperlink"/>
            <w:noProof/>
          </w:rPr>
          <w:t>Coke Crushing &amp; Sorting Plant</w:t>
        </w:r>
        <w:r>
          <w:rPr>
            <w:noProof/>
            <w:webHidden/>
          </w:rPr>
          <w:tab/>
        </w:r>
        <w:r>
          <w:rPr>
            <w:noProof/>
            <w:webHidden/>
          </w:rPr>
          <w:fldChar w:fldCharType="begin"/>
        </w:r>
        <w:r>
          <w:rPr>
            <w:noProof/>
            <w:webHidden/>
          </w:rPr>
          <w:instrText xml:space="preserve"> PAGEREF _Toc512334078 \h </w:instrText>
        </w:r>
        <w:r>
          <w:rPr>
            <w:noProof/>
            <w:webHidden/>
          </w:rPr>
        </w:r>
        <w:r>
          <w:rPr>
            <w:noProof/>
            <w:webHidden/>
          </w:rPr>
          <w:fldChar w:fldCharType="separate"/>
        </w:r>
        <w:r w:rsidR="009A5CBD">
          <w:rPr>
            <w:noProof/>
            <w:webHidden/>
          </w:rPr>
          <w:t>14</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79" w:history="1">
        <w:r w:rsidRPr="0022098E">
          <w:rPr>
            <w:rStyle w:val="Hyperlink"/>
            <w:noProof/>
          </w:rPr>
          <w:t>Blast Furnace</w:t>
        </w:r>
        <w:r>
          <w:rPr>
            <w:noProof/>
            <w:webHidden/>
          </w:rPr>
          <w:tab/>
        </w:r>
        <w:r>
          <w:rPr>
            <w:noProof/>
            <w:webHidden/>
          </w:rPr>
          <w:fldChar w:fldCharType="begin"/>
        </w:r>
        <w:r>
          <w:rPr>
            <w:noProof/>
            <w:webHidden/>
          </w:rPr>
          <w:instrText xml:space="preserve"> PAGEREF _Toc512334079 \h </w:instrText>
        </w:r>
        <w:r>
          <w:rPr>
            <w:noProof/>
            <w:webHidden/>
          </w:rPr>
        </w:r>
        <w:r>
          <w:rPr>
            <w:noProof/>
            <w:webHidden/>
          </w:rPr>
          <w:fldChar w:fldCharType="separate"/>
        </w:r>
        <w:r w:rsidR="009A5CBD">
          <w:rPr>
            <w:noProof/>
            <w:webHidden/>
          </w:rPr>
          <w:t>14</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0" w:history="1">
        <w:r w:rsidRPr="0022098E">
          <w:rPr>
            <w:rStyle w:val="Hyperlink"/>
            <w:noProof/>
          </w:rPr>
          <w:t>The Process</w:t>
        </w:r>
        <w:r>
          <w:rPr>
            <w:noProof/>
            <w:webHidden/>
          </w:rPr>
          <w:tab/>
        </w:r>
        <w:r>
          <w:rPr>
            <w:noProof/>
            <w:webHidden/>
          </w:rPr>
          <w:fldChar w:fldCharType="begin"/>
        </w:r>
        <w:r>
          <w:rPr>
            <w:noProof/>
            <w:webHidden/>
          </w:rPr>
          <w:instrText xml:space="preserve"> PAGEREF _Toc512334080 \h </w:instrText>
        </w:r>
        <w:r>
          <w:rPr>
            <w:noProof/>
            <w:webHidden/>
          </w:rPr>
        </w:r>
        <w:r>
          <w:rPr>
            <w:noProof/>
            <w:webHidden/>
          </w:rPr>
          <w:fldChar w:fldCharType="separate"/>
        </w:r>
        <w:r w:rsidR="009A5CBD">
          <w:rPr>
            <w:noProof/>
            <w:webHidden/>
          </w:rPr>
          <w:t>15</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1" w:history="1">
        <w:r w:rsidRPr="0022098E">
          <w:rPr>
            <w:rStyle w:val="Hyperlink"/>
            <w:noProof/>
          </w:rPr>
          <w:t>Functions of Coke in the Furnace</w:t>
        </w:r>
        <w:r>
          <w:rPr>
            <w:noProof/>
            <w:webHidden/>
          </w:rPr>
          <w:tab/>
        </w:r>
        <w:r>
          <w:rPr>
            <w:noProof/>
            <w:webHidden/>
          </w:rPr>
          <w:fldChar w:fldCharType="begin"/>
        </w:r>
        <w:r>
          <w:rPr>
            <w:noProof/>
            <w:webHidden/>
          </w:rPr>
          <w:instrText xml:space="preserve"> PAGEREF _Toc512334081 \h </w:instrText>
        </w:r>
        <w:r>
          <w:rPr>
            <w:noProof/>
            <w:webHidden/>
          </w:rPr>
        </w:r>
        <w:r>
          <w:rPr>
            <w:noProof/>
            <w:webHidden/>
          </w:rPr>
          <w:fldChar w:fldCharType="separate"/>
        </w:r>
        <w:r w:rsidR="009A5CBD">
          <w:rPr>
            <w:noProof/>
            <w:webHidden/>
          </w:rPr>
          <w:t>16</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2" w:history="1">
        <w:r w:rsidRPr="0022098E">
          <w:rPr>
            <w:rStyle w:val="Hyperlink"/>
            <w:noProof/>
          </w:rPr>
          <w:t>Coke Quality</w:t>
        </w:r>
        <w:r>
          <w:rPr>
            <w:noProof/>
            <w:webHidden/>
          </w:rPr>
          <w:tab/>
        </w:r>
        <w:r>
          <w:rPr>
            <w:noProof/>
            <w:webHidden/>
          </w:rPr>
          <w:fldChar w:fldCharType="begin"/>
        </w:r>
        <w:r>
          <w:rPr>
            <w:noProof/>
            <w:webHidden/>
          </w:rPr>
          <w:instrText xml:space="preserve"> PAGEREF _Toc512334082 \h </w:instrText>
        </w:r>
        <w:r>
          <w:rPr>
            <w:noProof/>
            <w:webHidden/>
          </w:rPr>
        </w:r>
        <w:r>
          <w:rPr>
            <w:noProof/>
            <w:webHidden/>
          </w:rPr>
          <w:fldChar w:fldCharType="separate"/>
        </w:r>
        <w:r w:rsidR="009A5CBD">
          <w:rPr>
            <w:noProof/>
            <w:webHidden/>
          </w:rPr>
          <w:t>16</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83" w:history="1">
        <w:r w:rsidRPr="0022098E">
          <w:rPr>
            <w:rStyle w:val="Hyperlink"/>
            <w:noProof/>
          </w:rPr>
          <w:t>CSR &amp; CRI Testing</w:t>
        </w:r>
        <w:r>
          <w:rPr>
            <w:noProof/>
            <w:webHidden/>
          </w:rPr>
          <w:tab/>
        </w:r>
        <w:r>
          <w:rPr>
            <w:noProof/>
            <w:webHidden/>
          </w:rPr>
          <w:fldChar w:fldCharType="begin"/>
        </w:r>
        <w:r>
          <w:rPr>
            <w:noProof/>
            <w:webHidden/>
          </w:rPr>
          <w:instrText xml:space="preserve"> PAGEREF _Toc512334083 \h </w:instrText>
        </w:r>
        <w:r>
          <w:rPr>
            <w:noProof/>
            <w:webHidden/>
          </w:rPr>
        </w:r>
        <w:r>
          <w:rPr>
            <w:noProof/>
            <w:webHidden/>
          </w:rPr>
          <w:fldChar w:fldCharType="separate"/>
        </w:r>
        <w:r w:rsidR="009A5CBD">
          <w:rPr>
            <w:noProof/>
            <w:webHidden/>
          </w:rPr>
          <w:t>18</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4" w:history="1">
        <w:r w:rsidRPr="0022098E">
          <w:rPr>
            <w:rStyle w:val="Hyperlink"/>
            <w:noProof/>
          </w:rPr>
          <w:t>Preparation of the Sample</w:t>
        </w:r>
        <w:r>
          <w:rPr>
            <w:noProof/>
            <w:webHidden/>
          </w:rPr>
          <w:tab/>
        </w:r>
        <w:r>
          <w:rPr>
            <w:noProof/>
            <w:webHidden/>
          </w:rPr>
          <w:fldChar w:fldCharType="begin"/>
        </w:r>
        <w:r>
          <w:rPr>
            <w:noProof/>
            <w:webHidden/>
          </w:rPr>
          <w:instrText xml:space="preserve"> PAGEREF _Toc512334084 \h </w:instrText>
        </w:r>
        <w:r>
          <w:rPr>
            <w:noProof/>
            <w:webHidden/>
          </w:rPr>
        </w:r>
        <w:r>
          <w:rPr>
            <w:noProof/>
            <w:webHidden/>
          </w:rPr>
          <w:fldChar w:fldCharType="separate"/>
        </w:r>
        <w:r w:rsidR="009A5CBD">
          <w:rPr>
            <w:noProof/>
            <w:webHidden/>
          </w:rPr>
          <w:t>18</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5" w:history="1">
        <w:r w:rsidRPr="0022098E">
          <w:rPr>
            <w:rStyle w:val="Hyperlink"/>
            <w:noProof/>
          </w:rPr>
          <w:t>Procedure</w:t>
        </w:r>
        <w:r>
          <w:rPr>
            <w:noProof/>
            <w:webHidden/>
          </w:rPr>
          <w:tab/>
        </w:r>
        <w:r>
          <w:rPr>
            <w:noProof/>
            <w:webHidden/>
          </w:rPr>
          <w:fldChar w:fldCharType="begin"/>
        </w:r>
        <w:r>
          <w:rPr>
            <w:noProof/>
            <w:webHidden/>
          </w:rPr>
          <w:instrText xml:space="preserve"> PAGEREF _Toc512334085 \h </w:instrText>
        </w:r>
        <w:r>
          <w:rPr>
            <w:noProof/>
            <w:webHidden/>
          </w:rPr>
        </w:r>
        <w:r>
          <w:rPr>
            <w:noProof/>
            <w:webHidden/>
          </w:rPr>
          <w:fldChar w:fldCharType="separate"/>
        </w:r>
        <w:r w:rsidR="009A5CBD">
          <w:rPr>
            <w:noProof/>
            <w:webHidden/>
          </w:rPr>
          <w:t>19</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6" w:history="1">
        <w:r w:rsidRPr="0022098E">
          <w:rPr>
            <w:rStyle w:val="Hyperlink"/>
            <w:noProof/>
          </w:rPr>
          <w:t>Calculating the CSR &amp; CRI</w:t>
        </w:r>
        <w:r>
          <w:rPr>
            <w:noProof/>
            <w:webHidden/>
          </w:rPr>
          <w:tab/>
        </w:r>
        <w:r>
          <w:rPr>
            <w:noProof/>
            <w:webHidden/>
          </w:rPr>
          <w:fldChar w:fldCharType="begin"/>
        </w:r>
        <w:r>
          <w:rPr>
            <w:noProof/>
            <w:webHidden/>
          </w:rPr>
          <w:instrText xml:space="preserve"> PAGEREF _Toc512334086 \h </w:instrText>
        </w:r>
        <w:r>
          <w:rPr>
            <w:noProof/>
            <w:webHidden/>
          </w:rPr>
        </w:r>
        <w:r>
          <w:rPr>
            <w:noProof/>
            <w:webHidden/>
          </w:rPr>
          <w:fldChar w:fldCharType="separate"/>
        </w:r>
        <w:r w:rsidR="009A5CBD">
          <w:rPr>
            <w:noProof/>
            <w:webHidden/>
          </w:rPr>
          <w:t>21</w:t>
        </w:r>
        <w:r>
          <w:rPr>
            <w:noProof/>
            <w:webHidden/>
          </w:rPr>
          <w:fldChar w:fldCharType="end"/>
        </w:r>
      </w:hyperlink>
    </w:p>
    <w:p w:rsidR="00594B58" w:rsidRPr="00F76DC0" w:rsidRDefault="00594B58">
      <w:pPr>
        <w:pStyle w:val="TOC3"/>
        <w:tabs>
          <w:tab w:val="right" w:leader="dot" w:pos="9016"/>
        </w:tabs>
        <w:rPr>
          <w:rFonts w:eastAsia="Times New Roman"/>
          <w:noProof/>
          <w:lang w:eastAsia="en-GB"/>
        </w:rPr>
      </w:pPr>
      <w:hyperlink w:anchor="_Toc512334087" w:history="1">
        <w:r w:rsidRPr="0022098E">
          <w:rPr>
            <w:rStyle w:val="Hyperlink"/>
            <w:noProof/>
          </w:rPr>
          <w:t>Repeatability Limits</w:t>
        </w:r>
        <w:r>
          <w:rPr>
            <w:noProof/>
            <w:webHidden/>
          </w:rPr>
          <w:tab/>
        </w:r>
        <w:r>
          <w:rPr>
            <w:noProof/>
            <w:webHidden/>
          </w:rPr>
          <w:fldChar w:fldCharType="begin"/>
        </w:r>
        <w:r>
          <w:rPr>
            <w:noProof/>
            <w:webHidden/>
          </w:rPr>
          <w:instrText xml:space="preserve"> PAGEREF _Toc512334087 \h </w:instrText>
        </w:r>
        <w:r>
          <w:rPr>
            <w:noProof/>
            <w:webHidden/>
          </w:rPr>
        </w:r>
        <w:r>
          <w:rPr>
            <w:noProof/>
            <w:webHidden/>
          </w:rPr>
          <w:fldChar w:fldCharType="separate"/>
        </w:r>
        <w:r w:rsidR="009A5CBD">
          <w:rPr>
            <w:noProof/>
            <w:webHidden/>
          </w:rPr>
          <w:t>21</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88" w:history="1">
        <w:r w:rsidRPr="0022098E">
          <w:rPr>
            <w:rStyle w:val="Hyperlink"/>
            <w:noProof/>
          </w:rPr>
          <w:t>Main Body</w:t>
        </w:r>
        <w:r>
          <w:rPr>
            <w:noProof/>
            <w:webHidden/>
          </w:rPr>
          <w:tab/>
        </w:r>
        <w:r>
          <w:rPr>
            <w:noProof/>
            <w:webHidden/>
          </w:rPr>
          <w:fldChar w:fldCharType="begin"/>
        </w:r>
        <w:r>
          <w:rPr>
            <w:noProof/>
            <w:webHidden/>
          </w:rPr>
          <w:instrText xml:space="preserve"> PAGEREF _Toc512334088 \h </w:instrText>
        </w:r>
        <w:r>
          <w:rPr>
            <w:noProof/>
            <w:webHidden/>
          </w:rPr>
        </w:r>
        <w:r>
          <w:rPr>
            <w:noProof/>
            <w:webHidden/>
          </w:rPr>
          <w:fldChar w:fldCharType="separate"/>
        </w:r>
        <w:r w:rsidR="009A5CBD">
          <w:rPr>
            <w:noProof/>
            <w:webHidden/>
          </w:rPr>
          <w:t>24</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89" w:history="1">
        <w:r w:rsidRPr="0022098E">
          <w:rPr>
            <w:rStyle w:val="Hyperlink"/>
            <w:noProof/>
          </w:rPr>
          <w:t>Background</w:t>
        </w:r>
        <w:r>
          <w:rPr>
            <w:noProof/>
            <w:webHidden/>
          </w:rPr>
          <w:tab/>
        </w:r>
        <w:r>
          <w:rPr>
            <w:noProof/>
            <w:webHidden/>
          </w:rPr>
          <w:fldChar w:fldCharType="begin"/>
        </w:r>
        <w:r>
          <w:rPr>
            <w:noProof/>
            <w:webHidden/>
          </w:rPr>
          <w:instrText xml:space="preserve"> PAGEREF _Toc512334089 \h </w:instrText>
        </w:r>
        <w:r>
          <w:rPr>
            <w:noProof/>
            <w:webHidden/>
          </w:rPr>
        </w:r>
        <w:r>
          <w:rPr>
            <w:noProof/>
            <w:webHidden/>
          </w:rPr>
          <w:fldChar w:fldCharType="separate"/>
        </w:r>
        <w:r w:rsidR="009A5CBD">
          <w:rPr>
            <w:noProof/>
            <w:webHidden/>
          </w:rPr>
          <w:t>24</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0" w:history="1">
        <w:r w:rsidRPr="0022098E">
          <w:rPr>
            <w:rStyle w:val="Hyperlink"/>
            <w:noProof/>
          </w:rPr>
          <w:t>The Problem</w:t>
        </w:r>
        <w:r>
          <w:rPr>
            <w:noProof/>
            <w:webHidden/>
          </w:rPr>
          <w:tab/>
        </w:r>
        <w:r>
          <w:rPr>
            <w:noProof/>
            <w:webHidden/>
          </w:rPr>
          <w:fldChar w:fldCharType="begin"/>
        </w:r>
        <w:r>
          <w:rPr>
            <w:noProof/>
            <w:webHidden/>
          </w:rPr>
          <w:instrText xml:space="preserve"> PAGEREF _Toc512334090 \h </w:instrText>
        </w:r>
        <w:r>
          <w:rPr>
            <w:noProof/>
            <w:webHidden/>
          </w:rPr>
        </w:r>
        <w:r>
          <w:rPr>
            <w:noProof/>
            <w:webHidden/>
          </w:rPr>
          <w:fldChar w:fldCharType="separate"/>
        </w:r>
        <w:r w:rsidR="009A5CBD">
          <w:rPr>
            <w:noProof/>
            <w:webHidden/>
          </w:rPr>
          <w:t>24</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1" w:history="1">
        <w:r w:rsidRPr="0022098E">
          <w:rPr>
            <w:rStyle w:val="Hyperlink"/>
            <w:noProof/>
          </w:rPr>
          <w:t>Identifying the Issue</w:t>
        </w:r>
        <w:r>
          <w:rPr>
            <w:noProof/>
            <w:webHidden/>
          </w:rPr>
          <w:tab/>
        </w:r>
        <w:r>
          <w:rPr>
            <w:noProof/>
            <w:webHidden/>
          </w:rPr>
          <w:fldChar w:fldCharType="begin"/>
        </w:r>
        <w:r>
          <w:rPr>
            <w:noProof/>
            <w:webHidden/>
          </w:rPr>
          <w:instrText xml:space="preserve"> PAGEREF _Toc512334091 \h </w:instrText>
        </w:r>
        <w:r>
          <w:rPr>
            <w:noProof/>
            <w:webHidden/>
          </w:rPr>
        </w:r>
        <w:r>
          <w:rPr>
            <w:noProof/>
            <w:webHidden/>
          </w:rPr>
          <w:fldChar w:fldCharType="separate"/>
        </w:r>
        <w:r w:rsidR="009A5CBD">
          <w:rPr>
            <w:noProof/>
            <w:webHidden/>
          </w:rPr>
          <w:t>25</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2" w:history="1">
        <w:r w:rsidRPr="0022098E">
          <w:rPr>
            <w:rStyle w:val="Hyperlink"/>
            <w:noProof/>
          </w:rPr>
          <w:t>Creating a Solution</w:t>
        </w:r>
        <w:r>
          <w:rPr>
            <w:noProof/>
            <w:webHidden/>
          </w:rPr>
          <w:tab/>
        </w:r>
        <w:r>
          <w:rPr>
            <w:noProof/>
            <w:webHidden/>
          </w:rPr>
          <w:fldChar w:fldCharType="begin"/>
        </w:r>
        <w:r>
          <w:rPr>
            <w:noProof/>
            <w:webHidden/>
          </w:rPr>
          <w:instrText xml:space="preserve"> PAGEREF _Toc512334092 \h </w:instrText>
        </w:r>
        <w:r>
          <w:rPr>
            <w:noProof/>
            <w:webHidden/>
          </w:rPr>
        </w:r>
        <w:r>
          <w:rPr>
            <w:noProof/>
            <w:webHidden/>
          </w:rPr>
          <w:fldChar w:fldCharType="separate"/>
        </w:r>
        <w:r w:rsidR="009A5CBD">
          <w:rPr>
            <w:noProof/>
            <w:webHidden/>
          </w:rPr>
          <w:t>27</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93" w:history="1">
        <w:r w:rsidRPr="0022098E">
          <w:rPr>
            <w:rStyle w:val="Hyperlink"/>
            <w:noProof/>
          </w:rPr>
          <w:t>Conclusion</w:t>
        </w:r>
        <w:r>
          <w:rPr>
            <w:noProof/>
            <w:webHidden/>
          </w:rPr>
          <w:tab/>
        </w:r>
        <w:r>
          <w:rPr>
            <w:noProof/>
            <w:webHidden/>
          </w:rPr>
          <w:fldChar w:fldCharType="begin"/>
        </w:r>
        <w:r>
          <w:rPr>
            <w:noProof/>
            <w:webHidden/>
          </w:rPr>
          <w:instrText xml:space="preserve"> PAGEREF _Toc512334093 \h </w:instrText>
        </w:r>
        <w:r>
          <w:rPr>
            <w:noProof/>
            <w:webHidden/>
          </w:rPr>
        </w:r>
        <w:r>
          <w:rPr>
            <w:noProof/>
            <w:webHidden/>
          </w:rPr>
          <w:fldChar w:fldCharType="separate"/>
        </w:r>
        <w:r w:rsidR="009A5CBD">
          <w:rPr>
            <w:noProof/>
            <w:webHidden/>
          </w:rPr>
          <w:t>30</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4" w:history="1">
        <w:r w:rsidRPr="0022098E">
          <w:rPr>
            <w:rStyle w:val="Hyperlink"/>
            <w:noProof/>
          </w:rPr>
          <w:t>Further Work</w:t>
        </w:r>
        <w:r>
          <w:rPr>
            <w:noProof/>
            <w:webHidden/>
          </w:rPr>
          <w:tab/>
        </w:r>
        <w:r>
          <w:rPr>
            <w:noProof/>
            <w:webHidden/>
          </w:rPr>
          <w:fldChar w:fldCharType="begin"/>
        </w:r>
        <w:r>
          <w:rPr>
            <w:noProof/>
            <w:webHidden/>
          </w:rPr>
          <w:instrText xml:space="preserve"> PAGEREF _Toc512334094 \h </w:instrText>
        </w:r>
        <w:r>
          <w:rPr>
            <w:noProof/>
            <w:webHidden/>
          </w:rPr>
        </w:r>
        <w:r>
          <w:rPr>
            <w:noProof/>
            <w:webHidden/>
          </w:rPr>
          <w:fldChar w:fldCharType="separate"/>
        </w:r>
        <w:r w:rsidR="009A5CBD">
          <w:rPr>
            <w:noProof/>
            <w:webHidden/>
          </w:rPr>
          <w:t>30</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95" w:history="1">
        <w:r w:rsidRPr="0022098E">
          <w:rPr>
            <w:rStyle w:val="Hyperlink"/>
            <w:noProof/>
          </w:rPr>
          <w:t>References</w:t>
        </w:r>
        <w:r>
          <w:rPr>
            <w:noProof/>
            <w:webHidden/>
          </w:rPr>
          <w:tab/>
        </w:r>
        <w:r>
          <w:rPr>
            <w:noProof/>
            <w:webHidden/>
          </w:rPr>
          <w:fldChar w:fldCharType="begin"/>
        </w:r>
        <w:r>
          <w:rPr>
            <w:noProof/>
            <w:webHidden/>
          </w:rPr>
          <w:instrText xml:space="preserve"> PAGEREF _Toc512334095 \h </w:instrText>
        </w:r>
        <w:r>
          <w:rPr>
            <w:noProof/>
            <w:webHidden/>
          </w:rPr>
        </w:r>
        <w:r>
          <w:rPr>
            <w:noProof/>
            <w:webHidden/>
          </w:rPr>
          <w:fldChar w:fldCharType="separate"/>
        </w:r>
        <w:r w:rsidR="009A5CBD">
          <w:rPr>
            <w:noProof/>
            <w:webHidden/>
          </w:rPr>
          <w:t>31</w:t>
        </w:r>
        <w:r>
          <w:rPr>
            <w:noProof/>
            <w:webHidden/>
          </w:rPr>
          <w:fldChar w:fldCharType="end"/>
        </w:r>
      </w:hyperlink>
    </w:p>
    <w:p w:rsidR="00594B58" w:rsidRPr="00F76DC0" w:rsidRDefault="00594B58">
      <w:pPr>
        <w:pStyle w:val="TOC1"/>
        <w:tabs>
          <w:tab w:val="right" w:leader="dot" w:pos="9016"/>
        </w:tabs>
        <w:rPr>
          <w:rFonts w:eastAsia="Times New Roman"/>
          <w:noProof/>
          <w:lang w:eastAsia="en-GB"/>
        </w:rPr>
      </w:pPr>
      <w:hyperlink w:anchor="_Toc512334096" w:history="1">
        <w:r w:rsidRPr="0022098E">
          <w:rPr>
            <w:rStyle w:val="Hyperlink"/>
            <w:noProof/>
          </w:rPr>
          <w:t>Appendix</w:t>
        </w:r>
        <w:r>
          <w:rPr>
            <w:noProof/>
            <w:webHidden/>
          </w:rPr>
          <w:tab/>
        </w:r>
        <w:r>
          <w:rPr>
            <w:noProof/>
            <w:webHidden/>
          </w:rPr>
          <w:fldChar w:fldCharType="begin"/>
        </w:r>
        <w:r>
          <w:rPr>
            <w:noProof/>
            <w:webHidden/>
          </w:rPr>
          <w:instrText xml:space="preserve"> PAGEREF _Toc512334096 \h </w:instrText>
        </w:r>
        <w:r>
          <w:rPr>
            <w:noProof/>
            <w:webHidden/>
          </w:rPr>
        </w:r>
        <w:r>
          <w:rPr>
            <w:noProof/>
            <w:webHidden/>
          </w:rPr>
          <w:fldChar w:fldCharType="separate"/>
        </w:r>
        <w:r w:rsidR="009A5CBD">
          <w:rPr>
            <w:noProof/>
            <w:webHidden/>
          </w:rPr>
          <w:t>32</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7" w:history="1">
        <w:r w:rsidRPr="0022098E">
          <w:rPr>
            <w:rStyle w:val="Hyperlink"/>
            <w:noProof/>
          </w:rPr>
          <w:t>Appendix 1: Gantt Chart</w:t>
        </w:r>
        <w:r>
          <w:rPr>
            <w:noProof/>
            <w:webHidden/>
          </w:rPr>
          <w:tab/>
        </w:r>
        <w:r>
          <w:rPr>
            <w:noProof/>
            <w:webHidden/>
          </w:rPr>
          <w:fldChar w:fldCharType="begin"/>
        </w:r>
        <w:r>
          <w:rPr>
            <w:noProof/>
            <w:webHidden/>
          </w:rPr>
          <w:instrText xml:space="preserve"> PAGEREF _Toc512334097 \h </w:instrText>
        </w:r>
        <w:r>
          <w:rPr>
            <w:noProof/>
            <w:webHidden/>
          </w:rPr>
        </w:r>
        <w:r>
          <w:rPr>
            <w:noProof/>
            <w:webHidden/>
          </w:rPr>
          <w:fldChar w:fldCharType="separate"/>
        </w:r>
        <w:r w:rsidR="009A5CBD">
          <w:rPr>
            <w:noProof/>
            <w:webHidden/>
          </w:rPr>
          <w:t>32</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8" w:history="1">
        <w:r w:rsidRPr="0022098E">
          <w:rPr>
            <w:rStyle w:val="Hyperlink"/>
            <w:noProof/>
          </w:rPr>
          <w:t>Appendix 2: Standard Results (Jan 2016 – Jan 2017)</w:t>
        </w:r>
        <w:r>
          <w:rPr>
            <w:noProof/>
            <w:webHidden/>
          </w:rPr>
          <w:tab/>
        </w:r>
        <w:r>
          <w:rPr>
            <w:noProof/>
            <w:webHidden/>
          </w:rPr>
          <w:fldChar w:fldCharType="begin"/>
        </w:r>
        <w:r>
          <w:rPr>
            <w:noProof/>
            <w:webHidden/>
          </w:rPr>
          <w:instrText xml:space="preserve"> PAGEREF _Toc512334098 \h </w:instrText>
        </w:r>
        <w:r>
          <w:rPr>
            <w:noProof/>
            <w:webHidden/>
          </w:rPr>
        </w:r>
        <w:r>
          <w:rPr>
            <w:noProof/>
            <w:webHidden/>
          </w:rPr>
          <w:fldChar w:fldCharType="separate"/>
        </w:r>
        <w:r w:rsidR="009A5CBD">
          <w:rPr>
            <w:noProof/>
            <w:webHidden/>
          </w:rPr>
          <w:t>33</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099" w:history="1">
        <w:r w:rsidRPr="0022098E">
          <w:rPr>
            <w:rStyle w:val="Hyperlink"/>
            <w:noProof/>
          </w:rPr>
          <w:t>Appendix 3: Production Results (Jan 2016 – May 2017)</w:t>
        </w:r>
        <w:r>
          <w:rPr>
            <w:noProof/>
            <w:webHidden/>
          </w:rPr>
          <w:tab/>
        </w:r>
        <w:r>
          <w:rPr>
            <w:noProof/>
            <w:webHidden/>
          </w:rPr>
          <w:fldChar w:fldCharType="begin"/>
        </w:r>
        <w:r>
          <w:rPr>
            <w:noProof/>
            <w:webHidden/>
          </w:rPr>
          <w:instrText xml:space="preserve"> PAGEREF _Toc512334099 \h </w:instrText>
        </w:r>
        <w:r>
          <w:rPr>
            <w:noProof/>
            <w:webHidden/>
          </w:rPr>
        </w:r>
        <w:r>
          <w:rPr>
            <w:noProof/>
            <w:webHidden/>
          </w:rPr>
          <w:fldChar w:fldCharType="separate"/>
        </w:r>
        <w:r w:rsidR="009A5CBD">
          <w:rPr>
            <w:noProof/>
            <w:webHidden/>
          </w:rPr>
          <w:t>36</w:t>
        </w:r>
        <w:r>
          <w:rPr>
            <w:noProof/>
            <w:webHidden/>
          </w:rPr>
          <w:fldChar w:fldCharType="end"/>
        </w:r>
      </w:hyperlink>
    </w:p>
    <w:p w:rsidR="00594B58" w:rsidRPr="00F76DC0" w:rsidRDefault="00594B58">
      <w:pPr>
        <w:pStyle w:val="TOC2"/>
        <w:tabs>
          <w:tab w:val="right" w:leader="dot" w:pos="9016"/>
        </w:tabs>
        <w:rPr>
          <w:rFonts w:eastAsia="Times New Roman"/>
          <w:noProof/>
          <w:lang w:eastAsia="en-GB"/>
        </w:rPr>
      </w:pPr>
      <w:hyperlink w:anchor="_Toc512334100" w:history="1">
        <w:r w:rsidRPr="0022098E">
          <w:rPr>
            <w:rStyle w:val="Hyperlink"/>
            <w:noProof/>
          </w:rPr>
          <w:t>Appendix 4: Developed Standard Results (Sept 2017 – April 2018)</w:t>
        </w:r>
        <w:r>
          <w:rPr>
            <w:noProof/>
            <w:webHidden/>
          </w:rPr>
          <w:tab/>
        </w:r>
        <w:r>
          <w:rPr>
            <w:noProof/>
            <w:webHidden/>
          </w:rPr>
          <w:fldChar w:fldCharType="begin"/>
        </w:r>
        <w:r>
          <w:rPr>
            <w:noProof/>
            <w:webHidden/>
          </w:rPr>
          <w:instrText xml:space="preserve"> PAGEREF _Toc512334100 \h </w:instrText>
        </w:r>
        <w:r>
          <w:rPr>
            <w:noProof/>
            <w:webHidden/>
          </w:rPr>
        </w:r>
        <w:r>
          <w:rPr>
            <w:noProof/>
            <w:webHidden/>
          </w:rPr>
          <w:fldChar w:fldCharType="separate"/>
        </w:r>
        <w:r w:rsidR="009A5CBD">
          <w:rPr>
            <w:noProof/>
            <w:webHidden/>
          </w:rPr>
          <w:t>40</w:t>
        </w:r>
        <w:r>
          <w:rPr>
            <w:noProof/>
            <w:webHidden/>
          </w:rPr>
          <w:fldChar w:fldCharType="end"/>
        </w:r>
      </w:hyperlink>
    </w:p>
    <w:p w:rsidR="009145CE" w:rsidRDefault="009145CE">
      <w:r>
        <w:rPr>
          <w:b/>
          <w:bCs/>
          <w:noProof/>
        </w:rPr>
        <w:fldChar w:fldCharType="end"/>
      </w: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9145CE" w:rsidRDefault="009145CE" w:rsidP="001260FF">
      <w:pPr>
        <w:jc w:val="both"/>
      </w:pPr>
    </w:p>
    <w:p w:rsidR="000020DD" w:rsidRDefault="000020DD" w:rsidP="001260FF">
      <w:pPr>
        <w:jc w:val="both"/>
      </w:pPr>
    </w:p>
    <w:p w:rsidR="009145CE" w:rsidRDefault="009145CE" w:rsidP="001260FF">
      <w:pPr>
        <w:jc w:val="both"/>
      </w:pPr>
    </w:p>
    <w:p w:rsidR="009145CE" w:rsidRDefault="009145CE" w:rsidP="001260FF">
      <w:pPr>
        <w:jc w:val="both"/>
      </w:pPr>
    </w:p>
    <w:p w:rsidR="009726D8" w:rsidRDefault="009726D8" w:rsidP="001260FF">
      <w:pPr>
        <w:jc w:val="both"/>
      </w:pPr>
    </w:p>
    <w:p w:rsidR="007D12BF" w:rsidRDefault="007D12BF" w:rsidP="001260FF">
      <w:pPr>
        <w:jc w:val="both"/>
      </w:pPr>
    </w:p>
    <w:p w:rsidR="00124E40" w:rsidRDefault="00124E40" w:rsidP="00594B58">
      <w:pPr>
        <w:pStyle w:val="Heading1"/>
      </w:pPr>
      <w:bookmarkStart w:id="16" w:name="_Toc512334065"/>
      <w:r>
        <w:lastRenderedPageBreak/>
        <w:t xml:space="preserve">List of </w:t>
      </w:r>
      <w:r w:rsidRPr="00594B58">
        <w:t>F</w:t>
      </w:r>
      <w:bookmarkStart w:id="17" w:name="_GoBack"/>
      <w:bookmarkEnd w:id="17"/>
      <w:r w:rsidRPr="00594B58">
        <w:t>igures</w:t>
      </w:r>
      <w:bookmarkEnd w:id="16"/>
    </w:p>
    <w:p w:rsidR="00AA4C43" w:rsidRPr="00DC3AAC" w:rsidRDefault="00AA4C43">
      <w:pPr>
        <w:pStyle w:val="TableofFigures"/>
        <w:tabs>
          <w:tab w:val="right" w:leader="dot" w:pos="9016"/>
        </w:tabs>
        <w:rPr>
          <w:rFonts w:eastAsia="Times New Roman"/>
          <w:noProof/>
          <w:lang w:eastAsia="en-GB"/>
        </w:rPr>
      </w:pPr>
      <w:r>
        <w:fldChar w:fldCharType="begin"/>
      </w:r>
      <w:r>
        <w:instrText xml:space="preserve"> TOC \h \z \c "Figure" </w:instrText>
      </w:r>
      <w:r>
        <w:fldChar w:fldCharType="separate"/>
      </w:r>
      <w:hyperlink w:anchor="_Toc512333565" w:history="1">
        <w:r w:rsidRPr="00AA1983">
          <w:rPr>
            <w:rStyle w:val="Hyperlink"/>
            <w:noProof/>
          </w:rPr>
          <w:t>Figure 1</w:t>
        </w:r>
        <w:r w:rsidRPr="00AA1983">
          <w:rPr>
            <w:rStyle w:val="Hyperlink"/>
            <w:rFonts w:eastAsia="Times New Roman" w:cs="Calibri"/>
            <w:noProof/>
            <w:bdr w:val="none" w:sz="0" w:space="0" w:color="auto" w:frame="1"/>
            <w:lang w:eastAsia="en-GB"/>
          </w:rPr>
          <w:t xml:space="preserve"> – Typical coke oven process and emission flow diagram. </w:t>
        </w:r>
        <w:r w:rsidRPr="00AA1983">
          <w:rPr>
            <w:rStyle w:val="Hyperlink"/>
            <w:rFonts w:eastAsia="Times New Roman" w:cs="Calibri"/>
            <w:noProof/>
            <w:bdr w:val="none" w:sz="0" w:space="0" w:color="auto" w:frame="1"/>
            <w:vertAlign w:val="superscript"/>
            <w:lang w:eastAsia="en-GB"/>
          </w:rPr>
          <w:t>[5]</w:t>
        </w:r>
        <w:r>
          <w:rPr>
            <w:noProof/>
            <w:webHidden/>
          </w:rPr>
          <w:tab/>
        </w:r>
        <w:r>
          <w:rPr>
            <w:noProof/>
            <w:webHidden/>
          </w:rPr>
          <w:fldChar w:fldCharType="begin"/>
        </w:r>
        <w:r>
          <w:rPr>
            <w:noProof/>
            <w:webHidden/>
          </w:rPr>
          <w:instrText xml:space="preserve"> PAGEREF _Toc512333565 \h </w:instrText>
        </w:r>
        <w:r>
          <w:rPr>
            <w:noProof/>
            <w:webHidden/>
          </w:rPr>
        </w:r>
        <w:r>
          <w:rPr>
            <w:noProof/>
            <w:webHidden/>
          </w:rPr>
          <w:fldChar w:fldCharType="separate"/>
        </w:r>
        <w:r w:rsidR="009A5CBD">
          <w:rPr>
            <w:noProof/>
            <w:webHidden/>
          </w:rPr>
          <w:t>11</w:t>
        </w:r>
        <w:r>
          <w:rPr>
            <w:noProof/>
            <w:webHidden/>
          </w:rPr>
          <w:fldChar w:fldCharType="end"/>
        </w:r>
      </w:hyperlink>
    </w:p>
    <w:p w:rsidR="00AA4C43" w:rsidRPr="00DC3AAC" w:rsidRDefault="009A5CBD">
      <w:pPr>
        <w:pStyle w:val="TableofFigures"/>
        <w:tabs>
          <w:tab w:val="right" w:leader="dot" w:pos="9016"/>
        </w:tabs>
        <w:rPr>
          <w:rFonts w:eastAsia="Times New Roman"/>
          <w:noProof/>
          <w:lang w:eastAsia="en-GB"/>
        </w:rPr>
      </w:pPr>
      <w:hyperlink w:anchor="_Toc512333566" w:history="1">
        <w:r w:rsidR="00AA4C43" w:rsidRPr="00AA1983">
          <w:rPr>
            <w:rStyle w:val="Hyperlink"/>
            <w:noProof/>
          </w:rPr>
          <w:t>Figure 2</w:t>
        </w:r>
        <w:r w:rsidR="00AA4C43" w:rsidRPr="00AA1983">
          <w:rPr>
            <w:rStyle w:val="Hyperlink"/>
            <w:rFonts w:eastAsia="Times New Roman" w:cs="Calibri"/>
            <w:noProof/>
            <w:bdr w:val="none" w:sz="0" w:space="0" w:color="auto" w:frame="1"/>
            <w:lang w:eastAsia="en-GB"/>
          </w:rPr>
          <w:t xml:space="preserve"> – A cross section diagram of a coke oven battery. </w:t>
        </w:r>
        <w:r w:rsidR="00AA4C43" w:rsidRPr="00AA1983">
          <w:rPr>
            <w:rStyle w:val="Hyperlink"/>
            <w:rFonts w:eastAsia="Times New Roman" w:cs="Calibri"/>
            <w:noProof/>
            <w:bdr w:val="none" w:sz="0" w:space="0" w:color="auto" w:frame="1"/>
            <w:vertAlign w:val="superscript"/>
            <w:lang w:eastAsia="en-GB"/>
          </w:rPr>
          <w:t>[9]</w:t>
        </w:r>
        <w:r w:rsidR="00AA4C43">
          <w:rPr>
            <w:noProof/>
            <w:webHidden/>
          </w:rPr>
          <w:tab/>
        </w:r>
        <w:r w:rsidR="00AA4C43">
          <w:rPr>
            <w:noProof/>
            <w:webHidden/>
          </w:rPr>
          <w:fldChar w:fldCharType="begin"/>
        </w:r>
        <w:r w:rsidR="00AA4C43">
          <w:rPr>
            <w:noProof/>
            <w:webHidden/>
          </w:rPr>
          <w:instrText xml:space="preserve"> PAGEREF _Toc512333566 \h </w:instrText>
        </w:r>
        <w:r w:rsidR="00AA4C43">
          <w:rPr>
            <w:noProof/>
            <w:webHidden/>
          </w:rPr>
        </w:r>
        <w:r w:rsidR="00AA4C43">
          <w:rPr>
            <w:noProof/>
            <w:webHidden/>
          </w:rPr>
          <w:fldChar w:fldCharType="separate"/>
        </w:r>
        <w:r>
          <w:rPr>
            <w:noProof/>
            <w:webHidden/>
          </w:rPr>
          <w:t>12</w:t>
        </w:r>
        <w:r w:rsidR="00AA4C43">
          <w:rPr>
            <w:noProof/>
            <w:webHidden/>
          </w:rPr>
          <w:fldChar w:fldCharType="end"/>
        </w:r>
      </w:hyperlink>
    </w:p>
    <w:p w:rsidR="00AA4C43" w:rsidRPr="00DC3AAC" w:rsidRDefault="009A5CBD">
      <w:pPr>
        <w:pStyle w:val="TableofFigures"/>
        <w:tabs>
          <w:tab w:val="right" w:leader="dot" w:pos="9016"/>
        </w:tabs>
        <w:rPr>
          <w:rFonts w:eastAsia="Times New Roman"/>
          <w:noProof/>
          <w:lang w:eastAsia="en-GB"/>
        </w:rPr>
      </w:pPr>
      <w:hyperlink w:anchor="_Toc512333567" w:history="1">
        <w:r w:rsidR="00AA4C43" w:rsidRPr="00AA1983">
          <w:rPr>
            <w:rStyle w:val="Hyperlink"/>
            <w:noProof/>
          </w:rPr>
          <w:t xml:space="preserve">Figure 3 – A basic cross section of a blast furnace. </w:t>
        </w:r>
        <w:r w:rsidR="00AA4C43" w:rsidRPr="00AA1983">
          <w:rPr>
            <w:rStyle w:val="Hyperlink"/>
            <w:noProof/>
            <w:vertAlign w:val="superscript"/>
          </w:rPr>
          <w:t>[12]</w:t>
        </w:r>
        <w:r w:rsidR="00AA4C43">
          <w:rPr>
            <w:noProof/>
            <w:webHidden/>
          </w:rPr>
          <w:tab/>
        </w:r>
        <w:r w:rsidR="00AA4C43">
          <w:rPr>
            <w:noProof/>
            <w:webHidden/>
          </w:rPr>
          <w:fldChar w:fldCharType="begin"/>
        </w:r>
        <w:r w:rsidR="00AA4C43">
          <w:rPr>
            <w:noProof/>
            <w:webHidden/>
          </w:rPr>
          <w:instrText xml:space="preserve"> PAGEREF _Toc512333567 \h </w:instrText>
        </w:r>
        <w:r w:rsidR="00AA4C43">
          <w:rPr>
            <w:noProof/>
            <w:webHidden/>
          </w:rPr>
        </w:r>
        <w:r w:rsidR="00AA4C43">
          <w:rPr>
            <w:noProof/>
            <w:webHidden/>
          </w:rPr>
          <w:fldChar w:fldCharType="separate"/>
        </w:r>
        <w:r>
          <w:rPr>
            <w:noProof/>
            <w:webHidden/>
          </w:rPr>
          <w:t>15</w:t>
        </w:r>
        <w:r w:rsidR="00AA4C43">
          <w:rPr>
            <w:noProof/>
            <w:webHidden/>
          </w:rPr>
          <w:fldChar w:fldCharType="end"/>
        </w:r>
      </w:hyperlink>
    </w:p>
    <w:p w:rsidR="00AA4C43" w:rsidRPr="00DC3AAC" w:rsidRDefault="009A5CBD">
      <w:pPr>
        <w:pStyle w:val="TableofFigures"/>
        <w:tabs>
          <w:tab w:val="right" w:leader="dot" w:pos="9016"/>
        </w:tabs>
        <w:rPr>
          <w:rFonts w:eastAsia="Times New Roman"/>
          <w:noProof/>
          <w:lang w:eastAsia="en-GB"/>
        </w:rPr>
      </w:pPr>
      <w:hyperlink w:anchor="_Toc512333568" w:history="1">
        <w:r w:rsidR="00AA4C43" w:rsidRPr="00AA1983">
          <w:rPr>
            <w:rStyle w:val="Hyperlink"/>
            <w:noProof/>
          </w:rPr>
          <w:t xml:space="preserve">Figure 4 - Pictures showing the difference between an unloaded vessel, a loaded vessel and the vessel in the heating rig with the extraction hood in place. </w:t>
        </w:r>
        <w:r w:rsidR="00AA4C43" w:rsidRPr="00AA1983">
          <w:rPr>
            <w:rStyle w:val="Hyperlink"/>
            <w:noProof/>
            <w:vertAlign w:val="superscript"/>
          </w:rPr>
          <w:t>[1]</w:t>
        </w:r>
        <w:r w:rsidR="00AA4C43">
          <w:rPr>
            <w:noProof/>
            <w:webHidden/>
          </w:rPr>
          <w:tab/>
        </w:r>
        <w:r w:rsidR="00AA4C43">
          <w:rPr>
            <w:noProof/>
            <w:webHidden/>
          </w:rPr>
          <w:fldChar w:fldCharType="begin"/>
        </w:r>
        <w:r w:rsidR="00AA4C43">
          <w:rPr>
            <w:noProof/>
            <w:webHidden/>
          </w:rPr>
          <w:instrText xml:space="preserve"> PAGEREF _Toc512333568 \h </w:instrText>
        </w:r>
        <w:r w:rsidR="00AA4C43">
          <w:rPr>
            <w:noProof/>
            <w:webHidden/>
          </w:rPr>
        </w:r>
        <w:r w:rsidR="00AA4C43">
          <w:rPr>
            <w:noProof/>
            <w:webHidden/>
          </w:rPr>
          <w:fldChar w:fldCharType="separate"/>
        </w:r>
        <w:r>
          <w:rPr>
            <w:noProof/>
            <w:webHidden/>
          </w:rPr>
          <w:t>19</w:t>
        </w:r>
        <w:r w:rsidR="00AA4C43">
          <w:rPr>
            <w:noProof/>
            <w:webHidden/>
          </w:rPr>
          <w:fldChar w:fldCharType="end"/>
        </w:r>
      </w:hyperlink>
    </w:p>
    <w:p w:rsidR="00AA4C43" w:rsidRPr="00DC3AAC" w:rsidRDefault="009A5CBD">
      <w:pPr>
        <w:pStyle w:val="TableofFigures"/>
        <w:tabs>
          <w:tab w:val="right" w:leader="dot" w:pos="9016"/>
        </w:tabs>
        <w:rPr>
          <w:rFonts w:eastAsia="Times New Roman"/>
          <w:noProof/>
          <w:lang w:eastAsia="en-GB"/>
        </w:rPr>
      </w:pPr>
      <w:hyperlink w:anchor="_Toc512333569" w:history="1">
        <w:r w:rsidR="00AA4C43" w:rsidRPr="00AA1983">
          <w:rPr>
            <w:rStyle w:val="Hyperlink"/>
            <w:noProof/>
          </w:rPr>
          <w:t xml:space="preserve">Figure 5 – </w:t>
        </w:r>
        <w:r w:rsidR="00124E40">
          <w:rPr>
            <w:rStyle w:val="Hyperlink"/>
            <w:noProof/>
          </w:rPr>
          <w:t>P</w:t>
        </w:r>
        <w:r w:rsidR="00AA4C43" w:rsidRPr="00AA1983">
          <w:rPr>
            <w:rStyle w:val="Hyperlink"/>
            <w:noProof/>
          </w:rPr>
          <w:t xml:space="preserve">ictures showing the 22.4mm and 19.0mm sieve, the 9.5mm sieve and the tumblers used for CSR/CRI testing. </w:t>
        </w:r>
        <w:r w:rsidR="00AA4C43" w:rsidRPr="00AA1983">
          <w:rPr>
            <w:rStyle w:val="Hyperlink"/>
            <w:noProof/>
            <w:vertAlign w:val="superscript"/>
          </w:rPr>
          <w:t>[1]</w:t>
        </w:r>
        <w:r w:rsidR="00AA4C43">
          <w:rPr>
            <w:noProof/>
            <w:webHidden/>
          </w:rPr>
          <w:tab/>
        </w:r>
        <w:r w:rsidR="00AA4C43">
          <w:rPr>
            <w:noProof/>
            <w:webHidden/>
          </w:rPr>
          <w:fldChar w:fldCharType="begin"/>
        </w:r>
        <w:r w:rsidR="00AA4C43">
          <w:rPr>
            <w:noProof/>
            <w:webHidden/>
          </w:rPr>
          <w:instrText xml:space="preserve"> PAGEREF _Toc512333569 \h </w:instrText>
        </w:r>
        <w:r w:rsidR="00AA4C43">
          <w:rPr>
            <w:noProof/>
            <w:webHidden/>
          </w:rPr>
        </w:r>
        <w:r w:rsidR="00AA4C43">
          <w:rPr>
            <w:noProof/>
            <w:webHidden/>
          </w:rPr>
          <w:fldChar w:fldCharType="separate"/>
        </w:r>
        <w:r>
          <w:rPr>
            <w:noProof/>
            <w:webHidden/>
          </w:rPr>
          <w:t>20</w:t>
        </w:r>
        <w:r w:rsidR="00AA4C43">
          <w:rPr>
            <w:noProof/>
            <w:webHidden/>
          </w:rPr>
          <w:fldChar w:fldCharType="end"/>
        </w:r>
      </w:hyperlink>
    </w:p>
    <w:p w:rsidR="00AA4C43" w:rsidRPr="00DC3AAC" w:rsidRDefault="009A5CBD">
      <w:pPr>
        <w:pStyle w:val="TableofFigures"/>
        <w:tabs>
          <w:tab w:val="right" w:leader="dot" w:pos="9016"/>
        </w:tabs>
        <w:rPr>
          <w:rFonts w:eastAsia="Times New Roman"/>
          <w:noProof/>
          <w:lang w:eastAsia="en-GB"/>
        </w:rPr>
      </w:pPr>
      <w:hyperlink w:anchor="_Toc512333570" w:history="1">
        <w:r w:rsidR="00AA4C43" w:rsidRPr="00AA1983">
          <w:rPr>
            <w:rStyle w:val="Hyperlink"/>
            <w:noProof/>
          </w:rPr>
          <w:t>Figure 6 – Gantt chart.</w:t>
        </w:r>
        <w:r w:rsidR="00AA4C43">
          <w:rPr>
            <w:noProof/>
            <w:webHidden/>
          </w:rPr>
          <w:tab/>
        </w:r>
        <w:r w:rsidR="00AA4C43">
          <w:rPr>
            <w:noProof/>
            <w:webHidden/>
          </w:rPr>
          <w:fldChar w:fldCharType="begin"/>
        </w:r>
        <w:r w:rsidR="00AA4C43">
          <w:rPr>
            <w:noProof/>
            <w:webHidden/>
          </w:rPr>
          <w:instrText xml:space="preserve"> PAGEREF _Toc512333570 \h </w:instrText>
        </w:r>
        <w:r w:rsidR="00AA4C43">
          <w:rPr>
            <w:noProof/>
            <w:webHidden/>
          </w:rPr>
        </w:r>
        <w:r w:rsidR="00AA4C43">
          <w:rPr>
            <w:noProof/>
            <w:webHidden/>
          </w:rPr>
          <w:fldChar w:fldCharType="separate"/>
        </w:r>
        <w:r>
          <w:rPr>
            <w:noProof/>
            <w:webHidden/>
          </w:rPr>
          <w:t>32</w:t>
        </w:r>
        <w:r w:rsidR="00AA4C43">
          <w:rPr>
            <w:noProof/>
            <w:webHidden/>
          </w:rPr>
          <w:fldChar w:fldCharType="end"/>
        </w:r>
      </w:hyperlink>
    </w:p>
    <w:p w:rsidR="00AA4C43" w:rsidRDefault="00AA4C43" w:rsidP="001260FF">
      <w:pPr>
        <w:jc w:val="both"/>
      </w:pPr>
      <w:r>
        <w:fldChar w:fldCharType="end"/>
      </w: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7D12BF" w:rsidRDefault="007D12BF" w:rsidP="001260FF">
      <w:pPr>
        <w:jc w:val="both"/>
      </w:pPr>
    </w:p>
    <w:p w:rsidR="00124E40" w:rsidRDefault="00124E40" w:rsidP="001260FF">
      <w:pPr>
        <w:jc w:val="both"/>
      </w:pPr>
    </w:p>
    <w:p w:rsidR="00124E40" w:rsidRDefault="00124E40" w:rsidP="001260FF">
      <w:pPr>
        <w:jc w:val="both"/>
      </w:pPr>
    </w:p>
    <w:p w:rsidR="00124E40" w:rsidRDefault="00124E40" w:rsidP="001260FF">
      <w:pPr>
        <w:jc w:val="both"/>
      </w:pPr>
    </w:p>
    <w:p w:rsidR="007D12BF" w:rsidRDefault="007D12BF" w:rsidP="001260FF">
      <w:pPr>
        <w:jc w:val="both"/>
      </w:pPr>
    </w:p>
    <w:p w:rsidR="007D12BF" w:rsidRDefault="007D12BF" w:rsidP="001260FF">
      <w:pPr>
        <w:jc w:val="both"/>
      </w:pPr>
    </w:p>
    <w:p w:rsidR="009726D8" w:rsidRDefault="009726D8" w:rsidP="001260FF">
      <w:pPr>
        <w:jc w:val="both"/>
      </w:pPr>
    </w:p>
    <w:p w:rsidR="009145CE" w:rsidRDefault="009145CE" w:rsidP="001260FF">
      <w:pPr>
        <w:jc w:val="both"/>
      </w:pPr>
    </w:p>
    <w:p w:rsidR="006B5DAC" w:rsidRDefault="00D460D7" w:rsidP="00D460D7">
      <w:pPr>
        <w:pStyle w:val="Heading1"/>
      </w:pPr>
      <w:bookmarkStart w:id="18" w:name="_Toc512166851"/>
      <w:bookmarkStart w:id="19" w:name="_Toc512168629"/>
      <w:bookmarkStart w:id="20" w:name="_Toc512169510"/>
      <w:bookmarkStart w:id="21" w:name="_Toc512334066"/>
      <w:r>
        <w:lastRenderedPageBreak/>
        <w:t>List of Tables</w:t>
      </w:r>
      <w:bookmarkEnd w:id="18"/>
      <w:bookmarkEnd w:id="19"/>
      <w:bookmarkEnd w:id="20"/>
      <w:bookmarkEnd w:id="21"/>
    </w:p>
    <w:p w:rsidR="00124E40" w:rsidRPr="00DC3AAC" w:rsidRDefault="00124E40">
      <w:pPr>
        <w:pStyle w:val="TableofFigures"/>
        <w:tabs>
          <w:tab w:val="right" w:leader="dot" w:pos="9016"/>
        </w:tabs>
        <w:rPr>
          <w:rFonts w:eastAsia="Times New Roman"/>
          <w:noProof/>
          <w:lang w:eastAsia="en-GB"/>
        </w:rPr>
      </w:pPr>
      <w:r>
        <w:fldChar w:fldCharType="begin"/>
      </w:r>
      <w:r>
        <w:instrText xml:space="preserve"> TOC \h \z \c "Table" </w:instrText>
      </w:r>
      <w:r>
        <w:fldChar w:fldCharType="separate"/>
      </w:r>
      <w:hyperlink w:anchor="_Toc512333603" w:history="1">
        <w:r w:rsidRPr="00F022E8">
          <w:rPr>
            <w:rStyle w:val="Hyperlink"/>
            <w:noProof/>
          </w:rPr>
          <w:t xml:space="preserve">Table 1– Acceptability ranges for coke quality parameters. </w:t>
        </w:r>
        <w:r w:rsidRPr="00F022E8">
          <w:rPr>
            <w:rStyle w:val="Hyperlink"/>
            <w:noProof/>
            <w:vertAlign w:val="superscript"/>
          </w:rPr>
          <w:t>[13]</w:t>
        </w:r>
        <w:r>
          <w:rPr>
            <w:noProof/>
            <w:webHidden/>
          </w:rPr>
          <w:tab/>
        </w:r>
        <w:r>
          <w:rPr>
            <w:noProof/>
            <w:webHidden/>
          </w:rPr>
          <w:fldChar w:fldCharType="begin"/>
        </w:r>
        <w:r>
          <w:rPr>
            <w:noProof/>
            <w:webHidden/>
          </w:rPr>
          <w:instrText xml:space="preserve"> PAGEREF _Toc512333603 \h </w:instrText>
        </w:r>
        <w:r>
          <w:rPr>
            <w:noProof/>
            <w:webHidden/>
          </w:rPr>
        </w:r>
        <w:r>
          <w:rPr>
            <w:noProof/>
            <w:webHidden/>
          </w:rPr>
          <w:fldChar w:fldCharType="separate"/>
        </w:r>
        <w:r w:rsidR="009A5CBD">
          <w:rPr>
            <w:noProof/>
            <w:webHidden/>
          </w:rPr>
          <w:t>18</w:t>
        </w:r>
        <w:r>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04" w:history="1">
        <w:r w:rsidR="00124E40" w:rsidRPr="00F022E8">
          <w:rPr>
            <w:rStyle w:val="Hyperlink"/>
            <w:noProof/>
          </w:rPr>
          <w:t>Table 2</w:t>
        </w:r>
        <w:r w:rsidR="00124E40" w:rsidRPr="00F022E8">
          <w:rPr>
            <w:rStyle w:val="Hyperlink"/>
            <w:rFonts w:eastAsia="Times New Roman"/>
            <w:noProof/>
          </w:rPr>
          <w:t xml:space="preserve"> – Criteria for multiple determinations of CRI. </w:t>
        </w:r>
        <w:r w:rsidR="00124E40" w:rsidRPr="00F022E8">
          <w:rPr>
            <w:rStyle w:val="Hyperlink"/>
            <w:rFonts w:eastAsia="Times New Roman"/>
            <w:noProof/>
            <w:vertAlign w:val="superscript"/>
          </w:rPr>
          <w:t>[16]</w:t>
        </w:r>
        <w:r w:rsidR="00124E40">
          <w:rPr>
            <w:noProof/>
            <w:webHidden/>
          </w:rPr>
          <w:tab/>
        </w:r>
        <w:r w:rsidR="00124E40">
          <w:rPr>
            <w:noProof/>
            <w:webHidden/>
          </w:rPr>
          <w:fldChar w:fldCharType="begin"/>
        </w:r>
        <w:r w:rsidR="00124E40">
          <w:rPr>
            <w:noProof/>
            <w:webHidden/>
          </w:rPr>
          <w:instrText xml:space="preserve"> PAGEREF _Toc512333604 \h </w:instrText>
        </w:r>
        <w:r w:rsidR="00124E40">
          <w:rPr>
            <w:noProof/>
            <w:webHidden/>
          </w:rPr>
        </w:r>
        <w:r w:rsidR="00124E40">
          <w:rPr>
            <w:noProof/>
            <w:webHidden/>
          </w:rPr>
          <w:fldChar w:fldCharType="separate"/>
        </w:r>
        <w:r>
          <w:rPr>
            <w:noProof/>
            <w:webHidden/>
          </w:rPr>
          <w:t>22</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05" w:history="1">
        <w:r w:rsidR="00124E40" w:rsidRPr="00F022E8">
          <w:rPr>
            <w:rStyle w:val="Hyperlink"/>
            <w:noProof/>
          </w:rPr>
          <w:t>Table 3</w:t>
        </w:r>
        <w:r w:rsidR="00124E40" w:rsidRPr="00F022E8">
          <w:rPr>
            <w:rStyle w:val="Hyperlink"/>
            <w:rFonts w:eastAsia="Times New Roman"/>
            <w:noProof/>
          </w:rPr>
          <w:t xml:space="preserve"> – criteria for multiple determinations of CSR. </w:t>
        </w:r>
        <w:r w:rsidR="00124E40" w:rsidRPr="00F022E8">
          <w:rPr>
            <w:rStyle w:val="Hyperlink"/>
            <w:rFonts w:eastAsia="Times New Roman"/>
            <w:noProof/>
            <w:vertAlign w:val="superscript"/>
          </w:rPr>
          <w:t>[16]</w:t>
        </w:r>
        <w:r w:rsidR="00124E40">
          <w:rPr>
            <w:noProof/>
            <w:webHidden/>
          </w:rPr>
          <w:tab/>
        </w:r>
        <w:r w:rsidR="00124E40">
          <w:rPr>
            <w:noProof/>
            <w:webHidden/>
          </w:rPr>
          <w:fldChar w:fldCharType="begin"/>
        </w:r>
        <w:r w:rsidR="00124E40">
          <w:rPr>
            <w:noProof/>
            <w:webHidden/>
          </w:rPr>
          <w:instrText xml:space="preserve"> PAGEREF _Toc512333605 \h </w:instrText>
        </w:r>
        <w:r w:rsidR="00124E40">
          <w:rPr>
            <w:noProof/>
            <w:webHidden/>
          </w:rPr>
        </w:r>
        <w:r w:rsidR="00124E40">
          <w:rPr>
            <w:noProof/>
            <w:webHidden/>
          </w:rPr>
          <w:fldChar w:fldCharType="separate"/>
        </w:r>
        <w:r>
          <w:rPr>
            <w:noProof/>
            <w:webHidden/>
          </w:rPr>
          <w:t>23</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06" w:history="1">
        <w:r w:rsidR="00124E40" w:rsidRPr="00F022E8">
          <w:rPr>
            <w:rStyle w:val="Hyperlink"/>
            <w:noProof/>
          </w:rPr>
          <w:t>Table 4 – The results from testing material that sank during the sink-float test.</w:t>
        </w:r>
        <w:r w:rsidR="00124E40">
          <w:rPr>
            <w:noProof/>
            <w:webHidden/>
          </w:rPr>
          <w:tab/>
        </w:r>
        <w:r w:rsidR="00124E40">
          <w:rPr>
            <w:noProof/>
            <w:webHidden/>
          </w:rPr>
          <w:fldChar w:fldCharType="begin"/>
        </w:r>
        <w:r w:rsidR="00124E40">
          <w:rPr>
            <w:noProof/>
            <w:webHidden/>
          </w:rPr>
          <w:instrText xml:space="preserve"> PAGEREF _Toc512333606 \h </w:instrText>
        </w:r>
        <w:r w:rsidR="00124E40">
          <w:rPr>
            <w:noProof/>
            <w:webHidden/>
          </w:rPr>
        </w:r>
        <w:r w:rsidR="00124E40">
          <w:rPr>
            <w:noProof/>
            <w:webHidden/>
          </w:rPr>
          <w:fldChar w:fldCharType="separate"/>
        </w:r>
        <w:r>
          <w:rPr>
            <w:noProof/>
            <w:webHidden/>
          </w:rPr>
          <w:t>26</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07" w:history="1">
        <w:r w:rsidR="00124E40" w:rsidRPr="00F022E8">
          <w:rPr>
            <w:rStyle w:val="Hyperlink"/>
            <w:noProof/>
          </w:rPr>
          <w:t>Table 5 – The results from testing the standard as it was received.</w:t>
        </w:r>
        <w:r w:rsidR="00124E40">
          <w:rPr>
            <w:noProof/>
            <w:webHidden/>
          </w:rPr>
          <w:tab/>
        </w:r>
        <w:r w:rsidR="00124E40">
          <w:rPr>
            <w:noProof/>
            <w:webHidden/>
          </w:rPr>
          <w:fldChar w:fldCharType="begin"/>
        </w:r>
        <w:r w:rsidR="00124E40">
          <w:rPr>
            <w:noProof/>
            <w:webHidden/>
          </w:rPr>
          <w:instrText xml:space="preserve"> PAGEREF _Toc512333607 \h </w:instrText>
        </w:r>
        <w:r w:rsidR="00124E40">
          <w:rPr>
            <w:noProof/>
            <w:webHidden/>
          </w:rPr>
        </w:r>
        <w:r w:rsidR="00124E40">
          <w:rPr>
            <w:noProof/>
            <w:webHidden/>
          </w:rPr>
          <w:fldChar w:fldCharType="separate"/>
        </w:r>
        <w:r>
          <w:rPr>
            <w:noProof/>
            <w:webHidden/>
          </w:rPr>
          <w:t>26</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08" w:history="1">
        <w:r w:rsidR="00124E40" w:rsidRPr="00F022E8">
          <w:rPr>
            <w:rStyle w:val="Hyperlink"/>
            <w:noProof/>
          </w:rPr>
          <w:t>Table 6</w:t>
        </w:r>
        <w:r w:rsidR="00124E40" w:rsidRPr="00F022E8">
          <w:rPr>
            <w:rStyle w:val="Hyperlink"/>
            <w:rFonts w:eastAsia="Times New Roman"/>
            <w:noProof/>
          </w:rPr>
          <w:t xml:space="preserve"> – The results from the Japanese coke tested for consistency.</w:t>
        </w:r>
        <w:r w:rsidR="00124E40">
          <w:rPr>
            <w:noProof/>
            <w:webHidden/>
          </w:rPr>
          <w:tab/>
        </w:r>
        <w:r w:rsidR="00124E40">
          <w:rPr>
            <w:noProof/>
            <w:webHidden/>
          </w:rPr>
          <w:fldChar w:fldCharType="begin"/>
        </w:r>
        <w:r w:rsidR="00124E40">
          <w:rPr>
            <w:noProof/>
            <w:webHidden/>
          </w:rPr>
          <w:instrText xml:space="preserve"> PAGEREF _Toc512333608 \h </w:instrText>
        </w:r>
        <w:r w:rsidR="00124E40">
          <w:rPr>
            <w:noProof/>
            <w:webHidden/>
          </w:rPr>
        </w:r>
        <w:r w:rsidR="00124E40">
          <w:rPr>
            <w:noProof/>
            <w:webHidden/>
          </w:rPr>
          <w:fldChar w:fldCharType="separate"/>
        </w:r>
        <w:r>
          <w:rPr>
            <w:noProof/>
            <w:webHidden/>
          </w:rPr>
          <w:t>28</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09" w:history="1">
        <w:r w:rsidR="00124E40" w:rsidRPr="00F022E8">
          <w:rPr>
            <w:rStyle w:val="Hyperlink"/>
            <w:noProof/>
          </w:rPr>
          <w:t>Table 7 – Results from the original standard (Jan 2016 – Jan 2017)</w:t>
        </w:r>
        <w:r w:rsidR="00124E40">
          <w:rPr>
            <w:noProof/>
            <w:webHidden/>
          </w:rPr>
          <w:tab/>
        </w:r>
        <w:r w:rsidR="00124E40">
          <w:rPr>
            <w:noProof/>
            <w:webHidden/>
          </w:rPr>
          <w:fldChar w:fldCharType="begin"/>
        </w:r>
        <w:r w:rsidR="00124E40">
          <w:rPr>
            <w:noProof/>
            <w:webHidden/>
          </w:rPr>
          <w:instrText xml:space="preserve"> PAGEREF _Toc512333609 \h </w:instrText>
        </w:r>
        <w:r w:rsidR="00124E40">
          <w:rPr>
            <w:noProof/>
            <w:webHidden/>
          </w:rPr>
        </w:r>
        <w:r w:rsidR="00124E40">
          <w:rPr>
            <w:noProof/>
            <w:webHidden/>
          </w:rPr>
          <w:fldChar w:fldCharType="separate"/>
        </w:r>
        <w:r>
          <w:rPr>
            <w:noProof/>
            <w:webHidden/>
          </w:rPr>
          <w:t>33</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10" w:history="1">
        <w:r w:rsidR="00124E40" w:rsidRPr="00F022E8">
          <w:rPr>
            <w:rStyle w:val="Hyperlink"/>
            <w:noProof/>
          </w:rPr>
          <w:t>Table 8 – Production results (Jan 2016 – May 2017)</w:t>
        </w:r>
        <w:r w:rsidR="00124E40">
          <w:rPr>
            <w:noProof/>
            <w:webHidden/>
          </w:rPr>
          <w:tab/>
        </w:r>
        <w:r w:rsidR="00124E40">
          <w:rPr>
            <w:noProof/>
            <w:webHidden/>
          </w:rPr>
          <w:fldChar w:fldCharType="begin"/>
        </w:r>
        <w:r w:rsidR="00124E40">
          <w:rPr>
            <w:noProof/>
            <w:webHidden/>
          </w:rPr>
          <w:instrText xml:space="preserve"> PAGEREF _Toc512333610 \h </w:instrText>
        </w:r>
        <w:r w:rsidR="00124E40">
          <w:rPr>
            <w:noProof/>
            <w:webHidden/>
          </w:rPr>
        </w:r>
        <w:r w:rsidR="00124E40">
          <w:rPr>
            <w:noProof/>
            <w:webHidden/>
          </w:rPr>
          <w:fldChar w:fldCharType="separate"/>
        </w:r>
        <w:r>
          <w:rPr>
            <w:noProof/>
            <w:webHidden/>
          </w:rPr>
          <w:t>36</w:t>
        </w:r>
        <w:r w:rsidR="00124E40">
          <w:rPr>
            <w:noProof/>
            <w:webHidden/>
          </w:rPr>
          <w:fldChar w:fldCharType="end"/>
        </w:r>
      </w:hyperlink>
    </w:p>
    <w:p w:rsidR="00124E40" w:rsidRPr="00DC3AAC" w:rsidRDefault="009A5CBD">
      <w:pPr>
        <w:pStyle w:val="TableofFigures"/>
        <w:tabs>
          <w:tab w:val="right" w:leader="dot" w:pos="9016"/>
        </w:tabs>
        <w:rPr>
          <w:rFonts w:eastAsia="Times New Roman"/>
          <w:noProof/>
          <w:lang w:eastAsia="en-GB"/>
        </w:rPr>
      </w:pPr>
      <w:hyperlink w:anchor="_Toc512333611" w:history="1">
        <w:r w:rsidR="00124E40" w:rsidRPr="00F022E8">
          <w:rPr>
            <w:rStyle w:val="Hyperlink"/>
            <w:noProof/>
          </w:rPr>
          <w:t>Table 9 – Developed standard results (Sept 2017 – April 2018)</w:t>
        </w:r>
        <w:r w:rsidR="00124E40">
          <w:rPr>
            <w:noProof/>
            <w:webHidden/>
          </w:rPr>
          <w:tab/>
        </w:r>
        <w:r w:rsidR="00124E40">
          <w:rPr>
            <w:noProof/>
            <w:webHidden/>
          </w:rPr>
          <w:fldChar w:fldCharType="begin"/>
        </w:r>
        <w:r w:rsidR="00124E40">
          <w:rPr>
            <w:noProof/>
            <w:webHidden/>
          </w:rPr>
          <w:instrText xml:space="preserve"> PAGEREF _Toc512333611 \h </w:instrText>
        </w:r>
        <w:r w:rsidR="00124E40">
          <w:rPr>
            <w:noProof/>
            <w:webHidden/>
          </w:rPr>
        </w:r>
        <w:r w:rsidR="00124E40">
          <w:rPr>
            <w:noProof/>
            <w:webHidden/>
          </w:rPr>
          <w:fldChar w:fldCharType="separate"/>
        </w:r>
        <w:r>
          <w:rPr>
            <w:noProof/>
            <w:webHidden/>
          </w:rPr>
          <w:t>40</w:t>
        </w:r>
        <w:r w:rsidR="00124E40">
          <w:rPr>
            <w:noProof/>
            <w:webHidden/>
          </w:rPr>
          <w:fldChar w:fldCharType="end"/>
        </w:r>
      </w:hyperlink>
    </w:p>
    <w:p w:rsidR="00D460D7" w:rsidRPr="00D460D7" w:rsidRDefault="00124E40" w:rsidP="00D460D7">
      <w:r>
        <w:fldChar w:fldCharType="end"/>
      </w:r>
    </w:p>
    <w:p w:rsidR="006B5DAC" w:rsidRDefault="006B5DAC" w:rsidP="001260FF">
      <w:pPr>
        <w:jc w:val="both"/>
      </w:pPr>
    </w:p>
    <w:p w:rsidR="006B5DAC" w:rsidRDefault="006B5DAC" w:rsidP="006B5DAC"/>
    <w:p w:rsidR="006B5DAC" w:rsidRDefault="006B5DAC" w:rsidP="006B5DAC"/>
    <w:p w:rsidR="00564D37" w:rsidRDefault="00564D37" w:rsidP="006015E7">
      <w:pPr>
        <w:jc w:val="both"/>
      </w:pPr>
    </w:p>
    <w:p w:rsidR="00A53204" w:rsidRDefault="00A53204" w:rsidP="00A53204"/>
    <w:p w:rsidR="00A53204" w:rsidRDefault="00A53204" w:rsidP="00A53204"/>
    <w:p w:rsidR="00E4773C" w:rsidRDefault="00E4773C">
      <w:pPr>
        <w:pStyle w:val="TOCHeading"/>
      </w:pPr>
    </w:p>
    <w:p w:rsidR="007D12BF" w:rsidRDefault="007D12BF">
      <w:pPr>
        <w:pStyle w:val="TOCHeading"/>
      </w:pPr>
      <w:bookmarkStart w:id="22" w:name="_Toc511503097"/>
    </w:p>
    <w:p w:rsidR="007D12BF" w:rsidRDefault="007D12BF">
      <w:pPr>
        <w:pStyle w:val="TOCHeading"/>
      </w:pPr>
    </w:p>
    <w:p w:rsidR="007D12BF" w:rsidRDefault="007D12BF">
      <w:pPr>
        <w:pStyle w:val="TOCHeading"/>
      </w:pPr>
    </w:p>
    <w:p w:rsidR="007D12BF" w:rsidRDefault="007D12BF">
      <w:pPr>
        <w:pStyle w:val="TOCHeading"/>
      </w:pPr>
    </w:p>
    <w:p w:rsidR="007D12BF" w:rsidRDefault="007D12BF">
      <w:pPr>
        <w:pStyle w:val="TOCHeading"/>
      </w:pPr>
    </w:p>
    <w:p w:rsidR="007D12BF" w:rsidRDefault="007D12BF">
      <w:pPr>
        <w:pStyle w:val="TOCHeading"/>
      </w:pPr>
    </w:p>
    <w:p w:rsidR="009726D8" w:rsidRDefault="009726D8" w:rsidP="0035209D">
      <w:pPr>
        <w:rPr>
          <w:rFonts w:ascii="Calibri Light" w:eastAsia="Times New Roman" w:hAnsi="Calibri Light"/>
          <w:color w:val="2E74B5"/>
          <w:sz w:val="32"/>
          <w:szCs w:val="32"/>
          <w:lang w:val="en-US"/>
        </w:rPr>
      </w:pPr>
    </w:p>
    <w:p w:rsidR="00124E40" w:rsidRDefault="00124E40" w:rsidP="0035209D">
      <w:pPr>
        <w:rPr>
          <w:b/>
          <w:bCs/>
          <w:noProof/>
        </w:rPr>
      </w:pPr>
    </w:p>
    <w:p w:rsidR="006555F2" w:rsidRPr="0035209D" w:rsidRDefault="008405C2" w:rsidP="0035209D">
      <w:pPr>
        <w:pStyle w:val="Heading1"/>
      </w:pPr>
      <w:bookmarkStart w:id="23" w:name="_Toc512166853"/>
      <w:bookmarkStart w:id="24" w:name="_Toc512168630"/>
      <w:bookmarkStart w:id="25" w:name="_Toc512169511"/>
      <w:bookmarkStart w:id="26" w:name="_Toc512334067"/>
      <w:r>
        <w:rPr>
          <w:shd w:val="clear" w:color="auto" w:fill="FFFFFF"/>
        </w:rPr>
        <w:lastRenderedPageBreak/>
        <w:t>Introduction</w:t>
      </w:r>
      <w:bookmarkEnd w:id="22"/>
      <w:bookmarkEnd w:id="23"/>
      <w:bookmarkEnd w:id="24"/>
      <w:bookmarkEnd w:id="25"/>
      <w:bookmarkEnd w:id="26"/>
    </w:p>
    <w:p w:rsidR="008405C2" w:rsidRDefault="00B77DB5" w:rsidP="00B77DB5">
      <w:pPr>
        <w:pStyle w:val="Heading2"/>
      </w:pPr>
      <w:bookmarkStart w:id="27" w:name="_Toc512166854"/>
      <w:bookmarkStart w:id="28" w:name="_Toc512168631"/>
      <w:bookmarkStart w:id="29" w:name="_Toc512169512"/>
      <w:bookmarkStart w:id="30" w:name="_Toc512334068"/>
      <w:r>
        <w:t>Initial Status</w:t>
      </w:r>
      <w:bookmarkEnd w:id="27"/>
      <w:bookmarkEnd w:id="28"/>
      <w:bookmarkEnd w:id="29"/>
      <w:bookmarkEnd w:id="30"/>
    </w:p>
    <w:p w:rsidR="00B77DB5" w:rsidRDefault="00B77DB5" w:rsidP="001260FF">
      <w:pPr>
        <w:jc w:val="both"/>
      </w:pPr>
    </w:p>
    <w:p w:rsidR="00B77DB5" w:rsidRDefault="00B77DB5" w:rsidP="00B77DB5">
      <w:pPr>
        <w:jc w:val="both"/>
      </w:pPr>
      <w:r>
        <w:t>Until January 2017, the technical laboratories had been using a standard coke for CSR and CRI testing in order to confirm whether the equipment used, such as the heating rigs, tumblers etc. were in adequate working condition. However, for the previous year beforehand, the results that were achieved from the standard under testing were considerably lower than what should have been achieved. Various technologists and team leaders from the coke ovens and blast furnaces were aware of the results and able to track them on the database in which the results were stored, but it was not an issue that was brought up due to the consistency of the results that were being achieved and due to the high quality coke that was being produced on site.</w:t>
      </w:r>
    </w:p>
    <w:p w:rsidR="00B77DB5" w:rsidRDefault="00B77DB5" w:rsidP="00B77DB5">
      <w:pPr>
        <w:jc w:val="both"/>
      </w:pPr>
    </w:p>
    <w:p w:rsidR="00B77DB5" w:rsidRDefault="00B77DB5" w:rsidP="00B77DB5">
      <w:pPr>
        <w:jc w:val="both"/>
      </w:pPr>
      <w:r>
        <w:t>While it was not an issue as such for the coke ovens and the blast furnaces, it was an issue that had been discussed internally at various times throughout the year prior. Six months prior to the drop in quality for on-site produced coke, a contracting company was contacted and asked to potentially service the equipment. The contractor did not manufacture the equipment that are being used in the laboratories but are known for being able to carry out work on this equipment. After a brief inspection, the company informed the laboratories that no servicing was required as the equipment was in a good working order.</w:t>
      </w:r>
    </w:p>
    <w:p w:rsidR="00B77DB5" w:rsidRDefault="00B77DB5" w:rsidP="00B77DB5"/>
    <w:p w:rsidR="00B77DB5" w:rsidRDefault="00B77DB5" w:rsidP="00B77DB5">
      <w:pPr>
        <w:pStyle w:val="Heading2"/>
      </w:pPr>
      <w:bookmarkStart w:id="31" w:name="_Toc512166855"/>
      <w:bookmarkStart w:id="32" w:name="_Toc512168632"/>
      <w:bookmarkStart w:id="33" w:name="_Toc512169513"/>
      <w:bookmarkStart w:id="34" w:name="_Toc512334069"/>
      <w:r>
        <w:t>Solutions</w:t>
      </w:r>
      <w:bookmarkEnd w:id="31"/>
      <w:bookmarkEnd w:id="32"/>
      <w:bookmarkEnd w:id="33"/>
      <w:bookmarkEnd w:id="34"/>
    </w:p>
    <w:p w:rsidR="00B77DB5" w:rsidRDefault="00B77DB5" w:rsidP="00B77DB5"/>
    <w:p w:rsidR="00B77DB5" w:rsidRDefault="00B77DB5" w:rsidP="00B77DB5">
      <w:pPr>
        <w:jc w:val="both"/>
      </w:pPr>
      <w:r>
        <w:t xml:space="preserve">The drop in on-site produced coke quality lead to the technical laboratories to make a decision about the standard that was being used and what the options were for if the standard was dropped. Analysis was carried out on the standard in order to prove to other departments on site that the equipment and methods used by the laboratories were adequate. The results were presented to the coke ovens and blast furnaces and the decision was made to drop the current standard. The next step forward was to find a replacement. Discussions that were held between a small localised team to carry out this project came to the conclusion that the two options moving forward were to either purchase a new standard or develop a standard that would be for internal use only. After further discussions and research into the topic, it was decided that an internal standard would be developed from the next few cargos of a Japanese coke that were received. </w:t>
      </w:r>
    </w:p>
    <w:p w:rsidR="00B77DB5" w:rsidRDefault="00B77DB5" w:rsidP="00B77DB5"/>
    <w:p w:rsidR="00B77DB5" w:rsidRDefault="00B77DB5" w:rsidP="00B77DB5">
      <w:pPr>
        <w:pStyle w:val="Heading2"/>
      </w:pPr>
      <w:bookmarkStart w:id="35" w:name="_Toc512166856"/>
      <w:bookmarkStart w:id="36" w:name="_Toc512168633"/>
      <w:bookmarkStart w:id="37" w:name="_Toc512169514"/>
      <w:bookmarkStart w:id="38" w:name="_Toc512334070"/>
      <w:r>
        <w:t>Objectives</w:t>
      </w:r>
      <w:bookmarkEnd w:id="35"/>
      <w:bookmarkEnd w:id="36"/>
      <w:bookmarkEnd w:id="37"/>
      <w:bookmarkEnd w:id="38"/>
    </w:p>
    <w:p w:rsidR="00B77DB5" w:rsidRDefault="00B77DB5" w:rsidP="00B77DB5"/>
    <w:p w:rsidR="00B77DB5" w:rsidRDefault="00B77DB5" w:rsidP="00B77DB5">
      <w:pPr>
        <w:jc w:val="both"/>
      </w:pPr>
      <w:r>
        <w:t xml:space="preserve">Once the department had proved that the standard itself was faulty and not the equipment or testing methods, the development of the internal standard became the main objective of the project. One of the main benefits of developing a standard is the lower cost it would have for the department. A 1kg sample of a pre-sized standard would cost roughly £300 - £400 each time. On the current layout for standard testing, it would have two 200g samples tested every week, meaning that a sample would only last us five weeks at most. By taking samples from various cargos of the same coke to create a standard, the only cost would be to man hours. While there would be </w:t>
      </w:r>
      <w:r>
        <w:lastRenderedPageBreak/>
        <w:t>considerably more preparation required with developing an internal standard, it is one that could save the department and the company almost £4,000 a year. The department issues annualised hours to team members. Annualised hours are hours that the company pays employees in advance in order to help cover low manning, for extra training or to help with urgent work the laboratories might receive. The decision was made to call in team members who had annualised hours to cover work so that members of the team put together to tackle this project could focus on it for short periods of time.</w:t>
      </w:r>
    </w:p>
    <w:p w:rsidR="00B77DB5" w:rsidRDefault="00B77DB5" w:rsidP="00B77DB5"/>
    <w:p w:rsidR="00B77DB5" w:rsidRDefault="00B77DB5" w:rsidP="00B77DB5">
      <w:pPr>
        <w:pStyle w:val="Heading2"/>
      </w:pPr>
      <w:bookmarkStart w:id="39" w:name="_Toc512166857"/>
      <w:bookmarkStart w:id="40" w:name="_Toc512168634"/>
      <w:bookmarkStart w:id="41" w:name="_Toc512169515"/>
      <w:bookmarkStart w:id="42" w:name="_Toc512334071"/>
      <w:r>
        <w:t>Timing Plan</w:t>
      </w:r>
      <w:bookmarkEnd w:id="39"/>
      <w:bookmarkEnd w:id="40"/>
      <w:bookmarkEnd w:id="41"/>
      <w:bookmarkEnd w:id="42"/>
    </w:p>
    <w:p w:rsidR="00B77DB5" w:rsidRDefault="00B77DB5" w:rsidP="00B77DB5"/>
    <w:p w:rsidR="00B77DB5" w:rsidRDefault="00B77DB5" w:rsidP="00B77DB5">
      <w:pPr>
        <w:jc w:val="both"/>
      </w:pPr>
      <w:r>
        <w:t>A Gantt chart</w:t>
      </w:r>
      <w:r w:rsidR="009145CE">
        <w:t xml:space="preserve"> </w:t>
      </w:r>
      <w:r w:rsidR="009145CE" w:rsidRPr="006458A5">
        <w:rPr>
          <w:vertAlign w:val="superscript"/>
        </w:rPr>
        <w:t>[1]</w:t>
      </w:r>
      <w:r>
        <w:t xml:space="preserve"> was used in order to track the progress of the project at regular intervals. The objectives of the project had to fall within the SMART system in order to be measured correctly. SMART stands for specific, measurable, achievable, relevant and time bound. The use of a Gantt chart and regular reviews enabled the managers of the laboratories make sure that the project was running on time and annualised hours were not being wasted. The managers’ attendance in the reviews was important as they could use their experience to make sure that the project was on the right path and to also protect company interests</w:t>
      </w:r>
      <w:r w:rsidR="00564D37">
        <w:t xml:space="preserve"> </w:t>
      </w:r>
      <w:r w:rsidR="00564D37">
        <w:rPr>
          <w:i/>
        </w:rPr>
        <w:t xml:space="preserve">(see </w:t>
      </w:r>
      <w:r w:rsidR="006D663A">
        <w:rPr>
          <w:i/>
        </w:rPr>
        <w:t>A</w:t>
      </w:r>
      <w:r w:rsidR="00564D37">
        <w:rPr>
          <w:i/>
        </w:rPr>
        <w:t>ppendix 1)</w:t>
      </w:r>
      <w:r>
        <w:t xml:space="preserve">. </w:t>
      </w:r>
    </w:p>
    <w:p w:rsidR="00B77DB5" w:rsidRDefault="00B77DB5" w:rsidP="00B77DB5">
      <w:pPr>
        <w:jc w:val="both"/>
      </w:pPr>
    </w:p>
    <w:p w:rsidR="00B77DB5" w:rsidRDefault="00B77DB5" w:rsidP="00B77DB5">
      <w:pPr>
        <w:jc w:val="both"/>
      </w:pPr>
      <w:r>
        <w:t xml:space="preserve">The timing plan was an important aspect through the first part of the project. Being able to identify what the issues were with the standard and being able to relay this information to the coke ovens and blast furnaces was the main aim of the project initially. This was something that had to be completed as soon as possible, before the two departments start rejecting other results we put out and before other departments started questioning results also. Once this part of the project was achieved, the timing plan became less important. This was because developing a standard that could be relied on by the department was considered more important and relevant than making sure it was completed by a certain time. As different cargos had to be sampled to complete the standard, the development was dependant on when shipments were ordered and received. </w:t>
      </w:r>
    </w:p>
    <w:p w:rsidR="00B77DB5" w:rsidRDefault="00B77DB5" w:rsidP="00B77DB5">
      <w:pPr>
        <w:jc w:val="both"/>
      </w:pPr>
    </w:p>
    <w:p w:rsidR="00B77DB5" w:rsidRDefault="00B77DB5" w:rsidP="00B77DB5">
      <w:pPr>
        <w:jc w:val="both"/>
      </w:pPr>
      <w:r>
        <w:t>The project remained on track for its entirety, much to the pleasure of the managers of the laboratories and the other departments involved. Determining the issues with the standard were considered a very important task for the laboratories to get right and the work was carried out correctly and quickly.</w:t>
      </w:r>
    </w:p>
    <w:p w:rsidR="0035209D" w:rsidRDefault="0035209D" w:rsidP="001260FF">
      <w:pPr>
        <w:jc w:val="both"/>
      </w:pPr>
    </w:p>
    <w:p w:rsidR="006D663A" w:rsidRDefault="006D663A" w:rsidP="001260FF">
      <w:pPr>
        <w:jc w:val="both"/>
      </w:pPr>
    </w:p>
    <w:p w:rsidR="00D53910" w:rsidRDefault="00D53910" w:rsidP="001260FF">
      <w:pPr>
        <w:jc w:val="both"/>
      </w:pPr>
    </w:p>
    <w:p w:rsidR="00124E40" w:rsidRDefault="00124E40" w:rsidP="001260FF">
      <w:pPr>
        <w:jc w:val="both"/>
      </w:pPr>
    </w:p>
    <w:p w:rsidR="009726D8" w:rsidRDefault="009726D8" w:rsidP="001260FF">
      <w:pPr>
        <w:pStyle w:val="Heading1"/>
        <w:jc w:val="both"/>
      </w:pPr>
      <w:bookmarkStart w:id="43" w:name="_Toc511503098"/>
      <w:bookmarkStart w:id="44" w:name="_Toc512166858"/>
      <w:bookmarkStart w:id="45" w:name="_Toc512168635"/>
      <w:bookmarkStart w:id="46" w:name="_Toc512169516"/>
    </w:p>
    <w:p w:rsidR="008405C2" w:rsidRDefault="008405C2" w:rsidP="001260FF">
      <w:pPr>
        <w:pStyle w:val="Heading1"/>
        <w:jc w:val="both"/>
      </w:pPr>
      <w:bookmarkStart w:id="47" w:name="_Toc512334072"/>
      <w:r>
        <w:t>Literature Review</w:t>
      </w:r>
      <w:bookmarkEnd w:id="43"/>
      <w:bookmarkEnd w:id="44"/>
      <w:bookmarkEnd w:id="45"/>
      <w:bookmarkEnd w:id="46"/>
      <w:bookmarkEnd w:id="47"/>
    </w:p>
    <w:p w:rsidR="008405C2" w:rsidRDefault="008405C2" w:rsidP="001260FF">
      <w:pPr>
        <w:pStyle w:val="Heading2"/>
        <w:jc w:val="both"/>
      </w:pPr>
      <w:bookmarkStart w:id="48" w:name="_Toc511503099"/>
      <w:bookmarkStart w:id="49" w:name="_Toc512166859"/>
      <w:bookmarkStart w:id="50" w:name="_Toc512168636"/>
      <w:bookmarkStart w:id="51" w:name="_Toc512169517"/>
      <w:bookmarkStart w:id="52" w:name="_Toc512334073"/>
      <w:r>
        <w:t>Coke Making</w:t>
      </w:r>
      <w:bookmarkEnd w:id="48"/>
      <w:bookmarkEnd w:id="49"/>
      <w:bookmarkEnd w:id="50"/>
      <w:bookmarkEnd w:id="51"/>
      <w:bookmarkEnd w:id="52"/>
    </w:p>
    <w:p w:rsidR="008405C2" w:rsidRDefault="008405C2" w:rsidP="001260FF">
      <w:pPr>
        <w:jc w:val="both"/>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Coke production is one of the most important aspects of the production of hot metal as it can account for up to 50% of the total costs of the process</w:t>
      </w:r>
      <w:r w:rsidR="009145CE">
        <w:rPr>
          <w:rFonts w:eastAsia="Times New Roman" w:cs="Calibri"/>
          <w:bCs/>
          <w:szCs w:val="20"/>
          <w:bdr w:val="none" w:sz="0" w:space="0" w:color="auto" w:frame="1"/>
          <w:lang w:eastAsia="en-GB"/>
        </w:rPr>
        <w:t xml:space="preserve"> </w:t>
      </w:r>
      <w:r w:rsidR="009145CE" w:rsidRPr="000B32CB">
        <w:rPr>
          <w:rFonts w:eastAsia="Times New Roman" w:cs="Calibri"/>
          <w:bCs/>
          <w:szCs w:val="20"/>
          <w:bdr w:val="none" w:sz="0" w:space="0" w:color="auto" w:frame="1"/>
          <w:vertAlign w:val="superscript"/>
          <w:lang w:eastAsia="en-GB"/>
        </w:rPr>
        <w:t>[2]</w:t>
      </w:r>
      <w:r w:rsidRPr="00A11CD0">
        <w:rPr>
          <w:rFonts w:eastAsia="Times New Roman" w:cs="Calibri"/>
          <w:bCs/>
          <w:szCs w:val="20"/>
          <w:bdr w:val="none" w:sz="0" w:space="0" w:color="auto" w:frame="1"/>
          <w:lang w:eastAsia="en-GB"/>
        </w:rPr>
        <w:t xml:space="preserve">. </w:t>
      </w:r>
      <w:r w:rsidR="009145CE">
        <w:rPr>
          <w:rFonts w:eastAsia="Times New Roman" w:cs="Calibri"/>
          <w:bCs/>
          <w:szCs w:val="20"/>
          <w:bdr w:val="none" w:sz="0" w:space="0" w:color="auto" w:frame="1"/>
          <w:lang w:eastAsia="en-GB"/>
        </w:rPr>
        <w:t>O</w:t>
      </w:r>
      <w:r w:rsidRPr="00A11CD0">
        <w:rPr>
          <w:rFonts w:eastAsia="Times New Roman" w:cs="Calibri"/>
          <w:bCs/>
          <w:szCs w:val="20"/>
          <w:bdr w:val="none" w:sz="0" w:space="0" w:color="auto" w:frame="1"/>
          <w:lang w:eastAsia="en-GB"/>
        </w:rPr>
        <w:t>ne of the main aims of any coke making facility is the cost-effective production of high quality coke. The most commonly used coke is what is known as metallurgical coke, with roughly 90% of the worlds coke production being produced for the iron and steel making processes for use within blast furnaces</w:t>
      </w:r>
      <w:r w:rsidR="009145CE">
        <w:rPr>
          <w:rFonts w:eastAsia="Times New Roman" w:cs="Calibri"/>
          <w:bCs/>
          <w:szCs w:val="20"/>
          <w:bdr w:val="none" w:sz="0" w:space="0" w:color="auto" w:frame="1"/>
          <w:lang w:eastAsia="en-GB"/>
        </w:rPr>
        <w:t xml:space="preserve"> </w:t>
      </w:r>
      <w:r w:rsidR="009145CE" w:rsidRPr="000B32CB">
        <w:rPr>
          <w:rFonts w:eastAsia="Times New Roman" w:cs="Calibri"/>
          <w:bCs/>
          <w:szCs w:val="20"/>
          <w:bdr w:val="none" w:sz="0" w:space="0" w:color="auto" w:frame="1"/>
          <w:vertAlign w:val="superscript"/>
          <w:lang w:eastAsia="en-GB"/>
        </w:rPr>
        <w:t>[3]</w:t>
      </w:r>
      <w:r w:rsidRPr="00A11CD0">
        <w:rPr>
          <w:rFonts w:eastAsia="Times New Roman" w:cs="Calibri"/>
          <w:bCs/>
          <w:szCs w:val="20"/>
          <w:bdr w:val="none" w:sz="0" w:space="0" w:color="auto" w:frame="1"/>
          <w:lang w:eastAsia="en-GB"/>
        </w:rPr>
        <w:t>. Foundry coke is another type of coke that is made, but this requires lower coking temperatures and longer coking time than metallurgical coke.</w:t>
      </w:r>
    </w:p>
    <w:p w:rsidR="008405C2" w:rsidRPr="00A11CD0" w:rsidRDefault="008405C2" w:rsidP="001260FF">
      <w:pPr>
        <w:jc w:val="both"/>
        <w:rPr>
          <w:rFonts w:eastAsia="Times New Roman" w:cs="Calibri"/>
          <w:bCs/>
          <w:szCs w:val="20"/>
          <w:bdr w:val="none" w:sz="0" w:space="0" w:color="auto" w:frame="1"/>
          <w:lang w:eastAsia="en-GB"/>
        </w:rPr>
      </w:pPr>
    </w:p>
    <w:p w:rsidR="008405C2" w:rsidRPr="001260FF" w:rsidRDefault="008405C2" w:rsidP="001260FF">
      <w:pPr>
        <w:jc w:val="both"/>
        <w:rPr>
          <w:bdr w:val="none" w:sz="0" w:space="0" w:color="auto" w:frame="1"/>
          <w:lang w:eastAsia="en-GB"/>
        </w:rPr>
      </w:pPr>
      <w:r w:rsidRPr="001260FF">
        <w:rPr>
          <w:bdr w:val="none" w:sz="0" w:space="0" w:color="auto" w:frame="1"/>
          <w:lang w:eastAsia="en-GB"/>
        </w:rPr>
        <w:t xml:space="preserve">The process of coke making by heating coal in the absence of air was first developed in 1709 in England by Abraham Darby. It was used for the smelting of iron ore at the start of the industrial revolution and allowed for iron-based products to be produced in much quicker rates than other processed previously available. The initial process for coke making was what lead to the beehive method of coke making. Coal was piled up into rounded piles, ignited and then covered in clay. This method was also quite similar to the production of charcoal. Advances through the years have </w:t>
      </w:r>
      <w:r w:rsidR="001260FF" w:rsidRPr="001260FF">
        <w:rPr>
          <w:bdr w:val="none" w:sz="0" w:space="0" w:color="auto" w:frame="1"/>
          <w:lang w:eastAsia="en-GB"/>
        </w:rPr>
        <w:t>led</w:t>
      </w:r>
      <w:r w:rsidRPr="001260FF">
        <w:rPr>
          <w:bdr w:val="none" w:sz="0" w:space="0" w:color="auto" w:frame="1"/>
          <w:lang w:eastAsia="en-GB"/>
        </w:rPr>
        <w:t xml:space="preserve"> to not only the beehive method, but also the reverberatory and the byproduct oven methods</w:t>
      </w:r>
      <w:r w:rsidR="00586766" w:rsidRPr="00586766">
        <w:rPr>
          <w:bdr w:val="none" w:sz="0" w:space="0" w:color="auto" w:frame="1"/>
          <w:lang w:eastAsia="en-GB"/>
        </w:rPr>
        <w:t xml:space="preserve"> </w:t>
      </w:r>
      <w:r w:rsidR="00586766" w:rsidRPr="00970FA7">
        <w:rPr>
          <w:bdr w:val="none" w:sz="0" w:space="0" w:color="auto" w:frame="1"/>
          <w:vertAlign w:val="superscript"/>
          <w:lang w:eastAsia="en-GB"/>
        </w:rPr>
        <w:t>[</w:t>
      </w:r>
      <w:r w:rsidR="00A74F68">
        <w:rPr>
          <w:bdr w:val="none" w:sz="0" w:space="0" w:color="auto" w:frame="1"/>
          <w:vertAlign w:val="superscript"/>
          <w:lang w:eastAsia="en-GB"/>
        </w:rPr>
        <w:t>4</w:t>
      </w:r>
      <w:r w:rsidR="00586766" w:rsidRPr="00970FA7">
        <w:rPr>
          <w:bdr w:val="none" w:sz="0" w:space="0" w:color="auto" w:frame="1"/>
          <w:vertAlign w:val="superscript"/>
          <w:lang w:eastAsia="en-GB"/>
        </w:rPr>
        <w:t>]</w:t>
      </w:r>
      <w:r w:rsidRPr="001260FF">
        <w:rPr>
          <w:bdr w:val="none" w:sz="0" w:space="0" w:color="auto" w:frame="1"/>
          <w:lang w:eastAsia="en-GB"/>
        </w:rPr>
        <w:t>.</w:t>
      </w:r>
    </w:p>
    <w:p w:rsidR="008405C2" w:rsidRPr="001260FF" w:rsidRDefault="008405C2" w:rsidP="001260FF">
      <w:pPr>
        <w:jc w:val="both"/>
        <w:rPr>
          <w:bdr w:val="none" w:sz="0" w:space="0" w:color="auto" w:frame="1"/>
          <w:lang w:eastAsia="en-GB"/>
        </w:rPr>
      </w:pPr>
    </w:p>
    <w:p w:rsidR="008405C2" w:rsidRPr="001260FF" w:rsidRDefault="008405C2" w:rsidP="001260FF">
      <w:pPr>
        <w:jc w:val="both"/>
        <w:rPr>
          <w:bdr w:val="none" w:sz="0" w:space="0" w:color="auto" w:frame="1"/>
          <w:lang w:eastAsia="en-GB"/>
        </w:rPr>
      </w:pPr>
      <w:r w:rsidRPr="001260FF">
        <w:rPr>
          <w:bdr w:val="none" w:sz="0" w:space="0" w:color="auto" w:frame="1"/>
          <w:lang w:eastAsia="en-GB"/>
        </w:rPr>
        <w:t>The process of converting coal into coke in large coke oven batteries through the destructive distillation of coal. The process itself consists of the heating of the coal in the absence of air in order to drive off any volatiles that might exist in the coal. The material that is left in the oven is what is known as coke. Coke is a hard, grey material consisting of mainly carbon. The volatiles that are driven off are recovered and processed to produce coke oven gas, as well as various oils and tars. There are three different processes that are used for the production of coke. They are:</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pStyle w:val="ListParagraph"/>
        <w:numPr>
          <w:ilvl w:val="0"/>
          <w:numId w:val="27"/>
        </w:num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Beehive coke ovens, which are non-recovery ovens.</w:t>
      </w:r>
    </w:p>
    <w:p w:rsidR="008405C2" w:rsidRPr="00A11CD0" w:rsidRDefault="008405C2" w:rsidP="001260FF">
      <w:pPr>
        <w:pStyle w:val="ListParagraph"/>
        <w:numPr>
          <w:ilvl w:val="0"/>
          <w:numId w:val="27"/>
        </w:num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Heat/ energy recovery ovens, which are sometimes referred to as non-recovery ovens.</w:t>
      </w:r>
    </w:p>
    <w:p w:rsidR="008405C2" w:rsidRPr="009726D8" w:rsidRDefault="008405C2" w:rsidP="001260FF">
      <w:pPr>
        <w:pStyle w:val="ListParagraph"/>
        <w:numPr>
          <w:ilvl w:val="0"/>
          <w:numId w:val="27"/>
        </w:num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Byproduct coke ovens</w:t>
      </w:r>
      <w:r w:rsidR="009F36F6">
        <w:rPr>
          <w:rFonts w:eastAsia="Times New Roman" w:cs="Calibri"/>
          <w:bCs/>
          <w:szCs w:val="20"/>
          <w:bdr w:val="none" w:sz="0" w:space="0" w:color="auto" w:frame="1"/>
          <w:lang w:eastAsia="en-GB"/>
        </w:rPr>
        <w:t xml:space="preserve"> </w:t>
      </w:r>
      <w:r w:rsidR="009F36F6">
        <w:rPr>
          <w:rFonts w:eastAsia="Times New Roman" w:cs="Calibri"/>
          <w:bCs/>
          <w:szCs w:val="20"/>
          <w:bdr w:val="none" w:sz="0" w:space="0" w:color="auto" w:frame="1"/>
          <w:vertAlign w:val="superscript"/>
          <w:lang w:eastAsia="en-GB"/>
        </w:rPr>
        <w:t>[5]</w:t>
      </w:r>
      <w:r w:rsidRPr="00A11CD0">
        <w:rPr>
          <w:rFonts w:eastAsia="Times New Roman" w:cs="Calibri"/>
          <w:bCs/>
          <w:szCs w:val="20"/>
          <w:bdr w:val="none" w:sz="0" w:space="0" w:color="auto" w:frame="1"/>
          <w:lang w:eastAsia="en-GB"/>
        </w:rPr>
        <w:t>.</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The byproduct coke making process is the carbonisation of coal at high temperatures in an oxygen free atmosphere. This process drives out the volatile matter within the coal. The byproduct process also allows for the capture of the gases given off. The gas is then sent off to a recovery plant where they are converted to useful products and transported to different parts of the site</w:t>
      </w:r>
      <w:r w:rsidR="00586766">
        <w:rPr>
          <w:rFonts w:eastAsia="Times New Roman" w:cs="Calibri"/>
          <w:bCs/>
          <w:szCs w:val="20"/>
          <w:bdr w:val="none" w:sz="0" w:space="0" w:color="auto" w:frame="1"/>
          <w:lang w:eastAsia="en-GB"/>
        </w:rPr>
        <w:t xml:space="preserve"> </w:t>
      </w:r>
      <w:r w:rsidR="00586766" w:rsidRPr="00FD24B4">
        <w:rPr>
          <w:rFonts w:eastAsia="Times New Roman" w:cs="Calibri"/>
          <w:bCs/>
          <w:szCs w:val="20"/>
          <w:bdr w:val="none" w:sz="0" w:space="0" w:color="auto" w:frame="1"/>
          <w:vertAlign w:val="superscript"/>
          <w:lang w:eastAsia="en-GB"/>
        </w:rPr>
        <w:t>[</w:t>
      </w:r>
      <w:r w:rsidR="009F36F6">
        <w:rPr>
          <w:rFonts w:eastAsia="Times New Roman" w:cs="Calibri"/>
          <w:bCs/>
          <w:szCs w:val="20"/>
          <w:bdr w:val="none" w:sz="0" w:space="0" w:color="auto" w:frame="1"/>
          <w:vertAlign w:val="superscript"/>
          <w:lang w:eastAsia="en-GB"/>
        </w:rPr>
        <w:t>6</w:t>
      </w:r>
      <w:r w:rsidR="00586766" w:rsidRPr="00FD24B4">
        <w:rPr>
          <w:rFonts w:eastAsia="Times New Roman" w:cs="Calibri"/>
          <w:bCs/>
          <w:szCs w:val="20"/>
          <w:bdr w:val="none" w:sz="0" w:space="0" w:color="auto" w:frame="1"/>
          <w:vertAlign w:val="superscript"/>
          <w:lang w:eastAsia="en-GB"/>
        </w:rPr>
        <w:t>]</w:t>
      </w:r>
      <w:r w:rsidRPr="00A11CD0">
        <w:rPr>
          <w:rFonts w:eastAsia="Times New Roman" w:cs="Calibri"/>
          <w:bCs/>
          <w:szCs w:val="20"/>
          <w:bdr w:val="none" w:sz="0" w:space="0" w:color="auto" w:frame="1"/>
          <w:lang w:eastAsia="en-GB"/>
        </w:rPr>
        <w:t xml:space="preserve">. </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 xml:space="preserve">Typically, a byproduct coke oven plant has three sections. The first section includes the coal handling and coal preparation plants. These plants are responsible for the crushing, storage and </w:t>
      </w:r>
      <w:r w:rsidRPr="00A11CD0">
        <w:rPr>
          <w:rFonts w:eastAsia="Times New Roman" w:cs="Calibri"/>
          <w:bCs/>
          <w:szCs w:val="20"/>
          <w:bdr w:val="none" w:sz="0" w:space="0" w:color="auto" w:frame="1"/>
          <w:lang w:eastAsia="en-GB"/>
        </w:rPr>
        <w:lastRenderedPageBreak/>
        <w:t>transportation of coal to the next section. The next section is the byproduct coke oven plant and any coke quenching facilities. The final section includes the coke crushing and sorting plants.</w:t>
      </w:r>
    </w:p>
    <w:p w:rsidR="008405C2" w:rsidRDefault="008405C2" w:rsidP="001260FF">
      <w:pPr>
        <w:jc w:val="both"/>
      </w:pPr>
    </w:p>
    <w:p w:rsidR="008405C2" w:rsidRPr="00A11CD0" w:rsidRDefault="00594B58" w:rsidP="001260FF">
      <w:pPr>
        <w:jc w:val="center"/>
        <w:rPr>
          <w:rFonts w:eastAsia="Times New Roman" w:cs="Calibri"/>
          <w:bCs/>
          <w:szCs w:val="20"/>
          <w:bdr w:val="none" w:sz="0" w:space="0" w:color="auto" w:frame="1"/>
          <w:lang w:eastAsia="en-GB"/>
        </w:rPr>
      </w:pPr>
      <w:r>
        <w:rPr>
          <w:noProof/>
          <w:sz w:val="20"/>
        </w:rPr>
        <w:pict>
          <v:shape id="Picture 3" o:spid="_x0000_i1026" type="#_x0000_t75" alt="Image result for by product coke oven flow" style="width:336pt;height:236.25pt;visibility:visible">
            <v:imagedata r:id="rId10" o:title="Image result for by product coke oven flow"/>
          </v:shape>
        </w:pict>
      </w:r>
    </w:p>
    <w:p w:rsidR="008405C2" w:rsidRPr="006458A5" w:rsidRDefault="006015E7" w:rsidP="00D460D7">
      <w:pPr>
        <w:pStyle w:val="Caption"/>
        <w:jc w:val="center"/>
        <w:rPr>
          <w:rFonts w:eastAsia="Times New Roman" w:cs="Calibri"/>
          <w:b w:val="0"/>
          <w:bCs w:val="0"/>
          <w:sz w:val="22"/>
          <w:bdr w:val="none" w:sz="0" w:space="0" w:color="auto" w:frame="1"/>
          <w:vertAlign w:val="superscript"/>
          <w:lang w:eastAsia="en-GB"/>
        </w:rPr>
      </w:pPr>
      <w:bookmarkStart w:id="53" w:name="_Toc512166354"/>
      <w:bookmarkStart w:id="54" w:name="_Toc512166887"/>
      <w:bookmarkStart w:id="55" w:name="_Toc512168588"/>
      <w:bookmarkStart w:id="56" w:name="_Toc512169554"/>
      <w:bookmarkStart w:id="57" w:name="_Toc512333565"/>
      <w:r w:rsidRPr="00D460D7">
        <w:t xml:space="preserve">Figure </w:t>
      </w:r>
      <w:fldSimple w:instr=" SEQ Figure \* ARABIC ">
        <w:r w:rsidR="009A5CBD">
          <w:rPr>
            <w:noProof/>
          </w:rPr>
          <w:t>1</w:t>
        </w:r>
      </w:fldSimple>
      <w:r w:rsidR="00E4773C" w:rsidRPr="00D460D7">
        <w:rPr>
          <w:rFonts w:eastAsia="Times New Roman" w:cs="Calibri"/>
          <w:bCs w:val="0"/>
          <w:bdr w:val="none" w:sz="0" w:space="0" w:color="auto" w:frame="1"/>
          <w:lang w:eastAsia="en-GB"/>
        </w:rPr>
        <w:t xml:space="preserve"> – T</w:t>
      </w:r>
      <w:r w:rsidR="008405C2" w:rsidRPr="00D460D7">
        <w:rPr>
          <w:rFonts w:eastAsia="Times New Roman" w:cs="Calibri"/>
          <w:bCs w:val="0"/>
          <w:bdr w:val="none" w:sz="0" w:space="0" w:color="auto" w:frame="1"/>
          <w:lang w:eastAsia="en-GB"/>
        </w:rPr>
        <w:t xml:space="preserve">ypical </w:t>
      </w:r>
      <w:r w:rsidR="009265E3" w:rsidRPr="00D460D7">
        <w:rPr>
          <w:rFonts w:eastAsia="Times New Roman" w:cs="Calibri"/>
          <w:bCs w:val="0"/>
          <w:bdr w:val="none" w:sz="0" w:space="0" w:color="auto" w:frame="1"/>
          <w:lang w:eastAsia="en-GB"/>
        </w:rPr>
        <w:t xml:space="preserve">coke oven </w:t>
      </w:r>
      <w:r w:rsidR="008405C2" w:rsidRPr="00D460D7">
        <w:rPr>
          <w:rFonts w:eastAsia="Times New Roman" w:cs="Calibri"/>
          <w:bCs w:val="0"/>
          <w:bdr w:val="none" w:sz="0" w:space="0" w:color="auto" w:frame="1"/>
          <w:lang w:eastAsia="en-GB"/>
        </w:rPr>
        <w:t>process and emission flow diagram.</w:t>
      </w:r>
      <w:bookmarkEnd w:id="53"/>
      <w:bookmarkEnd w:id="54"/>
      <w:bookmarkEnd w:id="55"/>
      <w:bookmarkEnd w:id="56"/>
      <w:r w:rsidR="006458A5">
        <w:rPr>
          <w:rFonts w:eastAsia="Times New Roman" w:cs="Calibri"/>
          <w:bCs w:val="0"/>
          <w:bdr w:val="none" w:sz="0" w:space="0" w:color="auto" w:frame="1"/>
          <w:lang w:eastAsia="en-GB"/>
        </w:rPr>
        <w:t xml:space="preserve"> </w:t>
      </w:r>
      <w:r w:rsidR="006458A5">
        <w:rPr>
          <w:rFonts w:eastAsia="Times New Roman" w:cs="Calibri"/>
          <w:b w:val="0"/>
          <w:bCs w:val="0"/>
          <w:sz w:val="22"/>
          <w:bdr w:val="none" w:sz="0" w:space="0" w:color="auto" w:frame="1"/>
          <w:vertAlign w:val="superscript"/>
          <w:lang w:eastAsia="en-GB"/>
        </w:rPr>
        <w:t>[</w:t>
      </w:r>
      <w:r w:rsidR="009F36F6">
        <w:rPr>
          <w:rFonts w:eastAsia="Times New Roman" w:cs="Calibri"/>
          <w:b w:val="0"/>
          <w:bCs w:val="0"/>
          <w:sz w:val="22"/>
          <w:bdr w:val="none" w:sz="0" w:space="0" w:color="auto" w:frame="1"/>
          <w:vertAlign w:val="superscript"/>
          <w:lang w:eastAsia="en-GB"/>
        </w:rPr>
        <w:t>5</w:t>
      </w:r>
      <w:r w:rsidR="006458A5">
        <w:rPr>
          <w:rFonts w:eastAsia="Times New Roman" w:cs="Calibri"/>
          <w:b w:val="0"/>
          <w:bCs w:val="0"/>
          <w:sz w:val="22"/>
          <w:bdr w:val="none" w:sz="0" w:space="0" w:color="auto" w:frame="1"/>
          <w:vertAlign w:val="superscript"/>
          <w:lang w:eastAsia="en-GB"/>
        </w:rPr>
        <w:t>]</w:t>
      </w:r>
      <w:bookmarkEnd w:id="57"/>
    </w:p>
    <w:p w:rsidR="001260FF" w:rsidRPr="00A11CD0" w:rsidRDefault="001260FF" w:rsidP="001260FF">
      <w:pPr>
        <w:jc w:val="center"/>
        <w:rPr>
          <w:rFonts w:eastAsia="Times New Roman" w:cs="Calibri"/>
          <w:bCs/>
          <w:szCs w:val="20"/>
          <w:bdr w:val="none" w:sz="0" w:space="0" w:color="auto" w:frame="1"/>
          <w:lang w:eastAsia="en-GB"/>
        </w:rPr>
      </w:pPr>
    </w:p>
    <w:p w:rsidR="008405C2" w:rsidRDefault="008405C2" w:rsidP="001260FF">
      <w:pPr>
        <w:pStyle w:val="Heading3"/>
        <w:jc w:val="both"/>
      </w:pPr>
      <w:bookmarkStart w:id="58" w:name="_Toc511503100"/>
      <w:bookmarkStart w:id="59" w:name="_Toc512166860"/>
      <w:bookmarkStart w:id="60" w:name="_Toc512168637"/>
      <w:bookmarkStart w:id="61" w:name="_Toc512169518"/>
      <w:bookmarkStart w:id="62" w:name="_Toc512334074"/>
      <w:r>
        <w:t>Factors Affecting Coke Quality</w:t>
      </w:r>
      <w:bookmarkEnd w:id="58"/>
      <w:bookmarkEnd w:id="59"/>
      <w:bookmarkEnd w:id="60"/>
      <w:bookmarkEnd w:id="61"/>
      <w:bookmarkEnd w:id="62"/>
    </w:p>
    <w:p w:rsidR="008405C2" w:rsidRDefault="008405C2" w:rsidP="001260FF">
      <w:pPr>
        <w:jc w:val="both"/>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Ultimately, the coke properties that are achieved are a direct result of the coals that are used to create the coke</w:t>
      </w:r>
      <w:r w:rsidR="0068458A">
        <w:rPr>
          <w:rFonts w:eastAsia="Times New Roman" w:cs="Calibri"/>
          <w:bCs/>
          <w:szCs w:val="20"/>
          <w:bdr w:val="none" w:sz="0" w:space="0" w:color="auto" w:frame="1"/>
          <w:lang w:eastAsia="en-GB"/>
        </w:rPr>
        <w:t xml:space="preserve"> </w:t>
      </w:r>
      <w:r w:rsidR="0068458A" w:rsidRPr="00FD24B4">
        <w:rPr>
          <w:rFonts w:eastAsia="Times New Roman" w:cs="Calibri"/>
          <w:bCs/>
          <w:szCs w:val="20"/>
          <w:bdr w:val="none" w:sz="0" w:space="0" w:color="auto" w:frame="1"/>
          <w:vertAlign w:val="superscript"/>
          <w:lang w:eastAsia="en-GB"/>
        </w:rPr>
        <w:t>[</w:t>
      </w:r>
      <w:r w:rsidR="009F36F6">
        <w:rPr>
          <w:rFonts w:eastAsia="Times New Roman" w:cs="Calibri"/>
          <w:bCs/>
          <w:szCs w:val="20"/>
          <w:bdr w:val="none" w:sz="0" w:space="0" w:color="auto" w:frame="1"/>
          <w:vertAlign w:val="superscript"/>
          <w:lang w:eastAsia="en-GB"/>
        </w:rPr>
        <w:t>7</w:t>
      </w:r>
      <w:r w:rsidR="0068458A" w:rsidRPr="00FD24B4">
        <w:rPr>
          <w:rFonts w:eastAsia="Times New Roman" w:cs="Calibri"/>
          <w:bCs/>
          <w:szCs w:val="20"/>
          <w:bdr w:val="none" w:sz="0" w:space="0" w:color="auto" w:frame="1"/>
          <w:vertAlign w:val="superscript"/>
          <w:lang w:eastAsia="en-GB"/>
        </w:rPr>
        <w:t>]</w:t>
      </w:r>
      <w:r w:rsidRPr="00A11CD0">
        <w:rPr>
          <w:rFonts w:eastAsia="Times New Roman" w:cs="Calibri"/>
          <w:bCs/>
          <w:szCs w:val="20"/>
          <w:bdr w:val="none" w:sz="0" w:space="0" w:color="auto" w:frame="1"/>
          <w:lang w:eastAsia="en-GB"/>
        </w:rPr>
        <w:t xml:space="preserve">. Coals that are known for helping create a high-quality coke are known as coking coals and cost more than non-coking coals. The coke properties that are required are volatile and ash compositions, size and size distribution, coke strength after reaction (CSR) and coke reactivity index (CRI) results and various micum values. </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Coking coals can be divided into various categories depending on their individual properties. These categories are prime, medium and low or semi coking coal. The properties that are considered include fluidity, dilatation, swelling number, vitrinite and vitrinite distribution as well as others</w:t>
      </w:r>
      <w:r w:rsidR="0068458A">
        <w:rPr>
          <w:rFonts w:eastAsia="Times New Roman" w:cs="Calibri"/>
          <w:bCs/>
          <w:szCs w:val="20"/>
          <w:bdr w:val="none" w:sz="0" w:space="0" w:color="auto" w:frame="1"/>
          <w:lang w:eastAsia="en-GB"/>
        </w:rPr>
        <w:t xml:space="preserve"> </w:t>
      </w:r>
      <w:r w:rsidR="0068458A" w:rsidRPr="00F72BD9">
        <w:rPr>
          <w:rFonts w:eastAsia="Times New Roman" w:cs="Calibri"/>
          <w:bCs/>
          <w:szCs w:val="20"/>
          <w:bdr w:val="none" w:sz="0" w:space="0" w:color="auto" w:frame="1"/>
          <w:vertAlign w:val="superscript"/>
          <w:lang w:eastAsia="en-GB"/>
        </w:rPr>
        <w:t>[</w:t>
      </w:r>
      <w:r w:rsidR="009F36F6">
        <w:rPr>
          <w:rFonts w:eastAsia="Times New Roman" w:cs="Calibri"/>
          <w:bCs/>
          <w:szCs w:val="20"/>
          <w:bdr w:val="none" w:sz="0" w:space="0" w:color="auto" w:frame="1"/>
          <w:vertAlign w:val="superscript"/>
          <w:lang w:eastAsia="en-GB"/>
        </w:rPr>
        <w:t>8</w:t>
      </w:r>
      <w:r w:rsidR="0068458A" w:rsidRPr="00F72BD9">
        <w:rPr>
          <w:rFonts w:eastAsia="Times New Roman" w:cs="Calibri"/>
          <w:bCs/>
          <w:szCs w:val="20"/>
          <w:bdr w:val="none" w:sz="0" w:space="0" w:color="auto" w:frame="1"/>
          <w:vertAlign w:val="superscript"/>
          <w:lang w:eastAsia="en-GB"/>
        </w:rPr>
        <w:t>]</w:t>
      </w:r>
      <w:r w:rsidRPr="00A11CD0">
        <w:rPr>
          <w:rFonts w:eastAsia="Times New Roman" w:cs="Calibri"/>
          <w:bCs/>
          <w:szCs w:val="20"/>
          <w:bdr w:val="none" w:sz="0" w:space="0" w:color="auto" w:frame="1"/>
          <w:lang w:eastAsia="en-GB"/>
        </w:rPr>
        <w:t>. Other important properties of the coal itself include ash, sulphur, moisture and phosphorous and alkali percentages. Properties that are considered but are not necessarily the most important include bulk density and particle size. Surprisingly, the volatile value is almost irrelevant as high-quality coking coals can have low, average or even high volatile matter. Factors that affect the coke quality after charging include coking rates and temperatures, coke handling and the quenching process.</w:t>
      </w:r>
    </w:p>
    <w:p w:rsidR="008405C2" w:rsidRPr="00A11CD0" w:rsidRDefault="008405C2" w:rsidP="001260FF">
      <w:pPr>
        <w:jc w:val="both"/>
        <w:rPr>
          <w:rFonts w:eastAsia="Times New Roman" w:cs="Calibri"/>
          <w:bCs/>
          <w:szCs w:val="20"/>
          <w:bdr w:val="none" w:sz="0" w:space="0" w:color="auto" w:frame="1"/>
          <w:lang w:eastAsia="en-GB"/>
        </w:rPr>
      </w:pPr>
    </w:p>
    <w:p w:rsidR="008405C2"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The coal that ends up being charged is normally a mixture or a blend of two or more coking coals. Low coking coals or even non-coking coals are used in order to reduced cost, but the total percentage of these types of coals in the blend do not exceed 4-5%</w:t>
      </w:r>
      <w:r w:rsidR="0068458A">
        <w:rPr>
          <w:rFonts w:eastAsia="Times New Roman" w:cs="Calibri"/>
          <w:bCs/>
          <w:szCs w:val="20"/>
          <w:bdr w:val="none" w:sz="0" w:space="0" w:color="auto" w:frame="1"/>
          <w:lang w:eastAsia="en-GB"/>
        </w:rPr>
        <w:t xml:space="preserve"> </w:t>
      </w:r>
      <w:r w:rsidR="0068458A" w:rsidRPr="00927C71">
        <w:rPr>
          <w:rFonts w:eastAsia="Times New Roman" w:cs="Calibri"/>
          <w:bCs/>
          <w:szCs w:val="20"/>
          <w:bdr w:val="none" w:sz="0" w:space="0" w:color="auto" w:frame="1"/>
          <w:vertAlign w:val="superscript"/>
          <w:lang w:eastAsia="en-GB"/>
        </w:rPr>
        <w:t>[</w:t>
      </w:r>
      <w:r w:rsidR="009F36F6">
        <w:rPr>
          <w:rFonts w:eastAsia="Times New Roman" w:cs="Calibri"/>
          <w:bCs/>
          <w:szCs w:val="20"/>
          <w:bdr w:val="none" w:sz="0" w:space="0" w:color="auto" w:frame="1"/>
          <w:vertAlign w:val="superscript"/>
          <w:lang w:eastAsia="en-GB"/>
        </w:rPr>
        <w:t>7</w:t>
      </w:r>
      <w:r w:rsidR="0068458A" w:rsidRPr="00927C71">
        <w:rPr>
          <w:rFonts w:eastAsia="Times New Roman" w:cs="Calibri"/>
          <w:bCs/>
          <w:szCs w:val="20"/>
          <w:bdr w:val="none" w:sz="0" w:space="0" w:color="auto" w:frame="1"/>
          <w:vertAlign w:val="superscript"/>
          <w:lang w:eastAsia="en-GB"/>
        </w:rPr>
        <w:t>]</w:t>
      </w:r>
      <w:r w:rsidRPr="00A11CD0">
        <w:rPr>
          <w:rFonts w:eastAsia="Times New Roman" w:cs="Calibri"/>
          <w:bCs/>
          <w:szCs w:val="20"/>
          <w:bdr w:val="none" w:sz="0" w:space="0" w:color="auto" w:frame="1"/>
          <w:lang w:eastAsia="en-GB"/>
        </w:rPr>
        <w:t xml:space="preserve">. The blending of different coals is required in order to control the properties of the coke that is produced, to optimize the </w:t>
      </w:r>
      <w:r w:rsidRPr="00A11CD0">
        <w:rPr>
          <w:rFonts w:eastAsia="Times New Roman" w:cs="Calibri"/>
          <w:bCs/>
          <w:szCs w:val="20"/>
          <w:bdr w:val="none" w:sz="0" w:space="0" w:color="auto" w:frame="1"/>
          <w:lang w:eastAsia="en-GB"/>
        </w:rPr>
        <w:lastRenderedPageBreak/>
        <w:t>volume of byproducts produced during the process and to manage the pressure that can build up within the oven.</w:t>
      </w:r>
    </w:p>
    <w:p w:rsidR="0068458A" w:rsidRPr="00A11CD0" w:rsidRDefault="0068458A" w:rsidP="001260FF">
      <w:pPr>
        <w:jc w:val="both"/>
        <w:rPr>
          <w:rFonts w:eastAsia="Times New Roman" w:cs="Calibri"/>
          <w:bCs/>
          <w:szCs w:val="20"/>
          <w:bdr w:val="none" w:sz="0" w:space="0" w:color="auto" w:frame="1"/>
          <w:lang w:eastAsia="en-GB"/>
        </w:rPr>
      </w:pPr>
    </w:p>
    <w:p w:rsidR="008405C2" w:rsidRDefault="008405C2" w:rsidP="001260FF">
      <w:pPr>
        <w:pStyle w:val="Heading3"/>
        <w:jc w:val="both"/>
      </w:pPr>
      <w:bookmarkStart w:id="63" w:name="_Toc511503101"/>
      <w:bookmarkStart w:id="64" w:name="_Toc512166861"/>
      <w:bookmarkStart w:id="65" w:name="_Toc512168638"/>
      <w:bookmarkStart w:id="66" w:name="_Toc512169519"/>
      <w:bookmarkStart w:id="67" w:name="_Toc512334075"/>
      <w:r>
        <w:t>Coal Handling &amp; Preparation</w:t>
      </w:r>
      <w:bookmarkEnd w:id="63"/>
      <w:bookmarkEnd w:id="64"/>
      <w:bookmarkEnd w:id="65"/>
      <w:bookmarkEnd w:id="66"/>
      <w:bookmarkEnd w:id="67"/>
    </w:p>
    <w:p w:rsidR="008405C2" w:rsidRDefault="008405C2" w:rsidP="001260FF">
      <w:pPr>
        <w:jc w:val="both"/>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 xml:space="preserve">The coal handling and coal preparation plants are responsible for preparing a coal blend suitable for the coke properties desired. Each individual coal is taken from the stockyard via a reclaimer and a conveyor belt system to be crushed before being transported to the silos in which they are stored. The coal is crushed so that at least 80% of the material is less than one eighth of an inch in diameter. The silos allow the coal to fall onto individual conveyors at a set rate. These individual conveyors are then set to particular speeds in order to create the correct percentage distribution of coals within the blend. The individual conveyors allow the coals to fall onto a single conveyor that transports the coal to the storage tower on top of the coke oven battery. There are several drops along the conveyor system to aid with the mixing of the blend. Water is also sprayed onto the coal if the overall moisture is below a certain level in order to control the bulk density of the blend. </w:t>
      </w:r>
    </w:p>
    <w:p w:rsidR="008405C2" w:rsidRPr="00A11CD0" w:rsidRDefault="008405C2" w:rsidP="001260FF">
      <w:pPr>
        <w:jc w:val="both"/>
        <w:rPr>
          <w:rFonts w:eastAsia="Times New Roman" w:cs="Calibri"/>
          <w:bCs/>
          <w:szCs w:val="20"/>
          <w:bdr w:val="none" w:sz="0" w:space="0" w:color="auto" w:frame="1"/>
          <w:lang w:eastAsia="en-GB"/>
        </w:rPr>
      </w:pPr>
    </w:p>
    <w:p w:rsidR="008405C2" w:rsidRDefault="008405C2" w:rsidP="001260FF">
      <w:pPr>
        <w:pStyle w:val="Heading3"/>
        <w:jc w:val="both"/>
        <w:rPr>
          <w:bdr w:val="none" w:sz="0" w:space="0" w:color="auto" w:frame="1"/>
          <w:lang w:eastAsia="en-GB"/>
        </w:rPr>
      </w:pPr>
      <w:bookmarkStart w:id="68" w:name="_Toc511503102"/>
      <w:bookmarkStart w:id="69" w:name="_Toc512166862"/>
      <w:bookmarkStart w:id="70" w:name="_Toc512168639"/>
      <w:bookmarkStart w:id="71" w:name="_Toc512169520"/>
      <w:bookmarkStart w:id="72" w:name="_Toc512334076"/>
      <w:r>
        <w:rPr>
          <w:bdr w:val="none" w:sz="0" w:space="0" w:color="auto" w:frame="1"/>
          <w:lang w:eastAsia="en-GB"/>
        </w:rPr>
        <w:t>Byproduct Coke Oven Batteries</w:t>
      </w:r>
      <w:bookmarkEnd w:id="68"/>
      <w:bookmarkEnd w:id="69"/>
      <w:bookmarkEnd w:id="70"/>
      <w:bookmarkEnd w:id="71"/>
      <w:bookmarkEnd w:id="72"/>
    </w:p>
    <w:p w:rsidR="008405C2" w:rsidRDefault="008405C2" w:rsidP="001260FF">
      <w:pPr>
        <w:jc w:val="both"/>
        <w:rPr>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A coke oven battery is a series of refractory chambers used in the coke making process to heat up the coal in an oxygen free atmosphere. A byproduct coke oven battery typically consists of multiple individual ovens that can be charged one after another. The number of ovens can vary greatly, for example the</w:t>
      </w:r>
      <w:r w:rsidR="0068458A">
        <w:rPr>
          <w:rFonts w:eastAsia="Times New Roman" w:cs="Calibri"/>
          <w:bCs/>
          <w:szCs w:val="20"/>
          <w:bdr w:val="none" w:sz="0" w:space="0" w:color="auto" w:frame="1"/>
          <w:lang w:eastAsia="en-GB"/>
        </w:rPr>
        <w:t>re</w:t>
      </w:r>
      <w:r w:rsidRPr="00A11CD0">
        <w:rPr>
          <w:rFonts w:eastAsia="Times New Roman" w:cs="Calibri"/>
          <w:bCs/>
          <w:szCs w:val="20"/>
          <w:bdr w:val="none" w:sz="0" w:space="0" w:color="auto" w:frame="1"/>
          <w:lang w:eastAsia="en-GB"/>
        </w:rPr>
        <w:t xml:space="preserve"> are 84 individual ovens in the coke oven battery on site. The coal is charged through charging holes at the top of the battery and is discharged from front to back.</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594B58" w:rsidP="001260FF">
      <w:pPr>
        <w:jc w:val="center"/>
        <w:rPr>
          <w:rFonts w:eastAsia="Times New Roman" w:cs="Calibri"/>
          <w:bCs/>
          <w:szCs w:val="20"/>
          <w:bdr w:val="none" w:sz="0" w:space="0" w:color="auto" w:frame="1"/>
          <w:lang w:eastAsia="en-GB"/>
        </w:rPr>
      </w:pPr>
      <w:r>
        <w:rPr>
          <w:noProof/>
        </w:rPr>
        <w:pict>
          <v:shape id="Picture 4" o:spid="_x0000_i1027" type="#_x0000_t75" alt="Image result for coke oven battery diagram" style="width:456pt;height:261pt;visibility:visible">
            <v:imagedata r:id="rId11" o:title="Image result for coke oven battery diagram"/>
          </v:shape>
        </w:pict>
      </w:r>
    </w:p>
    <w:p w:rsidR="008405C2" w:rsidRPr="00EB03E6" w:rsidRDefault="006015E7" w:rsidP="00D460D7">
      <w:pPr>
        <w:pStyle w:val="Caption"/>
        <w:jc w:val="center"/>
        <w:rPr>
          <w:rFonts w:eastAsia="Times New Roman" w:cs="Calibri"/>
          <w:b w:val="0"/>
          <w:bCs w:val="0"/>
          <w:bdr w:val="none" w:sz="0" w:space="0" w:color="auto" w:frame="1"/>
          <w:vertAlign w:val="superscript"/>
          <w:lang w:eastAsia="en-GB"/>
        </w:rPr>
      </w:pPr>
      <w:bookmarkStart w:id="73" w:name="_Toc512166355"/>
      <w:bookmarkStart w:id="74" w:name="_Toc512166888"/>
      <w:bookmarkStart w:id="75" w:name="_Toc512168589"/>
      <w:bookmarkStart w:id="76" w:name="_Toc512169555"/>
      <w:bookmarkStart w:id="77" w:name="_Toc512333566"/>
      <w:r w:rsidRPr="00D460D7">
        <w:t xml:space="preserve">Figure </w:t>
      </w:r>
      <w:fldSimple w:instr=" SEQ Figure \* ARABIC ">
        <w:r w:rsidR="009A5CBD">
          <w:rPr>
            <w:noProof/>
          </w:rPr>
          <w:t>2</w:t>
        </w:r>
      </w:fldSimple>
      <w:r w:rsidR="00E4773C" w:rsidRPr="00D460D7">
        <w:rPr>
          <w:rFonts w:eastAsia="Times New Roman" w:cs="Calibri"/>
          <w:bCs w:val="0"/>
          <w:bdr w:val="none" w:sz="0" w:space="0" w:color="auto" w:frame="1"/>
          <w:lang w:eastAsia="en-GB"/>
        </w:rPr>
        <w:t xml:space="preserve"> – A</w:t>
      </w:r>
      <w:r w:rsidR="008405C2" w:rsidRPr="00D460D7">
        <w:rPr>
          <w:rFonts w:eastAsia="Times New Roman" w:cs="Calibri"/>
          <w:bCs w:val="0"/>
          <w:bdr w:val="none" w:sz="0" w:space="0" w:color="auto" w:frame="1"/>
          <w:lang w:eastAsia="en-GB"/>
        </w:rPr>
        <w:t xml:space="preserve"> cross section diagram of a coke oven batter</w:t>
      </w:r>
      <w:r w:rsidR="00EB03E6">
        <w:rPr>
          <w:rFonts w:eastAsia="Times New Roman" w:cs="Calibri"/>
          <w:bCs w:val="0"/>
          <w:bdr w:val="none" w:sz="0" w:space="0" w:color="auto" w:frame="1"/>
          <w:lang w:eastAsia="en-GB"/>
        </w:rPr>
        <w:t>y</w:t>
      </w:r>
      <w:r w:rsidR="008405C2" w:rsidRPr="00D460D7">
        <w:rPr>
          <w:rFonts w:eastAsia="Times New Roman" w:cs="Calibri"/>
          <w:bCs w:val="0"/>
          <w:bdr w:val="none" w:sz="0" w:space="0" w:color="auto" w:frame="1"/>
          <w:lang w:eastAsia="en-GB"/>
        </w:rPr>
        <w:t>.</w:t>
      </w:r>
      <w:bookmarkEnd w:id="73"/>
      <w:bookmarkEnd w:id="74"/>
      <w:bookmarkEnd w:id="75"/>
      <w:bookmarkEnd w:id="76"/>
      <w:r w:rsidR="00EB03E6">
        <w:rPr>
          <w:rFonts w:eastAsia="Times New Roman" w:cs="Calibri"/>
          <w:bCs w:val="0"/>
          <w:bdr w:val="none" w:sz="0" w:space="0" w:color="auto" w:frame="1"/>
          <w:lang w:eastAsia="en-GB"/>
        </w:rPr>
        <w:t xml:space="preserve"> </w:t>
      </w:r>
      <w:r w:rsidR="00EB03E6">
        <w:rPr>
          <w:rFonts w:eastAsia="Times New Roman" w:cs="Calibri"/>
          <w:b w:val="0"/>
          <w:bCs w:val="0"/>
          <w:bdr w:val="none" w:sz="0" w:space="0" w:color="auto" w:frame="1"/>
          <w:vertAlign w:val="superscript"/>
          <w:lang w:eastAsia="en-GB"/>
        </w:rPr>
        <w:t>[</w:t>
      </w:r>
      <w:r w:rsidR="009F36F6">
        <w:rPr>
          <w:rFonts w:eastAsia="Times New Roman" w:cs="Calibri"/>
          <w:b w:val="0"/>
          <w:bCs w:val="0"/>
          <w:bdr w:val="none" w:sz="0" w:space="0" w:color="auto" w:frame="1"/>
          <w:vertAlign w:val="superscript"/>
          <w:lang w:eastAsia="en-GB"/>
        </w:rPr>
        <w:t>9</w:t>
      </w:r>
      <w:r w:rsidR="00EB03E6">
        <w:rPr>
          <w:rFonts w:eastAsia="Times New Roman" w:cs="Calibri"/>
          <w:b w:val="0"/>
          <w:bCs w:val="0"/>
          <w:bdr w:val="none" w:sz="0" w:space="0" w:color="auto" w:frame="1"/>
          <w:vertAlign w:val="superscript"/>
          <w:lang w:eastAsia="en-GB"/>
        </w:rPr>
        <w:t>]</w:t>
      </w:r>
      <w:bookmarkEnd w:id="77"/>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 xml:space="preserve">The coal is charged into the ovens through a charge cart that moves across the top of the battery. A specific weight of coal is discharged from the localised storage tower into the charging cart before the charging cart moves toward the particular oven that needs charging. Once the cart is in position, mechanical arms on the cart remove the lids on the charging holes and hoppers are positioned into the holes to charge the oven with coal. </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The discharge of coal from the hoppers is controlled in order to avoid peaks of coal that might block the space above the coal and let any gases produced specifically during the charging process escape and be retained. The peaks of coal in the ovens are roughly levelled by a steel bar that is pushed through a small door in the oven by the pusher cart. This door is known as the leveller door. This process aids the coke making process in helping create a uniform coking height which aids with the size and size distribution of the coke. It also makes it much easier for volatile matter to escape the coal and be collected during the coking process. Once the oven is charged, the leveller door is closed, the hoppers are removed from the charging holes and the lids are reapplied. A wet clay is then used to seal up the lids once the charge cart has moved out of the way</w:t>
      </w:r>
      <w:r w:rsidR="005720D6">
        <w:rPr>
          <w:rFonts w:eastAsia="Times New Roman" w:cs="Calibri"/>
          <w:bCs/>
          <w:szCs w:val="20"/>
          <w:bdr w:val="none" w:sz="0" w:space="0" w:color="auto" w:frame="1"/>
          <w:lang w:eastAsia="en-GB"/>
        </w:rPr>
        <w:t xml:space="preserve"> </w:t>
      </w:r>
      <w:r w:rsidR="005720D6">
        <w:rPr>
          <w:rFonts w:eastAsia="Times New Roman" w:cs="Calibri"/>
          <w:bCs/>
          <w:szCs w:val="20"/>
          <w:bdr w:val="none" w:sz="0" w:space="0" w:color="auto" w:frame="1"/>
          <w:vertAlign w:val="superscript"/>
          <w:lang w:eastAsia="en-GB"/>
        </w:rPr>
        <w:t>[10]</w:t>
      </w:r>
      <w:r w:rsidRPr="00A11CD0">
        <w:rPr>
          <w:rFonts w:eastAsia="Times New Roman" w:cs="Calibri"/>
          <w:bCs/>
          <w:szCs w:val="20"/>
          <w:bdr w:val="none" w:sz="0" w:space="0" w:color="auto" w:frame="1"/>
          <w:lang w:eastAsia="en-GB"/>
        </w:rPr>
        <w:t>.</w:t>
      </w:r>
    </w:p>
    <w:p w:rsidR="006D663A" w:rsidRPr="00A11CD0" w:rsidRDefault="006D663A" w:rsidP="001260FF">
      <w:pPr>
        <w:jc w:val="both"/>
        <w:rPr>
          <w:rFonts w:eastAsia="Times New Roman" w:cs="Calibri"/>
          <w:bCs/>
          <w:szCs w:val="20"/>
          <w:bdr w:val="none" w:sz="0" w:space="0" w:color="auto" w:frame="1"/>
          <w:lang w:eastAsia="en-GB"/>
        </w:rPr>
      </w:pPr>
    </w:p>
    <w:p w:rsidR="008405C2" w:rsidRDefault="008405C2" w:rsidP="001260FF">
      <w:pPr>
        <w:pStyle w:val="Heading3"/>
        <w:jc w:val="both"/>
      </w:pPr>
      <w:bookmarkStart w:id="78" w:name="_Toc511503103"/>
      <w:bookmarkStart w:id="79" w:name="_Toc512166863"/>
      <w:bookmarkStart w:id="80" w:name="_Toc512168640"/>
      <w:bookmarkStart w:id="81" w:name="_Toc512169521"/>
      <w:bookmarkStart w:id="82" w:name="_Toc512334077"/>
      <w:r>
        <w:t>Carbonisation Process</w:t>
      </w:r>
      <w:bookmarkEnd w:id="78"/>
      <w:bookmarkEnd w:id="79"/>
      <w:bookmarkEnd w:id="80"/>
      <w:bookmarkEnd w:id="81"/>
      <w:bookmarkEnd w:id="82"/>
    </w:p>
    <w:p w:rsidR="008405C2" w:rsidRDefault="008405C2" w:rsidP="001260FF">
      <w:pPr>
        <w:jc w:val="both"/>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The heat that is required to turn coal into coke is transferred from the heated walls of the oven into the charge. From roughly 375°C to 475°C, the coal closest to the oven walls begins to decompose and forms plastic layers. From 475°C to 600°C there is an increase in the amount of tar and aromatic hydrocarbons within the oven. This is closely followed with the formation of a semi coke mass. Finally, between 600°C and 1100°C the stabilisation phase begins. During the stabilisation phase the coke develops is structure and contracts in size. The plastic phase that starts at the oven walls travels from both sides of the coal to the centre. Once this centre part of coal has gone through the plastic phase and stabilised, the entire mass has been carbonised. The mass has a whole can now be discharged from the oven and quenched.</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The walls that separate each individual oven and each end wall is made with a high-quality silica refractory bricks and other refractory bricks of similar quality. Each of these walls also contains heating flues. At any given time, half of the flues would be in combustion mode while the other half are in reclaimer mode. When in combustion mode, burning gas is being pumped through in order to heat up the walls. During the reclaimer mode the flues are helping to redistribute heat to a heat exchanger and then a combustion stack. Every 20 minutes the battery reverses itself and the flues switch tasks. This process allows for a much more uniform heating of the coals</w:t>
      </w:r>
      <w:r w:rsidR="005720D6">
        <w:rPr>
          <w:rFonts w:eastAsia="Times New Roman" w:cs="Calibri"/>
          <w:bCs/>
          <w:szCs w:val="20"/>
          <w:bdr w:val="none" w:sz="0" w:space="0" w:color="auto" w:frame="1"/>
          <w:lang w:eastAsia="en-GB"/>
        </w:rPr>
        <w:t xml:space="preserve"> </w:t>
      </w:r>
      <w:r w:rsidR="005720D6">
        <w:rPr>
          <w:rFonts w:eastAsia="Times New Roman" w:cs="Calibri"/>
          <w:bCs/>
          <w:szCs w:val="20"/>
          <w:bdr w:val="none" w:sz="0" w:space="0" w:color="auto" w:frame="1"/>
          <w:vertAlign w:val="superscript"/>
          <w:lang w:eastAsia="en-GB"/>
        </w:rPr>
        <w:t>[5]</w:t>
      </w:r>
      <w:r w:rsidRPr="00A11CD0">
        <w:rPr>
          <w:rFonts w:eastAsia="Times New Roman" w:cs="Calibri"/>
          <w:bCs/>
          <w:szCs w:val="20"/>
          <w:bdr w:val="none" w:sz="0" w:space="0" w:color="auto" w:frame="1"/>
          <w:lang w:eastAsia="en-GB"/>
        </w:rPr>
        <w:t xml:space="preserve">. </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 xml:space="preserve">Each battery consists of a large number of ovens in order to create a continuous flow of coke oven gas which is used elsewhere on plant as fuel. It also allows for a continuous flow of coke for the blast furnaces and even allows for storage. The coking process takes between 16 – 18 hours from charging to discharging so there are enough ovens to allow the coke ovens to discharge towards the end of </w:t>
      </w:r>
      <w:r w:rsidRPr="00A11CD0">
        <w:rPr>
          <w:rFonts w:eastAsia="Times New Roman" w:cs="Calibri"/>
          <w:bCs/>
          <w:szCs w:val="20"/>
          <w:bdr w:val="none" w:sz="0" w:space="0" w:color="auto" w:frame="1"/>
          <w:lang w:eastAsia="en-GB"/>
        </w:rPr>
        <w:lastRenderedPageBreak/>
        <w:t xml:space="preserve">this time frame, thus helping make sure as much properly formed coke as possible. The ovens themselves are protected from air leaking into them by maintaining a positive back pressure within the oven. A positive back pressure is maintained with a high hydraulic main pressure in the battery. </w:t>
      </w:r>
    </w:p>
    <w:p w:rsidR="008405C2" w:rsidRPr="00A11CD0" w:rsidRDefault="008405C2" w:rsidP="001260FF">
      <w:pPr>
        <w:jc w:val="both"/>
        <w:rPr>
          <w:rFonts w:eastAsia="Times New Roman" w:cs="Calibri"/>
          <w:bCs/>
          <w:szCs w:val="20"/>
          <w:bdr w:val="none" w:sz="0" w:space="0" w:color="auto" w:frame="1"/>
          <w:lang w:eastAsia="en-GB"/>
        </w:rPr>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Once the central temperature of the oven is roughly 950°C and 1000°C, the coking process is complete. The individual oven is then isolated from the hydraulic mains once the remaining gases are recovered. Controlling this final pressure is important. If the pressure is too high then a lot of coke oven gases are going to be forced out into the local environment, if the pressure is too low then there will be a large air intake once the doors are removed. The oven doors on both sides are removed and the push cart then pushes the coke from one side into a cart on the other side with the use of a ram. The pushing process is made considerably easier due to the coke shrinkage allowing the outermost coke to move away from the oven walls. The cart now containing the coke is taken to the quenching tower in order for the coke to be cooled.</w:t>
      </w:r>
    </w:p>
    <w:p w:rsidR="008405C2" w:rsidRDefault="008405C2" w:rsidP="001260FF">
      <w:pPr>
        <w:jc w:val="both"/>
      </w:pPr>
    </w:p>
    <w:p w:rsidR="008405C2" w:rsidRDefault="008405C2" w:rsidP="001260FF">
      <w:pPr>
        <w:pStyle w:val="Heading3"/>
        <w:jc w:val="both"/>
      </w:pPr>
      <w:bookmarkStart w:id="83" w:name="_Toc511503104"/>
      <w:bookmarkStart w:id="84" w:name="_Toc512166864"/>
      <w:bookmarkStart w:id="85" w:name="_Toc512168641"/>
      <w:bookmarkStart w:id="86" w:name="_Toc512169522"/>
      <w:bookmarkStart w:id="87" w:name="_Toc512334078"/>
      <w:r>
        <w:t>Coke Crushing &amp; Sorting Plant</w:t>
      </w:r>
      <w:bookmarkEnd w:id="83"/>
      <w:bookmarkEnd w:id="84"/>
      <w:bookmarkEnd w:id="85"/>
      <w:bookmarkEnd w:id="86"/>
      <w:bookmarkEnd w:id="87"/>
    </w:p>
    <w:p w:rsidR="008405C2" w:rsidRDefault="008405C2" w:rsidP="001260FF">
      <w:pPr>
        <w:jc w:val="both"/>
      </w:pPr>
    </w:p>
    <w:p w:rsidR="008405C2" w:rsidRPr="00A11CD0" w:rsidRDefault="008405C2" w:rsidP="001260FF">
      <w:pPr>
        <w:jc w:val="both"/>
        <w:rPr>
          <w:rFonts w:eastAsia="Times New Roman" w:cs="Calibri"/>
          <w:bCs/>
          <w:szCs w:val="20"/>
          <w:bdr w:val="none" w:sz="0" w:space="0" w:color="auto" w:frame="1"/>
          <w:lang w:eastAsia="en-GB"/>
        </w:rPr>
      </w:pPr>
      <w:r w:rsidRPr="00A11CD0">
        <w:rPr>
          <w:rFonts w:eastAsia="Times New Roman" w:cs="Calibri"/>
          <w:bCs/>
          <w:szCs w:val="20"/>
          <w:bdr w:val="none" w:sz="0" w:space="0" w:color="auto" w:frame="1"/>
          <w:lang w:eastAsia="en-GB"/>
        </w:rPr>
        <w:t>The coke, once quenched, is deposited onto what is known as the dump wharf. The coke is transferred from the dump wharf to its own silo via a separate series of conveyors. From here it gets transported to a sorting plant. Here its gets sorted into three separate size fractions. The first size fraction is everything up to 10mm. this is known as coke breeze and is sent to the sinter plant. The other two size fractions are 10mm – 25mm, otherwise known as nut coke and 25mm – 80mm, known as blast furnace coke. The two size fractions are taken to their respective storage areas.</w:t>
      </w:r>
    </w:p>
    <w:p w:rsidR="00D12BB1" w:rsidRDefault="00D12BB1" w:rsidP="001260FF">
      <w:pPr>
        <w:jc w:val="both"/>
      </w:pPr>
    </w:p>
    <w:p w:rsidR="004B30F2" w:rsidRDefault="00D12BB1" w:rsidP="004B30F2">
      <w:pPr>
        <w:pStyle w:val="Heading2"/>
        <w:jc w:val="both"/>
      </w:pPr>
      <w:bookmarkStart w:id="88" w:name="_Toc511503105"/>
      <w:bookmarkStart w:id="89" w:name="_Toc512166865"/>
      <w:bookmarkStart w:id="90" w:name="_Toc512168642"/>
      <w:bookmarkStart w:id="91" w:name="_Toc512169523"/>
      <w:bookmarkStart w:id="92" w:name="_Toc512334079"/>
      <w:r>
        <w:t>Blast Furnace</w:t>
      </w:r>
      <w:bookmarkEnd w:id="88"/>
      <w:bookmarkEnd w:id="89"/>
      <w:bookmarkEnd w:id="90"/>
      <w:bookmarkEnd w:id="91"/>
      <w:bookmarkEnd w:id="92"/>
    </w:p>
    <w:p w:rsidR="004B30F2" w:rsidRPr="004B30F2" w:rsidRDefault="004B30F2" w:rsidP="004B30F2"/>
    <w:p w:rsidR="004B30F2" w:rsidRDefault="004B30F2" w:rsidP="004B30F2">
      <w:pPr>
        <w:jc w:val="both"/>
      </w:pPr>
      <w:r>
        <w:t>A blast furnace is a metallurgical smelting furnace that is typically used for pig iron but can also be used for other metals such as copper and lead. Blast furnaces have a continuous supply of fuel in the form of coke, ores and flux fed in to the top of the furnace to make it a continuous process. hot air, sometimes oxygen rich, is blasted into the bottom of the furnace through a series of pipes called tuyeres. It is this blasted air that gives blast furnaces their name. the hot air rises through the furnace allowing for the material to break down and melt. The material that was at the top of the furnace slowly sinks to the bottom as more and more material is used and removed. The molten iron sits at the bottom with a molten pool of slag on top of it. The blast is then tapped from the bottom to remove the iron and slag separately</w:t>
      </w:r>
      <w:r w:rsidR="00D4186A">
        <w:t xml:space="preserve"> </w:t>
      </w:r>
      <w:r w:rsidR="00D4186A" w:rsidRPr="007E123C">
        <w:rPr>
          <w:vertAlign w:val="superscript"/>
        </w:rPr>
        <w:t>[</w:t>
      </w:r>
      <w:r w:rsidR="005720D6">
        <w:rPr>
          <w:vertAlign w:val="superscript"/>
        </w:rPr>
        <w:t>11</w:t>
      </w:r>
      <w:r w:rsidR="00D4186A" w:rsidRPr="007E123C">
        <w:rPr>
          <w:vertAlign w:val="superscript"/>
        </w:rPr>
        <w:t>]</w:t>
      </w:r>
      <w:r>
        <w:t>.</w:t>
      </w:r>
    </w:p>
    <w:p w:rsidR="008E1358" w:rsidRDefault="008E1358" w:rsidP="004B30F2">
      <w:pPr>
        <w:jc w:val="both"/>
      </w:pPr>
    </w:p>
    <w:p w:rsidR="004B30F2" w:rsidRDefault="004B30F2" w:rsidP="004B30F2">
      <w:pPr>
        <w:jc w:val="both"/>
      </w:pPr>
      <w:r>
        <w:t xml:space="preserve">The first mention of what can be considered a blast furnace was in </w:t>
      </w:r>
      <w:r w:rsidR="008E1358">
        <w:t>C</w:t>
      </w:r>
      <w:r>
        <w:t>hina in the 1</w:t>
      </w:r>
      <w:r w:rsidRPr="0006746A">
        <w:rPr>
          <w:vertAlign w:val="superscript"/>
        </w:rPr>
        <w:t>st</w:t>
      </w:r>
      <w:r>
        <w:t xml:space="preserve"> century A.D. and they began to appear in Europe, specifically around Namur in Wallonia which is now a part of modern day Belgium</w:t>
      </w:r>
      <w:r w:rsidR="00D4186A">
        <w:t xml:space="preserve"> </w:t>
      </w:r>
      <w:r w:rsidR="00D4186A" w:rsidRPr="00964F43">
        <w:rPr>
          <w:vertAlign w:val="superscript"/>
        </w:rPr>
        <w:t>[</w:t>
      </w:r>
      <w:r w:rsidR="005720D6">
        <w:rPr>
          <w:vertAlign w:val="superscript"/>
        </w:rPr>
        <w:t>2</w:t>
      </w:r>
      <w:r w:rsidR="00D4186A" w:rsidRPr="00964F43">
        <w:rPr>
          <w:vertAlign w:val="superscript"/>
        </w:rPr>
        <w:t>]</w:t>
      </w:r>
      <w:r w:rsidR="00D4186A">
        <w:t>.</w:t>
      </w:r>
      <w:r>
        <w:t xml:space="preserve"> Blast furnaces were first being used in the UK in 1491. Two inventors who ar</w:t>
      </w:r>
      <w:r w:rsidR="00D4186A">
        <w:t xml:space="preserve">e </w:t>
      </w:r>
      <w:r>
        <w:t>credited with ad</w:t>
      </w:r>
      <w:r w:rsidR="00D4186A">
        <w:t>v</w:t>
      </w:r>
      <w:r>
        <w:t>ancing the abilities of blast furnaces were Abraham Darby who, in 1709, successfully substituted coke for charcoal as its main source of fuel and James Beaumont Neilson who patented the practice of preheating the air that was to be blasted into the furnace in 1828.</w:t>
      </w:r>
    </w:p>
    <w:p w:rsidR="00E4773C" w:rsidRDefault="005720D6" w:rsidP="005720D6">
      <w:pPr>
        <w:jc w:val="center"/>
      </w:pPr>
      <w:r>
        <w:lastRenderedPageBreak/>
        <w:fldChar w:fldCharType="begin"/>
      </w:r>
      <w:r>
        <w:instrText xml:space="preserve"> INCLUDEPICTURE "https://www.researchgate.net/profile/Ling_Jian2/publication/262771391/figure/fig1/AS:346452338462721@1459612082750/Schematic-diagram-of-the-blast-furnace-process.png" \* MERGEFORMATINET </w:instrText>
      </w:r>
      <w:r>
        <w:fldChar w:fldCharType="separate"/>
      </w:r>
      <w:r w:rsidR="000261BF">
        <w:fldChar w:fldCharType="begin"/>
      </w:r>
      <w:r w:rsidR="000261BF">
        <w:instrText xml:space="preserve"> INCLUDEPICTURE  "https://www.researchgate.net/profile/Ling_Jian2/publication/262771391/figure/fig1/AS:346452338462721@1459612082750/Schematic-diagram-of-the-blast-furnace-process.png" \* MERGEFORMATINET </w:instrText>
      </w:r>
      <w:r w:rsidR="000261BF">
        <w:fldChar w:fldCharType="separate"/>
      </w:r>
      <w:r w:rsidR="009A5CBD">
        <w:fldChar w:fldCharType="begin"/>
      </w:r>
      <w:r w:rsidR="009A5CBD">
        <w:instrText xml:space="preserve"> INCLUDEPICTURE  "https://www.researchgate.net/profile/Ling_Jian2/publication/262771391/figure/fig1/AS:346452338462721@1459612082750/Schematic-diagram-of-the-blast-furnace-process.png" \* MERGEFORMATINET </w:instrText>
      </w:r>
      <w:r w:rsidR="009A5CBD">
        <w:fldChar w:fldCharType="separate"/>
      </w:r>
      <w:r w:rsidR="00594B58">
        <w:pict>
          <v:shape id="_x0000_i1028" type="#_x0000_t75" alt="Image result for blast furnace diagram" style="width:249.75pt;height:347.25pt">
            <v:imagedata r:id="rId12" r:href="rId13"/>
          </v:shape>
        </w:pict>
      </w:r>
      <w:r w:rsidR="009A5CBD">
        <w:fldChar w:fldCharType="end"/>
      </w:r>
      <w:r w:rsidR="000261BF">
        <w:fldChar w:fldCharType="end"/>
      </w:r>
      <w:r>
        <w:fldChar w:fldCharType="end"/>
      </w:r>
    </w:p>
    <w:p w:rsidR="00E4773C" w:rsidRPr="00964F43" w:rsidRDefault="006015E7" w:rsidP="00D460D7">
      <w:pPr>
        <w:pStyle w:val="Caption"/>
        <w:jc w:val="center"/>
      </w:pPr>
      <w:bookmarkStart w:id="93" w:name="_Toc512166356"/>
      <w:bookmarkStart w:id="94" w:name="_Toc512166889"/>
      <w:bookmarkStart w:id="95" w:name="_Toc512168590"/>
      <w:bookmarkStart w:id="96" w:name="_Toc512169556"/>
      <w:bookmarkStart w:id="97" w:name="_Toc512333567"/>
      <w:r w:rsidRPr="00D460D7">
        <w:t xml:space="preserve">Figure </w:t>
      </w:r>
      <w:fldSimple w:instr=" SEQ Figure \* ARABIC ">
        <w:r w:rsidR="009A5CBD">
          <w:rPr>
            <w:noProof/>
          </w:rPr>
          <w:t>3</w:t>
        </w:r>
      </w:fldSimple>
      <w:r w:rsidR="00D53910">
        <w:t xml:space="preserve"> </w:t>
      </w:r>
      <w:r w:rsidR="00E4773C" w:rsidRPr="00D460D7">
        <w:t>– A basic cross section of a blast furnac</w:t>
      </w:r>
      <w:r w:rsidR="00D460D7">
        <w:t>e</w:t>
      </w:r>
      <w:r w:rsidR="00E4773C" w:rsidRPr="00D460D7">
        <w:t>.</w:t>
      </w:r>
      <w:bookmarkEnd w:id="93"/>
      <w:bookmarkEnd w:id="94"/>
      <w:bookmarkEnd w:id="95"/>
      <w:bookmarkEnd w:id="96"/>
      <w:r w:rsidR="00964F43">
        <w:t xml:space="preserve"> </w:t>
      </w:r>
      <w:r w:rsidR="00964F43">
        <w:rPr>
          <w:vertAlign w:val="superscript"/>
        </w:rPr>
        <w:t>[</w:t>
      </w:r>
      <w:r w:rsidR="005720D6">
        <w:rPr>
          <w:vertAlign w:val="superscript"/>
        </w:rPr>
        <w:t>12</w:t>
      </w:r>
      <w:r w:rsidR="00964F43">
        <w:rPr>
          <w:vertAlign w:val="superscript"/>
        </w:rPr>
        <w:t>]</w:t>
      </w:r>
      <w:bookmarkEnd w:id="97"/>
    </w:p>
    <w:p w:rsidR="004B30F2" w:rsidRDefault="004B30F2" w:rsidP="004B30F2"/>
    <w:p w:rsidR="004B30F2" w:rsidRDefault="004B30F2" w:rsidP="004B30F2">
      <w:pPr>
        <w:pStyle w:val="Heading3"/>
      </w:pPr>
      <w:bookmarkStart w:id="98" w:name="_Toc511503106"/>
      <w:bookmarkStart w:id="99" w:name="_Toc512166866"/>
      <w:bookmarkStart w:id="100" w:name="_Toc512168643"/>
      <w:bookmarkStart w:id="101" w:name="_Toc512169524"/>
      <w:bookmarkStart w:id="102" w:name="_Toc512334080"/>
      <w:r>
        <w:t>The Process</w:t>
      </w:r>
      <w:bookmarkEnd w:id="98"/>
      <w:bookmarkEnd w:id="99"/>
      <w:bookmarkEnd w:id="100"/>
      <w:bookmarkEnd w:id="101"/>
      <w:bookmarkEnd w:id="102"/>
    </w:p>
    <w:p w:rsidR="004B30F2" w:rsidRDefault="004B30F2" w:rsidP="004B30F2">
      <w:pPr>
        <w:rPr>
          <w:b/>
        </w:rPr>
      </w:pPr>
    </w:p>
    <w:p w:rsidR="004B30F2" w:rsidRDefault="004B30F2" w:rsidP="004B30F2">
      <w:pPr>
        <w:jc w:val="both"/>
      </w:pPr>
      <w:r>
        <w:t xml:space="preserve">The blast furnaces are charged with raw materials through a double bell system. The purpose of the two bells is to control the way the raw materials are charged into the furnace and to minimise the amount of heat lost from the furnace during the charging process. </w:t>
      </w:r>
      <w:r w:rsidR="00D4186A">
        <w:t>T</w:t>
      </w:r>
      <w:r>
        <w:t>he raw materials are transported onto the top of the furnace via a hopper which drops the materials directly onto the upper bell. This then opens up to dump the material onto the lower bell before closing to contain as much heat as possible. The lower bell rotates as it opens in order to mix the material and spread it out across the top of the material already in the furnace. This helps to ensure that the entire blast is being used efficiently and to remove the chance that the material will simply pile up in the middle</w:t>
      </w:r>
      <w:r w:rsidR="00D4186A">
        <w:t xml:space="preserve"> </w:t>
      </w:r>
      <w:r w:rsidR="00D4186A" w:rsidRPr="00927C71">
        <w:rPr>
          <w:vertAlign w:val="superscript"/>
        </w:rPr>
        <w:t>[</w:t>
      </w:r>
      <w:r w:rsidR="009726D8">
        <w:rPr>
          <w:vertAlign w:val="superscript"/>
        </w:rPr>
        <w:t>11</w:t>
      </w:r>
      <w:r w:rsidR="00D4186A" w:rsidRPr="00927C71">
        <w:rPr>
          <w:vertAlign w:val="superscript"/>
        </w:rPr>
        <w:t>]</w:t>
      </w:r>
      <w:r>
        <w:t xml:space="preserve">. </w:t>
      </w:r>
    </w:p>
    <w:p w:rsidR="004B30F2" w:rsidRDefault="004B30F2" w:rsidP="004B30F2">
      <w:pPr>
        <w:jc w:val="both"/>
      </w:pPr>
    </w:p>
    <w:p w:rsidR="004B30F2" w:rsidRDefault="004B30F2" w:rsidP="004B30F2">
      <w:pPr>
        <w:jc w:val="both"/>
      </w:pPr>
      <w:r>
        <w:t>The furnace itself is a long, tall structure that is lined with high grade refractory bricks. the furnace is also built to allow for the expansion and contraction of the raw materials as they heat up and subsequently melt or react. Iron ore, coke and flux in the form of limestone are charged directly into the top of the furnace continuously, allowing for the furnace to be operated as a continuous process</w:t>
      </w:r>
      <w:r w:rsidR="00D4186A">
        <w:t xml:space="preserve"> </w:t>
      </w:r>
      <w:r w:rsidR="00D4186A" w:rsidRPr="00927C71">
        <w:rPr>
          <w:vertAlign w:val="superscript"/>
        </w:rPr>
        <w:t>[</w:t>
      </w:r>
      <w:r w:rsidR="00A94788">
        <w:rPr>
          <w:vertAlign w:val="superscript"/>
        </w:rPr>
        <w:t>14</w:t>
      </w:r>
      <w:r w:rsidR="00D4186A" w:rsidRPr="00927C71">
        <w:rPr>
          <w:vertAlign w:val="superscript"/>
        </w:rPr>
        <w:t>]</w:t>
      </w:r>
      <w:r>
        <w:t xml:space="preserve">. the rates at which the raw materials are charged is monitored as the gas flow through the furnace needs to be constant for the chemical reactions to take place. At the top of the furnace also </w:t>
      </w:r>
      <w:r>
        <w:lastRenderedPageBreak/>
        <w:t>exists gas reclaimers and scrubbers. The scrubbers help</w:t>
      </w:r>
      <w:r w:rsidR="00F43915">
        <w:t xml:space="preserve"> with the</w:t>
      </w:r>
      <w:r>
        <w:t xml:space="preserve"> remov</w:t>
      </w:r>
      <w:r w:rsidR="00F43915">
        <w:t>al of</w:t>
      </w:r>
      <w:r>
        <w:t xml:space="preserve"> dust and other particles out of the gas before it can be reused in the furnace</w:t>
      </w:r>
      <w:r w:rsidR="00D4186A">
        <w:t xml:space="preserve"> </w:t>
      </w:r>
      <w:r w:rsidR="00D4186A" w:rsidRPr="00927C71">
        <w:rPr>
          <w:vertAlign w:val="superscript"/>
        </w:rPr>
        <w:t>[</w:t>
      </w:r>
      <w:r w:rsidR="009726D8">
        <w:rPr>
          <w:vertAlign w:val="superscript"/>
        </w:rPr>
        <w:t>13</w:t>
      </w:r>
      <w:r w:rsidR="00D4186A" w:rsidRPr="00927C71">
        <w:rPr>
          <w:vertAlign w:val="superscript"/>
        </w:rPr>
        <w:t>]</w:t>
      </w:r>
      <w:r>
        <w:t>.</w:t>
      </w:r>
    </w:p>
    <w:p w:rsidR="004B30F2" w:rsidRDefault="004B30F2" w:rsidP="004B30F2"/>
    <w:p w:rsidR="004B30F2" w:rsidRDefault="004B30F2" w:rsidP="004B30F2">
      <w:pPr>
        <w:jc w:val="both"/>
      </w:pPr>
      <w:r>
        <w:t>At the bottom half of the furnace you will find the casthouse. The casthouse contains the tuyeres, bustle pipe and the equipment required for casting. There is also a taphole which is made from refractory clay. The taphole is drilled in order to begin the process. once complete, the taphole is plugged back up with the same refractory clay. The molten material is then separated by passing through a skimmer opening</w:t>
      </w:r>
      <w:r w:rsidR="00D4186A">
        <w:t xml:space="preserve"> </w:t>
      </w:r>
      <w:r w:rsidR="00D4186A" w:rsidRPr="00927C71">
        <w:rPr>
          <w:vertAlign w:val="superscript"/>
        </w:rPr>
        <w:t>[</w:t>
      </w:r>
      <w:r w:rsidR="009726D8">
        <w:rPr>
          <w:vertAlign w:val="superscript"/>
        </w:rPr>
        <w:t>13</w:t>
      </w:r>
      <w:r w:rsidR="00D4186A" w:rsidRPr="00927C71">
        <w:rPr>
          <w:vertAlign w:val="superscript"/>
        </w:rPr>
        <w:t>]</w:t>
      </w:r>
      <w:r>
        <w:t>.</w:t>
      </w:r>
    </w:p>
    <w:p w:rsidR="004B30F2" w:rsidRDefault="004B30F2" w:rsidP="004B30F2">
      <w:pPr>
        <w:jc w:val="both"/>
      </w:pPr>
    </w:p>
    <w:p w:rsidR="004B30F2" w:rsidRDefault="004B30F2" w:rsidP="004B30F2">
      <w:pPr>
        <w:jc w:val="both"/>
      </w:pPr>
      <w:r>
        <w:t xml:space="preserve">The tuyeres themselves are made from copper and have a water cooling system to make sure the ends of the tuyeres do not warp due to the heat. Hot air is blasted through the tuyeres to start the process. the temperature of the air is typically around 1200°C. however, due to the reactions in heat with coke, the temperature at the base of the blast furnace can be around 2000°C. </w:t>
      </w:r>
      <w:r w:rsidR="00D14634">
        <w:t>O</w:t>
      </w:r>
      <w:r>
        <w:t>ther materials, such as oxygen and powdered coal can also be injected through the tuyeres into the furnace in order to increase productivity</w:t>
      </w:r>
      <w:r w:rsidR="00D14634">
        <w:t xml:space="preserve"> </w:t>
      </w:r>
      <w:r w:rsidR="00D14634" w:rsidRPr="00927C71">
        <w:rPr>
          <w:vertAlign w:val="superscript"/>
        </w:rPr>
        <w:t>[</w:t>
      </w:r>
      <w:r w:rsidR="009726D8">
        <w:rPr>
          <w:vertAlign w:val="superscript"/>
        </w:rPr>
        <w:t>11</w:t>
      </w:r>
      <w:r w:rsidR="00D14634" w:rsidRPr="00927C71">
        <w:rPr>
          <w:vertAlign w:val="superscript"/>
        </w:rPr>
        <w:t>]</w:t>
      </w:r>
      <w:r>
        <w:t>.</w:t>
      </w:r>
    </w:p>
    <w:p w:rsidR="004B30F2" w:rsidRDefault="004B30F2" w:rsidP="004B30F2"/>
    <w:p w:rsidR="004B30F2" w:rsidRDefault="004B30F2" w:rsidP="004B30F2">
      <w:pPr>
        <w:pStyle w:val="Heading3"/>
      </w:pPr>
      <w:bookmarkStart w:id="103" w:name="_Toc511503107"/>
      <w:bookmarkStart w:id="104" w:name="_Toc512166867"/>
      <w:bookmarkStart w:id="105" w:name="_Toc512168644"/>
      <w:bookmarkStart w:id="106" w:name="_Toc512169525"/>
      <w:bookmarkStart w:id="107" w:name="_Toc512334081"/>
      <w:r>
        <w:t>Functions of Coke in the Furnace</w:t>
      </w:r>
      <w:bookmarkEnd w:id="103"/>
      <w:bookmarkEnd w:id="104"/>
      <w:bookmarkEnd w:id="105"/>
      <w:bookmarkEnd w:id="106"/>
      <w:bookmarkEnd w:id="107"/>
    </w:p>
    <w:p w:rsidR="004B30F2" w:rsidRPr="004B30F2" w:rsidRDefault="004B30F2" w:rsidP="004B30F2"/>
    <w:p w:rsidR="004B30F2" w:rsidRDefault="004B30F2" w:rsidP="00E4773C">
      <w:pPr>
        <w:jc w:val="both"/>
      </w:pPr>
      <w:r>
        <w:t>Coke has three main functions within the blast furnace. Its first function is to be consumed and produce the heat that is required in order to melt the iron ore. Oxygen in the hot air that is blasted in to the furnace reacts with the coke in order to create carbon monoxide gas. This carbon monoxide then reacts with unreacted oxygen in the air to form carbon dioxide. Both of these reactions are exothermic and therefore produce even more heat, helping heat the base of the furnace to the required 2000°C mark.</w:t>
      </w:r>
    </w:p>
    <w:p w:rsidR="004B30F2" w:rsidRDefault="004B30F2" w:rsidP="00E4773C">
      <w:pPr>
        <w:jc w:val="both"/>
      </w:pPr>
    </w:p>
    <w:p w:rsidR="004B30F2" w:rsidRDefault="004B30F2" w:rsidP="00E4773C">
      <w:pPr>
        <w:jc w:val="both"/>
      </w:pPr>
      <w:r>
        <w:t>The coke also provides the internal structure that the furnace needs to operate correctly and as safely as possible. Despite reacting with the oxygen in the air, not all of the coke will react and it is still stable at temperatures exceeding 2000°C. Its rigid and non-uniform structure allows for the hot gases to rise through the gaps that occur without obstruction. The same structure allows the molten iron and slag to run through the gaps and drip into the pool of molten metal at the bottom of the blast furnace without it being able to settle in one spot and potentially cooling and solidifying</w:t>
      </w:r>
      <w:r w:rsidR="000261BF">
        <w:t xml:space="preserve"> </w:t>
      </w:r>
      <w:r w:rsidR="000261BF" w:rsidRPr="000261BF">
        <w:rPr>
          <w:vertAlign w:val="superscript"/>
        </w:rPr>
        <w:t>[13]</w:t>
      </w:r>
      <w:r>
        <w:t>.</w:t>
      </w:r>
    </w:p>
    <w:p w:rsidR="004B30F2" w:rsidRDefault="004B30F2" w:rsidP="00E4773C">
      <w:pPr>
        <w:jc w:val="both"/>
      </w:pPr>
    </w:p>
    <w:p w:rsidR="004B30F2" w:rsidRDefault="004B30F2" w:rsidP="00E4773C">
      <w:pPr>
        <w:jc w:val="both"/>
      </w:pPr>
      <w:r>
        <w:t>Lastly, the coke also provides the carbon that is required for the carburisation of the hot metal. If the metal is cooled via a fast quenching process, the carbon will settle on the outer most parts of the iron creating a harder martensite while the inner part is still soft and easy to work</w:t>
      </w:r>
      <w:r w:rsidR="00D14634">
        <w:t xml:space="preserve"> </w:t>
      </w:r>
      <w:r w:rsidR="00D14634" w:rsidRPr="00927C71">
        <w:rPr>
          <w:vertAlign w:val="superscript"/>
        </w:rPr>
        <w:t>[</w:t>
      </w:r>
      <w:r w:rsidR="009726D8">
        <w:rPr>
          <w:vertAlign w:val="superscript"/>
        </w:rPr>
        <w:t>7</w:t>
      </w:r>
      <w:r w:rsidR="00D14634" w:rsidRPr="00927C71">
        <w:rPr>
          <w:vertAlign w:val="superscript"/>
        </w:rPr>
        <w:t>]</w:t>
      </w:r>
      <w:r>
        <w:t>.</w:t>
      </w:r>
    </w:p>
    <w:p w:rsidR="004B30F2" w:rsidRDefault="004B30F2" w:rsidP="004B30F2"/>
    <w:p w:rsidR="004B30F2" w:rsidRDefault="004B30F2" w:rsidP="004B30F2">
      <w:pPr>
        <w:pStyle w:val="Heading3"/>
      </w:pPr>
      <w:bookmarkStart w:id="108" w:name="_Toc511503108"/>
      <w:bookmarkStart w:id="109" w:name="_Toc512166868"/>
      <w:bookmarkStart w:id="110" w:name="_Toc512168645"/>
      <w:bookmarkStart w:id="111" w:name="_Toc512169526"/>
      <w:bookmarkStart w:id="112" w:name="_Toc512334082"/>
      <w:r>
        <w:t>Coke Quality</w:t>
      </w:r>
      <w:bookmarkEnd w:id="108"/>
      <w:bookmarkEnd w:id="109"/>
      <w:bookmarkEnd w:id="110"/>
      <w:bookmarkEnd w:id="111"/>
      <w:bookmarkEnd w:id="112"/>
    </w:p>
    <w:p w:rsidR="004B30F2" w:rsidRPr="004B30F2" w:rsidRDefault="004B30F2" w:rsidP="004B30F2"/>
    <w:p w:rsidR="004B30F2" w:rsidRDefault="004B30F2" w:rsidP="004B30F2">
      <w:pPr>
        <w:jc w:val="both"/>
      </w:pPr>
      <w:r>
        <w:t xml:space="preserve">Due to what is required from the coke, there are various properties which are closely monitored. These properties can be categorised into two separate categories, composition and mechanical hot </w:t>
      </w:r>
      <w:r>
        <w:lastRenderedPageBreak/>
        <w:t>and cold strength. Its composition is checked regularly for sulphur content, volatile matter content, phosphorus and alkali metal content, ash and moisture. In general, lower values for all are valued most of all, but the majority of this is conditional to the coals that are used in the blend</w:t>
      </w:r>
      <w:r w:rsidR="00D14634">
        <w:t xml:space="preserve"> </w:t>
      </w:r>
      <w:r w:rsidR="00D14634" w:rsidRPr="00927C71">
        <w:rPr>
          <w:vertAlign w:val="superscript"/>
        </w:rPr>
        <w:t>[</w:t>
      </w:r>
      <w:r w:rsidR="009726D8">
        <w:rPr>
          <w:vertAlign w:val="superscript"/>
        </w:rPr>
        <w:t>13</w:t>
      </w:r>
      <w:r w:rsidR="00D14634" w:rsidRPr="00927C71">
        <w:rPr>
          <w:vertAlign w:val="superscript"/>
        </w:rPr>
        <w:t>]</w:t>
      </w:r>
      <w:r>
        <w:t xml:space="preserve">. Moisture values can vary greatly and are dependent on the quenching process that is used and the storage conditions of the coke before it is charged. </w:t>
      </w:r>
    </w:p>
    <w:p w:rsidR="004B30F2" w:rsidRDefault="004B30F2" w:rsidP="004B30F2">
      <w:pPr>
        <w:jc w:val="both"/>
      </w:pPr>
    </w:p>
    <w:p w:rsidR="004B30F2" w:rsidRDefault="004B30F2" w:rsidP="004B30F2">
      <w:pPr>
        <w:jc w:val="both"/>
      </w:pPr>
      <w:r>
        <w:t>Hot and cold strength properties are characterised by various categories. The first is its size and size distribution. The average size piece of metallurgical coke is typically around the 45mm to 55mm range. The tighter that the distribution is to the average size, the greater the permeability of the coke is within the furnace. A large fraction of coke over 80mm in size is a good indicator of poor coke production</w:t>
      </w:r>
      <w:r w:rsidR="000261BF">
        <w:t xml:space="preserve"> </w:t>
      </w:r>
      <w:r w:rsidR="000261BF" w:rsidRPr="000261BF">
        <w:rPr>
          <w:vertAlign w:val="superscript"/>
        </w:rPr>
        <w:t>[14]</w:t>
      </w:r>
      <w:r>
        <w:t>.</w:t>
      </w:r>
    </w:p>
    <w:p w:rsidR="00D14634" w:rsidRDefault="00D14634" w:rsidP="004B30F2">
      <w:pPr>
        <w:jc w:val="both"/>
      </w:pPr>
    </w:p>
    <w:p w:rsidR="004B30F2" w:rsidRDefault="004B30F2" w:rsidP="004B30F2">
      <w:pPr>
        <w:jc w:val="both"/>
      </w:pPr>
      <w:r>
        <w:t>Its next characteristic is its resistance to degradation and abrasion. This demonstrates how the coke will hold up during transport, charging and other forms of mechanical stress. This is determined by a micum test on previously stabilised coke. Its resistance to degradation is known as the I40 and M40 while its resistance to abrasion is known as the I10 and M10</w:t>
      </w:r>
      <w:r w:rsidR="000261BF">
        <w:t xml:space="preserve"> </w:t>
      </w:r>
      <w:r w:rsidR="000261BF" w:rsidRPr="000261BF">
        <w:rPr>
          <w:vertAlign w:val="superscript"/>
        </w:rPr>
        <w:t>[14]</w:t>
      </w:r>
      <w:r>
        <w:t>.</w:t>
      </w:r>
    </w:p>
    <w:p w:rsidR="004B30F2" w:rsidRDefault="004B30F2" w:rsidP="004B30F2">
      <w:pPr>
        <w:jc w:val="both"/>
      </w:pPr>
    </w:p>
    <w:p w:rsidR="004B30F2" w:rsidRDefault="004B30F2" w:rsidP="004B30F2">
      <w:pPr>
        <w:jc w:val="both"/>
      </w:pPr>
      <w:r>
        <w:t>Its third characteristic is its reactivity. The coke can react with carbon dioxide with directly attacks the matrix of the coke and lead to a higher coke usage rate than desired within the furnace. Coke with a lower reactivity index (CRI) and higher strength after reaction (CSR) is desired as it is much more stable in structure in the bottom part of the blast furnace</w:t>
      </w:r>
      <w:r w:rsidR="000261BF">
        <w:t xml:space="preserve"> </w:t>
      </w:r>
      <w:r w:rsidR="000261BF" w:rsidRPr="000261BF">
        <w:rPr>
          <w:vertAlign w:val="superscript"/>
        </w:rPr>
        <w:t>[14]</w:t>
      </w:r>
      <w:r>
        <w:t xml:space="preserve">. </w:t>
      </w:r>
    </w:p>
    <w:p w:rsidR="004B30F2" w:rsidRDefault="004B30F2" w:rsidP="004B30F2">
      <w:pPr>
        <w:jc w:val="both"/>
      </w:pPr>
    </w:p>
    <w:p w:rsidR="004B30F2" w:rsidRDefault="004B30F2" w:rsidP="004B30F2">
      <w:pPr>
        <w:jc w:val="both"/>
      </w:pPr>
      <w:r>
        <w:t>The last characteristic that is considered is the day to day consistency of the coke quality itself. This is particularly important when considering size and size distribution. Inconsistency with coke quality can have a large influence on the furnace internal gas flow and create a whole array of problems for daily blast furnace operations</w:t>
      </w:r>
      <w:r w:rsidR="00D14634">
        <w:t xml:space="preserve"> </w:t>
      </w:r>
      <w:r w:rsidR="00D14634" w:rsidRPr="00927C71">
        <w:rPr>
          <w:vertAlign w:val="superscript"/>
        </w:rPr>
        <w:t>[</w:t>
      </w:r>
      <w:r w:rsidR="009726D8">
        <w:rPr>
          <w:vertAlign w:val="superscript"/>
        </w:rPr>
        <w:t>7</w:t>
      </w:r>
      <w:r w:rsidR="00D14634" w:rsidRPr="00927C71">
        <w:rPr>
          <w:vertAlign w:val="superscript"/>
        </w:rPr>
        <w:t>]</w:t>
      </w:r>
      <w:r>
        <w:t>.</w:t>
      </w:r>
    </w:p>
    <w:p w:rsidR="004B30F2" w:rsidRDefault="004B30F2" w:rsidP="004B30F2"/>
    <w:p w:rsidR="009726D8" w:rsidRDefault="009726D8" w:rsidP="004B30F2"/>
    <w:p w:rsidR="009726D8" w:rsidRDefault="009726D8" w:rsidP="004B30F2"/>
    <w:p w:rsidR="009726D8" w:rsidRDefault="009726D8" w:rsidP="004B30F2"/>
    <w:p w:rsidR="009726D8" w:rsidRDefault="009726D8" w:rsidP="004B30F2"/>
    <w:p w:rsidR="009726D8" w:rsidRDefault="009726D8" w:rsidP="004B30F2"/>
    <w:p w:rsidR="009726D8" w:rsidRDefault="009726D8" w:rsidP="004B30F2"/>
    <w:p w:rsidR="009726D8" w:rsidRDefault="009726D8" w:rsidP="004B30F2"/>
    <w:p w:rsidR="009726D8" w:rsidRDefault="009726D8" w:rsidP="004B30F2"/>
    <w:p w:rsidR="009726D8" w:rsidRDefault="009726D8" w:rsidP="004B30F2"/>
    <w:p w:rsidR="004B30F2" w:rsidRDefault="004B30F2" w:rsidP="004B30F2"/>
    <w:tbl>
      <w:tblPr>
        <w:tblW w:w="9356" w:type="dxa"/>
        <w:tblLook w:val="04A0" w:firstRow="1" w:lastRow="0" w:firstColumn="1" w:lastColumn="0" w:noHBand="0" w:noVBand="1"/>
      </w:tblPr>
      <w:tblGrid>
        <w:gridCol w:w="1560"/>
        <w:gridCol w:w="2268"/>
        <w:gridCol w:w="1984"/>
        <w:gridCol w:w="1559"/>
        <w:gridCol w:w="993"/>
        <w:gridCol w:w="992"/>
      </w:tblGrid>
      <w:tr w:rsidR="004B30F2" w:rsidRPr="00A11CD0" w:rsidTr="003D533B">
        <w:trPr>
          <w:trHeight w:val="408"/>
        </w:trPr>
        <w:tc>
          <w:tcPr>
            <w:tcW w:w="1560" w:type="dxa"/>
            <w:vMerge w:val="restart"/>
            <w:tcBorders>
              <w:top w:val="nil"/>
              <w:left w:val="nil"/>
              <w:bottom w:val="nil"/>
              <w:right w:val="nil"/>
            </w:tcBorders>
            <w:shd w:val="clear" w:color="auto" w:fill="auto"/>
            <w:noWrap/>
            <w:vAlign w:val="bottom"/>
            <w:hideMark/>
          </w:tcPr>
          <w:p w:rsidR="004B30F2" w:rsidRPr="00126033" w:rsidRDefault="004B30F2" w:rsidP="003D533B">
            <w:pPr>
              <w:spacing w:after="0" w:line="240" w:lineRule="auto"/>
              <w:rPr>
                <w:rFonts w:ascii="Times New Roman" w:eastAsia="Times New Roman" w:hAnsi="Times New Roman"/>
                <w:sz w:val="24"/>
                <w:szCs w:val="24"/>
                <w:lang w:eastAsia="en-GB"/>
              </w:rPr>
            </w:pPr>
          </w:p>
        </w:tc>
        <w:tc>
          <w:tcPr>
            <w:tcW w:w="2268" w:type="dxa"/>
            <w:vMerge w:val="restart"/>
            <w:tcBorders>
              <w:top w:val="single" w:sz="4" w:space="0" w:color="auto"/>
              <w:left w:val="single" w:sz="4" w:space="0" w:color="auto"/>
              <w:bottom w:val="single" w:sz="4" w:space="0" w:color="000000"/>
              <w:right w:val="single" w:sz="4" w:space="0" w:color="auto"/>
            </w:tcBorders>
            <w:shd w:val="clear" w:color="auto" w:fill="auto"/>
            <w:noWrap/>
            <w:vAlign w:val="center"/>
            <w:hideMark/>
          </w:tcPr>
          <w:p w:rsidR="004B30F2" w:rsidRPr="00126033" w:rsidRDefault="004B30F2" w:rsidP="003D533B">
            <w:pPr>
              <w:spacing w:after="0" w:line="240" w:lineRule="auto"/>
              <w:jc w:val="center"/>
              <w:rPr>
                <w:rFonts w:eastAsia="Times New Roman" w:cs="Calibri"/>
                <w:color w:val="000000"/>
                <w:lang w:eastAsia="en-GB"/>
              </w:rPr>
            </w:pPr>
            <w:r w:rsidRPr="00126033">
              <w:rPr>
                <w:rFonts w:eastAsia="Times New Roman" w:cs="Calibri"/>
                <w:color w:val="000000"/>
                <w:lang w:eastAsia="en-GB"/>
              </w:rPr>
              <w:t>What is measured</w:t>
            </w:r>
          </w:p>
        </w:tc>
        <w:tc>
          <w:tcPr>
            <w:tcW w:w="1984" w:type="dxa"/>
            <w:vMerge w:val="restart"/>
            <w:tcBorders>
              <w:top w:val="single" w:sz="4" w:space="0" w:color="auto"/>
              <w:left w:val="single" w:sz="4" w:space="0" w:color="auto"/>
              <w:bottom w:val="nil"/>
              <w:right w:val="single" w:sz="4" w:space="0" w:color="auto"/>
            </w:tcBorders>
            <w:shd w:val="clear" w:color="auto" w:fill="auto"/>
            <w:noWrap/>
            <w:vAlign w:val="center"/>
            <w:hideMark/>
          </w:tcPr>
          <w:p w:rsidR="004B30F2" w:rsidRPr="00126033" w:rsidRDefault="004B30F2" w:rsidP="003D533B">
            <w:pPr>
              <w:spacing w:after="0" w:line="240" w:lineRule="auto"/>
              <w:jc w:val="center"/>
              <w:rPr>
                <w:rFonts w:eastAsia="Times New Roman" w:cs="Calibri"/>
                <w:color w:val="000000"/>
                <w:lang w:eastAsia="en-GB"/>
              </w:rPr>
            </w:pPr>
            <w:r w:rsidRPr="00126033">
              <w:rPr>
                <w:rFonts w:eastAsia="Times New Roman" w:cs="Calibri"/>
                <w:color w:val="000000"/>
                <w:lang w:eastAsia="en-GB"/>
              </w:rPr>
              <w:t>Results</w:t>
            </w:r>
          </w:p>
        </w:tc>
        <w:tc>
          <w:tcPr>
            <w:tcW w:w="1559" w:type="dxa"/>
            <w:vMerge w:val="restart"/>
            <w:tcBorders>
              <w:top w:val="single" w:sz="4" w:space="0" w:color="auto"/>
              <w:left w:val="nil"/>
              <w:bottom w:val="nil"/>
              <w:right w:val="nil"/>
            </w:tcBorders>
            <w:shd w:val="clear" w:color="auto" w:fill="auto"/>
            <w:noWrap/>
            <w:vAlign w:val="center"/>
            <w:hideMark/>
          </w:tcPr>
          <w:p w:rsidR="004B30F2" w:rsidRPr="00126033" w:rsidRDefault="004B30F2" w:rsidP="003D533B">
            <w:pPr>
              <w:spacing w:after="0" w:line="240" w:lineRule="auto"/>
              <w:jc w:val="center"/>
              <w:rPr>
                <w:rFonts w:eastAsia="Times New Roman" w:cs="Calibri"/>
                <w:color w:val="000000"/>
                <w:lang w:eastAsia="en-GB"/>
              </w:rPr>
            </w:pPr>
            <w:r w:rsidRPr="00126033">
              <w:rPr>
                <w:rFonts w:eastAsia="Times New Roman" w:cs="Calibri"/>
                <w:color w:val="000000"/>
                <w:lang w:eastAsia="en-GB"/>
              </w:rPr>
              <w:t>Acceptability range</w:t>
            </w:r>
          </w:p>
        </w:tc>
        <w:tc>
          <w:tcPr>
            <w:tcW w:w="993" w:type="dxa"/>
            <w:vMerge w:val="restart"/>
            <w:tcBorders>
              <w:top w:val="single" w:sz="4" w:space="0" w:color="auto"/>
              <w:left w:val="single" w:sz="4" w:space="0" w:color="auto"/>
              <w:bottom w:val="nil"/>
              <w:right w:val="single" w:sz="4" w:space="0" w:color="auto"/>
            </w:tcBorders>
            <w:shd w:val="clear" w:color="auto" w:fill="auto"/>
            <w:noWrap/>
            <w:vAlign w:val="center"/>
            <w:hideMark/>
          </w:tcPr>
          <w:p w:rsidR="004B30F2" w:rsidRPr="00126033" w:rsidRDefault="004B30F2" w:rsidP="003D533B">
            <w:pPr>
              <w:spacing w:after="0" w:line="240" w:lineRule="auto"/>
              <w:jc w:val="center"/>
              <w:rPr>
                <w:rFonts w:eastAsia="Times New Roman" w:cs="Calibri"/>
                <w:color w:val="000000"/>
                <w:lang w:eastAsia="en-GB"/>
              </w:rPr>
            </w:pPr>
            <w:r w:rsidRPr="00126033">
              <w:rPr>
                <w:rFonts w:eastAsia="Times New Roman" w:cs="Calibri"/>
                <w:color w:val="000000"/>
                <w:lang w:eastAsia="en-GB"/>
              </w:rPr>
              <w:t>Best</w:t>
            </w:r>
          </w:p>
        </w:tc>
        <w:tc>
          <w:tcPr>
            <w:tcW w:w="992" w:type="dxa"/>
            <w:vMerge w:val="restart"/>
            <w:tcBorders>
              <w:top w:val="single" w:sz="4" w:space="0" w:color="auto"/>
              <w:left w:val="nil"/>
              <w:bottom w:val="nil"/>
              <w:right w:val="single" w:sz="4" w:space="0" w:color="auto"/>
            </w:tcBorders>
            <w:shd w:val="clear" w:color="auto" w:fill="auto"/>
            <w:noWrap/>
            <w:vAlign w:val="center"/>
            <w:hideMark/>
          </w:tcPr>
          <w:p w:rsidR="004B30F2" w:rsidRPr="00126033" w:rsidRDefault="004B30F2" w:rsidP="003D533B">
            <w:pPr>
              <w:spacing w:after="0" w:line="240" w:lineRule="auto"/>
              <w:jc w:val="center"/>
              <w:rPr>
                <w:rFonts w:eastAsia="Times New Roman" w:cs="Calibri"/>
                <w:color w:val="000000"/>
                <w:lang w:eastAsia="en-GB"/>
              </w:rPr>
            </w:pPr>
            <w:r w:rsidRPr="00126033">
              <w:rPr>
                <w:rFonts w:eastAsia="Times New Roman" w:cs="Calibri"/>
                <w:color w:val="000000"/>
                <w:lang w:eastAsia="en-GB"/>
              </w:rPr>
              <w:t>Test</w:t>
            </w:r>
          </w:p>
        </w:tc>
      </w:tr>
      <w:tr w:rsidR="004B30F2" w:rsidRPr="00A11CD0" w:rsidTr="003D533B">
        <w:trPr>
          <w:trHeight w:val="408"/>
        </w:trPr>
        <w:tc>
          <w:tcPr>
            <w:tcW w:w="1560" w:type="dxa"/>
            <w:vMerge/>
            <w:tcBorders>
              <w:top w:val="nil"/>
              <w:left w:val="nil"/>
              <w:bottom w:val="nil"/>
              <w:right w:val="nil"/>
            </w:tcBorders>
            <w:vAlign w:val="center"/>
            <w:hideMark/>
          </w:tcPr>
          <w:p w:rsidR="004B30F2" w:rsidRPr="00126033" w:rsidRDefault="004B30F2" w:rsidP="003D533B">
            <w:pPr>
              <w:spacing w:after="0" w:line="240" w:lineRule="auto"/>
              <w:rPr>
                <w:rFonts w:ascii="Times New Roman" w:eastAsia="Times New Roman" w:hAnsi="Times New Roman"/>
                <w:sz w:val="24"/>
                <w:szCs w:val="24"/>
                <w:lang w:eastAsia="en-GB"/>
              </w:rPr>
            </w:pPr>
          </w:p>
        </w:tc>
        <w:tc>
          <w:tcPr>
            <w:tcW w:w="2268" w:type="dxa"/>
            <w:vMerge/>
            <w:tcBorders>
              <w:top w:val="single" w:sz="4" w:space="0" w:color="auto"/>
              <w:left w:val="single" w:sz="4" w:space="0" w:color="auto"/>
              <w:bottom w:val="single" w:sz="4" w:space="0" w:color="000000"/>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1984" w:type="dxa"/>
            <w:vMerge/>
            <w:tcBorders>
              <w:top w:val="single" w:sz="4" w:space="0" w:color="auto"/>
              <w:left w:val="single" w:sz="4" w:space="0" w:color="auto"/>
              <w:bottom w:val="nil"/>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1559" w:type="dxa"/>
            <w:vMerge/>
            <w:tcBorders>
              <w:top w:val="single" w:sz="4" w:space="0" w:color="auto"/>
              <w:left w:val="nil"/>
              <w:bottom w:val="nil"/>
              <w:right w:val="nil"/>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993" w:type="dxa"/>
            <w:vMerge/>
            <w:tcBorders>
              <w:top w:val="single" w:sz="4" w:space="0" w:color="auto"/>
              <w:left w:val="single" w:sz="4" w:space="0" w:color="auto"/>
              <w:bottom w:val="nil"/>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992" w:type="dxa"/>
            <w:vMerge/>
            <w:tcBorders>
              <w:top w:val="single" w:sz="4" w:space="0" w:color="auto"/>
              <w:left w:val="nil"/>
              <w:bottom w:val="nil"/>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r>
      <w:tr w:rsidR="004B30F2" w:rsidRPr="00A11CD0" w:rsidTr="003D533B">
        <w:trPr>
          <w:trHeight w:val="300"/>
        </w:trPr>
        <w:tc>
          <w:tcPr>
            <w:tcW w:w="1560" w:type="dxa"/>
            <w:vMerge w:val="restart"/>
            <w:tcBorders>
              <w:top w:val="single" w:sz="4" w:space="0" w:color="auto"/>
              <w:left w:val="single" w:sz="4" w:space="0" w:color="auto"/>
              <w:bottom w:val="single" w:sz="4" w:space="0" w:color="000000"/>
              <w:right w:val="single" w:sz="4" w:space="0" w:color="auto"/>
            </w:tcBorders>
            <w:shd w:val="clear" w:color="auto" w:fill="auto"/>
            <w:noWrap/>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Mean size</w:t>
            </w:r>
          </w:p>
        </w:tc>
        <w:tc>
          <w:tcPr>
            <w:tcW w:w="2268" w:type="dxa"/>
            <w:vMerge w:val="restart"/>
            <w:tcBorders>
              <w:top w:val="nil"/>
              <w:left w:val="nil"/>
              <w:bottom w:val="single" w:sz="4" w:space="0" w:color="000000"/>
              <w:right w:val="nil"/>
            </w:tcBorders>
            <w:shd w:val="clear" w:color="auto" w:fill="auto"/>
            <w:noWrap/>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Size distribution</w:t>
            </w:r>
          </w:p>
        </w:tc>
        <w:tc>
          <w:tcPr>
            <w:tcW w:w="1984" w:type="dxa"/>
            <w:tcBorders>
              <w:top w:val="single" w:sz="4" w:space="0" w:color="auto"/>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Average size (mm)</w:t>
            </w:r>
          </w:p>
        </w:tc>
        <w:tc>
          <w:tcPr>
            <w:tcW w:w="1559" w:type="dxa"/>
            <w:tcBorders>
              <w:top w:val="single" w:sz="4" w:space="0" w:color="auto"/>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45-60</w:t>
            </w:r>
          </w:p>
        </w:tc>
        <w:tc>
          <w:tcPr>
            <w:tcW w:w="993" w:type="dxa"/>
            <w:tcBorders>
              <w:top w:val="single" w:sz="4" w:space="0" w:color="auto"/>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p>
        </w:tc>
        <w:tc>
          <w:tcPr>
            <w:tcW w:w="992" w:type="dxa"/>
            <w:tcBorders>
              <w:top w:val="single" w:sz="4" w:space="0" w:color="auto"/>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r w:rsidR="004B30F2" w:rsidRPr="00A11CD0" w:rsidTr="003D533B">
        <w:trPr>
          <w:trHeight w:val="300"/>
        </w:trPr>
        <w:tc>
          <w:tcPr>
            <w:tcW w:w="1560" w:type="dxa"/>
            <w:vMerge/>
            <w:tcBorders>
              <w:top w:val="single" w:sz="4" w:space="0" w:color="auto"/>
              <w:left w:val="single" w:sz="4" w:space="0" w:color="auto"/>
              <w:bottom w:val="single" w:sz="4" w:space="0" w:color="000000"/>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2268" w:type="dxa"/>
            <w:vMerge/>
            <w:tcBorders>
              <w:top w:val="nil"/>
              <w:left w:val="nil"/>
              <w:bottom w:val="single" w:sz="4" w:space="0" w:color="000000"/>
              <w:right w:val="nil"/>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1984"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&lt; 40mm</w:t>
            </w:r>
          </w:p>
        </w:tc>
        <w:tc>
          <w:tcPr>
            <w:tcW w:w="1559" w:type="dxa"/>
            <w:tcBorders>
              <w:top w:val="nil"/>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&lt; 25%</w:t>
            </w:r>
          </w:p>
        </w:tc>
        <w:tc>
          <w:tcPr>
            <w:tcW w:w="993"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p>
        </w:tc>
        <w:tc>
          <w:tcPr>
            <w:tcW w:w="992" w:type="dxa"/>
            <w:tcBorders>
              <w:top w:val="nil"/>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r w:rsidR="004B30F2" w:rsidRPr="00A11CD0" w:rsidTr="003D533B">
        <w:trPr>
          <w:trHeight w:val="300"/>
        </w:trPr>
        <w:tc>
          <w:tcPr>
            <w:tcW w:w="1560" w:type="dxa"/>
            <w:vMerge/>
            <w:tcBorders>
              <w:top w:val="single" w:sz="4" w:space="0" w:color="auto"/>
              <w:left w:val="single" w:sz="4" w:space="0" w:color="auto"/>
              <w:bottom w:val="single" w:sz="4" w:space="0" w:color="000000"/>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2268" w:type="dxa"/>
            <w:vMerge/>
            <w:tcBorders>
              <w:top w:val="nil"/>
              <w:left w:val="nil"/>
              <w:bottom w:val="single" w:sz="4" w:space="0" w:color="000000"/>
              <w:right w:val="nil"/>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1984"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&lt; 10mm</w:t>
            </w:r>
          </w:p>
        </w:tc>
        <w:tc>
          <w:tcPr>
            <w:tcW w:w="1559" w:type="dxa"/>
            <w:tcBorders>
              <w:top w:val="nil"/>
              <w:left w:val="nil"/>
              <w:bottom w:val="single" w:sz="4" w:space="0" w:color="auto"/>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&lt; 2%</w:t>
            </w:r>
          </w:p>
        </w:tc>
        <w:tc>
          <w:tcPr>
            <w:tcW w:w="993"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r w:rsidR="004B30F2" w:rsidRPr="00A11CD0" w:rsidTr="003D533B">
        <w:trPr>
          <w:trHeight w:val="300"/>
        </w:trPr>
        <w:tc>
          <w:tcPr>
            <w:tcW w:w="1560" w:type="dxa"/>
            <w:vMerge w:val="restart"/>
            <w:tcBorders>
              <w:top w:val="nil"/>
              <w:left w:val="single" w:sz="4" w:space="0" w:color="auto"/>
              <w:bottom w:val="single" w:sz="4" w:space="0" w:color="000000"/>
              <w:right w:val="single" w:sz="4" w:space="0" w:color="auto"/>
            </w:tcBorders>
            <w:shd w:val="clear" w:color="auto" w:fill="auto"/>
            <w:noWrap/>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Cold strength</w:t>
            </w:r>
          </w:p>
        </w:tc>
        <w:tc>
          <w:tcPr>
            <w:tcW w:w="2268" w:type="dxa"/>
            <w:tcBorders>
              <w:top w:val="nil"/>
              <w:left w:val="nil"/>
              <w:bottom w:val="nil"/>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Size distribution</w:t>
            </w:r>
          </w:p>
        </w:tc>
        <w:tc>
          <w:tcPr>
            <w:tcW w:w="1984"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I40 % &gt; 40mm</w:t>
            </w:r>
          </w:p>
        </w:tc>
        <w:tc>
          <w:tcPr>
            <w:tcW w:w="1559" w:type="dxa"/>
            <w:tcBorders>
              <w:top w:val="nil"/>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&gt; 45</w:t>
            </w:r>
          </w:p>
        </w:tc>
        <w:tc>
          <w:tcPr>
            <w:tcW w:w="993"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55</w:t>
            </w:r>
          </w:p>
        </w:tc>
        <w:tc>
          <w:tcPr>
            <w:tcW w:w="992" w:type="dxa"/>
            <w:tcBorders>
              <w:top w:val="nil"/>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Isrid</w:t>
            </w:r>
          </w:p>
        </w:tc>
      </w:tr>
      <w:tr w:rsidR="004B30F2" w:rsidRPr="00A11CD0" w:rsidTr="003D533B">
        <w:trPr>
          <w:trHeight w:val="300"/>
        </w:trPr>
        <w:tc>
          <w:tcPr>
            <w:tcW w:w="1560" w:type="dxa"/>
            <w:vMerge/>
            <w:tcBorders>
              <w:top w:val="nil"/>
              <w:left w:val="single" w:sz="4" w:space="0" w:color="auto"/>
              <w:bottom w:val="single" w:sz="4" w:space="0" w:color="000000"/>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2268" w:type="dxa"/>
            <w:tcBorders>
              <w:top w:val="nil"/>
              <w:left w:val="nil"/>
              <w:bottom w:val="nil"/>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after tumbling</w:t>
            </w:r>
          </w:p>
        </w:tc>
        <w:tc>
          <w:tcPr>
            <w:tcW w:w="1984"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I10 % &lt; 10mm</w:t>
            </w:r>
          </w:p>
        </w:tc>
        <w:tc>
          <w:tcPr>
            <w:tcW w:w="1559" w:type="dxa"/>
            <w:tcBorders>
              <w:top w:val="nil"/>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&lt; 19</w:t>
            </w:r>
          </w:p>
        </w:tc>
        <w:tc>
          <w:tcPr>
            <w:tcW w:w="993"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16</w:t>
            </w:r>
          </w:p>
        </w:tc>
        <w:tc>
          <w:tcPr>
            <w:tcW w:w="992" w:type="dxa"/>
            <w:tcBorders>
              <w:top w:val="nil"/>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r w:rsidR="004B30F2" w:rsidRPr="00A11CD0" w:rsidTr="003D533B">
        <w:trPr>
          <w:trHeight w:val="300"/>
        </w:trPr>
        <w:tc>
          <w:tcPr>
            <w:tcW w:w="1560" w:type="dxa"/>
            <w:vMerge/>
            <w:tcBorders>
              <w:top w:val="nil"/>
              <w:left w:val="single" w:sz="4" w:space="0" w:color="auto"/>
              <w:bottom w:val="single" w:sz="4" w:space="0" w:color="000000"/>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2268" w:type="dxa"/>
            <w:tcBorders>
              <w:top w:val="nil"/>
              <w:left w:val="nil"/>
              <w:bottom w:val="nil"/>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p>
        </w:tc>
        <w:tc>
          <w:tcPr>
            <w:tcW w:w="1984" w:type="dxa"/>
            <w:tcBorders>
              <w:top w:val="single" w:sz="4" w:space="0" w:color="auto"/>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M40 % &gt; 40mm</w:t>
            </w:r>
          </w:p>
        </w:tc>
        <w:tc>
          <w:tcPr>
            <w:tcW w:w="1559" w:type="dxa"/>
            <w:tcBorders>
              <w:top w:val="single" w:sz="4" w:space="0" w:color="auto"/>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&gt; 80</w:t>
            </w:r>
          </w:p>
        </w:tc>
        <w:tc>
          <w:tcPr>
            <w:tcW w:w="993" w:type="dxa"/>
            <w:tcBorders>
              <w:top w:val="single" w:sz="4" w:space="0" w:color="auto"/>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87</w:t>
            </w:r>
          </w:p>
        </w:tc>
        <w:tc>
          <w:tcPr>
            <w:tcW w:w="992" w:type="dxa"/>
            <w:tcBorders>
              <w:top w:val="single" w:sz="4" w:space="0" w:color="auto"/>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Micum</w:t>
            </w:r>
          </w:p>
        </w:tc>
      </w:tr>
      <w:tr w:rsidR="004B30F2" w:rsidRPr="00A11CD0" w:rsidTr="003D533B">
        <w:trPr>
          <w:trHeight w:val="300"/>
        </w:trPr>
        <w:tc>
          <w:tcPr>
            <w:tcW w:w="1560" w:type="dxa"/>
            <w:vMerge/>
            <w:tcBorders>
              <w:top w:val="nil"/>
              <w:left w:val="single" w:sz="4" w:space="0" w:color="auto"/>
              <w:bottom w:val="single" w:sz="4" w:space="0" w:color="000000"/>
              <w:right w:val="single" w:sz="4" w:space="0" w:color="auto"/>
            </w:tcBorders>
            <w:vAlign w:val="center"/>
            <w:hideMark/>
          </w:tcPr>
          <w:p w:rsidR="004B30F2" w:rsidRPr="00126033" w:rsidRDefault="004B30F2" w:rsidP="003D533B">
            <w:pPr>
              <w:spacing w:after="0" w:line="240" w:lineRule="auto"/>
              <w:rPr>
                <w:rFonts w:eastAsia="Times New Roman" w:cs="Calibri"/>
                <w:color w:val="000000"/>
                <w:lang w:eastAsia="en-GB"/>
              </w:rPr>
            </w:pPr>
          </w:p>
        </w:tc>
        <w:tc>
          <w:tcPr>
            <w:tcW w:w="2268" w:type="dxa"/>
            <w:tcBorders>
              <w:top w:val="nil"/>
              <w:left w:val="nil"/>
              <w:bottom w:val="single" w:sz="4" w:space="0" w:color="auto"/>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c>
          <w:tcPr>
            <w:tcW w:w="1984"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M10 % &lt; 10mm</w:t>
            </w:r>
          </w:p>
        </w:tc>
        <w:tc>
          <w:tcPr>
            <w:tcW w:w="1559" w:type="dxa"/>
            <w:tcBorders>
              <w:top w:val="nil"/>
              <w:left w:val="nil"/>
              <w:bottom w:val="single" w:sz="4" w:space="0" w:color="auto"/>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&lt; 7</w:t>
            </w:r>
          </w:p>
        </w:tc>
        <w:tc>
          <w:tcPr>
            <w:tcW w:w="993"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r w:rsidR="004B30F2" w:rsidRPr="00A11CD0" w:rsidTr="003D533B">
        <w:trPr>
          <w:trHeight w:val="300"/>
        </w:trPr>
        <w:tc>
          <w:tcPr>
            <w:tcW w:w="1560"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xml:space="preserve">Strength after </w:t>
            </w:r>
          </w:p>
        </w:tc>
        <w:tc>
          <w:tcPr>
            <w:tcW w:w="2268" w:type="dxa"/>
            <w:tcBorders>
              <w:top w:val="nil"/>
              <w:left w:val="nil"/>
              <w:bottom w:val="nil"/>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Reaction (CO</w:t>
            </w:r>
            <w:r>
              <w:rPr>
                <w:rFonts w:eastAsia="Times New Roman" w:cs="Calibri"/>
                <w:color w:val="000000"/>
                <w:vertAlign w:val="subscript"/>
                <w:lang w:eastAsia="en-GB"/>
              </w:rPr>
              <w:t>2</w:t>
            </w:r>
            <w:r w:rsidRPr="00126033">
              <w:rPr>
                <w:rFonts w:eastAsia="Times New Roman" w:cs="Calibri"/>
                <w:color w:val="000000"/>
                <w:lang w:eastAsia="en-GB"/>
              </w:rPr>
              <w:t>) &amp;</w:t>
            </w:r>
          </w:p>
        </w:tc>
        <w:tc>
          <w:tcPr>
            <w:tcW w:w="1984"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&gt; 10mm</w:t>
            </w:r>
          </w:p>
        </w:tc>
        <w:tc>
          <w:tcPr>
            <w:tcW w:w="1559" w:type="dxa"/>
            <w:tcBorders>
              <w:top w:val="nil"/>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&gt; 58</w:t>
            </w:r>
          </w:p>
        </w:tc>
        <w:tc>
          <w:tcPr>
            <w:tcW w:w="993"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70</w:t>
            </w:r>
          </w:p>
        </w:tc>
        <w:tc>
          <w:tcPr>
            <w:tcW w:w="992" w:type="dxa"/>
            <w:tcBorders>
              <w:top w:val="nil"/>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CSR</w:t>
            </w:r>
          </w:p>
        </w:tc>
      </w:tr>
      <w:tr w:rsidR="004B30F2" w:rsidRPr="00A11CD0" w:rsidTr="003D533B">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reaction</w:t>
            </w:r>
          </w:p>
        </w:tc>
        <w:tc>
          <w:tcPr>
            <w:tcW w:w="2268" w:type="dxa"/>
            <w:tcBorders>
              <w:top w:val="nil"/>
              <w:left w:val="nil"/>
              <w:bottom w:val="single" w:sz="4" w:space="0" w:color="auto"/>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tumbling</w:t>
            </w:r>
          </w:p>
        </w:tc>
        <w:tc>
          <w:tcPr>
            <w:tcW w:w="1984"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c>
          <w:tcPr>
            <w:tcW w:w="1559" w:type="dxa"/>
            <w:tcBorders>
              <w:top w:val="nil"/>
              <w:left w:val="nil"/>
              <w:bottom w:val="single" w:sz="4" w:space="0" w:color="auto"/>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p>
        </w:tc>
        <w:tc>
          <w:tcPr>
            <w:tcW w:w="993"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r w:rsidR="004B30F2" w:rsidRPr="00A11CD0" w:rsidTr="003D533B">
        <w:trPr>
          <w:trHeight w:val="300"/>
        </w:trPr>
        <w:tc>
          <w:tcPr>
            <w:tcW w:w="1560"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Reactivity</w:t>
            </w:r>
          </w:p>
        </w:tc>
        <w:tc>
          <w:tcPr>
            <w:tcW w:w="2268" w:type="dxa"/>
            <w:tcBorders>
              <w:top w:val="nil"/>
              <w:left w:val="nil"/>
              <w:bottom w:val="nil"/>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weight loss during</w:t>
            </w:r>
          </w:p>
        </w:tc>
        <w:tc>
          <w:tcPr>
            <w:tcW w:w="1984"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w:t>
            </w:r>
          </w:p>
        </w:tc>
        <w:tc>
          <w:tcPr>
            <w:tcW w:w="1559" w:type="dxa"/>
            <w:tcBorders>
              <w:top w:val="nil"/>
              <w:left w:val="nil"/>
              <w:bottom w:val="nil"/>
              <w:right w:val="nil"/>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&lt; 29%</w:t>
            </w:r>
          </w:p>
        </w:tc>
        <w:tc>
          <w:tcPr>
            <w:tcW w:w="993" w:type="dxa"/>
            <w:tcBorders>
              <w:top w:val="nil"/>
              <w:left w:val="single" w:sz="4" w:space="0" w:color="auto"/>
              <w:bottom w:val="nil"/>
              <w:right w:val="single" w:sz="4" w:space="0" w:color="auto"/>
            </w:tcBorders>
            <w:shd w:val="clear" w:color="auto" w:fill="auto"/>
            <w:noWrap/>
            <w:vAlign w:val="bottom"/>
            <w:hideMark/>
          </w:tcPr>
          <w:p w:rsidR="004B30F2" w:rsidRPr="00126033" w:rsidRDefault="004B30F2" w:rsidP="00E4773C">
            <w:pPr>
              <w:spacing w:after="0" w:line="240" w:lineRule="auto"/>
              <w:rPr>
                <w:rFonts w:eastAsia="Times New Roman" w:cs="Calibri"/>
                <w:color w:val="000000"/>
                <w:lang w:eastAsia="en-GB"/>
              </w:rPr>
            </w:pPr>
            <w:r w:rsidRPr="00126033">
              <w:rPr>
                <w:rFonts w:eastAsia="Times New Roman" w:cs="Calibri"/>
                <w:color w:val="000000"/>
                <w:lang w:eastAsia="en-GB"/>
              </w:rPr>
              <w:t>24</w:t>
            </w:r>
          </w:p>
        </w:tc>
        <w:tc>
          <w:tcPr>
            <w:tcW w:w="992" w:type="dxa"/>
            <w:tcBorders>
              <w:top w:val="nil"/>
              <w:left w:val="nil"/>
              <w:bottom w:val="nil"/>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CRI</w:t>
            </w:r>
          </w:p>
        </w:tc>
      </w:tr>
      <w:tr w:rsidR="004B30F2" w:rsidRPr="00A11CD0" w:rsidTr="003D533B">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c>
          <w:tcPr>
            <w:tcW w:w="2268" w:type="dxa"/>
            <w:tcBorders>
              <w:top w:val="nil"/>
              <w:left w:val="nil"/>
              <w:bottom w:val="single" w:sz="4" w:space="0" w:color="auto"/>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test</w:t>
            </w:r>
          </w:p>
        </w:tc>
        <w:tc>
          <w:tcPr>
            <w:tcW w:w="1984"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c>
          <w:tcPr>
            <w:tcW w:w="1559" w:type="dxa"/>
            <w:tcBorders>
              <w:top w:val="nil"/>
              <w:left w:val="nil"/>
              <w:bottom w:val="single" w:sz="4" w:space="0" w:color="auto"/>
              <w:right w:val="nil"/>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c>
          <w:tcPr>
            <w:tcW w:w="993" w:type="dxa"/>
            <w:tcBorders>
              <w:top w:val="nil"/>
              <w:left w:val="single" w:sz="4" w:space="0" w:color="auto"/>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rsidR="004B30F2" w:rsidRPr="00126033" w:rsidRDefault="004B30F2" w:rsidP="003D533B">
            <w:pPr>
              <w:spacing w:after="0" w:line="240" w:lineRule="auto"/>
              <w:rPr>
                <w:rFonts w:eastAsia="Times New Roman" w:cs="Calibri"/>
                <w:color w:val="000000"/>
                <w:lang w:eastAsia="en-GB"/>
              </w:rPr>
            </w:pPr>
            <w:r w:rsidRPr="00126033">
              <w:rPr>
                <w:rFonts w:eastAsia="Times New Roman" w:cs="Calibri"/>
                <w:color w:val="000000"/>
                <w:lang w:eastAsia="en-GB"/>
              </w:rPr>
              <w:t> </w:t>
            </w:r>
          </w:p>
        </w:tc>
      </w:tr>
    </w:tbl>
    <w:p w:rsidR="00D53910" w:rsidRPr="009726D8" w:rsidRDefault="00D460D7" w:rsidP="009726D8">
      <w:pPr>
        <w:pStyle w:val="Caption"/>
        <w:jc w:val="center"/>
        <w:rPr>
          <w:b w:val="0"/>
          <w:vertAlign w:val="superscript"/>
        </w:rPr>
      </w:pPr>
      <w:bookmarkStart w:id="113" w:name="_Toc512166649"/>
      <w:bookmarkStart w:id="114" w:name="_Toc512166881"/>
      <w:bookmarkStart w:id="115" w:name="_Toc512168598"/>
      <w:bookmarkStart w:id="116" w:name="_Toc512169545"/>
      <w:bookmarkStart w:id="117" w:name="_Toc512333603"/>
      <w:r w:rsidRPr="00D460D7">
        <w:t xml:space="preserve">Table </w:t>
      </w:r>
      <w:fldSimple w:instr=" SEQ Table \* ARABIC ">
        <w:r w:rsidR="009A5CBD">
          <w:rPr>
            <w:noProof/>
          </w:rPr>
          <w:t>1</w:t>
        </w:r>
      </w:fldSimple>
      <w:r w:rsidR="00A53204" w:rsidRPr="00D460D7">
        <w:t>– A</w:t>
      </w:r>
      <w:r w:rsidR="004B30F2" w:rsidRPr="00D460D7">
        <w:t>cceptability ranges for coke quality parameters.</w:t>
      </w:r>
      <w:bookmarkEnd w:id="113"/>
      <w:bookmarkEnd w:id="114"/>
      <w:bookmarkEnd w:id="115"/>
      <w:bookmarkEnd w:id="116"/>
      <w:r w:rsidR="00927C71">
        <w:t xml:space="preserve"> </w:t>
      </w:r>
      <w:r w:rsidR="00927C71">
        <w:rPr>
          <w:b w:val="0"/>
          <w:vertAlign w:val="superscript"/>
        </w:rPr>
        <w:t>[</w:t>
      </w:r>
      <w:r w:rsidR="009726D8">
        <w:rPr>
          <w:b w:val="0"/>
          <w:vertAlign w:val="superscript"/>
        </w:rPr>
        <w:t>13</w:t>
      </w:r>
      <w:r w:rsidR="00927C71">
        <w:rPr>
          <w:b w:val="0"/>
          <w:vertAlign w:val="superscript"/>
        </w:rPr>
        <w:t>]</w:t>
      </w:r>
      <w:bookmarkEnd w:id="117"/>
    </w:p>
    <w:p w:rsidR="00D53910" w:rsidRPr="00D53910" w:rsidRDefault="00D53910" w:rsidP="00D53910"/>
    <w:p w:rsidR="00D12BB1" w:rsidRDefault="00D12BB1" w:rsidP="001260FF">
      <w:pPr>
        <w:pStyle w:val="Heading2"/>
        <w:jc w:val="both"/>
      </w:pPr>
      <w:bookmarkStart w:id="118" w:name="_Toc511503109"/>
      <w:bookmarkStart w:id="119" w:name="_Toc512166869"/>
      <w:bookmarkStart w:id="120" w:name="_Toc512168646"/>
      <w:bookmarkStart w:id="121" w:name="_Toc512169527"/>
      <w:bookmarkStart w:id="122" w:name="_Toc512334083"/>
      <w:r>
        <w:t>CSR &amp; CRI Testing</w:t>
      </w:r>
      <w:bookmarkEnd w:id="118"/>
      <w:bookmarkEnd w:id="119"/>
      <w:bookmarkEnd w:id="120"/>
      <w:bookmarkEnd w:id="121"/>
      <w:bookmarkEnd w:id="122"/>
    </w:p>
    <w:p w:rsidR="00D12BB1" w:rsidRDefault="00D12BB1" w:rsidP="001260FF">
      <w:pPr>
        <w:jc w:val="both"/>
      </w:pPr>
    </w:p>
    <w:p w:rsidR="00D12BB1" w:rsidRDefault="00D12BB1" w:rsidP="001260FF">
      <w:pPr>
        <w:jc w:val="both"/>
      </w:pPr>
      <w:r w:rsidRPr="00B00436">
        <w:t>Coke strength after reaction (CSR) and coke reactivity index (CRI) tests are tests that replicate the conditions of the blast furnace in order to see how the coke will respond. In principle, a dried portion of the coke sample is sized between 19.0mm and 22.4mm. it is then heated in a reaction vessel to 1100°C in an atmosphere of nitrogen. The nitrogen is then replaced for carbon dioxide two hours before switching back to nitrogen. At this point, the reaction vessel can be cooled. The values in weight before and after the test period are used to determine the coke reactivity index. The reacted coke is then placed in a tumbler for 600 revolutions. After sieving the tumbled test portion over a 10.0mm sieve, the sample that remains is weighed. This weight and the after-reaction weight are used in order to calculate the coke strength after reaction</w:t>
      </w:r>
      <w:r w:rsidR="000261BF">
        <w:t xml:space="preserve"> </w:t>
      </w:r>
      <w:r w:rsidR="000261BF" w:rsidRPr="000261BF">
        <w:rPr>
          <w:vertAlign w:val="superscript"/>
        </w:rPr>
        <w:t>[15]</w:t>
      </w:r>
      <w:r>
        <w:t>.</w:t>
      </w:r>
    </w:p>
    <w:p w:rsidR="00D12BB1" w:rsidRDefault="00D12BB1" w:rsidP="001260FF">
      <w:pPr>
        <w:jc w:val="both"/>
      </w:pPr>
    </w:p>
    <w:p w:rsidR="00D12BB1" w:rsidRDefault="00D12BB1" w:rsidP="001260FF">
      <w:pPr>
        <w:pStyle w:val="Heading3"/>
        <w:jc w:val="both"/>
      </w:pPr>
      <w:bookmarkStart w:id="123" w:name="_Toc511503110"/>
      <w:bookmarkStart w:id="124" w:name="_Toc512166870"/>
      <w:bookmarkStart w:id="125" w:name="_Toc512168647"/>
      <w:bookmarkStart w:id="126" w:name="_Toc512169528"/>
      <w:bookmarkStart w:id="127" w:name="_Toc512334084"/>
      <w:r>
        <w:t>Preparation of the Sample</w:t>
      </w:r>
      <w:bookmarkEnd w:id="123"/>
      <w:bookmarkEnd w:id="124"/>
      <w:bookmarkEnd w:id="125"/>
      <w:bookmarkEnd w:id="126"/>
      <w:bookmarkEnd w:id="127"/>
    </w:p>
    <w:p w:rsidR="00D12BB1" w:rsidRDefault="00D12BB1" w:rsidP="001260FF">
      <w:pPr>
        <w:jc w:val="both"/>
      </w:pPr>
    </w:p>
    <w:p w:rsidR="00D12BB1" w:rsidRDefault="00D12BB1" w:rsidP="001260FF">
      <w:pPr>
        <w:jc w:val="both"/>
      </w:pPr>
      <w:r>
        <w:t xml:space="preserve">Approximately </w:t>
      </w:r>
      <w:r w:rsidR="008E1358">
        <w:t>6</w:t>
      </w:r>
      <w:r>
        <w:t xml:space="preserve">0kg of coke is sampled from the coke ovens twice per shift. The coke is then screened over particular size sieves in order to prepare a micum test. Certain weights are removed from particular size fractions and crushed using a jaw crusher. The jaws of the crusher are set so that roughly 30% of the crushed material will fall within the desired fraction. The material is sized between 19.0mm and 22.4mm. </w:t>
      </w:r>
      <w:r w:rsidR="008E1358">
        <w:t>T</w:t>
      </w:r>
      <w:r>
        <w:t xml:space="preserve">wo 1kg samples are accurately weighed and placed in an oven at 105°C until constant mass is achieved. The samples are weighed again and the moisture is calculated. The samples are then collected and stored with other moisture samples over a two-day period. This composite sample is then dried and resized over the same sieves in order to remove any pieces that may have split in two. From the remaining sample, two 200g </w:t>
      </w:r>
      <w:r w:rsidRPr="00A11CD0">
        <w:rPr>
          <w:rFonts w:cs="Calibri"/>
        </w:rPr>
        <w:t>±</w:t>
      </w:r>
      <w:r w:rsidR="008E1358">
        <w:rPr>
          <w:rFonts w:cs="Calibri"/>
        </w:rPr>
        <w:t xml:space="preserve"> </w:t>
      </w:r>
      <w:r>
        <w:t xml:space="preserve">2g test portions are weighed. The weights are recorded to the nearest 0.1g. </w:t>
      </w:r>
    </w:p>
    <w:p w:rsidR="00D12BB1" w:rsidRDefault="00D12BB1" w:rsidP="001260FF">
      <w:pPr>
        <w:jc w:val="both"/>
      </w:pPr>
    </w:p>
    <w:p w:rsidR="00D12BB1" w:rsidRDefault="00D12BB1" w:rsidP="001260FF">
      <w:pPr>
        <w:pStyle w:val="Heading3"/>
        <w:jc w:val="both"/>
      </w:pPr>
      <w:bookmarkStart w:id="128" w:name="_Toc511503111"/>
      <w:bookmarkStart w:id="129" w:name="_Toc512166871"/>
      <w:bookmarkStart w:id="130" w:name="_Toc512168648"/>
      <w:bookmarkStart w:id="131" w:name="_Toc512169529"/>
      <w:bookmarkStart w:id="132" w:name="_Toc512334085"/>
      <w:r>
        <w:lastRenderedPageBreak/>
        <w:t>Procedure</w:t>
      </w:r>
      <w:bookmarkEnd w:id="128"/>
      <w:bookmarkEnd w:id="129"/>
      <w:bookmarkEnd w:id="130"/>
      <w:bookmarkEnd w:id="131"/>
      <w:bookmarkEnd w:id="132"/>
    </w:p>
    <w:p w:rsidR="00D12BB1" w:rsidRDefault="00D12BB1" w:rsidP="001260FF">
      <w:pPr>
        <w:jc w:val="both"/>
      </w:pPr>
    </w:p>
    <w:p w:rsidR="00D12BB1" w:rsidRDefault="00D12BB1" w:rsidP="001260FF">
      <w:pPr>
        <w:jc w:val="both"/>
      </w:pPr>
      <w:r>
        <w:t xml:space="preserve">The vessel comes preloaded with a perforated lower sample support plate, aluminium oxide balls and a thermocouple positioning bar. The lower sample support and aluminium oxide balls allow the gases to flow through the vessel without obstruction and also to replicate the internal layout of the blast furnace. The test portion then sits on top of the thermocouple positioning bar. The gasket and vessel lid are then put into place and secured to the vessel itself with the use of three clamps. The thermocouple is inserted through the positioning bar and the gas flow pipe is connected to the vessel. With the use of a mechanical hoist the vessel is lifted from the cooling vessel it is normally housed in and placed into the heating rig. A connecting cable is used to connect the thermocouple to the control rig, the control rig is turned on along with the extraction system and the extraction hood is moved into place. </w:t>
      </w:r>
    </w:p>
    <w:p w:rsidR="00747754" w:rsidRDefault="00747754" w:rsidP="001260FF">
      <w:pPr>
        <w:jc w:val="both"/>
      </w:pPr>
    </w:p>
    <w:p w:rsidR="00747754" w:rsidRDefault="00594B58" w:rsidP="00AA4C43">
      <w:pPr>
        <w:jc w:val="center"/>
      </w:pPr>
      <w:r>
        <w:pict>
          <v:shape id="_x0000_i1029" type="#_x0000_t75" style="width:140.25pt;height:186.75pt;mso-left-percent:-10001;mso-top-percent:-10001;mso-position-horizontal:absolute;mso-position-horizontal-relative:char;mso-position-vertical:absolute;mso-position-vertical-relative:line;mso-left-percent:-10001;mso-top-percent:-10001">
            <v:imagedata r:id="rId14" o:title=""/>
          </v:shape>
        </w:pict>
      </w:r>
      <w:r w:rsidR="00747754">
        <w:t xml:space="preserve">   </w:t>
      </w:r>
      <w:r>
        <w:pict>
          <v:shape id="_x0000_i1030" type="#_x0000_t75" style="width:139.5pt;height:186.75pt;mso-left-percent:-10001;mso-top-percent:-10001;mso-position-horizontal:absolute;mso-position-horizontal-relative:char;mso-position-vertical:absolute;mso-position-vertical-relative:line;mso-left-percent:-10001;mso-top-percent:-10001">
            <v:imagedata r:id="rId15" o:title=""/>
          </v:shape>
        </w:pict>
      </w:r>
      <w:r w:rsidR="00AA4C43">
        <w:t xml:space="preserve">   </w:t>
      </w:r>
      <w:r>
        <w:pict>
          <v:shape id="_x0000_i1031" type="#_x0000_t75" style="width:140.25pt;height:186.75pt;mso-left-percent:-10001;mso-top-percent:-10001;mso-position-horizontal:absolute;mso-position-horizontal-relative:char;mso-position-vertical:absolute;mso-position-vertical-relative:line;mso-left-percent:-10001;mso-top-percent:-10001">
            <v:imagedata r:id="rId16" o:title=""/>
          </v:shape>
        </w:pict>
      </w:r>
    </w:p>
    <w:p w:rsidR="00747754" w:rsidRPr="00747754" w:rsidRDefault="00747754" w:rsidP="00747754">
      <w:pPr>
        <w:pStyle w:val="Caption"/>
        <w:jc w:val="center"/>
      </w:pPr>
      <w:bookmarkStart w:id="133" w:name="_Toc512333568"/>
      <w:r w:rsidRPr="00747754">
        <w:t xml:space="preserve">Figure </w:t>
      </w:r>
      <w:fldSimple w:instr=" SEQ Figure \* ARABIC ">
        <w:r w:rsidR="009A5CBD">
          <w:rPr>
            <w:noProof/>
          </w:rPr>
          <w:t>4</w:t>
        </w:r>
      </w:fldSimple>
      <w:r w:rsidRPr="00747754">
        <w:t xml:space="preserve"> - Pictures showing the difference between an unloaded vessel</w:t>
      </w:r>
      <w:r w:rsidR="00AA4C43">
        <w:t xml:space="preserve">, </w:t>
      </w:r>
      <w:r w:rsidRPr="00747754">
        <w:t>a loaded vessel</w:t>
      </w:r>
      <w:r w:rsidR="00AA4C43">
        <w:t xml:space="preserve"> and the vessel in the heating rig with the extraction hood in place</w:t>
      </w:r>
      <w:r w:rsidRPr="00747754">
        <w:t>.</w:t>
      </w:r>
      <w:r>
        <w:rPr>
          <w:b w:val="0"/>
        </w:rPr>
        <w:t xml:space="preserve"> </w:t>
      </w:r>
      <w:r w:rsidRPr="00747754">
        <w:rPr>
          <w:vertAlign w:val="superscript"/>
        </w:rPr>
        <w:t>[1]</w:t>
      </w:r>
      <w:bookmarkEnd w:id="133"/>
    </w:p>
    <w:p w:rsidR="00B77DB5" w:rsidRDefault="00B77DB5" w:rsidP="001260FF">
      <w:pPr>
        <w:jc w:val="both"/>
      </w:pPr>
    </w:p>
    <w:p w:rsidR="00D12BB1" w:rsidRDefault="00D12BB1" w:rsidP="001260FF">
      <w:pPr>
        <w:jc w:val="both"/>
      </w:pPr>
      <w:r>
        <w:t>With everything fully connected and ready to go, the heating period of the test can begin. Once started, the furnace will heat up to 1100°C ± 3°C and will hold this temperature until stable whilst nitrogen is pumped in to the reaction vessel at a rate of 10</w:t>
      </w:r>
      <w:r w:rsidR="008E1358">
        <w:t xml:space="preserve"> </w:t>
      </w:r>
      <w:r>
        <w:t>l/min. Nitrogen is used as it creates an inert atmosphere, meaning that no reaction can take place with the coke. Once the furnace is at 1100°C and steady, the gas will change from nitrogen to carbon dioxide. The carbon dioxide is pumped in at a rate of 5 l/min This last for exactly two hours. During this portion of the test, the coke will react with the carbon dioxide to produce carbon monoxide. This is an endothermic reaction so the furnace will regulate the temperature in order to keep the temperature at a constant 1100°C ± 3°C.</w:t>
      </w:r>
    </w:p>
    <w:p w:rsidR="00747754" w:rsidRDefault="00594B58" w:rsidP="00AA4C43">
      <w:pPr>
        <w:jc w:val="center"/>
      </w:pPr>
      <w:r>
        <w:lastRenderedPageBreak/>
        <w:pict>
          <v:shape id="_x0000_i1032" type="#_x0000_t75" style="width:139.5pt;height:185.25pt;mso-left-percent:-10001;mso-top-percent:-10001;mso-position-horizontal:absolute;mso-position-horizontal-relative:char;mso-position-vertical:absolute;mso-position-vertical-relative:line;mso-left-percent:-10001;mso-top-percent:-10001">
            <v:imagedata r:id="rId17" o:title=""/>
          </v:shape>
        </w:pict>
      </w:r>
      <w:r w:rsidR="00AA4C43">
        <w:t xml:space="preserve">   </w:t>
      </w:r>
      <w:r>
        <w:pict>
          <v:shape id="_x0000_i1033" type="#_x0000_t75" style="width:137.25pt;height:183.75pt;mso-left-percent:-10001;mso-top-percent:-10001;mso-position-horizontal:absolute;mso-position-horizontal-relative:char;mso-position-vertical:absolute;mso-position-vertical-relative:line;mso-left-percent:-10001;mso-top-percent:-10001">
            <v:imagedata r:id="rId18" o:title=""/>
          </v:shape>
        </w:pict>
      </w:r>
      <w:r w:rsidR="00AA4C43">
        <w:t xml:space="preserve">   </w:t>
      </w:r>
      <w:r>
        <w:pict>
          <v:shape id="_x0000_i1034" type="#_x0000_t75" style="width:136.5pt;height:183.75pt;mso-left-percent:-10001;mso-top-percent:-10001;mso-position-horizontal:absolute;mso-position-horizontal-relative:char;mso-position-vertical:absolute;mso-position-vertical-relative:line;mso-left-percent:-10001;mso-top-percent:-10001">
            <v:imagedata r:id="rId19" o:title=""/>
          </v:shape>
        </w:pict>
      </w:r>
    </w:p>
    <w:p w:rsidR="00AA4C43" w:rsidRPr="00AA4C43" w:rsidRDefault="00AA4C43" w:rsidP="00AA4C43">
      <w:pPr>
        <w:pStyle w:val="Caption"/>
        <w:jc w:val="center"/>
        <w:rPr>
          <w:b w:val="0"/>
        </w:rPr>
      </w:pPr>
      <w:bookmarkStart w:id="134" w:name="_Toc512333569"/>
      <w:r>
        <w:t xml:space="preserve">Figure </w:t>
      </w:r>
      <w:fldSimple w:instr=" SEQ Figure \* ARABIC ">
        <w:r w:rsidR="009A5CBD">
          <w:rPr>
            <w:noProof/>
          </w:rPr>
          <w:t>5</w:t>
        </w:r>
      </w:fldSimple>
      <w:r>
        <w:t xml:space="preserve"> – pictures showing the 22.4mm and 19.0mm sieve, the 9.5mm sieve and the tumblers used for CSR/CRI testing. </w:t>
      </w:r>
      <w:r>
        <w:rPr>
          <w:b w:val="0"/>
          <w:vertAlign w:val="superscript"/>
        </w:rPr>
        <w:t>[1]</w:t>
      </w:r>
      <w:bookmarkEnd w:id="134"/>
    </w:p>
    <w:p w:rsidR="00B77DB5" w:rsidRDefault="00B77DB5" w:rsidP="001260FF">
      <w:pPr>
        <w:jc w:val="both"/>
      </w:pPr>
    </w:p>
    <w:p w:rsidR="00D12BB1" w:rsidRDefault="00D12BB1" w:rsidP="001260FF">
      <w:pPr>
        <w:jc w:val="both"/>
      </w:pPr>
      <w:r>
        <w:t>Once the two-hour time period has passed the gas flow will switch back to carbon dioxide at a rate of 5 l/min and the oven will stop retaining the constant temperature. At this point, the thermocouple connecting leads are disconnected and the reaction vessel can be lifted out of the oven and placed into the cooling rig. The leads are reconnected so the temperature can be monitored and the cooling rig is turned on. A fan at the bottom of the cooling rig will then assist with the cooling. Once the temperature shown has reached 50°C or lower, the test potion can be removed from the vessel. The three clamps holding the lid in place are removed first, followed by the lid and gasket. The vessel is then lifted onto a workbench and tipped upside down in order for the test portion to fall out. Occasionally the portion will get stuck within the vessel. This can be resolved by tapping the side of the vessel with a rubber mallet. A rubber mallet is used in order to not cause any structural damage to the vessel itself. Once all the sample is removed, the vessel is laid onto the workbench and the thermocouple positioning bar is removed. This makes sure all pieces of coke are removed from the vessel. The internal components of the vessel are checked to make sure they do not need to be replaced before being placed back into the cooling rig for storage. The test portion is weighed accurately to the nearest 0.1g and the weight is recorded.</w:t>
      </w:r>
    </w:p>
    <w:p w:rsidR="00B77DB5" w:rsidRDefault="00B77DB5" w:rsidP="001260FF">
      <w:pPr>
        <w:jc w:val="both"/>
      </w:pPr>
    </w:p>
    <w:p w:rsidR="00D53910" w:rsidRDefault="00D12BB1" w:rsidP="001260FF">
      <w:pPr>
        <w:jc w:val="both"/>
      </w:pPr>
      <w:r>
        <w:t>The test portion is then loaded into a specifically designed tumbler that rotates for 600 revolutions over a 30-minute period. The lid of the tumbler is replaced with a receiving dish in order to help with the removal of the sample. The sample is then sieved over a 9.5mm sieve with the weight of the sample remaining on the sieve being recorded accurately to the nearest 0.1g</w:t>
      </w:r>
      <w:r w:rsidR="00D14634">
        <w:t xml:space="preserve"> </w:t>
      </w:r>
      <w:r w:rsidR="009726D8">
        <w:rPr>
          <w:vertAlign w:val="superscript"/>
        </w:rPr>
        <w:t>[1</w:t>
      </w:r>
      <w:r w:rsidR="000261BF">
        <w:rPr>
          <w:vertAlign w:val="superscript"/>
        </w:rPr>
        <w:t>6</w:t>
      </w:r>
      <w:r w:rsidR="009726D8">
        <w:rPr>
          <w:vertAlign w:val="superscript"/>
        </w:rPr>
        <w:t>]</w:t>
      </w:r>
      <w:r>
        <w:t>.</w:t>
      </w:r>
    </w:p>
    <w:p w:rsidR="00D53910" w:rsidRDefault="00D53910" w:rsidP="001260FF">
      <w:pPr>
        <w:jc w:val="both"/>
      </w:pPr>
    </w:p>
    <w:p w:rsidR="00AA4C43" w:rsidRDefault="00AA4C43" w:rsidP="001260FF">
      <w:pPr>
        <w:jc w:val="both"/>
      </w:pPr>
    </w:p>
    <w:p w:rsidR="00AA4C43" w:rsidRDefault="00AA4C43" w:rsidP="001260FF">
      <w:pPr>
        <w:jc w:val="both"/>
      </w:pPr>
    </w:p>
    <w:p w:rsidR="00AA4C43" w:rsidRDefault="00AA4C43" w:rsidP="001260FF">
      <w:pPr>
        <w:jc w:val="both"/>
      </w:pPr>
    </w:p>
    <w:p w:rsidR="00D12BB1" w:rsidRDefault="00D12BB1" w:rsidP="001260FF">
      <w:pPr>
        <w:pStyle w:val="Heading3"/>
        <w:jc w:val="both"/>
      </w:pPr>
      <w:bookmarkStart w:id="135" w:name="_Toc511503112"/>
      <w:bookmarkStart w:id="136" w:name="_Toc512166872"/>
      <w:bookmarkStart w:id="137" w:name="_Toc512168649"/>
      <w:bookmarkStart w:id="138" w:name="_Toc512169530"/>
      <w:bookmarkStart w:id="139" w:name="_Toc512334086"/>
      <w:r>
        <w:lastRenderedPageBreak/>
        <w:t>Calculating the CSR &amp; CRI</w:t>
      </w:r>
      <w:bookmarkEnd w:id="135"/>
      <w:bookmarkEnd w:id="136"/>
      <w:bookmarkEnd w:id="137"/>
      <w:bookmarkEnd w:id="138"/>
      <w:bookmarkEnd w:id="139"/>
    </w:p>
    <w:p w:rsidR="00D12BB1" w:rsidRDefault="00D12BB1" w:rsidP="001260FF">
      <w:pPr>
        <w:pStyle w:val="Heading4"/>
        <w:jc w:val="both"/>
      </w:pPr>
      <w:r>
        <w:t>CRI</w:t>
      </w:r>
    </w:p>
    <w:p w:rsidR="00D12BB1" w:rsidRDefault="00D12BB1" w:rsidP="001260FF">
      <w:pPr>
        <w:jc w:val="both"/>
      </w:pPr>
    </w:p>
    <w:p w:rsidR="00D12BB1" w:rsidRDefault="00D12BB1" w:rsidP="001260FF">
      <w:pPr>
        <w:jc w:val="both"/>
      </w:pPr>
      <w:r>
        <w:t>The CRI is expressed as a percentage by mass and is calculated with the following formula:</w:t>
      </w:r>
    </w:p>
    <w:p w:rsidR="00D12BB1" w:rsidRPr="00A11CD0" w:rsidRDefault="00594B58" w:rsidP="001552CA">
      <w:pPr>
        <w:jc w:val="center"/>
        <w:rPr>
          <w:rFonts w:eastAsia="Times New Roman"/>
        </w:rPr>
      </w:pPr>
      <w:r>
        <w:pict>
          <v:shape id="_x0000_i1035" type="#_x0000_t75" style="width:112.5pt;height:24.7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activeWritingStyle w:lang=&quot;EN-GB&quot; w:vendorID=&quot;64&quot; w:dllVersion=&quot;0&quot; w:nlCheck=&quot;on&quot; w:optionSet=&quot;0&quot;/&gt;&lt;w:activeWritingStyle w:lang=&quot;EN-US&quot; w:vendorID=&quot;64&quot; w:dllVersion=&quot;0&quot; w:nlCheck=&quot;on&quot; w:optionSet=&quot;0&quot;/&gt;&lt;w:activeWritingStyle w:lang=&quot;EN-US&quot; w:vendorID=&quot;64&quot; w:dllVersion=&quot;4096&quot; w:nlCheck=&quot;on&quot; w:optionSet=&quot;0&quot;/&gt;&lt;w:activeWritingStyle w:lang=&quot;EN-GB&quot; w:vendorID=&quot;64&quot; w:dllVersion=&quot;4096&quot; w:nlCheck=&quot;on&quot; w:optionSet=&quot;0&quot;/&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64281D&quot;/&gt;&lt;wsp:rsid wsp:val=&quot;000210E2&quot;/&gt;&lt;wsp:rsid wsp:val=&quot;00027D47&quot;/&gt;&lt;wsp:rsid wsp:val=&quot;000459B1&quot;/&gt;&lt;wsp:rsid wsp:val=&quot;00057F2C&quot;/&gt;&lt;wsp:rsid wsp:val=&quot;00074AF9&quot;/&gt;&lt;wsp:rsid wsp:val=&quot;0008299B&quot;/&gt;&lt;wsp:rsid wsp:val=&quot;00086525&quot;/&gt;&lt;wsp:rsid wsp:val=&quot;000A27E2&quot;/&gt;&lt;wsp:rsid wsp:val=&quot;000A2897&quot;/&gt;&lt;wsp:rsid wsp:val=&quot;000B5492&quot;/&gt;&lt;wsp:rsid wsp:val=&quot;000D700F&quot;/&gt;&lt;wsp:rsid wsp:val=&quot;000E14F1&quot;/&gt;&lt;wsp:rsid wsp:val=&quot;000E25E7&quot;/&gt;&lt;wsp:rsid wsp:val=&quot;000F1218&quot;/&gt;&lt;wsp:rsid wsp:val=&quot;0010372B&quot;/&gt;&lt;wsp:rsid wsp:val=&quot;001071AF&quot;/&gt;&lt;wsp:rsid wsp:val=&quot;00113683&quot;/&gt;&lt;wsp:rsid wsp:val=&quot;001260FF&quot;/&gt;&lt;wsp:rsid wsp:val=&quot;00133E36&quot;/&gt;&lt;wsp:rsid wsp:val=&quot;00177D1A&quot;/&gt;&lt;wsp:rsid wsp:val=&quot;0018275A&quot;/&gt;&lt;wsp:rsid wsp:val=&quot;00192B18&quot;/&gt;&lt;wsp:rsid wsp:val=&quot;001A45DD&quot;/&gt;&lt;wsp:rsid wsp:val=&quot;001A65CD&quot;/&gt;&lt;wsp:rsid wsp:val=&quot;001C66E8&quot;/&gt;&lt;wsp:rsid wsp:val=&quot;001D1134&quot;/&gt;&lt;wsp:rsid wsp:val=&quot;001D59DA&quot;/&gt;&lt;wsp:rsid wsp:val=&quot;001D67DB&quot;/&gt;&lt;wsp:rsid wsp:val=&quot;001D7B68&quot;/&gt;&lt;wsp:rsid wsp:val=&quot;001E5C26&quot;/&gt;&lt;wsp:rsid wsp:val=&quot;001E645D&quot;/&gt;&lt;wsp:rsid wsp:val=&quot;001E75A8&quot;/&gt;&lt;wsp:rsid wsp:val=&quot;001E7EB3&quot;/&gt;&lt;wsp:rsid wsp:val=&quot;00214434&quot;/&gt;&lt;wsp:rsid wsp:val=&quot;0022025C&quot;/&gt;&lt;wsp:rsid wsp:val=&quot;002229A8&quot;/&gt;&lt;wsp:rsid wsp:val=&quot;002368EA&quot;/&gt;&lt;wsp:rsid wsp:val=&quot;00254F57&quot;/&gt;&lt;wsp:rsid wsp:val=&quot;0025533D&quot;/&gt;&lt;wsp:rsid wsp:val=&quot;0025561D&quot;/&gt;&lt;wsp:rsid wsp:val=&quot;00264033&quot;/&gt;&lt;wsp:rsid wsp:val=&quot;00265D43&quot;/&gt;&lt;wsp:rsid wsp:val=&quot;002704C5&quot;/&gt;&lt;wsp:rsid wsp:val=&quot;00273A8C&quot;/&gt;&lt;wsp:rsid wsp:val=&quot;00284C86&quot;/&gt;&lt;wsp:rsid wsp:val=&quot;002920D4&quot;/&gt;&lt;wsp:rsid wsp:val=&quot;002A0CDA&quot;/&gt;&lt;wsp:rsid wsp:val=&quot;002C3F36&quot;/&gt;&lt;wsp:rsid wsp:val=&quot;002C7359&quot;/&gt;&lt;wsp:rsid wsp:val=&quot;002D50C4&quot;/&gt;&lt;wsp:rsid wsp:val=&quot;002E20F6&quot;/&gt;&lt;wsp:rsid wsp:val=&quot;002F4F56&quot;/&gt;&lt;wsp:rsid wsp:val=&quot;002F7E43&quot;/&gt;&lt;wsp:rsid wsp:val=&quot;0030182D&quot;/&gt;&lt;wsp:rsid wsp:val=&quot;00302DE6&quot;/&gt;&lt;wsp:rsid wsp:val=&quot;0030756A&quot;/&gt;&lt;wsp:rsid wsp:val=&quot;00327865&quot;/&gt;&lt;wsp:rsid wsp:val=&quot;00337E67&quot;/&gt;&lt;wsp:rsid wsp:val=&quot;00354349&quot;/&gt;&lt;wsp:rsid wsp:val=&quot;00372602&quot;/&gt;&lt;wsp:rsid wsp:val=&quot;00373D61&quot;/&gt;&lt;wsp:rsid wsp:val=&quot;00386113&quot;/&gt;&lt;wsp:rsid wsp:val=&quot;003A1F77&quot;/&gt;&lt;wsp:rsid wsp:val=&quot;003A3515&quot;/&gt;&lt;wsp:rsid wsp:val=&quot;003B51FE&quot;/&gt;&lt;wsp:rsid wsp:val=&quot;003B53C4&quot;/&gt;&lt;wsp:rsid wsp:val=&quot;003B76DA&quot;/&gt;&lt;wsp:rsid wsp:val=&quot;003C6F15&quot;/&gt;&lt;wsp:rsid wsp:val=&quot;003D032A&quot;/&gt;&lt;wsp:rsid wsp:val=&quot;003D0801&quot;/&gt;&lt;wsp:rsid wsp:val=&quot;003D4F15&quot;/&gt;&lt;wsp:rsid wsp:val=&quot;003E39B0&quot;/&gt;&lt;wsp:rsid wsp:val=&quot;003E4041&quot;/&gt;&lt;wsp:rsid wsp:val=&quot;003E64EF&quot;/&gt;&lt;wsp:rsid wsp:val=&quot;00406AA5&quot;/&gt;&lt;wsp:rsid wsp:val=&quot;00406E76&quot;/&gt;&lt;wsp:rsid wsp:val=&quot;00410588&quot;/&gt;&lt;wsp:rsid wsp:val=&quot;00411250&quot;/&gt;&lt;wsp:rsid wsp:val=&quot;00424824&quot;/&gt;&lt;wsp:rsid wsp:val=&quot;00425A78&quot;/&gt;&lt;wsp:rsid wsp:val=&quot;004330F9&quot;/&gt;&lt;wsp:rsid wsp:val=&quot;00452D2D&quot;/&gt;&lt;wsp:rsid wsp:val=&quot;0045748C&quot;/&gt;&lt;wsp:rsid wsp:val=&quot;004824CA&quot;/&gt;&lt;wsp:rsid wsp:val=&quot;004926F8&quot;/&gt;&lt;wsp:rsid wsp:val=&quot;00492A3A&quot;/&gt;&lt;wsp:rsid wsp:val=&quot;00493159&quot;/&gt;&lt;wsp:rsid wsp:val=&quot;004A2971&quot;/&gt;&lt;wsp:rsid wsp:val=&quot;004A2DCC&quot;/&gt;&lt;wsp:rsid wsp:val=&quot;004B30F2&quot;/&gt;&lt;wsp:rsid wsp:val=&quot;004B5654&quot;/&gt;&lt;wsp:rsid wsp:val=&quot;004C39DC&quot;/&gt;&lt;wsp:rsid wsp:val=&quot;004C6A03&quot;/&gt;&lt;wsp:rsid wsp:val=&quot;004C7DD7&quot;/&gt;&lt;wsp:rsid wsp:val=&quot;00501C27&quot;/&gt;&lt;wsp:rsid wsp:val=&quot;00502630&quot;/&gt;&lt;wsp:rsid wsp:val=&quot;00504B60&quot;/&gt;&lt;wsp:rsid wsp:val=&quot;00511E9D&quot;/&gt;&lt;wsp:rsid wsp:val=&quot;00514B95&quot;/&gt;&lt;wsp:rsid wsp:val=&quot;00514D3E&quot;/&gt;&lt;wsp:rsid wsp:val=&quot;005205BF&quot;/&gt;&lt;wsp:rsid wsp:val=&quot;005244E0&quot;/&gt;&lt;wsp:rsid wsp:val=&quot;0053201F&quot;/&gt;&lt;wsp:rsid wsp:val=&quot;00541B2D&quot;/&gt;&lt;wsp:rsid wsp:val=&quot;00545134&quot;/&gt;&lt;wsp:rsid wsp:val=&quot;005457F8&quot;/&gt;&lt;wsp:rsid wsp:val=&quot;005500F9&quot;/&gt;&lt;wsp:rsid wsp:val=&quot;00557BB9&quot;/&gt;&lt;wsp:rsid wsp:val=&quot;00562A93&quot;/&gt;&lt;wsp:rsid wsp:val=&quot;0056382F&quot;/&gt;&lt;wsp:rsid wsp:val=&quot;005650E6&quot;/&gt;&lt;wsp:rsid wsp:val=&quot;00566F45&quot;/&gt;&lt;wsp:rsid wsp:val=&quot;00576F5D&quot;/&gt;&lt;wsp:rsid wsp:val=&quot;005B035F&quot;/&gt;&lt;wsp:rsid wsp:val=&quot;005C1C0C&quot;/&gt;&lt;wsp:rsid wsp:val=&quot;005D1857&quot;/&gt;&lt;wsp:rsid wsp:val=&quot;005E6D22&quot;/&gt;&lt;wsp:rsid wsp:val=&quot;005F5E8A&quot;/&gt;&lt;wsp:rsid wsp:val=&quot;005F7F27&quot;/&gt;&lt;wsp:rsid wsp:val=&quot;00600964&quot;/&gt;&lt;wsp:rsid wsp:val=&quot;006029B1&quot;/&gt;&lt;wsp:rsid wsp:val=&quot;0060310D&quot;/&gt;&lt;wsp:rsid wsp:val=&quot;00610B98&quot;/&gt;&lt;wsp:rsid wsp:val=&quot;00621A82&quot;/&gt;&lt;wsp:rsid wsp:val=&quot;00625EB8&quot;/&gt;&lt;wsp:rsid wsp:val=&quot;00626052&quot;/&gt;&lt;wsp:rsid wsp:val=&quot;00636FEC&quot;/&gt;&lt;wsp:rsid wsp:val=&quot;00640C9F&quot;/&gt;&lt;wsp:rsid wsp:val=&quot;0064281D&quot;/&gt;&lt;wsp:rsid wsp:val=&quot;00645368&quot;/&gt;&lt;wsp:rsid wsp:val=&quot;0064558E&quot;/&gt;&lt;wsp:rsid wsp:val=&quot;006555F2&quot;/&gt;&lt;wsp:rsid wsp:val=&quot;00673C4C&quot;/&gt;&lt;wsp:rsid wsp:val=&quot;00676C5C&quot;/&gt;&lt;wsp:rsid wsp:val=&quot;006943A7&quot;/&gt;&lt;wsp:rsid wsp:val=&quot;006A10C1&quot;/&gt;&lt;wsp:rsid wsp:val=&quot;006B5DAC&quot;/&gt;&lt;wsp:rsid wsp:val=&quot;006B6CAF&quot;/&gt;&lt;wsp:rsid wsp:val=&quot;006C278A&quot;/&gt;&lt;wsp:rsid wsp:val=&quot;006F7EAD&quot;/&gt;&lt;wsp:rsid wsp:val=&quot;00707A9E&quot;/&gt;&lt;wsp:rsid wsp:val=&quot;007120E6&quot;/&gt;&lt;wsp:rsid wsp:val=&quot;00743D5F&quot;/&gt;&lt;wsp:rsid wsp:val=&quot;00756314&quot;/&gt;&lt;wsp:rsid wsp:val=&quot;00756C11&quot;/&gt;&lt;wsp:rsid wsp:val=&quot;00774572&quot;/&gt;&lt;wsp:rsid wsp:val=&quot;00776C79&quot;/&gt;&lt;wsp:rsid wsp:val=&quot;007806CD&quot;/&gt;&lt;wsp:rsid wsp:val=&quot;00784FA1&quot;/&gt;&lt;wsp:rsid wsp:val=&quot;00796B2E&quot;/&gt;&lt;wsp:rsid wsp:val=&quot;007A0BF3&quot;/&gt;&lt;wsp:rsid wsp:val=&quot;007A1C0E&quot;/&gt;&lt;wsp:rsid wsp:val=&quot;007A68CD&quot;/&gt;&lt;wsp:rsid wsp:val=&quot;007D1A66&quot;/&gt;&lt;wsp:rsid wsp:val=&quot;007D7919&quot;/&gt;&lt;wsp:rsid wsp:val=&quot;007E21E5&quot;/&gt;&lt;wsp:rsid wsp:val=&quot;007F645F&quot;/&gt;&lt;wsp:rsid wsp:val=&quot;00810E42&quot;/&gt;&lt;wsp:rsid wsp:val=&quot;00830408&quot;/&gt;&lt;wsp:rsid wsp:val=&quot;008329F4&quot;/&gt;&lt;wsp:rsid wsp:val=&quot;008405C2&quot;/&gt;&lt;wsp:rsid wsp:val=&quot;00854321&quot;/&gt;&lt;wsp:rsid wsp:val=&quot;00880801&quot;/&gt;&lt;wsp:rsid wsp:val=&quot;008A2066&quot;/&gt;&lt;wsp:rsid wsp:val=&quot;008A3B3F&quot;/&gt;&lt;wsp:rsid wsp:val=&quot;008C0E5F&quot;/&gt;&lt;wsp:rsid wsp:val=&quot;008C1F9E&quot;/&gt;&lt;wsp:rsid wsp:val=&quot;008C2A64&quot;/&gt;&lt;wsp:rsid wsp:val=&quot;008C4852&quot;/&gt;&lt;wsp:rsid wsp:val=&quot;008D1B1B&quot;/&gt;&lt;wsp:rsid wsp:val=&quot;008E1311&quot;/&gt;&lt;wsp:rsid wsp:val=&quot;008E5447&quot;/&gt;&lt;wsp:rsid wsp:val=&quot;009000DD&quot;/&gt;&lt;wsp:rsid wsp:val=&quot;009021FB&quot;/&gt;&lt;wsp:rsid wsp:val=&quot;00913BDE&quot;/&gt;&lt;wsp:rsid wsp:val=&quot;00913EAC&quot;/&gt;&lt;wsp:rsid wsp:val=&quot;00915594&quot;/&gt;&lt;wsp:rsid wsp:val=&quot;009212BE&quot;/&gt;&lt;wsp:rsid wsp:val=&quot;00921DBE&quot;/&gt;&lt;wsp:rsid wsp:val=&quot;009326C1&quot;/&gt;&lt;wsp:rsid wsp:val=&quot;00940EEA&quot;/&gt;&lt;wsp:rsid wsp:val=&quot;00953C05&quot;/&gt;&lt;wsp:rsid wsp:val=&quot;00954519&quot;/&gt;&lt;wsp:rsid wsp:val=&quot;00957EC6&quot;/&gt;&lt;wsp:rsid wsp:val=&quot;009612CD&quot;/&gt;&lt;wsp:rsid wsp:val=&quot;00973C6A&quot;/&gt;&lt;wsp:rsid wsp:val=&quot;00973C93&quot;/&gt;&lt;wsp:rsid wsp:val=&quot;009852D0&quot;/&gt;&lt;wsp:rsid wsp:val=&quot;009909D5&quot;/&gt;&lt;wsp:rsid wsp:val=&quot;00997C3A&quot;/&gt;&lt;wsp:rsid wsp:val=&quot;009B71AE&quot;/&gt;&lt;wsp:rsid wsp:val=&quot;009C01D1&quot;/&gt;&lt;wsp:rsid wsp:val=&quot;009C2376&quot;/&gt;&lt;wsp:rsid wsp:val=&quot;009C3BF8&quot;/&gt;&lt;wsp:rsid wsp:val=&quot;009C4B83&quot;/&gt;&lt;wsp:rsid wsp:val=&quot;009D3C7B&quot;/&gt;&lt;wsp:rsid wsp:val=&quot;009E2DA4&quot;/&gt;&lt;wsp:rsid wsp:val=&quot;009E70AD&quot;/&gt;&lt;wsp:rsid wsp:val=&quot;009F242A&quot;/&gt;&lt;wsp:rsid wsp:val=&quot;00A02035&quot;/&gt;&lt;wsp:rsid wsp:val=&quot;00A05A83&quot;/&gt;&lt;wsp:rsid wsp:val=&quot;00A11CD0&quot;/&gt;&lt;wsp:rsid wsp:val=&quot;00A15FD7&quot;/&gt;&lt;wsp:rsid wsp:val=&quot;00A22CC3&quot;/&gt;&lt;wsp:rsid wsp:val=&quot;00A267CB&quot;/&gt;&lt;wsp:rsid wsp:val=&quot;00A333E0&quot;/&gt;&lt;wsp:rsid wsp:val=&quot;00A349BF&quot;/&gt;&lt;wsp:rsid wsp:val=&quot;00A35312&quot;/&gt;&lt;wsp:rsid wsp:val=&quot;00A45833&quot;/&gt;&lt;wsp:rsid wsp:val=&quot;00A5039A&quot;/&gt;&lt;wsp:rsid wsp:val=&quot;00A571E2&quot;/&gt;&lt;wsp:rsid wsp:val=&quot;00A60097&quot;/&gt;&lt;wsp:rsid wsp:val=&quot;00A63394&quot;/&gt;&lt;wsp:rsid wsp:val=&quot;00A64754&quot;/&gt;&lt;wsp:rsid wsp:val=&quot;00A83811&quot;/&gt;&lt;wsp:rsid wsp:val=&quot;00A97F9F&quot;/&gt;&lt;wsp:rsid wsp:val=&quot;00AA51EE&quot;/&gt;&lt;wsp:rsid wsp:val=&quot;00AA522A&quot;/&gt;&lt;wsp:rsid wsp:val=&quot;00AB0820&quot;/&gt;&lt;wsp:rsid wsp:val=&quot;00AC7433&quot;/&gt;&lt;wsp:rsid wsp:val=&quot;00AE13B5&quot;/&gt;&lt;wsp:rsid wsp:val=&quot;00AE64BE&quot;/&gt;&lt;wsp:rsid wsp:val=&quot;00AE6F78&quot;/&gt;&lt;wsp:rsid wsp:val=&quot;00B16E54&quot;/&gt;&lt;wsp:rsid wsp:val=&quot;00B20A4F&quot;/&gt;&lt;wsp:rsid wsp:val=&quot;00B218A3&quot;/&gt;&lt;wsp:rsid wsp:val=&quot;00B34616&quot;/&gt;&lt;wsp:rsid wsp:val=&quot;00B521AE&quot;/&gt;&lt;wsp:rsid wsp:val=&quot;00B539FE&quot;/&gt;&lt;wsp:rsid wsp:val=&quot;00B5659B&quot;/&gt;&lt;wsp:rsid wsp:val=&quot;00B6276D&quot;/&gt;&lt;wsp:rsid wsp:val=&quot;00B63CA2&quot;/&gt;&lt;wsp:rsid wsp:val=&quot;00B6485C&quot;/&gt;&lt;wsp:rsid wsp:val=&quot;00B654BE&quot;/&gt;&lt;wsp:rsid wsp:val=&quot;00B70F41&quot;/&gt;&lt;wsp:rsid wsp:val=&quot;00B72432&quot;/&gt;&lt;wsp:rsid wsp:val=&quot;00B76573&quot;/&gt;&lt;wsp:rsid wsp:val=&quot;00B82405&quot;/&gt;&lt;wsp:rsid wsp:val=&quot;00B91E19&quot;/&gt;&lt;wsp:rsid wsp:val=&quot;00B9617F&quot;/&gt;&lt;wsp:rsid wsp:val=&quot;00BC1151&quot;/&gt;&lt;wsp:rsid wsp:val=&quot;00BC7958&quot;/&gt;&lt;wsp:rsid wsp:val=&quot;00BE71B2&quot;/&gt;&lt;wsp:rsid wsp:val=&quot;00BF1B09&quot;/&gt;&lt;wsp:rsid wsp:val=&quot;00BF3477&quot;/&gt;&lt;wsp:rsid wsp:val=&quot;00C00E2B&quot;/&gt;&lt;wsp:rsid wsp:val=&quot;00C11345&quot;/&gt;&lt;wsp:rsid wsp:val=&quot;00C13114&quot;/&gt;&lt;wsp:rsid wsp:val=&quot;00C13762&quot;/&gt;&lt;wsp:rsid wsp:val=&quot;00C356C4&quot;/&gt;&lt;wsp:rsid wsp:val=&quot;00C41DDC&quot;/&gt;&lt;wsp:rsid wsp:val=&quot;00C44B60&quot;/&gt;&lt;wsp:rsid wsp:val=&quot;00C52C96&quot;/&gt;&lt;wsp:rsid wsp:val=&quot;00C56F0F&quot;/&gt;&lt;wsp:rsid wsp:val=&quot;00C62DBD&quot;/&gt;&lt;wsp:rsid wsp:val=&quot;00C65F70&quot;/&gt;&lt;wsp:rsid wsp:val=&quot;00C6668C&quot;/&gt;&lt;wsp:rsid wsp:val=&quot;00C736DA&quot;/&gt;&lt;wsp:rsid wsp:val=&quot;00C9099D&quot;/&gt;&lt;wsp:rsid wsp:val=&quot;00C9229A&quot;/&gt;&lt;wsp:rsid wsp:val=&quot;00CA1171&quot;/&gt;&lt;wsp:rsid wsp:val=&quot;00CA3939&quot;/&gt;&lt;wsp:rsid wsp:val=&quot;00CA7603&quot;/&gt;&lt;wsp:rsid wsp:val=&quot;00CB3270&quot;/&gt;&lt;wsp:rsid wsp:val=&quot;00CC02CD&quot;/&gt;&lt;wsp:rsid wsp:val=&quot;00CC6A3C&quot;/&gt;&lt;wsp:rsid wsp:val=&quot;00CE772E&quot;/&gt;&lt;wsp:rsid wsp:val=&quot;00CF78DB&quot;/&gt;&lt;wsp:rsid wsp:val=&quot;00D055B2&quot;/&gt;&lt;wsp:rsid wsp:val=&quot;00D0616D&quot;/&gt;&lt;wsp:rsid wsp:val=&quot;00D12BB1&quot;/&gt;&lt;wsp:rsid wsp:val=&quot;00D1571E&quot;/&gt;&lt;wsp:rsid wsp:val=&quot;00D26117&quot;/&gt;&lt;wsp:rsid wsp:val=&quot;00D3029D&quot;/&gt;&lt;wsp:rsid wsp:val=&quot;00D30616&quot;/&gt;&lt;wsp:rsid wsp:val=&quot;00D37B67&quot;/&gt;&lt;wsp:rsid wsp:val=&quot;00D37D62&quot;/&gt;&lt;wsp:rsid wsp:val=&quot;00D44ED9&quot;/&gt;&lt;wsp:rsid wsp:val=&quot;00D56424&quot;/&gt;&lt;wsp:rsid wsp:val=&quot;00D705FF&quot;/&gt;&lt;wsp:rsid wsp:val=&quot;00D86081&quot;/&gt;&lt;wsp:rsid wsp:val=&quot;00D926E9&quot;/&gt;&lt;wsp:rsid wsp:val=&quot;00D93B05&quot;/&gt;&lt;wsp:rsid wsp:val=&quot;00DA5447&quot;/&gt;&lt;wsp:rsid wsp:val=&quot;00DB273A&quot;/&gt;&lt;wsp:rsid wsp:val=&quot;00DB646D&quot;/&gt;&lt;wsp:rsid wsp:val=&quot;00DB7532&quot;/&gt;&lt;wsp:rsid wsp:val=&quot;00DD4EA7&quot;/&gt;&lt;wsp:rsid wsp:val=&quot;00DD651C&quot;/&gt;&lt;wsp:rsid wsp:val=&quot;00DE616B&quot;/&gt;&lt;wsp:rsid wsp:val=&quot;00DF0DEA&quot;/&gt;&lt;wsp:rsid wsp:val=&quot;00DF3995&quot;/&gt;&lt;wsp:rsid wsp:val=&quot;00DF5A16&quot;/&gt;&lt;wsp:rsid wsp:val=&quot;00E24777&quot;/&gt;&lt;wsp:rsid wsp:val=&quot;00E306E0&quot;/&gt;&lt;wsp:rsid wsp:val=&quot;00E307AF&quot;/&gt;&lt;wsp:rsid wsp:val=&quot;00E36CE3&quot;/&gt;&lt;wsp:rsid wsp:val=&quot;00E43F3A&quot;/&gt;&lt;wsp:rsid wsp:val=&quot;00E476B7&quot;/&gt;&lt;wsp:rsid wsp:val=&quot;00E55155&quot;/&gt;&lt;wsp:rsid wsp:val=&quot;00E657F0&quot;/&gt;&lt;wsp:rsid wsp:val=&quot;00E82A07&quot;/&gt;&lt;wsp:rsid wsp:val=&quot;00E91998&quot;/&gt;&lt;wsp:rsid wsp:val=&quot;00E91AE4&quot;/&gt;&lt;wsp:rsid wsp:val=&quot;00EB1EEE&quot;/&gt;&lt;wsp:rsid wsp:val=&quot;00EC644D&quot;/&gt;&lt;wsp:rsid wsp:val=&quot;00EE10A7&quot;/&gt;&lt;wsp:rsid wsp:val=&quot;00EE4FFA&quot;/&gt;&lt;wsp:rsid wsp:val=&quot;00EF5FBE&quot;/&gt;&lt;wsp:rsid wsp:val=&quot;00EF6237&quot;/&gt;&lt;wsp:rsid wsp:val=&quot;00EF6962&quot;/&gt;&lt;wsp:rsid wsp:val=&quot;00EF6AB8&quot;/&gt;&lt;wsp:rsid wsp:val=&quot;00F03016&quot;/&gt;&lt;wsp:rsid wsp:val=&quot;00F1545C&quot;/&gt;&lt;wsp:rsid wsp:val=&quot;00F43915&quot;/&gt;&lt;wsp:rsid wsp:val=&quot;00F63229&quot;/&gt;&lt;wsp:rsid wsp:val=&quot;00F663FC&quot;/&gt;&lt;wsp:rsid wsp:val=&quot;00F7567F&quot;/&gt;&lt;wsp:rsid wsp:val=&quot;00F776FB&quot;/&gt;&lt;wsp:rsid wsp:val=&quot;00F83095&quot;/&gt;&lt;wsp:rsid wsp:val=&quot;00F86A87&quot;/&gt;&lt;wsp:rsid wsp:val=&quot;00F9784B&quot;/&gt;&lt;wsp:rsid wsp:val=&quot;00F97A8D&quot;/&gt;&lt;wsp:rsid wsp:val=&quot;00FA605A&quot;/&gt;&lt;wsp:rsid wsp:val=&quot;00FB6EAF&quot;/&gt;&lt;wsp:rsid wsp:val=&quot;00FB7CC1&quot;/&gt;&lt;wsp:rsid wsp:val=&quot;00FB7DCC&quot;/&gt;&lt;wsp:rsid wsp:val=&quot;00FC1C50&quot;/&gt;&lt;wsp:rsid wsp:val=&quot;00FD7CD3&quot;/&gt;&lt;wsp:rsid wsp:val=&quot;00FE5095&quot;/&gt;&lt;wsp:rsid wsp:val=&quot;00FF3DE9&quot;/&gt;&lt;wsp:rsid wsp:val=&quot;00FF41BF&quot;/&gt;&lt;wsp:rsid wsp:val=&quot;00FF597B&quot;/&gt;&lt;/wsp:rsids&gt;&lt;/w:docPr&gt;&lt;w:body&gt;&lt;wx:sect&gt;&lt;w:p wsp:rsidR=&quot;00000000&quot; wsp:rsidRPr=&quot;00973C93&quot; wsp:rsidRDefault=&quot;00973C93&quot; wsp:rsidP=&quot;00973C93&quot;&gt;&lt;m:oMathPara&gt;&lt;m:oMath&gt;&lt;m:r&gt;&lt;w:rPr&gt;&lt;w:rFonts w:ascii=&quot;Cambria Math&quot; w:h-ansi=&quot;Cambria Math&quot;/&gt;&lt;wx:font wx:val=&quot;Cambria Math&quot;/&gt;&lt;w:i/&gt;&lt;/w:rPr&gt;&lt;m:t&gt;CRI=100 Ã— &lt;/m:t&gt;&lt;/m:r&gt;&lt;m:f&gt;&lt;m:fPr&gt;&lt;m:ctrlPr&gt;&lt;w:rPr&gt;&lt;w:rFonts w:ascii=&quot;Cambria Math&quot; w:h-ansi=&quot;Cambria Math&quot;/&gt;&lt;wx:font wx:val=&quot;Cambria Math&quot;/&gt;&lt;w:i/&gt;&lt;/w:rPr&gt;&lt;/m:ctrlPr&gt;&lt;/m:fPr&gt;&lt;m:num&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m&lt;/m:t&gt;&lt;/m:r&gt;&lt;/m:e&gt;&lt;m:sub&gt;&lt;m:r&gt;&lt;w:rPr&gt;&lt;w:rFonts w:ascii=&quot;Cambria Math&quot; w:h-ansi=&quot;Cambria Math&quot;/&gt;&lt;wx:font wx:val=&quot;Cambria Math&quot;/&gt;&lt;w:i/&gt;&lt;/w:rPr&gt;&lt;m:t&gt;0&lt;/m:t&gt;&lt;/m:r&gt;&lt;/m:sub&gt;&lt;/m:sSub&gt;&lt;m:r&gt;&lt;w:rPr&gt;&lt;w:rFonts w:ascii=&quot;Cambria Math&quot; w:h-ansi=&quot;Cambria Math&quot;/&gt;&lt;wx:font wx:val=&quot;Cambria Math&quot;/&gt;&lt;w:i/&gt;&lt;/w:rPr&gt;&lt;m:t&gt;- &lt;/m:t&gt;&lt;/m:r&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m&lt;/m:t&gt;&lt;/m:r&gt;&lt;/m:e&gt;&lt;m:sub&gt;&lt;m:r&gt;&lt;w:rPr&gt;&lt;w:rFonts w:ascii=&quot;Cambria Math&quot; w:h-ansi=&quot;Cambria Math&quot;/&gt;&lt;wx:font wx:val=&quot;Cambria Math&quot;/&gt;&lt;w:i/&gt;&lt;/w:rPr&gt;&lt;m:t&gt;1&lt;/m:t&gt;&lt;/m:r&gt;&lt;/m:sub&gt;&lt;/m:sSub&gt;&lt;/m:num&gt;&lt;m:den&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m&lt;/m:t&gt;&lt;/m:r&gt;&lt;/m:e&gt;&lt;m:sub&gt;&lt;m:r&gt;&lt;w:rPr&gt;&lt;w:rFonts w:ascii=&quot;Cambria Math&quot; w:h-ansi=&quot;Cambria Math&quot;/&gt;&lt;wx:font wx:val=&quot;Cambria Math&quot;/&gt;&lt;w:i/&gt;&lt;/w:rPr&gt;&lt;m:t&gt;0&lt;/m:t&gt;&lt;/m:r&gt;&lt;/m:sub&gt;&lt;/m:sSub&gt;&lt;/m:den&gt;&lt;/m:f&gt;&lt;/m:oMath&gt;&lt;/m:oMathPara&gt;&lt;/w:p&gt;&lt;w:sectPr wsp:rsidR=&quot;00000000&quot; wsp:rsidRPr=&quot;00973C93&quot;&gt;&lt;w:pgSz w:w=&quot;12240&quot; w:h=&quot;15840&quot;/&gt;&lt;w:pgMar w:top=&quot;1440&quot; w:right=&quot;1440&quot; w:bottom=&quot;1440&quot; w:left=&quot;1440&quot; w:header=&quot;720&quot; w:footer=&quot;720&quot; w:gutter=&quot;0&quot;/&gt;&lt;w:cols w:space=&quot;720&quot;/&gt;&lt;/w:sectPr&gt;&lt;/wx:sect&gt;&lt;/w:body&gt;&lt;/w:wordDocument&gt;">
            <v:imagedata r:id="rId20" o:title="" chromakey="white"/>
          </v:shape>
        </w:pict>
      </w:r>
    </w:p>
    <w:p w:rsidR="00D12BB1" w:rsidRPr="00A11CD0" w:rsidRDefault="00D12BB1" w:rsidP="001260FF">
      <w:pPr>
        <w:jc w:val="both"/>
        <w:rPr>
          <w:rFonts w:eastAsia="Times New Roman"/>
        </w:rPr>
      </w:pPr>
      <w:r w:rsidRPr="00A11CD0">
        <w:rPr>
          <w:rFonts w:eastAsia="Times New Roman"/>
        </w:rPr>
        <w:t>Where</w:t>
      </w:r>
      <w:r w:rsidRPr="00A11CD0">
        <w:rPr>
          <w:rFonts w:eastAsia="Times New Roman"/>
        </w:rPr>
        <w:tab/>
        <w:t>m</w:t>
      </w:r>
      <w:r w:rsidRPr="00A11CD0">
        <w:rPr>
          <w:rFonts w:eastAsia="Times New Roman"/>
          <w:vertAlign w:val="subscript"/>
        </w:rPr>
        <w:t>0</w:t>
      </w:r>
      <w:r w:rsidRPr="00A11CD0">
        <w:rPr>
          <w:rFonts w:eastAsia="Times New Roman"/>
        </w:rPr>
        <w:t xml:space="preserve"> = the mass, in grams, of the sample before reaction.</w:t>
      </w:r>
    </w:p>
    <w:p w:rsidR="00D12BB1" w:rsidRPr="00A11CD0" w:rsidRDefault="00D12BB1" w:rsidP="001260FF">
      <w:pPr>
        <w:jc w:val="both"/>
        <w:rPr>
          <w:rFonts w:eastAsia="Times New Roman"/>
        </w:rPr>
      </w:pPr>
      <w:r w:rsidRPr="00A11CD0">
        <w:rPr>
          <w:rFonts w:eastAsia="Times New Roman"/>
        </w:rPr>
        <w:tab/>
        <w:t>m</w:t>
      </w:r>
      <w:r w:rsidRPr="00A11CD0">
        <w:rPr>
          <w:rFonts w:eastAsia="Times New Roman"/>
          <w:vertAlign w:val="subscript"/>
        </w:rPr>
        <w:t>1</w:t>
      </w:r>
      <w:r w:rsidRPr="00A11CD0">
        <w:rPr>
          <w:rFonts w:eastAsia="Times New Roman"/>
        </w:rPr>
        <w:t xml:space="preserve"> = the mass, in grams, of the sample after reaction.</w:t>
      </w:r>
    </w:p>
    <w:p w:rsidR="00D12BB1" w:rsidRPr="00A11CD0" w:rsidRDefault="00D12BB1" w:rsidP="001260FF">
      <w:pPr>
        <w:jc w:val="both"/>
        <w:rPr>
          <w:rFonts w:eastAsia="Times New Roman"/>
        </w:rPr>
      </w:pPr>
      <w:r w:rsidRPr="00A11CD0">
        <w:rPr>
          <w:rFonts w:eastAsia="Times New Roman"/>
        </w:rPr>
        <w:t>Result is rounded to the first decimal place.</w:t>
      </w:r>
    </w:p>
    <w:p w:rsidR="00D53910" w:rsidRDefault="00D53910" w:rsidP="001260FF">
      <w:pPr>
        <w:pStyle w:val="Heading4"/>
        <w:jc w:val="both"/>
        <w:rPr>
          <w:rFonts w:ascii="Calibri" w:eastAsia="Calibri" w:hAnsi="Calibri"/>
          <w:i w:val="0"/>
          <w:iCs w:val="0"/>
          <w:color w:val="auto"/>
        </w:rPr>
      </w:pPr>
    </w:p>
    <w:p w:rsidR="00D12BB1" w:rsidRDefault="00D12BB1" w:rsidP="001260FF">
      <w:pPr>
        <w:pStyle w:val="Heading4"/>
        <w:jc w:val="both"/>
      </w:pPr>
      <w:r>
        <w:t>CSR</w:t>
      </w:r>
    </w:p>
    <w:p w:rsidR="00D12BB1" w:rsidRDefault="00D12BB1" w:rsidP="001260FF">
      <w:pPr>
        <w:jc w:val="both"/>
      </w:pPr>
    </w:p>
    <w:p w:rsidR="00D12BB1" w:rsidRPr="00A11CD0" w:rsidRDefault="00D12BB1" w:rsidP="001260FF">
      <w:pPr>
        <w:jc w:val="both"/>
        <w:rPr>
          <w:rFonts w:eastAsia="Times New Roman"/>
        </w:rPr>
      </w:pPr>
      <w:r w:rsidRPr="00A11CD0">
        <w:rPr>
          <w:rFonts w:eastAsia="Times New Roman"/>
        </w:rPr>
        <w:t>The CSR is expressed as a percentage by mass and is calculated with the following formula:</w:t>
      </w:r>
    </w:p>
    <w:p w:rsidR="00D12BB1" w:rsidRPr="00A11CD0" w:rsidRDefault="00594B58" w:rsidP="001552CA">
      <w:pPr>
        <w:jc w:val="center"/>
        <w:rPr>
          <w:rFonts w:eastAsia="Times New Roman"/>
        </w:rPr>
      </w:pPr>
      <w:r>
        <w:pict>
          <v:shape id="_x0000_i1036" type="#_x0000_t75" style="width:84pt;height:24.7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activeWritingStyle w:lang=&quot;EN-GB&quot; w:vendorID=&quot;64&quot; w:dllVersion=&quot;0&quot; w:nlCheck=&quot;on&quot; w:optionSet=&quot;0&quot;/&gt;&lt;w:activeWritingStyle w:lang=&quot;EN-US&quot; w:vendorID=&quot;64&quot; w:dllVersion=&quot;0&quot; w:nlCheck=&quot;on&quot; w:optionSet=&quot;0&quot;/&gt;&lt;w:activeWritingStyle w:lang=&quot;EN-US&quot; w:vendorID=&quot;64&quot; w:dllVersion=&quot;4096&quot; w:nlCheck=&quot;on&quot; w:optionSet=&quot;0&quot;/&gt;&lt;w:activeWritingStyle w:lang=&quot;EN-GB&quot; w:vendorID=&quot;64&quot; w:dllVersion=&quot;4096&quot; w:nlCheck=&quot;on&quot; w:optionSet=&quot;0&quot;/&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64281D&quot;/&gt;&lt;wsp:rsid wsp:val=&quot;000210E2&quot;/&gt;&lt;wsp:rsid wsp:val=&quot;00027D47&quot;/&gt;&lt;wsp:rsid wsp:val=&quot;000459B1&quot;/&gt;&lt;wsp:rsid wsp:val=&quot;00057F2C&quot;/&gt;&lt;wsp:rsid wsp:val=&quot;00074AF9&quot;/&gt;&lt;wsp:rsid wsp:val=&quot;0008299B&quot;/&gt;&lt;wsp:rsid wsp:val=&quot;00086525&quot;/&gt;&lt;wsp:rsid wsp:val=&quot;000A27E2&quot;/&gt;&lt;wsp:rsid wsp:val=&quot;000A2897&quot;/&gt;&lt;wsp:rsid wsp:val=&quot;000B5492&quot;/&gt;&lt;wsp:rsid wsp:val=&quot;000D700F&quot;/&gt;&lt;wsp:rsid wsp:val=&quot;000E14F1&quot;/&gt;&lt;wsp:rsid wsp:val=&quot;000E25E7&quot;/&gt;&lt;wsp:rsid wsp:val=&quot;000F1218&quot;/&gt;&lt;wsp:rsid wsp:val=&quot;0010372B&quot;/&gt;&lt;wsp:rsid wsp:val=&quot;001071AF&quot;/&gt;&lt;wsp:rsid wsp:val=&quot;00113683&quot;/&gt;&lt;wsp:rsid wsp:val=&quot;001260FF&quot;/&gt;&lt;wsp:rsid wsp:val=&quot;00133E36&quot;/&gt;&lt;wsp:rsid wsp:val=&quot;00177D1A&quot;/&gt;&lt;wsp:rsid wsp:val=&quot;0018275A&quot;/&gt;&lt;wsp:rsid wsp:val=&quot;00192B18&quot;/&gt;&lt;wsp:rsid wsp:val=&quot;001A45DD&quot;/&gt;&lt;wsp:rsid wsp:val=&quot;001A65CD&quot;/&gt;&lt;wsp:rsid wsp:val=&quot;001C66E8&quot;/&gt;&lt;wsp:rsid wsp:val=&quot;001D1134&quot;/&gt;&lt;wsp:rsid wsp:val=&quot;001D59DA&quot;/&gt;&lt;wsp:rsid wsp:val=&quot;001D67DB&quot;/&gt;&lt;wsp:rsid wsp:val=&quot;001D7B68&quot;/&gt;&lt;wsp:rsid wsp:val=&quot;001E5C26&quot;/&gt;&lt;wsp:rsid wsp:val=&quot;001E645D&quot;/&gt;&lt;wsp:rsid wsp:val=&quot;001E75A8&quot;/&gt;&lt;wsp:rsid wsp:val=&quot;001E7EB3&quot;/&gt;&lt;wsp:rsid wsp:val=&quot;00214434&quot;/&gt;&lt;wsp:rsid wsp:val=&quot;0022025C&quot;/&gt;&lt;wsp:rsid wsp:val=&quot;002229A8&quot;/&gt;&lt;wsp:rsid wsp:val=&quot;002368EA&quot;/&gt;&lt;wsp:rsid wsp:val=&quot;00254F57&quot;/&gt;&lt;wsp:rsid wsp:val=&quot;0025533D&quot;/&gt;&lt;wsp:rsid wsp:val=&quot;0025561D&quot;/&gt;&lt;wsp:rsid wsp:val=&quot;00264033&quot;/&gt;&lt;wsp:rsid wsp:val=&quot;00265D43&quot;/&gt;&lt;wsp:rsid wsp:val=&quot;002704C5&quot;/&gt;&lt;wsp:rsid wsp:val=&quot;00273A8C&quot;/&gt;&lt;wsp:rsid wsp:val=&quot;00284C86&quot;/&gt;&lt;wsp:rsid wsp:val=&quot;002920D4&quot;/&gt;&lt;wsp:rsid wsp:val=&quot;002A0CDA&quot;/&gt;&lt;wsp:rsid wsp:val=&quot;002C3F36&quot;/&gt;&lt;wsp:rsid wsp:val=&quot;002C7359&quot;/&gt;&lt;wsp:rsid wsp:val=&quot;002D50C4&quot;/&gt;&lt;wsp:rsid wsp:val=&quot;002E20F6&quot;/&gt;&lt;wsp:rsid wsp:val=&quot;002F4F56&quot;/&gt;&lt;wsp:rsid wsp:val=&quot;002F7E43&quot;/&gt;&lt;wsp:rsid wsp:val=&quot;0030182D&quot;/&gt;&lt;wsp:rsid wsp:val=&quot;00302DE6&quot;/&gt;&lt;wsp:rsid wsp:val=&quot;0030756A&quot;/&gt;&lt;wsp:rsid wsp:val=&quot;00327865&quot;/&gt;&lt;wsp:rsid wsp:val=&quot;00337E67&quot;/&gt;&lt;wsp:rsid wsp:val=&quot;00354349&quot;/&gt;&lt;wsp:rsid wsp:val=&quot;00372602&quot;/&gt;&lt;wsp:rsid wsp:val=&quot;00373D61&quot;/&gt;&lt;wsp:rsid wsp:val=&quot;00386113&quot;/&gt;&lt;wsp:rsid wsp:val=&quot;003A1F77&quot;/&gt;&lt;wsp:rsid wsp:val=&quot;003A3515&quot;/&gt;&lt;wsp:rsid wsp:val=&quot;003B51FE&quot;/&gt;&lt;wsp:rsid wsp:val=&quot;003B53C4&quot;/&gt;&lt;wsp:rsid wsp:val=&quot;003B76DA&quot;/&gt;&lt;wsp:rsid wsp:val=&quot;003C6F15&quot;/&gt;&lt;wsp:rsid wsp:val=&quot;003D032A&quot;/&gt;&lt;wsp:rsid wsp:val=&quot;003D0801&quot;/&gt;&lt;wsp:rsid wsp:val=&quot;003D4F15&quot;/&gt;&lt;wsp:rsid wsp:val=&quot;003E39B0&quot;/&gt;&lt;wsp:rsid wsp:val=&quot;003E4041&quot;/&gt;&lt;wsp:rsid wsp:val=&quot;003E64EF&quot;/&gt;&lt;wsp:rsid wsp:val=&quot;00406AA5&quot;/&gt;&lt;wsp:rsid wsp:val=&quot;00406E76&quot;/&gt;&lt;wsp:rsid wsp:val=&quot;00410588&quot;/&gt;&lt;wsp:rsid wsp:val=&quot;00411250&quot;/&gt;&lt;wsp:rsid wsp:val=&quot;00424824&quot;/&gt;&lt;wsp:rsid wsp:val=&quot;00425A78&quot;/&gt;&lt;wsp:rsid wsp:val=&quot;004330F9&quot;/&gt;&lt;wsp:rsid wsp:val=&quot;00452D2D&quot;/&gt;&lt;wsp:rsid wsp:val=&quot;0045748C&quot;/&gt;&lt;wsp:rsid wsp:val=&quot;004824CA&quot;/&gt;&lt;wsp:rsid wsp:val=&quot;004926F8&quot;/&gt;&lt;wsp:rsid wsp:val=&quot;00492A3A&quot;/&gt;&lt;wsp:rsid wsp:val=&quot;00493159&quot;/&gt;&lt;wsp:rsid wsp:val=&quot;004A2971&quot;/&gt;&lt;wsp:rsid wsp:val=&quot;004A2DCC&quot;/&gt;&lt;wsp:rsid wsp:val=&quot;004B30F2&quot;/&gt;&lt;wsp:rsid wsp:val=&quot;004B5654&quot;/&gt;&lt;wsp:rsid wsp:val=&quot;004C39DC&quot;/&gt;&lt;wsp:rsid wsp:val=&quot;004C6A03&quot;/&gt;&lt;wsp:rsid wsp:val=&quot;004C7DD7&quot;/&gt;&lt;wsp:rsid wsp:val=&quot;00501C27&quot;/&gt;&lt;wsp:rsid wsp:val=&quot;00502630&quot;/&gt;&lt;wsp:rsid wsp:val=&quot;00504B60&quot;/&gt;&lt;wsp:rsid wsp:val=&quot;00511E9D&quot;/&gt;&lt;wsp:rsid wsp:val=&quot;00514B95&quot;/&gt;&lt;wsp:rsid wsp:val=&quot;00514D3E&quot;/&gt;&lt;wsp:rsid wsp:val=&quot;005205BF&quot;/&gt;&lt;wsp:rsid wsp:val=&quot;005244E0&quot;/&gt;&lt;wsp:rsid wsp:val=&quot;0053201F&quot;/&gt;&lt;wsp:rsid wsp:val=&quot;00541B2D&quot;/&gt;&lt;wsp:rsid wsp:val=&quot;00545134&quot;/&gt;&lt;wsp:rsid wsp:val=&quot;005457F8&quot;/&gt;&lt;wsp:rsid wsp:val=&quot;005500F9&quot;/&gt;&lt;wsp:rsid wsp:val=&quot;00557BB9&quot;/&gt;&lt;wsp:rsid wsp:val=&quot;00562A93&quot;/&gt;&lt;wsp:rsid wsp:val=&quot;0056382F&quot;/&gt;&lt;wsp:rsid wsp:val=&quot;005650E6&quot;/&gt;&lt;wsp:rsid wsp:val=&quot;00566F45&quot;/&gt;&lt;wsp:rsid wsp:val=&quot;00576F5D&quot;/&gt;&lt;wsp:rsid wsp:val=&quot;005B035F&quot;/&gt;&lt;wsp:rsid wsp:val=&quot;005C1C0C&quot;/&gt;&lt;wsp:rsid wsp:val=&quot;005D1857&quot;/&gt;&lt;wsp:rsid wsp:val=&quot;005E6D22&quot;/&gt;&lt;wsp:rsid wsp:val=&quot;005F5E8A&quot;/&gt;&lt;wsp:rsid wsp:val=&quot;005F7F27&quot;/&gt;&lt;wsp:rsid wsp:val=&quot;00600964&quot;/&gt;&lt;wsp:rsid wsp:val=&quot;006029B1&quot;/&gt;&lt;wsp:rsid wsp:val=&quot;0060310D&quot;/&gt;&lt;wsp:rsid wsp:val=&quot;00610B98&quot;/&gt;&lt;wsp:rsid wsp:val=&quot;00621A82&quot;/&gt;&lt;wsp:rsid wsp:val=&quot;00625EB8&quot;/&gt;&lt;wsp:rsid wsp:val=&quot;00626052&quot;/&gt;&lt;wsp:rsid wsp:val=&quot;00636FEC&quot;/&gt;&lt;wsp:rsid wsp:val=&quot;00640C9F&quot;/&gt;&lt;wsp:rsid wsp:val=&quot;0064281D&quot;/&gt;&lt;wsp:rsid wsp:val=&quot;00645368&quot;/&gt;&lt;wsp:rsid wsp:val=&quot;0064558E&quot;/&gt;&lt;wsp:rsid wsp:val=&quot;006555F2&quot;/&gt;&lt;wsp:rsid wsp:val=&quot;00673C4C&quot;/&gt;&lt;wsp:rsid wsp:val=&quot;00676C5C&quot;/&gt;&lt;wsp:rsid wsp:val=&quot;006943A7&quot;/&gt;&lt;wsp:rsid wsp:val=&quot;006A10C1&quot;/&gt;&lt;wsp:rsid wsp:val=&quot;006B5DAC&quot;/&gt;&lt;wsp:rsid wsp:val=&quot;006B6CAF&quot;/&gt;&lt;wsp:rsid wsp:val=&quot;006C278A&quot;/&gt;&lt;wsp:rsid wsp:val=&quot;006F7EAD&quot;/&gt;&lt;wsp:rsid wsp:val=&quot;00707A9E&quot;/&gt;&lt;wsp:rsid wsp:val=&quot;007120E6&quot;/&gt;&lt;wsp:rsid wsp:val=&quot;00743D5F&quot;/&gt;&lt;wsp:rsid wsp:val=&quot;00756314&quot;/&gt;&lt;wsp:rsid wsp:val=&quot;00756C11&quot;/&gt;&lt;wsp:rsid wsp:val=&quot;00774572&quot;/&gt;&lt;wsp:rsid wsp:val=&quot;00776C79&quot;/&gt;&lt;wsp:rsid wsp:val=&quot;007806CD&quot;/&gt;&lt;wsp:rsid wsp:val=&quot;00784FA1&quot;/&gt;&lt;wsp:rsid wsp:val=&quot;00796B2E&quot;/&gt;&lt;wsp:rsid wsp:val=&quot;007A0BF3&quot;/&gt;&lt;wsp:rsid wsp:val=&quot;007A1C0E&quot;/&gt;&lt;wsp:rsid wsp:val=&quot;007A68CD&quot;/&gt;&lt;wsp:rsid wsp:val=&quot;007D1A66&quot;/&gt;&lt;wsp:rsid wsp:val=&quot;007D7919&quot;/&gt;&lt;wsp:rsid wsp:val=&quot;007E21E5&quot;/&gt;&lt;wsp:rsid wsp:val=&quot;007F645F&quot;/&gt;&lt;wsp:rsid wsp:val=&quot;00810E42&quot;/&gt;&lt;wsp:rsid wsp:val=&quot;00830408&quot;/&gt;&lt;wsp:rsid wsp:val=&quot;008329F4&quot;/&gt;&lt;wsp:rsid wsp:val=&quot;008405C2&quot;/&gt;&lt;wsp:rsid wsp:val=&quot;00854321&quot;/&gt;&lt;wsp:rsid wsp:val=&quot;00880801&quot;/&gt;&lt;wsp:rsid wsp:val=&quot;008A2066&quot;/&gt;&lt;wsp:rsid wsp:val=&quot;008A3B3F&quot;/&gt;&lt;wsp:rsid wsp:val=&quot;008C0E5F&quot;/&gt;&lt;wsp:rsid wsp:val=&quot;008C1F9E&quot;/&gt;&lt;wsp:rsid wsp:val=&quot;008C2A64&quot;/&gt;&lt;wsp:rsid wsp:val=&quot;008C4852&quot;/&gt;&lt;wsp:rsid wsp:val=&quot;008D1B1B&quot;/&gt;&lt;wsp:rsid wsp:val=&quot;008E1311&quot;/&gt;&lt;wsp:rsid wsp:val=&quot;008E5447&quot;/&gt;&lt;wsp:rsid wsp:val=&quot;009000DD&quot;/&gt;&lt;wsp:rsid wsp:val=&quot;009021FB&quot;/&gt;&lt;wsp:rsid wsp:val=&quot;00913BDE&quot;/&gt;&lt;wsp:rsid wsp:val=&quot;00913EAC&quot;/&gt;&lt;wsp:rsid wsp:val=&quot;00915594&quot;/&gt;&lt;wsp:rsid wsp:val=&quot;009212BE&quot;/&gt;&lt;wsp:rsid wsp:val=&quot;00921DBE&quot;/&gt;&lt;wsp:rsid wsp:val=&quot;009326C1&quot;/&gt;&lt;wsp:rsid wsp:val=&quot;00940EEA&quot;/&gt;&lt;wsp:rsid wsp:val=&quot;00953C05&quot;/&gt;&lt;wsp:rsid wsp:val=&quot;00954519&quot;/&gt;&lt;wsp:rsid wsp:val=&quot;00957EC6&quot;/&gt;&lt;wsp:rsid wsp:val=&quot;009612CD&quot;/&gt;&lt;wsp:rsid wsp:val=&quot;00973C6A&quot;/&gt;&lt;wsp:rsid wsp:val=&quot;009852D0&quot;/&gt;&lt;wsp:rsid wsp:val=&quot;009909D5&quot;/&gt;&lt;wsp:rsid wsp:val=&quot;00997C3A&quot;/&gt;&lt;wsp:rsid wsp:val=&quot;009B71AE&quot;/&gt;&lt;wsp:rsid wsp:val=&quot;009C01D1&quot;/&gt;&lt;wsp:rsid wsp:val=&quot;009C2376&quot;/&gt;&lt;wsp:rsid wsp:val=&quot;009C3BF8&quot;/&gt;&lt;wsp:rsid wsp:val=&quot;009C4B83&quot;/&gt;&lt;wsp:rsid wsp:val=&quot;009D3C7B&quot;/&gt;&lt;wsp:rsid wsp:val=&quot;009E2DA4&quot;/&gt;&lt;wsp:rsid wsp:val=&quot;009E70AD&quot;/&gt;&lt;wsp:rsid wsp:val=&quot;009F242A&quot;/&gt;&lt;wsp:rsid wsp:val=&quot;00A02035&quot;/&gt;&lt;wsp:rsid wsp:val=&quot;00A05A83&quot;/&gt;&lt;wsp:rsid wsp:val=&quot;00A11CD0&quot;/&gt;&lt;wsp:rsid wsp:val=&quot;00A15FD7&quot;/&gt;&lt;wsp:rsid wsp:val=&quot;00A22CC3&quot;/&gt;&lt;wsp:rsid wsp:val=&quot;00A267CB&quot;/&gt;&lt;wsp:rsid wsp:val=&quot;00A333E0&quot;/&gt;&lt;wsp:rsid wsp:val=&quot;00A349BF&quot;/&gt;&lt;wsp:rsid wsp:val=&quot;00A35312&quot;/&gt;&lt;wsp:rsid wsp:val=&quot;00A45833&quot;/&gt;&lt;wsp:rsid wsp:val=&quot;00A5039A&quot;/&gt;&lt;wsp:rsid wsp:val=&quot;00A571E2&quot;/&gt;&lt;wsp:rsid wsp:val=&quot;00A60097&quot;/&gt;&lt;wsp:rsid wsp:val=&quot;00A63394&quot;/&gt;&lt;wsp:rsid wsp:val=&quot;00A64754&quot;/&gt;&lt;wsp:rsid wsp:val=&quot;00A83811&quot;/&gt;&lt;wsp:rsid wsp:val=&quot;00A97F9F&quot;/&gt;&lt;wsp:rsid wsp:val=&quot;00AA51EE&quot;/&gt;&lt;wsp:rsid wsp:val=&quot;00AA522A&quot;/&gt;&lt;wsp:rsid wsp:val=&quot;00AB0820&quot;/&gt;&lt;wsp:rsid wsp:val=&quot;00AC7433&quot;/&gt;&lt;wsp:rsid wsp:val=&quot;00AE13B5&quot;/&gt;&lt;wsp:rsid wsp:val=&quot;00AE64BE&quot;/&gt;&lt;wsp:rsid wsp:val=&quot;00AE6F78&quot;/&gt;&lt;wsp:rsid wsp:val=&quot;00B16E54&quot;/&gt;&lt;wsp:rsid wsp:val=&quot;00B20A4F&quot;/&gt;&lt;wsp:rsid wsp:val=&quot;00B218A3&quot;/&gt;&lt;wsp:rsid wsp:val=&quot;00B34616&quot;/&gt;&lt;wsp:rsid wsp:val=&quot;00B521AE&quot;/&gt;&lt;wsp:rsid wsp:val=&quot;00B539FE&quot;/&gt;&lt;wsp:rsid wsp:val=&quot;00B5659B&quot;/&gt;&lt;wsp:rsid wsp:val=&quot;00B6276D&quot;/&gt;&lt;wsp:rsid wsp:val=&quot;00B63CA2&quot;/&gt;&lt;wsp:rsid wsp:val=&quot;00B6485C&quot;/&gt;&lt;wsp:rsid wsp:val=&quot;00B654BE&quot;/&gt;&lt;wsp:rsid wsp:val=&quot;00B70F41&quot;/&gt;&lt;wsp:rsid wsp:val=&quot;00B72432&quot;/&gt;&lt;wsp:rsid wsp:val=&quot;00B76573&quot;/&gt;&lt;wsp:rsid wsp:val=&quot;00B82405&quot;/&gt;&lt;wsp:rsid wsp:val=&quot;00B91E19&quot;/&gt;&lt;wsp:rsid wsp:val=&quot;00B9617F&quot;/&gt;&lt;wsp:rsid wsp:val=&quot;00BC1151&quot;/&gt;&lt;wsp:rsid wsp:val=&quot;00BC7958&quot;/&gt;&lt;wsp:rsid wsp:val=&quot;00BE71B2&quot;/&gt;&lt;wsp:rsid wsp:val=&quot;00BF1B09&quot;/&gt;&lt;wsp:rsid wsp:val=&quot;00BF3477&quot;/&gt;&lt;wsp:rsid wsp:val=&quot;00C00E2B&quot;/&gt;&lt;wsp:rsid wsp:val=&quot;00C11345&quot;/&gt;&lt;wsp:rsid wsp:val=&quot;00C13114&quot;/&gt;&lt;wsp:rsid wsp:val=&quot;00C13762&quot;/&gt;&lt;wsp:rsid wsp:val=&quot;00C356C4&quot;/&gt;&lt;wsp:rsid wsp:val=&quot;00C41DDC&quot;/&gt;&lt;wsp:rsid wsp:val=&quot;00C44B60&quot;/&gt;&lt;wsp:rsid wsp:val=&quot;00C52C96&quot;/&gt;&lt;wsp:rsid wsp:val=&quot;00C56F0F&quot;/&gt;&lt;wsp:rsid wsp:val=&quot;00C62DBD&quot;/&gt;&lt;wsp:rsid wsp:val=&quot;00C65F70&quot;/&gt;&lt;wsp:rsid wsp:val=&quot;00C6668C&quot;/&gt;&lt;wsp:rsid wsp:val=&quot;00C736DA&quot;/&gt;&lt;wsp:rsid wsp:val=&quot;00C9099D&quot;/&gt;&lt;wsp:rsid wsp:val=&quot;00C9229A&quot;/&gt;&lt;wsp:rsid wsp:val=&quot;00CA1171&quot;/&gt;&lt;wsp:rsid wsp:val=&quot;00CA3939&quot;/&gt;&lt;wsp:rsid wsp:val=&quot;00CA7603&quot;/&gt;&lt;wsp:rsid wsp:val=&quot;00CB3270&quot;/&gt;&lt;wsp:rsid wsp:val=&quot;00CC02CD&quot;/&gt;&lt;wsp:rsid wsp:val=&quot;00CC6A3C&quot;/&gt;&lt;wsp:rsid wsp:val=&quot;00CE772E&quot;/&gt;&lt;wsp:rsid wsp:val=&quot;00CF78DB&quot;/&gt;&lt;wsp:rsid wsp:val=&quot;00D055B2&quot;/&gt;&lt;wsp:rsid wsp:val=&quot;00D0616D&quot;/&gt;&lt;wsp:rsid wsp:val=&quot;00D10AE2&quot;/&gt;&lt;wsp:rsid wsp:val=&quot;00D12BB1&quot;/&gt;&lt;wsp:rsid wsp:val=&quot;00D1571E&quot;/&gt;&lt;wsp:rsid wsp:val=&quot;00D26117&quot;/&gt;&lt;wsp:rsid wsp:val=&quot;00D3029D&quot;/&gt;&lt;wsp:rsid wsp:val=&quot;00D30616&quot;/&gt;&lt;wsp:rsid wsp:val=&quot;00D37B67&quot;/&gt;&lt;wsp:rsid wsp:val=&quot;00D37D62&quot;/&gt;&lt;wsp:rsid wsp:val=&quot;00D44ED9&quot;/&gt;&lt;wsp:rsid wsp:val=&quot;00D56424&quot;/&gt;&lt;wsp:rsid wsp:val=&quot;00D705FF&quot;/&gt;&lt;wsp:rsid wsp:val=&quot;00D86081&quot;/&gt;&lt;wsp:rsid wsp:val=&quot;00D926E9&quot;/&gt;&lt;wsp:rsid wsp:val=&quot;00D93B05&quot;/&gt;&lt;wsp:rsid wsp:val=&quot;00DA5447&quot;/&gt;&lt;wsp:rsid wsp:val=&quot;00DB273A&quot;/&gt;&lt;wsp:rsid wsp:val=&quot;00DB646D&quot;/&gt;&lt;wsp:rsid wsp:val=&quot;00DB7532&quot;/&gt;&lt;wsp:rsid wsp:val=&quot;00DD4EA7&quot;/&gt;&lt;wsp:rsid wsp:val=&quot;00DD651C&quot;/&gt;&lt;wsp:rsid wsp:val=&quot;00DE616B&quot;/&gt;&lt;wsp:rsid wsp:val=&quot;00DF0DEA&quot;/&gt;&lt;wsp:rsid wsp:val=&quot;00DF3995&quot;/&gt;&lt;wsp:rsid wsp:val=&quot;00DF5A16&quot;/&gt;&lt;wsp:rsid wsp:val=&quot;00E24777&quot;/&gt;&lt;wsp:rsid wsp:val=&quot;00E306E0&quot;/&gt;&lt;wsp:rsid wsp:val=&quot;00E307AF&quot;/&gt;&lt;wsp:rsid wsp:val=&quot;00E36CE3&quot;/&gt;&lt;wsp:rsid wsp:val=&quot;00E43F3A&quot;/&gt;&lt;wsp:rsid wsp:val=&quot;00E476B7&quot;/&gt;&lt;wsp:rsid wsp:val=&quot;00E55155&quot;/&gt;&lt;wsp:rsid wsp:val=&quot;00E657F0&quot;/&gt;&lt;wsp:rsid wsp:val=&quot;00E82A07&quot;/&gt;&lt;wsp:rsid wsp:val=&quot;00E91998&quot;/&gt;&lt;wsp:rsid wsp:val=&quot;00E91AE4&quot;/&gt;&lt;wsp:rsid wsp:val=&quot;00EB1EEE&quot;/&gt;&lt;wsp:rsid wsp:val=&quot;00EC644D&quot;/&gt;&lt;wsp:rsid wsp:val=&quot;00EE10A7&quot;/&gt;&lt;wsp:rsid wsp:val=&quot;00EE4FFA&quot;/&gt;&lt;wsp:rsid wsp:val=&quot;00EF5FBE&quot;/&gt;&lt;wsp:rsid wsp:val=&quot;00EF6237&quot;/&gt;&lt;wsp:rsid wsp:val=&quot;00EF6962&quot;/&gt;&lt;wsp:rsid wsp:val=&quot;00EF6AB8&quot;/&gt;&lt;wsp:rsid wsp:val=&quot;00F03016&quot;/&gt;&lt;wsp:rsid wsp:val=&quot;00F1545C&quot;/&gt;&lt;wsp:rsid wsp:val=&quot;00F43915&quot;/&gt;&lt;wsp:rsid wsp:val=&quot;00F63229&quot;/&gt;&lt;wsp:rsid wsp:val=&quot;00F663FC&quot;/&gt;&lt;wsp:rsid wsp:val=&quot;00F7567F&quot;/&gt;&lt;wsp:rsid wsp:val=&quot;00F776FB&quot;/&gt;&lt;wsp:rsid wsp:val=&quot;00F83095&quot;/&gt;&lt;wsp:rsid wsp:val=&quot;00F86A87&quot;/&gt;&lt;wsp:rsid wsp:val=&quot;00F9784B&quot;/&gt;&lt;wsp:rsid wsp:val=&quot;00F97A8D&quot;/&gt;&lt;wsp:rsid wsp:val=&quot;00FA605A&quot;/&gt;&lt;wsp:rsid wsp:val=&quot;00FB6EAF&quot;/&gt;&lt;wsp:rsid wsp:val=&quot;00FB7CC1&quot;/&gt;&lt;wsp:rsid wsp:val=&quot;00FB7DCC&quot;/&gt;&lt;wsp:rsid wsp:val=&quot;00FC1C50&quot;/&gt;&lt;wsp:rsid wsp:val=&quot;00FD7CD3&quot;/&gt;&lt;wsp:rsid wsp:val=&quot;00FE5095&quot;/&gt;&lt;wsp:rsid wsp:val=&quot;00FF3DE9&quot;/&gt;&lt;wsp:rsid wsp:val=&quot;00FF41BF&quot;/&gt;&lt;wsp:rsid wsp:val=&quot;00FF597B&quot;/&gt;&lt;/wsp:rsids&gt;&lt;/w:docPr&gt;&lt;w:body&gt;&lt;wx:sect&gt;&lt;w:p wsp:rsidR=&quot;00000000&quot; wsp:rsidRPr=&quot;00D10AE2&quot; wsp:rsidRDefault=&quot;00D10AE2&quot; wsp:rsidP=&quot;00D10AE2&quot;&gt;&lt;m:oMathPara&gt;&lt;m:oMath&gt;&lt;m:r&gt;&lt;w:rPr&gt;&lt;w:rFonts w:ascii=&quot;Cambria Math&quot; w:fareast=&quot;Times New Roman&quot; w:h-ansi=&quot;Cambria Math&quot;/&gt;&lt;wx:font wx:val=&quot;Cambria Math&quot;/&gt;&lt;w:i/&gt;&lt;/w:rPr&gt;&lt;m:t&gt;CSR=100 Ã— &lt;/m:t&gt;&lt;/m:r&gt;&lt;m:f&gt;&lt;m:fPr&gt;&lt;m:ctrlPr&gt;&lt;w:rPr&gt;&lt;w:rFonts w:ascii=&quot;Cambria Math&quot; w:fareast=&quot;Times New Roman&quot; w:h-ansi=&quot;Cambria Math&quot;/&gt;&lt;wx:font wx:val=&quot;Cambria Math&quot;/&gt;&lt;w:i/&gt;&lt;/w:rPr&gt;&lt;/m:ctrlPr&gt;&lt;/m:fPr&gt;&lt;m:num&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m&lt;/m:t&gt;&lt;/m:r&gt;&lt;/m:e&gt;&lt;m:sub&gt;&lt;m:r&gt;&lt;w:rPr&gt;&lt;w:rFonts w:ascii=&quot;Cambria Math&quot; w:fareast=&quot;Times New Roman&quot; w:h-ansi=&quot;Cambria Math&quot;/&gt;&lt;wx:font wx:val=&quot;Cambria Math&quot;/&gt;&lt;w:i/&gt;&lt;/w:rPr&gt;&lt;m:t&gt;2&lt;/m:t&gt;&lt;/m:r&gt;&lt;/m:sub&gt;&lt;/m:sSub&gt;&lt;/m:num&gt;&lt;m:den&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m&lt;/m:t&gt;&lt;/m:r&gt;&lt;/m:e&gt;&lt;m:sub&gt;&lt;m:r&gt;&lt;w:rPr&gt;&lt;w:rFonts w:ascii=&quot;Cambria Math&quot; w:fareast=&quot;Times New Roman&quot; w:h-ansi=&quot;Cambria Math&quot;/&gt;&lt;wx:font wx:val=&quot;Cambria Math&quot;/&gt;&lt;w:i/&gt;&lt;/w:rPr&gt;&lt;m:t&gt;1&lt;/m:t&gt;&lt;/m:r&gt;&lt;/m:sub&gt;&lt;/m:sSub&gt;&lt;/m:den&gt;&lt;/m:f&gt;&lt;/m:oMath&gt;&lt;/m:oMathPara&gt;&lt;/w:p&gt;&lt;w:sectPr wsp:rsidR=&quot;00000000&quot; wsp:rsidRPr=&quot;00D10AE2&quot;&gt;&lt;w:pgSz w:w=&quot;12240&quot; w:h=&quot;15840&quot;/&gt;&lt;w:pgMar w:top=&quot;1440&quot; w:right=&quot;1440&quot; w:bottom=&quot;1440&quot; w:left=&quot;1440&quot; w:header=&quot;720&quot; w:footer=&quot;720&quot; w:gutter=&quot;0&quot;/&gt;&lt;w:cols w:space=&quot;720&quot;/&gt;&lt;/w:sectPr&gt;&lt;/wx:sect&gt;&lt;/w:body&gt;&lt;/w:wordDocument&gt;">
            <v:imagedata r:id="rId21" o:title="" chromakey="white"/>
          </v:shape>
        </w:pict>
      </w:r>
    </w:p>
    <w:p w:rsidR="00D12BB1" w:rsidRPr="00A11CD0" w:rsidRDefault="00D12BB1" w:rsidP="001260FF">
      <w:pPr>
        <w:jc w:val="both"/>
        <w:rPr>
          <w:rFonts w:eastAsia="Times New Roman"/>
        </w:rPr>
      </w:pPr>
      <w:r w:rsidRPr="00A11CD0">
        <w:rPr>
          <w:rFonts w:eastAsia="Times New Roman"/>
        </w:rPr>
        <w:t>Where</w:t>
      </w:r>
      <w:r w:rsidRPr="00A11CD0">
        <w:rPr>
          <w:rFonts w:eastAsia="Times New Roman"/>
        </w:rPr>
        <w:tab/>
        <w:t>m</w:t>
      </w:r>
      <w:r w:rsidRPr="00A11CD0">
        <w:rPr>
          <w:rFonts w:eastAsia="Times New Roman"/>
          <w:vertAlign w:val="subscript"/>
        </w:rPr>
        <w:t>2</w:t>
      </w:r>
      <w:r w:rsidRPr="00A11CD0">
        <w:rPr>
          <w:rFonts w:eastAsia="Times New Roman"/>
        </w:rPr>
        <w:t xml:space="preserve"> = the mass, in grams, of the sample remaining on top of the 9.5mm sieve after tumbling.</w:t>
      </w:r>
    </w:p>
    <w:p w:rsidR="00D12BB1" w:rsidRPr="00A11CD0" w:rsidRDefault="00D12BB1" w:rsidP="001260FF">
      <w:pPr>
        <w:jc w:val="both"/>
        <w:rPr>
          <w:rFonts w:eastAsia="Times New Roman"/>
        </w:rPr>
      </w:pPr>
      <w:r w:rsidRPr="00A11CD0">
        <w:rPr>
          <w:rFonts w:eastAsia="Times New Roman"/>
        </w:rPr>
        <w:tab/>
        <w:t>m</w:t>
      </w:r>
      <w:r w:rsidRPr="00A11CD0">
        <w:rPr>
          <w:rFonts w:eastAsia="Times New Roman"/>
          <w:vertAlign w:val="subscript"/>
        </w:rPr>
        <w:t>1</w:t>
      </w:r>
      <w:r w:rsidRPr="00A11CD0">
        <w:rPr>
          <w:rFonts w:eastAsia="Times New Roman"/>
        </w:rPr>
        <w:t xml:space="preserve"> = the mass, in grams, of the sample after reaction.</w:t>
      </w:r>
    </w:p>
    <w:p w:rsidR="00D12BB1" w:rsidRPr="00A11CD0" w:rsidRDefault="00D12BB1" w:rsidP="001260FF">
      <w:pPr>
        <w:jc w:val="both"/>
        <w:rPr>
          <w:rFonts w:eastAsia="Times New Roman"/>
        </w:rPr>
      </w:pPr>
      <w:r w:rsidRPr="00A11CD0">
        <w:rPr>
          <w:rFonts w:eastAsia="Times New Roman"/>
        </w:rPr>
        <w:t>Result is rounded to the first decimal place.</w:t>
      </w:r>
    </w:p>
    <w:p w:rsidR="00D12BB1" w:rsidRDefault="00D12BB1" w:rsidP="001260FF">
      <w:pPr>
        <w:jc w:val="both"/>
      </w:pPr>
    </w:p>
    <w:p w:rsidR="001260FF" w:rsidRPr="00A11CD0" w:rsidRDefault="001260FF" w:rsidP="001260FF">
      <w:pPr>
        <w:pStyle w:val="Heading3"/>
        <w:jc w:val="both"/>
      </w:pPr>
      <w:bookmarkStart w:id="140" w:name="_Toc511503113"/>
      <w:bookmarkStart w:id="141" w:name="_Toc512166873"/>
      <w:bookmarkStart w:id="142" w:name="_Toc512168650"/>
      <w:bookmarkStart w:id="143" w:name="_Toc512169531"/>
      <w:bookmarkStart w:id="144" w:name="_Toc512334087"/>
      <w:r w:rsidRPr="00A11CD0">
        <w:t>Repeatability Limits</w:t>
      </w:r>
      <w:bookmarkEnd w:id="140"/>
      <w:bookmarkEnd w:id="141"/>
      <w:bookmarkEnd w:id="142"/>
      <w:bookmarkEnd w:id="143"/>
      <w:bookmarkEnd w:id="144"/>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rPr>
        <w:t>If duplicate tests of the same sample are carried out within a short space of time by the same technician, the results must not differ than what is shown in the two tables below. If they do, then retests may be required.</w:t>
      </w:r>
    </w:p>
    <w:p w:rsidR="006D663A" w:rsidRDefault="006D663A" w:rsidP="006D663A"/>
    <w:p w:rsidR="00D53910" w:rsidRDefault="00D53910" w:rsidP="006D663A"/>
    <w:p w:rsidR="00D53910" w:rsidRDefault="00D53910" w:rsidP="006D663A"/>
    <w:p w:rsidR="00D53910" w:rsidRDefault="00D53910" w:rsidP="006D663A"/>
    <w:p w:rsidR="00D53910" w:rsidRDefault="00D53910" w:rsidP="006D663A"/>
    <w:p w:rsidR="00D53910" w:rsidRDefault="00D53910" w:rsidP="006D663A"/>
    <w:p w:rsidR="00D53910" w:rsidRDefault="00D53910" w:rsidP="006D663A"/>
    <w:p w:rsidR="00D53910" w:rsidRDefault="00D53910" w:rsidP="006D663A"/>
    <w:p w:rsidR="00D53910" w:rsidRPr="006D663A" w:rsidRDefault="00D53910" w:rsidP="006D663A"/>
    <w:p w:rsidR="001260FF" w:rsidRPr="00A11CD0" w:rsidRDefault="001260FF" w:rsidP="001260FF">
      <w:pPr>
        <w:pStyle w:val="Heading4"/>
        <w:jc w:val="both"/>
      </w:pPr>
      <w:r w:rsidRPr="00A11CD0">
        <w:lastRenderedPageBreak/>
        <w:t>CRI</w:t>
      </w:r>
    </w:p>
    <w:p w:rsidR="001260FF" w:rsidRPr="00A11CD0" w:rsidRDefault="001260FF" w:rsidP="001260FF">
      <w:pPr>
        <w:jc w:val="both"/>
        <w:rPr>
          <w:rFonts w:eastAsia="Times New Roman"/>
        </w:rPr>
      </w:pPr>
    </w:p>
    <w:tbl>
      <w:tblPr>
        <w:tblW w:w="5530" w:type="dxa"/>
        <w:tblInd w:w="1740" w:type="dxa"/>
        <w:tblLook w:val="04A0" w:firstRow="1" w:lastRow="0" w:firstColumn="1" w:lastColumn="0" w:noHBand="0" w:noVBand="1"/>
      </w:tblPr>
      <w:tblGrid>
        <w:gridCol w:w="1560"/>
        <w:gridCol w:w="1275"/>
        <w:gridCol w:w="1418"/>
        <w:gridCol w:w="1277"/>
      </w:tblGrid>
      <w:tr w:rsidR="001260FF" w:rsidRPr="00A11CD0" w:rsidTr="002920D4">
        <w:trPr>
          <w:trHeight w:val="360"/>
        </w:trPr>
        <w:tc>
          <w:tcPr>
            <w:tcW w:w="156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CRI</w:t>
            </w:r>
          </w:p>
        </w:tc>
        <w:tc>
          <w:tcPr>
            <w:tcW w:w="3970" w:type="dxa"/>
            <w:gridSpan w:val="3"/>
            <w:tcBorders>
              <w:top w:val="single" w:sz="4" w:space="0" w:color="auto"/>
              <w:left w:val="nil"/>
              <w:bottom w:val="single" w:sz="4" w:space="0" w:color="auto"/>
              <w:right w:val="single" w:sz="4" w:space="0" w:color="auto"/>
            </w:tcBorders>
            <w:shd w:val="clear" w:color="auto" w:fill="auto"/>
            <w:noWrap/>
            <w:vAlign w:val="center"/>
            <w:hideMark/>
          </w:tcPr>
          <w:p w:rsidR="001260FF" w:rsidRPr="00484023" w:rsidRDefault="001260FF" w:rsidP="001552CA">
            <w:pPr>
              <w:jc w:val="center"/>
              <w:rPr>
                <w:rFonts w:eastAsia="Times New Roman" w:cs="Calibri"/>
                <w:color w:val="000000"/>
                <w:lang w:eastAsia="en-GB"/>
              </w:rPr>
            </w:pPr>
            <w:r w:rsidRPr="00A11CD0">
              <w:rPr>
                <w:rFonts w:eastAsia="Times New Roman"/>
              </w:rPr>
              <w:t>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w:t>
            </w:r>
          </w:p>
        </w:tc>
      </w:tr>
      <w:tr w:rsidR="001260FF" w:rsidRPr="00A11CD0" w:rsidTr="002920D4">
        <w:trPr>
          <w:trHeight w:val="300"/>
        </w:trPr>
        <w:tc>
          <w:tcPr>
            <w:tcW w:w="1560" w:type="dxa"/>
            <w:vMerge/>
            <w:tcBorders>
              <w:top w:val="single" w:sz="4" w:space="0" w:color="auto"/>
              <w:left w:val="single" w:sz="4" w:space="0" w:color="auto"/>
              <w:bottom w:val="single" w:sz="4" w:space="0" w:color="auto"/>
              <w:right w:val="single" w:sz="4" w:space="0" w:color="auto"/>
            </w:tcBorders>
            <w:vAlign w:val="center"/>
            <w:hideMark/>
          </w:tcPr>
          <w:p w:rsidR="001260FF" w:rsidRPr="00484023" w:rsidRDefault="001260FF" w:rsidP="001552CA">
            <w:pPr>
              <w:jc w:val="center"/>
              <w:rPr>
                <w:rFonts w:eastAsia="Times New Roman" w:cs="Calibri"/>
                <w:color w:val="000000"/>
                <w:lang w:eastAsia="en-GB"/>
              </w:rPr>
            </w:pP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A</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B</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C</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10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&gt; 10 ≤ 20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2.0</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2.5</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2.7</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&gt; 20 ≤ 30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2.5</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3.2</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3.5</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&gt; 30 ≤ 40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3.0</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4.0</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4.5</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&gt; 40 ≤ 60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3.5</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5.0</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5.5</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&gt; 60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r>
    </w:tbl>
    <w:p w:rsidR="001260FF" w:rsidRPr="009726D8" w:rsidRDefault="00D460D7" w:rsidP="00D460D7">
      <w:pPr>
        <w:pStyle w:val="Caption"/>
        <w:jc w:val="center"/>
        <w:rPr>
          <w:rFonts w:eastAsia="Times New Roman"/>
          <w:b w:val="0"/>
          <w:vertAlign w:val="superscript"/>
        </w:rPr>
      </w:pPr>
      <w:bookmarkStart w:id="145" w:name="_Toc512166650"/>
      <w:bookmarkStart w:id="146" w:name="_Toc512166882"/>
      <w:bookmarkStart w:id="147" w:name="_Toc512168599"/>
      <w:bookmarkStart w:id="148" w:name="_Toc512169546"/>
      <w:bookmarkStart w:id="149" w:name="_Toc512333604"/>
      <w:r w:rsidRPr="00D460D7">
        <w:t xml:space="preserve">Table </w:t>
      </w:r>
      <w:fldSimple w:instr=" SEQ Table \* ARABIC ">
        <w:r w:rsidR="009A5CBD">
          <w:rPr>
            <w:noProof/>
          </w:rPr>
          <w:t>2</w:t>
        </w:r>
      </w:fldSimple>
      <w:r w:rsidR="00A53204" w:rsidRPr="00D460D7">
        <w:rPr>
          <w:rFonts w:eastAsia="Times New Roman"/>
        </w:rPr>
        <w:t xml:space="preserve"> – C</w:t>
      </w:r>
      <w:r w:rsidR="001260FF" w:rsidRPr="00D460D7">
        <w:rPr>
          <w:rFonts w:eastAsia="Times New Roman"/>
        </w:rPr>
        <w:t>riteria for multiple determinations of CR</w:t>
      </w:r>
      <w:bookmarkEnd w:id="145"/>
      <w:bookmarkEnd w:id="146"/>
      <w:bookmarkEnd w:id="147"/>
      <w:bookmarkEnd w:id="148"/>
      <w:r w:rsidR="009726D8">
        <w:rPr>
          <w:rFonts w:eastAsia="Times New Roman"/>
        </w:rPr>
        <w:t>I.</w:t>
      </w:r>
      <w:r w:rsidR="009726D8">
        <w:rPr>
          <w:rFonts w:eastAsia="Times New Roman"/>
          <w:b w:val="0"/>
        </w:rPr>
        <w:t xml:space="preserve"> </w:t>
      </w:r>
      <w:r w:rsidR="009726D8">
        <w:rPr>
          <w:rFonts w:eastAsia="Times New Roman"/>
          <w:b w:val="0"/>
          <w:vertAlign w:val="superscript"/>
        </w:rPr>
        <w:t>[1</w:t>
      </w:r>
      <w:r w:rsidR="000261BF">
        <w:rPr>
          <w:rFonts w:eastAsia="Times New Roman"/>
          <w:b w:val="0"/>
          <w:vertAlign w:val="superscript"/>
        </w:rPr>
        <w:t>6</w:t>
      </w:r>
      <w:r w:rsidR="009726D8">
        <w:rPr>
          <w:rFonts w:eastAsia="Times New Roman"/>
          <w:b w:val="0"/>
          <w:vertAlign w:val="superscript"/>
        </w:rPr>
        <w:t>]</w:t>
      </w:r>
      <w:bookmarkEnd w:id="149"/>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b/>
        </w:rPr>
        <w:t>Given Two Results</w:t>
      </w:r>
    </w:p>
    <w:p w:rsidR="001260FF" w:rsidRPr="00A11CD0" w:rsidRDefault="001260FF" w:rsidP="001260FF">
      <w:pPr>
        <w:jc w:val="both"/>
        <w:rPr>
          <w:rFonts w:eastAsia="Times New Roman"/>
        </w:rPr>
      </w:pPr>
      <w:r w:rsidRPr="00A11CD0">
        <w:rPr>
          <w:rFonts w:eastAsia="Times New Roman"/>
        </w:rPr>
        <w:t>If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xml:space="preserve">| </w:t>
      </w:r>
      <w:r w:rsidRPr="00A11CD0">
        <w:rPr>
          <w:rFonts w:eastAsia="Times New Roman" w:cs="Calibri"/>
        </w:rPr>
        <w:t>≤</w:t>
      </w:r>
      <w:r w:rsidRPr="00A11CD0">
        <w:rPr>
          <w:rFonts w:eastAsia="Times New Roman"/>
        </w:rPr>
        <w:t xml:space="preserve"> A, average of two results.</w:t>
      </w:r>
    </w:p>
    <w:p w:rsidR="001260FF" w:rsidRPr="00A11CD0" w:rsidRDefault="001260FF" w:rsidP="001260FF">
      <w:pPr>
        <w:jc w:val="both"/>
        <w:rPr>
          <w:rFonts w:eastAsia="Times New Roman"/>
        </w:rPr>
      </w:pPr>
      <w:r w:rsidRPr="00A11CD0">
        <w:rPr>
          <w:rFonts w:eastAsia="Times New Roman"/>
        </w:rPr>
        <w:t>If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&gt; A and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xml:space="preserve">| </w:t>
      </w:r>
      <w:r w:rsidRPr="00A11CD0">
        <w:rPr>
          <w:rFonts w:eastAsia="Times New Roman" w:cs="Calibri"/>
        </w:rPr>
        <w:t>≤</w:t>
      </w:r>
      <w:r w:rsidRPr="00A11CD0">
        <w:rPr>
          <w:rFonts w:eastAsia="Times New Roman"/>
        </w:rPr>
        <w:t xml:space="preserve"> B, perform a third test.</w:t>
      </w:r>
    </w:p>
    <w:p w:rsidR="001260FF" w:rsidRPr="00A11CD0" w:rsidRDefault="001260FF" w:rsidP="001260FF">
      <w:pPr>
        <w:jc w:val="both"/>
        <w:rPr>
          <w:rFonts w:eastAsia="Times New Roman"/>
        </w:rPr>
      </w:pPr>
      <w:r w:rsidRPr="00A11CD0">
        <w:rPr>
          <w:rFonts w:eastAsia="Times New Roman"/>
        </w:rPr>
        <w:t>If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&gt; B, perform two more tests.</w:t>
      </w:r>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b/>
        </w:rPr>
        <w:t>Given Three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w:t>
      </w:r>
      <w:r w:rsidRPr="00A11CD0">
        <w:rPr>
          <w:rFonts w:eastAsia="Times New Roman"/>
        </w:rPr>
        <w:t xml:space="preserve"> B, average the three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&gt; B, perform a forth test.</w:t>
      </w:r>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b/>
        </w:rPr>
        <w:t>Given Four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 C, average the for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&gt; C, discard</w:t>
      </w:r>
      <w:r w:rsidRPr="00A11CD0">
        <w:rPr>
          <w:rFonts w:eastAsia="Times New Roman"/>
        </w:rPr>
        <w:t xml:space="preserve"> X</w:t>
      </w:r>
      <w:r w:rsidRPr="00A11CD0">
        <w:rPr>
          <w:rFonts w:eastAsia="Times New Roman"/>
          <w:vertAlign w:val="subscript"/>
        </w:rPr>
        <w:t>(max)</w:t>
      </w:r>
      <w:r w:rsidRPr="00A11CD0">
        <w:rPr>
          <w:rFonts w:eastAsia="Times New Roman"/>
        </w:rPr>
        <w:t xml:space="preserve"> and X</w:t>
      </w:r>
      <w:r w:rsidRPr="00A11CD0">
        <w:rPr>
          <w:rFonts w:eastAsia="Times New Roman"/>
          <w:vertAlign w:val="subscript"/>
        </w:rPr>
        <w:t>(min)</w:t>
      </w:r>
      <w:r w:rsidRPr="00A11CD0">
        <w:rPr>
          <w:rFonts w:eastAsia="Times New Roman"/>
        </w:rPr>
        <w:t xml:space="preserve"> and average the two remaining results. </w:t>
      </w:r>
    </w:p>
    <w:p w:rsidR="001260FF" w:rsidRPr="00A11CD0" w:rsidRDefault="001260FF" w:rsidP="001260FF">
      <w:pPr>
        <w:jc w:val="both"/>
        <w:rPr>
          <w:rFonts w:eastAsia="Times New Roman"/>
        </w:rPr>
      </w:pPr>
      <w:r w:rsidRPr="00A11CD0">
        <w:rPr>
          <w:rFonts w:eastAsia="Times New Roman"/>
        </w:rPr>
        <w:t>The mean results are to be rounded up to the nearest decimal place.</w:t>
      </w:r>
    </w:p>
    <w:p w:rsidR="001260FF" w:rsidRDefault="001260FF" w:rsidP="001260FF">
      <w:pPr>
        <w:jc w:val="both"/>
        <w:rPr>
          <w:rFonts w:eastAsia="Times New Roman"/>
        </w:rPr>
      </w:pPr>
    </w:p>
    <w:p w:rsidR="0035209D" w:rsidRDefault="0035209D" w:rsidP="001260FF">
      <w:pPr>
        <w:jc w:val="both"/>
        <w:rPr>
          <w:rFonts w:eastAsia="Times New Roman"/>
        </w:rPr>
      </w:pPr>
    </w:p>
    <w:p w:rsidR="0035209D" w:rsidRDefault="0035209D" w:rsidP="001260FF">
      <w:pPr>
        <w:jc w:val="both"/>
        <w:rPr>
          <w:rFonts w:eastAsia="Times New Roman"/>
        </w:rPr>
      </w:pPr>
    </w:p>
    <w:p w:rsidR="0035209D" w:rsidRDefault="0035209D" w:rsidP="001260FF">
      <w:pPr>
        <w:jc w:val="both"/>
        <w:rPr>
          <w:rFonts w:eastAsia="Times New Roman"/>
        </w:rPr>
      </w:pPr>
    </w:p>
    <w:p w:rsidR="0035209D" w:rsidRDefault="0035209D" w:rsidP="001260FF">
      <w:pPr>
        <w:jc w:val="both"/>
        <w:rPr>
          <w:rFonts w:eastAsia="Times New Roman"/>
        </w:rPr>
      </w:pPr>
    </w:p>
    <w:p w:rsidR="009726D8" w:rsidRPr="00A11CD0" w:rsidRDefault="009726D8" w:rsidP="001260FF">
      <w:pPr>
        <w:jc w:val="both"/>
        <w:rPr>
          <w:rFonts w:eastAsia="Times New Roman"/>
        </w:rPr>
      </w:pPr>
    </w:p>
    <w:p w:rsidR="001260FF" w:rsidRPr="00A11CD0" w:rsidRDefault="001260FF" w:rsidP="001260FF">
      <w:pPr>
        <w:pStyle w:val="Heading4"/>
        <w:jc w:val="both"/>
      </w:pPr>
      <w:r w:rsidRPr="00A11CD0">
        <w:lastRenderedPageBreak/>
        <w:t>CSR</w:t>
      </w:r>
    </w:p>
    <w:p w:rsidR="001260FF" w:rsidRPr="00A11CD0" w:rsidRDefault="001260FF" w:rsidP="001260FF">
      <w:pPr>
        <w:jc w:val="both"/>
        <w:rPr>
          <w:rFonts w:eastAsia="Times New Roman"/>
        </w:rPr>
      </w:pPr>
    </w:p>
    <w:tbl>
      <w:tblPr>
        <w:tblW w:w="5530" w:type="dxa"/>
        <w:tblInd w:w="1740" w:type="dxa"/>
        <w:tblLook w:val="04A0" w:firstRow="1" w:lastRow="0" w:firstColumn="1" w:lastColumn="0" w:noHBand="0" w:noVBand="1"/>
      </w:tblPr>
      <w:tblGrid>
        <w:gridCol w:w="1560"/>
        <w:gridCol w:w="1275"/>
        <w:gridCol w:w="1418"/>
        <w:gridCol w:w="1277"/>
      </w:tblGrid>
      <w:tr w:rsidR="001260FF" w:rsidRPr="00A11CD0" w:rsidTr="002920D4">
        <w:trPr>
          <w:trHeight w:val="360"/>
        </w:trPr>
        <w:tc>
          <w:tcPr>
            <w:tcW w:w="156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Pr>
                <w:rFonts w:eastAsia="Times New Roman" w:cs="Calibri"/>
                <w:color w:val="000000"/>
                <w:lang w:eastAsia="en-GB"/>
              </w:rPr>
              <w:t>CSR</w:t>
            </w:r>
          </w:p>
        </w:tc>
        <w:tc>
          <w:tcPr>
            <w:tcW w:w="3970" w:type="dxa"/>
            <w:gridSpan w:val="3"/>
            <w:tcBorders>
              <w:top w:val="single" w:sz="4" w:space="0" w:color="auto"/>
              <w:left w:val="nil"/>
              <w:bottom w:val="single" w:sz="4" w:space="0" w:color="auto"/>
              <w:right w:val="single" w:sz="4" w:space="0" w:color="auto"/>
            </w:tcBorders>
            <w:shd w:val="clear" w:color="auto" w:fill="auto"/>
            <w:noWrap/>
            <w:vAlign w:val="center"/>
            <w:hideMark/>
          </w:tcPr>
          <w:p w:rsidR="001260FF" w:rsidRPr="00484023" w:rsidRDefault="001260FF" w:rsidP="001552CA">
            <w:pPr>
              <w:jc w:val="center"/>
              <w:rPr>
                <w:rFonts w:eastAsia="Times New Roman" w:cs="Calibri"/>
                <w:color w:val="000000"/>
                <w:lang w:eastAsia="en-GB"/>
              </w:rPr>
            </w:pPr>
            <w:r w:rsidRPr="00A11CD0">
              <w:rPr>
                <w:rFonts w:eastAsia="Times New Roman"/>
              </w:rPr>
              <w:t>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w:t>
            </w:r>
          </w:p>
        </w:tc>
      </w:tr>
      <w:tr w:rsidR="001260FF" w:rsidRPr="00A11CD0" w:rsidTr="002920D4">
        <w:trPr>
          <w:trHeight w:val="300"/>
        </w:trPr>
        <w:tc>
          <w:tcPr>
            <w:tcW w:w="1560" w:type="dxa"/>
            <w:vMerge/>
            <w:tcBorders>
              <w:top w:val="single" w:sz="4" w:space="0" w:color="auto"/>
              <w:left w:val="single" w:sz="4" w:space="0" w:color="auto"/>
              <w:bottom w:val="single" w:sz="4" w:space="0" w:color="auto"/>
              <w:right w:val="single" w:sz="4" w:space="0" w:color="auto"/>
            </w:tcBorders>
            <w:vAlign w:val="center"/>
            <w:hideMark/>
          </w:tcPr>
          <w:p w:rsidR="001260FF" w:rsidRPr="00484023" w:rsidRDefault="001260FF" w:rsidP="001552CA">
            <w:pPr>
              <w:jc w:val="center"/>
              <w:rPr>
                <w:rFonts w:eastAsia="Times New Roman" w:cs="Calibri"/>
                <w:color w:val="000000"/>
                <w:lang w:eastAsia="en-GB"/>
              </w:rPr>
            </w:pP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A</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B</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C</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xml:space="preserve">≤ </w:t>
            </w:r>
            <w:r>
              <w:rPr>
                <w:rFonts w:eastAsia="Times New Roman" w:cs="Calibri"/>
                <w:color w:val="000000"/>
                <w:lang w:eastAsia="en-GB"/>
              </w:rPr>
              <w:t>8</w:t>
            </w:r>
            <w:r w:rsidRPr="00484023">
              <w:rPr>
                <w:rFonts w:eastAsia="Times New Roman" w:cs="Calibri"/>
                <w:color w:val="000000"/>
                <w:lang w:eastAsia="en-GB"/>
              </w:rPr>
              <w:t>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xml:space="preserve">&gt; </w:t>
            </w:r>
            <w:r>
              <w:rPr>
                <w:rFonts w:eastAsia="Times New Roman" w:cs="Calibri"/>
                <w:color w:val="000000"/>
                <w:lang w:eastAsia="en-GB"/>
              </w:rPr>
              <w:t>7</w:t>
            </w:r>
            <w:r w:rsidRPr="00484023">
              <w:rPr>
                <w:rFonts w:eastAsia="Times New Roman" w:cs="Calibri"/>
                <w:color w:val="000000"/>
                <w:lang w:eastAsia="en-GB"/>
              </w:rPr>
              <w:t xml:space="preserve">0 ≤ </w:t>
            </w:r>
            <w:r>
              <w:rPr>
                <w:rFonts w:eastAsia="Times New Roman" w:cs="Calibri"/>
                <w:color w:val="000000"/>
                <w:lang w:eastAsia="en-GB"/>
              </w:rPr>
              <w:t>8</w:t>
            </w:r>
            <w:r w:rsidRPr="00484023">
              <w:rPr>
                <w:rFonts w:eastAsia="Times New Roman" w:cs="Calibri"/>
                <w:color w:val="000000"/>
                <w:lang w:eastAsia="en-GB"/>
              </w:rPr>
              <w:t>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2.0</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2.5</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2.7</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xml:space="preserve">&gt; </w:t>
            </w:r>
            <w:r>
              <w:rPr>
                <w:rFonts w:eastAsia="Times New Roman" w:cs="Calibri"/>
                <w:color w:val="000000"/>
                <w:lang w:eastAsia="en-GB"/>
              </w:rPr>
              <w:t>6</w:t>
            </w:r>
            <w:r w:rsidRPr="00484023">
              <w:rPr>
                <w:rFonts w:eastAsia="Times New Roman" w:cs="Calibri"/>
                <w:color w:val="000000"/>
                <w:lang w:eastAsia="en-GB"/>
              </w:rPr>
              <w:t xml:space="preserve">0 ≤ </w:t>
            </w:r>
            <w:r>
              <w:rPr>
                <w:rFonts w:eastAsia="Times New Roman" w:cs="Calibri"/>
                <w:color w:val="000000"/>
                <w:lang w:eastAsia="en-GB"/>
              </w:rPr>
              <w:t>7</w:t>
            </w:r>
            <w:r w:rsidRPr="00484023">
              <w:rPr>
                <w:rFonts w:eastAsia="Times New Roman" w:cs="Calibri"/>
                <w:color w:val="000000"/>
                <w:lang w:eastAsia="en-GB"/>
              </w:rPr>
              <w:t>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2.5</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3.2</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3.5</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xml:space="preserve">&gt; </w:t>
            </w:r>
            <w:r>
              <w:rPr>
                <w:rFonts w:eastAsia="Times New Roman" w:cs="Calibri"/>
                <w:color w:val="000000"/>
                <w:lang w:eastAsia="en-GB"/>
              </w:rPr>
              <w:t>5</w:t>
            </w:r>
            <w:r w:rsidRPr="00484023">
              <w:rPr>
                <w:rFonts w:eastAsia="Times New Roman" w:cs="Calibri"/>
                <w:color w:val="000000"/>
                <w:lang w:eastAsia="en-GB"/>
              </w:rPr>
              <w:t xml:space="preserve">0 ≤ </w:t>
            </w:r>
            <w:r>
              <w:rPr>
                <w:rFonts w:eastAsia="Times New Roman" w:cs="Calibri"/>
                <w:color w:val="000000"/>
                <w:lang w:eastAsia="en-GB"/>
              </w:rPr>
              <w:t>6</w:t>
            </w:r>
            <w:r w:rsidRPr="00484023">
              <w:rPr>
                <w:rFonts w:eastAsia="Times New Roman" w:cs="Calibri"/>
                <w:color w:val="000000"/>
                <w:lang w:eastAsia="en-GB"/>
              </w:rPr>
              <w:t>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3.0</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4.0</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4.5</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xml:space="preserve">&gt; </w:t>
            </w:r>
            <w:r>
              <w:rPr>
                <w:rFonts w:eastAsia="Times New Roman" w:cs="Calibri"/>
                <w:color w:val="000000"/>
                <w:lang w:eastAsia="en-GB"/>
              </w:rPr>
              <w:t>3</w:t>
            </w:r>
            <w:r w:rsidRPr="00484023">
              <w:rPr>
                <w:rFonts w:eastAsia="Times New Roman" w:cs="Calibri"/>
                <w:color w:val="000000"/>
                <w:lang w:eastAsia="en-GB"/>
              </w:rPr>
              <w:t xml:space="preserve">0 ≤ </w:t>
            </w:r>
            <w:r>
              <w:rPr>
                <w:rFonts w:eastAsia="Times New Roman" w:cs="Calibri"/>
                <w:color w:val="000000"/>
                <w:lang w:eastAsia="en-GB"/>
              </w:rPr>
              <w:t>5</w:t>
            </w:r>
            <w:r w:rsidRPr="00484023">
              <w:rPr>
                <w:rFonts w:eastAsia="Times New Roman" w:cs="Calibri"/>
                <w:color w:val="000000"/>
                <w:lang w:eastAsia="en-GB"/>
              </w:rPr>
              <w:t>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3.5</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5.0</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5.5</w:t>
            </w:r>
          </w:p>
        </w:tc>
      </w:tr>
      <w:tr w:rsidR="001260FF" w:rsidRPr="00A11CD0" w:rsidTr="002920D4">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 xml:space="preserve">&gt; </w:t>
            </w:r>
            <w:r>
              <w:rPr>
                <w:rFonts w:eastAsia="Times New Roman" w:cs="Calibri"/>
                <w:color w:val="000000"/>
                <w:lang w:eastAsia="en-GB"/>
              </w:rPr>
              <w:t>3</w:t>
            </w:r>
            <w:r w:rsidRPr="00484023">
              <w:rPr>
                <w:rFonts w:eastAsia="Times New Roman" w:cs="Calibri"/>
                <w:color w:val="000000"/>
                <w:lang w:eastAsia="en-GB"/>
              </w:rPr>
              <w:t>0</w:t>
            </w:r>
          </w:p>
        </w:tc>
        <w:tc>
          <w:tcPr>
            <w:tcW w:w="1275"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418"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c>
          <w:tcPr>
            <w:tcW w:w="1277" w:type="dxa"/>
            <w:tcBorders>
              <w:top w:val="nil"/>
              <w:left w:val="nil"/>
              <w:bottom w:val="single" w:sz="4" w:space="0" w:color="auto"/>
              <w:right w:val="single" w:sz="4" w:space="0" w:color="auto"/>
            </w:tcBorders>
            <w:shd w:val="clear" w:color="auto" w:fill="auto"/>
            <w:noWrap/>
            <w:vAlign w:val="bottom"/>
            <w:hideMark/>
          </w:tcPr>
          <w:p w:rsidR="001260FF" w:rsidRPr="00484023" w:rsidRDefault="001260FF" w:rsidP="001552CA">
            <w:pPr>
              <w:jc w:val="center"/>
              <w:rPr>
                <w:rFonts w:eastAsia="Times New Roman" w:cs="Calibri"/>
                <w:color w:val="000000"/>
                <w:lang w:eastAsia="en-GB"/>
              </w:rPr>
            </w:pPr>
            <w:r w:rsidRPr="00484023">
              <w:rPr>
                <w:rFonts w:eastAsia="Times New Roman" w:cs="Calibri"/>
                <w:color w:val="000000"/>
                <w:lang w:eastAsia="en-GB"/>
              </w:rPr>
              <w:t>-</w:t>
            </w:r>
          </w:p>
        </w:tc>
      </w:tr>
    </w:tbl>
    <w:p w:rsidR="001260FF" w:rsidRPr="009726D8" w:rsidRDefault="00D460D7" w:rsidP="00D460D7">
      <w:pPr>
        <w:pStyle w:val="Caption"/>
        <w:jc w:val="center"/>
        <w:rPr>
          <w:rFonts w:eastAsia="Times New Roman"/>
          <w:b w:val="0"/>
          <w:vertAlign w:val="superscript"/>
        </w:rPr>
      </w:pPr>
      <w:bookmarkStart w:id="150" w:name="_Toc512166651"/>
      <w:bookmarkStart w:id="151" w:name="_Toc512166883"/>
      <w:bookmarkStart w:id="152" w:name="_Toc512168600"/>
      <w:bookmarkStart w:id="153" w:name="_Toc512169547"/>
      <w:bookmarkStart w:id="154" w:name="_Toc512333605"/>
      <w:r w:rsidRPr="00D460D7">
        <w:t xml:space="preserve">Table </w:t>
      </w:r>
      <w:fldSimple w:instr=" SEQ Table \* ARABIC ">
        <w:r w:rsidR="009A5CBD">
          <w:rPr>
            <w:noProof/>
          </w:rPr>
          <w:t>3</w:t>
        </w:r>
      </w:fldSimple>
      <w:r w:rsidR="001260FF" w:rsidRPr="00D460D7">
        <w:rPr>
          <w:rFonts w:eastAsia="Times New Roman"/>
        </w:rPr>
        <w:t xml:space="preserve"> – criteria for multiple determinations of CSR</w:t>
      </w:r>
      <w:r w:rsidR="004B30F2" w:rsidRPr="00D460D7">
        <w:rPr>
          <w:rFonts w:eastAsia="Times New Roman"/>
        </w:rPr>
        <w:t>.</w:t>
      </w:r>
      <w:bookmarkEnd w:id="150"/>
      <w:bookmarkEnd w:id="151"/>
      <w:bookmarkEnd w:id="152"/>
      <w:bookmarkEnd w:id="153"/>
      <w:r w:rsidR="009726D8">
        <w:rPr>
          <w:rFonts w:eastAsia="Times New Roman"/>
        </w:rPr>
        <w:t xml:space="preserve"> </w:t>
      </w:r>
      <w:r w:rsidR="009726D8">
        <w:rPr>
          <w:rFonts w:eastAsia="Times New Roman"/>
          <w:b w:val="0"/>
          <w:vertAlign w:val="superscript"/>
        </w:rPr>
        <w:t>[1</w:t>
      </w:r>
      <w:r w:rsidR="000261BF">
        <w:rPr>
          <w:rFonts w:eastAsia="Times New Roman"/>
          <w:b w:val="0"/>
          <w:vertAlign w:val="superscript"/>
        </w:rPr>
        <w:t>6</w:t>
      </w:r>
      <w:r w:rsidR="009726D8">
        <w:rPr>
          <w:rFonts w:eastAsia="Times New Roman"/>
          <w:b w:val="0"/>
          <w:vertAlign w:val="superscript"/>
        </w:rPr>
        <w:t>]</w:t>
      </w:r>
      <w:bookmarkEnd w:id="154"/>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b/>
        </w:rPr>
        <w:t>Given Two Results</w:t>
      </w:r>
    </w:p>
    <w:p w:rsidR="001260FF" w:rsidRPr="00A11CD0" w:rsidRDefault="001260FF" w:rsidP="001260FF">
      <w:pPr>
        <w:jc w:val="both"/>
        <w:rPr>
          <w:rFonts w:eastAsia="Times New Roman"/>
        </w:rPr>
      </w:pPr>
      <w:r w:rsidRPr="00A11CD0">
        <w:rPr>
          <w:rFonts w:eastAsia="Times New Roman"/>
        </w:rPr>
        <w:t>If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xml:space="preserve">| </w:t>
      </w:r>
      <w:r w:rsidRPr="00A11CD0">
        <w:rPr>
          <w:rFonts w:eastAsia="Times New Roman" w:cs="Calibri"/>
        </w:rPr>
        <w:t>≤</w:t>
      </w:r>
      <w:r w:rsidRPr="00A11CD0">
        <w:rPr>
          <w:rFonts w:eastAsia="Times New Roman"/>
        </w:rPr>
        <w:t xml:space="preserve"> A, average of two results.</w:t>
      </w:r>
    </w:p>
    <w:p w:rsidR="001260FF" w:rsidRPr="00A11CD0" w:rsidRDefault="001260FF" w:rsidP="001260FF">
      <w:pPr>
        <w:jc w:val="both"/>
        <w:rPr>
          <w:rFonts w:eastAsia="Times New Roman"/>
        </w:rPr>
      </w:pPr>
      <w:r w:rsidRPr="00A11CD0">
        <w:rPr>
          <w:rFonts w:eastAsia="Times New Roman"/>
        </w:rPr>
        <w:t>If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&gt; A and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xml:space="preserve">| </w:t>
      </w:r>
      <w:r w:rsidRPr="00A11CD0">
        <w:rPr>
          <w:rFonts w:eastAsia="Times New Roman" w:cs="Calibri"/>
        </w:rPr>
        <w:t>≤</w:t>
      </w:r>
      <w:r w:rsidRPr="00A11CD0">
        <w:rPr>
          <w:rFonts w:eastAsia="Times New Roman"/>
        </w:rPr>
        <w:t xml:space="preserve"> B, perform a third test.</w:t>
      </w:r>
    </w:p>
    <w:p w:rsidR="001260FF" w:rsidRPr="00A11CD0" w:rsidRDefault="001260FF" w:rsidP="001260FF">
      <w:pPr>
        <w:jc w:val="both"/>
        <w:rPr>
          <w:rFonts w:eastAsia="Times New Roman"/>
        </w:rPr>
      </w:pPr>
      <w:r w:rsidRPr="00A11CD0">
        <w:rPr>
          <w:rFonts w:eastAsia="Times New Roman"/>
        </w:rPr>
        <w:t>If range |X</w:t>
      </w:r>
      <w:r w:rsidRPr="00A11CD0">
        <w:rPr>
          <w:rFonts w:eastAsia="Times New Roman"/>
          <w:vertAlign w:val="subscript"/>
        </w:rPr>
        <w:t>1</w:t>
      </w:r>
      <w:r w:rsidRPr="00A11CD0">
        <w:rPr>
          <w:rFonts w:eastAsia="Times New Roman"/>
        </w:rPr>
        <w:t xml:space="preserve"> – X</w:t>
      </w:r>
      <w:r w:rsidRPr="00A11CD0">
        <w:rPr>
          <w:rFonts w:eastAsia="Times New Roman"/>
          <w:vertAlign w:val="subscript"/>
        </w:rPr>
        <w:t>2</w:t>
      </w:r>
      <w:r w:rsidRPr="00A11CD0">
        <w:rPr>
          <w:rFonts w:eastAsia="Times New Roman"/>
        </w:rPr>
        <w:t>| &gt; B, perform two more tests.</w:t>
      </w:r>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b/>
        </w:rPr>
        <w:t>Given Three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w:t>
      </w:r>
      <w:r w:rsidRPr="00A11CD0">
        <w:rPr>
          <w:rFonts w:eastAsia="Times New Roman"/>
        </w:rPr>
        <w:t xml:space="preserve"> B, average the three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&gt; B, perform a forth test.</w:t>
      </w:r>
    </w:p>
    <w:p w:rsidR="001260FF" w:rsidRPr="00A11CD0" w:rsidRDefault="001260FF" w:rsidP="001260FF">
      <w:pPr>
        <w:jc w:val="both"/>
        <w:rPr>
          <w:rFonts w:eastAsia="Times New Roman"/>
        </w:rPr>
      </w:pPr>
    </w:p>
    <w:p w:rsidR="001260FF" w:rsidRPr="00A11CD0" w:rsidRDefault="001260FF" w:rsidP="001260FF">
      <w:pPr>
        <w:jc w:val="both"/>
        <w:rPr>
          <w:rFonts w:eastAsia="Times New Roman"/>
        </w:rPr>
      </w:pPr>
      <w:r w:rsidRPr="00A11CD0">
        <w:rPr>
          <w:rFonts w:eastAsia="Times New Roman"/>
          <w:b/>
        </w:rPr>
        <w:t>Given Four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 C, average the for results.</w:t>
      </w:r>
    </w:p>
    <w:p w:rsidR="001260FF" w:rsidRPr="00A11CD0" w:rsidRDefault="001260FF" w:rsidP="001260FF">
      <w:pPr>
        <w:jc w:val="both"/>
        <w:rPr>
          <w:rFonts w:eastAsia="Times New Roman"/>
        </w:rPr>
      </w:pPr>
      <w:r w:rsidRPr="00A11CD0">
        <w:rPr>
          <w:rFonts w:eastAsia="Times New Roman"/>
        </w:rPr>
        <w:t>If X</w:t>
      </w:r>
      <w:r w:rsidRPr="00A11CD0">
        <w:rPr>
          <w:rFonts w:eastAsia="Times New Roman"/>
          <w:vertAlign w:val="subscript"/>
        </w:rPr>
        <w:t>(max)</w:t>
      </w:r>
      <w:r w:rsidRPr="00A11CD0">
        <w:rPr>
          <w:rFonts w:eastAsia="Times New Roman"/>
        </w:rPr>
        <w:t xml:space="preserve"> – X</w:t>
      </w:r>
      <w:r w:rsidRPr="00A11CD0">
        <w:rPr>
          <w:rFonts w:eastAsia="Times New Roman"/>
          <w:vertAlign w:val="subscript"/>
        </w:rPr>
        <w:t>(min)</w:t>
      </w:r>
      <w:r w:rsidRPr="00A11CD0">
        <w:rPr>
          <w:rFonts w:eastAsia="Times New Roman"/>
        </w:rPr>
        <w:t xml:space="preserve"> </w:t>
      </w:r>
      <w:r w:rsidRPr="00A11CD0">
        <w:rPr>
          <w:rFonts w:eastAsia="Times New Roman" w:cs="Calibri"/>
        </w:rPr>
        <w:t>&gt; C, discard</w:t>
      </w:r>
      <w:r w:rsidRPr="00A11CD0">
        <w:rPr>
          <w:rFonts w:eastAsia="Times New Roman"/>
        </w:rPr>
        <w:t xml:space="preserve"> X</w:t>
      </w:r>
      <w:r w:rsidRPr="00A11CD0">
        <w:rPr>
          <w:rFonts w:eastAsia="Times New Roman"/>
          <w:vertAlign w:val="subscript"/>
        </w:rPr>
        <w:t>(max)</w:t>
      </w:r>
      <w:r w:rsidRPr="00A11CD0">
        <w:rPr>
          <w:rFonts w:eastAsia="Times New Roman"/>
        </w:rPr>
        <w:t xml:space="preserve"> and X</w:t>
      </w:r>
      <w:r w:rsidRPr="00A11CD0">
        <w:rPr>
          <w:rFonts w:eastAsia="Times New Roman"/>
          <w:vertAlign w:val="subscript"/>
        </w:rPr>
        <w:t>(min)</w:t>
      </w:r>
      <w:r w:rsidRPr="00A11CD0">
        <w:rPr>
          <w:rFonts w:eastAsia="Times New Roman"/>
        </w:rPr>
        <w:t xml:space="preserve"> and average the two remaining results. </w:t>
      </w:r>
    </w:p>
    <w:p w:rsidR="001260FF" w:rsidRPr="00A11CD0" w:rsidRDefault="001260FF" w:rsidP="001260FF">
      <w:pPr>
        <w:jc w:val="both"/>
        <w:rPr>
          <w:rFonts w:eastAsia="Times New Roman"/>
        </w:rPr>
      </w:pPr>
      <w:r w:rsidRPr="00A11CD0">
        <w:rPr>
          <w:rFonts w:eastAsia="Times New Roman"/>
        </w:rPr>
        <w:t>The mean results are to be rounded up to the nearest decimal place.</w:t>
      </w:r>
    </w:p>
    <w:p w:rsidR="00177D1A" w:rsidRDefault="00177D1A" w:rsidP="001260FF">
      <w:pPr>
        <w:jc w:val="both"/>
        <w:rPr>
          <w:rFonts w:eastAsia="Times New Roman"/>
        </w:rPr>
      </w:pPr>
    </w:p>
    <w:p w:rsidR="0035209D" w:rsidRDefault="0035209D" w:rsidP="001260FF">
      <w:pPr>
        <w:jc w:val="both"/>
        <w:rPr>
          <w:rFonts w:eastAsia="Times New Roman"/>
        </w:rPr>
      </w:pPr>
    </w:p>
    <w:p w:rsidR="0035209D" w:rsidRDefault="0035209D" w:rsidP="009726D8">
      <w:pPr>
        <w:tabs>
          <w:tab w:val="left" w:pos="1942"/>
        </w:tabs>
        <w:rPr>
          <w:rFonts w:eastAsia="Times New Roman"/>
        </w:rPr>
      </w:pPr>
    </w:p>
    <w:p w:rsidR="009726D8" w:rsidRPr="009726D8" w:rsidRDefault="009726D8" w:rsidP="009726D8">
      <w:pPr>
        <w:tabs>
          <w:tab w:val="left" w:pos="1942"/>
        </w:tabs>
        <w:rPr>
          <w:rFonts w:eastAsia="Times New Roman"/>
        </w:rPr>
      </w:pPr>
    </w:p>
    <w:p w:rsidR="006B6CAF" w:rsidRPr="00A11CD0" w:rsidRDefault="006B6CAF" w:rsidP="006B6CAF">
      <w:pPr>
        <w:pStyle w:val="Heading1"/>
      </w:pPr>
      <w:bookmarkStart w:id="155" w:name="_Toc511503114"/>
      <w:bookmarkStart w:id="156" w:name="_Toc512166874"/>
      <w:bookmarkStart w:id="157" w:name="_Toc512168651"/>
      <w:bookmarkStart w:id="158" w:name="_Toc512169532"/>
      <w:bookmarkStart w:id="159" w:name="_Toc512334088"/>
      <w:r w:rsidRPr="00A11CD0">
        <w:lastRenderedPageBreak/>
        <w:t>Main Body</w:t>
      </w:r>
      <w:bookmarkEnd w:id="155"/>
      <w:bookmarkEnd w:id="156"/>
      <w:bookmarkEnd w:id="157"/>
      <w:bookmarkEnd w:id="158"/>
      <w:bookmarkEnd w:id="159"/>
    </w:p>
    <w:p w:rsidR="006B6CAF" w:rsidRDefault="006B6CAF" w:rsidP="006B6CAF">
      <w:pPr>
        <w:pStyle w:val="Heading2"/>
      </w:pPr>
      <w:bookmarkStart w:id="160" w:name="_Toc511503115"/>
      <w:bookmarkStart w:id="161" w:name="_Toc512166875"/>
      <w:bookmarkStart w:id="162" w:name="_Toc512168652"/>
      <w:bookmarkStart w:id="163" w:name="_Toc512169533"/>
      <w:bookmarkStart w:id="164" w:name="_Toc512334089"/>
      <w:r>
        <w:t>Background</w:t>
      </w:r>
      <w:bookmarkEnd w:id="160"/>
      <w:bookmarkEnd w:id="161"/>
      <w:bookmarkEnd w:id="162"/>
      <w:bookmarkEnd w:id="163"/>
      <w:bookmarkEnd w:id="164"/>
    </w:p>
    <w:p w:rsidR="006B6CAF" w:rsidRDefault="006B6CAF" w:rsidP="006B6CAF"/>
    <w:p w:rsidR="006B6CAF" w:rsidRDefault="006B6CAF" w:rsidP="006B6CAF">
      <w:pPr>
        <w:jc w:val="both"/>
      </w:pPr>
      <w:r w:rsidRPr="003D7331">
        <w:t xml:space="preserve">Coke that is produced on site gets tested regularly in order to make sure that its chemical and physical properties are what the blast furnaces require for adequate operations and production. Imported cokes also get tested once they have arrived on site. Two of the tests that are </w:t>
      </w:r>
      <w:r>
        <w:t>carried out</w:t>
      </w:r>
      <w:r w:rsidRPr="003D7331">
        <w:t xml:space="preserve"> regularly are coke strength after reaction (CSR) testing and coke reactivity index (CRI) testing. Both these tests are used in order to achieve an understanding of how the coke will respond within the belly of the blast furnace specifically. While there is not an upper limit for the results, there is a lower limit on the results that the blast furnaces will accept. If the results fall below this specific level the blast furnaces have the right to reject the coke. This can put the coke ovens under a lot of pressure if there are consecutive days with low CSR values. A low CSR value indicates that the coke is not strong enough to handle the pressures it would be expected to handle within the blast furnaces. The coke has to be able to support the weight of the iron ore and coke that is constantly being charged in</w:t>
      </w:r>
      <w:r>
        <w:t>to the top of the furnace. If the coke</w:t>
      </w:r>
      <w:r w:rsidRPr="003D7331">
        <w:t xml:space="preserve"> cannot handle the weight, the blast furnace </w:t>
      </w:r>
      <w:r>
        <w:t>could end up blocked on the inside</w:t>
      </w:r>
      <w:r w:rsidRPr="003D7331">
        <w:t>, leading to gasses being unable to rise through the furnace and stopping molten metal and slag from being able to trickle to the bottom of the furnace. Blockages inside the furnaces can potentially lead to devastating accidents.</w:t>
      </w:r>
    </w:p>
    <w:p w:rsidR="006B6CAF" w:rsidRDefault="006B6CAF" w:rsidP="006B6CAF">
      <w:pPr>
        <w:jc w:val="both"/>
      </w:pPr>
    </w:p>
    <w:p w:rsidR="006B6CAF" w:rsidRDefault="006B6CAF" w:rsidP="006B6CAF">
      <w:pPr>
        <w:pStyle w:val="Heading2"/>
      </w:pPr>
      <w:bookmarkStart w:id="165" w:name="_Toc511503116"/>
      <w:bookmarkStart w:id="166" w:name="_Toc512166876"/>
      <w:bookmarkStart w:id="167" w:name="_Toc512168653"/>
      <w:bookmarkStart w:id="168" w:name="_Toc512169534"/>
      <w:bookmarkStart w:id="169" w:name="_Toc512334090"/>
      <w:r>
        <w:t>The Problem</w:t>
      </w:r>
      <w:bookmarkEnd w:id="165"/>
      <w:bookmarkEnd w:id="166"/>
      <w:bookmarkEnd w:id="167"/>
      <w:bookmarkEnd w:id="168"/>
      <w:bookmarkEnd w:id="169"/>
    </w:p>
    <w:p w:rsidR="006B6CAF" w:rsidRDefault="006B6CAF" w:rsidP="006B6CAF"/>
    <w:p w:rsidR="006B6CAF" w:rsidRDefault="006B6CAF" w:rsidP="006B6CAF">
      <w:pPr>
        <w:jc w:val="both"/>
      </w:pPr>
      <w:r w:rsidRPr="003D7331">
        <w:t xml:space="preserve">In order to maintain the equipment used to carry out CSR and CRI testing, a standard was being </w:t>
      </w:r>
      <w:r w:rsidR="001552CA">
        <w:t>tested</w:t>
      </w:r>
      <w:r w:rsidRPr="003D7331">
        <w:t xml:space="preserve"> </w:t>
      </w:r>
      <w:r>
        <w:t>twice a week</w:t>
      </w:r>
      <w:r w:rsidRPr="003D7331">
        <w:t>. The company that developed and sold the standard claimed that the value for the CSR of the coke was 62.9 (</w:t>
      </w:r>
      <w:r w:rsidRPr="00A11CD0">
        <w:rPr>
          <w:rFonts w:cs="Calibri"/>
        </w:rPr>
        <w:t>±</w:t>
      </w:r>
      <w:r w:rsidR="008E1358">
        <w:rPr>
          <w:rFonts w:cs="Calibri"/>
        </w:rPr>
        <w:t xml:space="preserve"> </w:t>
      </w:r>
      <w:r w:rsidRPr="003D7331">
        <w:t xml:space="preserve">0.6) but the average result that was achieved from the standard </w:t>
      </w:r>
      <w:r w:rsidR="001552CA">
        <w:t>from</w:t>
      </w:r>
      <w:r w:rsidRPr="003D7331">
        <w:t xml:space="preserve"> January 2016 until January 2017 was</w:t>
      </w:r>
      <w:r w:rsidR="001552CA">
        <w:t xml:space="preserve"> 60.9</w:t>
      </w:r>
      <w:r w:rsidRPr="003D7331">
        <w:rPr>
          <w:b/>
        </w:rPr>
        <w:t xml:space="preserve"> </w:t>
      </w:r>
      <w:r w:rsidR="00A53204" w:rsidRPr="006D663A">
        <w:rPr>
          <w:i/>
        </w:rPr>
        <w:t>(</w:t>
      </w:r>
      <w:r w:rsidR="006D663A">
        <w:rPr>
          <w:i/>
        </w:rPr>
        <w:t>see T</w:t>
      </w:r>
      <w:r w:rsidR="00A53204" w:rsidRPr="006D663A">
        <w:rPr>
          <w:i/>
        </w:rPr>
        <w:t xml:space="preserve">able </w:t>
      </w:r>
      <w:r w:rsidR="006D663A">
        <w:rPr>
          <w:i/>
        </w:rPr>
        <w:t>7</w:t>
      </w:r>
      <w:r w:rsidR="00E15008" w:rsidRPr="006D663A">
        <w:rPr>
          <w:i/>
        </w:rPr>
        <w:t xml:space="preserve">, </w:t>
      </w:r>
      <w:r w:rsidR="006D663A">
        <w:rPr>
          <w:i/>
        </w:rPr>
        <w:t>A</w:t>
      </w:r>
      <w:r w:rsidR="00E15008" w:rsidRPr="006D663A">
        <w:rPr>
          <w:i/>
        </w:rPr>
        <w:t>ppendix 2</w:t>
      </w:r>
      <w:r w:rsidR="00A53204" w:rsidRPr="006D663A">
        <w:rPr>
          <w:i/>
        </w:rPr>
        <w:t>)</w:t>
      </w:r>
      <w:r w:rsidR="00A53204" w:rsidRPr="00D460D7">
        <w:rPr>
          <w:b/>
        </w:rPr>
        <w:t>.</w:t>
      </w:r>
      <w:r w:rsidR="00A53204">
        <w:t xml:space="preserve"> </w:t>
      </w:r>
      <w:r>
        <w:t>Initially, t</w:t>
      </w:r>
      <w:r w:rsidRPr="003D7331">
        <w:t xml:space="preserve">his was not considered too much of an issue as the results that were being achieved on imported cokes were very similar to the load port results received from the supplying companies. The results for the on-site produced coke were also considerably higher than the lower limit set in place. The lower limit set in place is </w:t>
      </w:r>
      <w:r>
        <w:t>62.0</w:t>
      </w:r>
      <w:r w:rsidRPr="003D7331">
        <w:t xml:space="preserve"> and the average results that were being achieved for on-site produced coke was </w:t>
      </w:r>
      <w:r>
        <w:t>63.1</w:t>
      </w:r>
      <w:r w:rsidRPr="003D7331">
        <w:t xml:space="preserve"> over the same one-year period.</w:t>
      </w:r>
    </w:p>
    <w:p w:rsidR="00B77DB5" w:rsidRPr="003D7331" w:rsidRDefault="00B77DB5" w:rsidP="006B6CAF">
      <w:pPr>
        <w:jc w:val="both"/>
      </w:pPr>
    </w:p>
    <w:p w:rsidR="006B6CAF" w:rsidRPr="003D7331" w:rsidRDefault="006B6CAF" w:rsidP="006B6CAF">
      <w:pPr>
        <w:jc w:val="both"/>
      </w:pPr>
      <w:r>
        <w:t>Between the months of December 2016 and March 2017</w:t>
      </w:r>
      <w:r w:rsidRPr="003D7331">
        <w:t xml:space="preserve">, the CSR results that were being achieved from on-site produced coke dropped quite significantly. Whilst the results were still above the lower level, the average of the results dropped to </w:t>
      </w:r>
      <w:r>
        <w:t>62.2. For the months of January and February, the average CSR result dropped as low as 62.0</w:t>
      </w:r>
      <w:r w:rsidR="00A53204">
        <w:t xml:space="preserve"> </w:t>
      </w:r>
      <w:r w:rsidR="00A53204">
        <w:rPr>
          <w:i/>
        </w:rPr>
        <w:t>(</w:t>
      </w:r>
      <w:r w:rsidR="006D663A">
        <w:rPr>
          <w:i/>
        </w:rPr>
        <w:t>see T</w:t>
      </w:r>
      <w:r w:rsidR="00A53204" w:rsidRPr="006D663A">
        <w:rPr>
          <w:i/>
        </w:rPr>
        <w:t>able</w:t>
      </w:r>
      <w:r w:rsidR="006D663A">
        <w:rPr>
          <w:i/>
        </w:rPr>
        <w:t xml:space="preserve"> 8</w:t>
      </w:r>
      <w:r w:rsidR="00E15008" w:rsidRPr="006D663A">
        <w:rPr>
          <w:i/>
        </w:rPr>
        <w:t xml:space="preserve">, </w:t>
      </w:r>
      <w:r w:rsidR="006D663A">
        <w:rPr>
          <w:i/>
        </w:rPr>
        <w:t>A</w:t>
      </w:r>
      <w:r w:rsidR="00E15008" w:rsidRPr="006D663A">
        <w:rPr>
          <w:i/>
        </w:rPr>
        <w:t>ppendix 3</w:t>
      </w:r>
      <w:r w:rsidR="00A53204">
        <w:rPr>
          <w:i/>
        </w:rPr>
        <w:t>).</w:t>
      </w:r>
      <w:r w:rsidR="00A53204">
        <w:t xml:space="preserve"> </w:t>
      </w:r>
      <w:r w:rsidRPr="003D7331">
        <w:t>This was a significant enough drop for the people in charge of operations for the coke ovens to start questioning the technical department about how they operate and whether the testing procedure had changed. The low results also put pressure on the technical department as now more retests were being carried out, meaning that other samples were being pushed back. More money was also being spent on consumables</w:t>
      </w:r>
      <w:r>
        <w:t>, such as gasses, thermocouples and test vessels</w:t>
      </w:r>
      <w:r w:rsidRPr="003D7331">
        <w:t xml:space="preserve">. Over this </w:t>
      </w:r>
      <w:r>
        <w:t>four</w:t>
      </w:r>
      <w:r w:rsidRPr="003D7331">
        <w:t xml:space="preserve">-month period, the results that were achieved from imported cokes remained very similar to the results issued in the load port results. </w:t>
      </w:r>
    </w:p>
    <w:p w:rsidR="006B6CAF" w:rsidRDefault="006B6CAF" w:rsidP="006B6CAF">
      <w:pPr>
        <w:jc w:val="both"/>
      </w:pPr>
    </w:p>
    <w:p w:rsidR="00D12BB1" w:rsidRDefault="006B6CAF" w:rsidP="006B6CAF">
      <w:pPr>
        <w:pStyle w:val="Heading2"/>
        <w:jc w:val="both"/>
      </w:pPr>
      <w:bookmarkStart w:id="170" w:name="_Toc511503117"/>
      <w:bookmarkStart w:id="171" w:name="_Toc512166877"/>
      <w:bookmarkStart w:id="172" w:name="_Toc512168654"/>
      <w:bookmarkStart w:id="173" w:name="_Toc512169535"/>
      <w:bookmarkStart w:id="174" w:name="_Toc512334091"/>
      <w:r>
        <w:lastRenderedPageBreak/>
        <w:t>Identifying the Issue</w:t>
      </w:r>
      <w:bookmarkEnd w:id="170"/>
      <w:bookmarkEnd w:id="171"/>
      <w:bookmarkEnd w:id="172"/>
      <w:bookmarkEnd w:id="173"/>
      <w:bookmarkEnd w:id="174"/>
    </w:p>
    <w:p w:rsidR="006B6CAF" w:rsidRDefault="006B6CAF" w:rsidP="006B6CAF">
      <w:pPr>
        <w:jc w:val="both"/>
      </w:pPr>
    </w:p>
    <w:p w:rsidR="006B6CAF" w:rsidRDefault="006B6CAF" w:rsidP="006B6CAF">
      <w:pPr>
        <w:jc w:val="both"/>
      </w:pPr>
      <w:r>
        <w:t>In order to tackle this problem, a</w:t>
      </w:r>
      <w:r w:rsidRPr="003D7331">
        <w:t xml:space="preserve"> meeting was arranged between team leaders and technologists of the technical department and the coke ovens. Over the course of this meeting, all ideas that had been brought forward to potentially identify the change in quality were addressed. The coke ovens informed the technical department that the coal blend being used had not changed</w:t>
      </w:r>
      <w:r>
        <w:t xml:space="preserve"> dramatically enough to warrant the drop off in results that had been seen</w:t>
      </w:r>
      <w:r w:rsidRPr="003D7331">
        <w:t xml:space="preserve">, and </w:t>
      </w:r>
      <w:r>
        <w:t>none of the</w:t>
      </w:r>
      <w:r w:rsidRPr="003D7331">
        <w:t xml:space="preserve"> procedures</w:t>
      </w:r>
      <w:r>
        <w:t xml:space="preserve"> had been altered also</w:t>
      </w:r>
      <w:r w:rsidRPr="003D7331">
        <w:t>. The</w:t>
      </w:r>
      <w:r>
        <w:t xml:space="preserve"> technologists and team leaders</w:t>
      </w:r>
      <w:r w:rsidRPr="003D7331">
        <w:t xml:space="preserve"> also raised a concern over the standard results. Due to the fact that the result issued by the standard had almost never been achieved, the coke ovens determined that it was a technical issue that had to be addressed by the department. The team leaders of the blast furnaces agreed with the coke ovens, pushing the blame onto the technical department also. An internal meeting was called in order to determine the best way to tackle the issue. A small</w:t>
      </w:r>
      <w:r>
        <w:t>, localised</w:t>
      </w:r>
      <w:r w:rsidRPr="003D7331">
        <w:t xml:space="preserve"> team of technicians was established with the sole purpose of finding a solution to the problem.</w:t>
      </w:r>
    </w:p>
    <w:p w:rsidR="00B77DB5" w:rsidRPr="003D7331" w:rsidRDefault="00B77DB5" w:rsidP="006B6CAF">
      <w:pPr>
        <w:jc w:val="both"/>
      </w:pPr>
    </w:p>
    <w:p w:rsidR="006B6CAF" w:rsidRDefault="006B6CAF" w:rsidP="006B6CAF">
      <w:pPr>
        <w:jc w:val="both"/>
        <w:rPr>
          <w:szCs w:val="24"/>
        </w:rPr>
      </w:pPr>
      <w:r w:rsidRPr="003D7331">
        <w:rPr>
          <w:szCs w:val="24"/>
        </w:rPr>
        <w:t>One thing that was noted by the</w:t>
      </w:r>
      <w:r>
        <w:rPr>
          <w:szCs w:val="24"/>
        </w:rPr>
        <w:t xml:space="preserve"> entire</w:t>
      </w:r>
      <w:r w:rsidRPr="003D7331">
        <w:rPr>
          <w:szCs w:val="24"/>
        </w:rPr>
        <w:t xml:space="preserve"> team was that despite the drop off in results for on-site produced coke, there was no drop with the standard results. </w:t>
      </w:r>
      <w:r>
        <w:rPr>
          <w:szCs w:val="24"/>
        </w:rPr>
        <w:t>A</w:t>
      </w:r>
      <w:r w:rsidRPr="003D7331">
        <w:rPr>
          <w:szCs w:val="24"/>
        </w:rPr>
        <w:t xml:space="preserve">chieving the result that the standard stated was something that was never consistently achieved, as shown in the results </w:t>
      </w:r>
      <w:r w:rsidR="00A53204">
        <w:rPr>
          <w:i/>
          <w:szCs w:val="24"/>
        </w:rPr>
        <w:t xml:space="preserve">(see table </w:t>
      </w:r>
      <w:r w:rsidR="00494B41">
        <w:rPr>
          <w:i/>
          <w:szCs w:val="24"/>
        </w:rPr>
        <w:t>7</w:t>
      </w:r>
      <w:r w:rsidR="00A53204">
        <w:rPr>
          <w:i/>
          <w:szCs w:val="24"/>
        </w:rPr>
        <w:t>).</w:t>
      </w:r>
      <w:r w:rsidRPr="003D7331">
        <w:rPr>
          <w:szCs w:val="24"/>
        </w:rPr>
        <w:t xml:space="preserve"> </w:t>
      </w:r>
      <w:r>
        <w:rPr>
          <w:szCs w:val="24"/>
        </w:rPr>
        <w:t>One of the first items of action carried out by members of this team was</w:t>
      </w:r>
      <w:r w:rsidRPr="003D7331">
        <w:rPr>
          <w:szCs w:val="24"/>
        </w:rPr>
        <w:t xml:space="preserve"> contact</w:t>
      </w:r>
      <w:r>
        <w:rPr>
          <w:szCs w:val="24"/>
        </w:rPr>
        <w:t>ing</w:t>
      </w:r>
      <w:r w:rsidRPr="003D7331">
        <w:rPr>
          <w:szCs w:val="24"/>
        </w:rPr>
        <w:t xml:space="preserve"> other laboratories that carried out CSR testing to find out what standard they were using. The </w:t>
      </w:r>
      <w:r>
        <w:rPr>
          <w:szCs w:val="24"/>
        </w:rPr>
        <w:t>idea</w:t>
      </w:r>
      <w:r w:rsidRPr="003D7331">
        <w:rPr>
          <w:szCs w:val="24"/>
        </w:rPr>
        <w:t xml:space="preserve"> was to see if other laboratories were using the same standard as us or if there was a different standard that was being commonly used. </w:t>
      </w:r>
      <w:r>
        <w:rPr>
          <w:szCs w:val="24"/>
        </w:rPr>
        <w:t xml:space="preserve">Whilst the majority of other laboratories used different standards to us, </w:t>
      </w:r>
      <w:r w:rsidR="00F43915">
        <w:rPr>
          <w:szCs w:val="24"/>
        </w:rPr>
        <w:t>it</w:t>
      </w:r>
      <w:r>
        <w:rPr>
          <w:szCs w:val="24"/>
        </w:rPr>
        <w:t xml:space="preserve"> was discovered</w:t>
      </w:r>
      <w:r w:rsidRPr="003D7331">
        <w:rPr>
          <w:szCs w:val="24"/>
        </w:rPr>
        <w:t xml:space="preserve"> that the standard was also being used by one of </w:t>
      </w:r>
      <w:r>
        <w:rPr>
          <w:szCs w:val="24"/>
        </w:rPr>
        <w:t>the</w:t>
      </w:r>
      <w:r w:rsidRPr="003D7331">
        <w:rPr>
          <w:szCs w:val="24"/>
        </w:rPr>
        <w:t xml:space="preserve"> companies’ sister plants in the north east of England. </w:t>
      </w:r>
      <w:r>
        <w:rPr>
          <w:szCs w:val="24"/>
        </w:rPr>
        <w:t>Through the exchanging of information, it was discovered</w:t>
      </w:r>
      <w:r w:rsidRPr="003D7331">
        <w:rPr>
          <w:szCs w:val="24"/>
        </w:rPr>
        <w:t xml:space="preserve"> that not only were they using the same standard as us, but they were also able to achieve the results that the standard states should be achieved. After brief discussions with the team, a visit to our sister plant was </w:t>
      </w:r>
      <w:r>
        <w:rPr>
          <w:szCs w:val="24"/>
        </w:rPr>
        <w:t xml:space="preserve">planned, </w:t>
      </w:r>
      <w:r w:rsidRPr="003D7331">
        <w:rPr>
          <w:szCs w:val="24"/>
        </w:rPr>
        <w:t xml:space="preserve">agreed and arranged. The </w:t>
      </w:r>
      <w:r>
        <w:rPr>
          <w:szCs w:val="24"/>
        </w:rPr>
        <w:t xml:space="preserve">sole </w:t>
      </w:r>
      <w:r w:rsidRPr="003D7331">
        <w:rPr>
          <w:szCs w:val="24"/>
        </w:rPr>
        <w:t xml:space="preserve">purpose of this visit was to view and compare their equipment, sample preparation and procedure to </w:t>
      </w:r>
      <w:r>
        <w:rPr>
          <w:szCs w:val="24"/>
        </w:rPr>
        <w:t>what is carried out on site</w:t>
      </w:r>
      <w:r w:rsidRPr="003D7331">
        <w:rPr>
          <w:szCs w:val="24"/>
        </w:rPr>
        <w:t xml:space="preserve"> in order to see if there were any major differences.</w:t>
      </w:r>
    </w:p>
    <w:p w:rsidR="00B77DB5" w:rsidRPr="003D7331" w:rsidRDefault="00B77DB5" w:rsidP="006B6CAF">
      <w:pPr>
        <w:jc w:val="both"/>
        <w:rPr>
          <w:szCs w:val="24"/>
        </w:rPr>
      </w:pPr>
    </w:p>
    <w:p w:rsidR="006B6CAF" w:rsidRDefault="006B6CAF" w:rsidP="006B6CAF">
      <w:pPr>
        <w:jc w:val="both"/>
        <w:rPr>
          <w:szCs w:val="24"/>
        </w:rPr>
      </w:pPr>
      <w:r w:rsidRPr="003D7331">
        <w:rPr>
          <w:szCs w:val="24"/>
        </w:rPr>
        <w:t xml:space="preserve">During the visit, it was discovered that they had </w:t>
      </w:r>
      <w:r>
        <w:rPr>
          <w:szCs w:val="24"/>
        </w:rPr>
        <w:t>purchased</w:t>
      </w:r>
      <w:r w:rsidRPr="003D7331">
        <w:rPr>
          <w:szCs w:val="24"/>
        </w:rPr>
        <w:t xml:space="preserve"> their equipment, including their heating and control rigs, tumblers and vessels from the same </w:t>
      </w:r>
      <w:r>
        <w:rPr>
          <w:szCs w:val="24"/>
        </w:rPr>
        <w:t xml:space="preserve">Italian </w:t>
      </w:r>
      <w:r w:rsidRPr="003D7331">
        <w:rPr>
          <w:szCs w:val="24"/>
        </w:rPr>
        <w:t>supplier as us. The gasses</w:t>
      </w:r>
      <w:r>
        <w:rPr>
          <w:szCs w:val="24"/>
        </w:rPr>
        <w:t xml:space="preserve"> that were used </w:t>
      </w:r>
      <w:r w:rsidRPr="003D7331">
        <w:rPr>
          <w:szCs w:val="24"/>
        </w:rPr>
        <w:t xml:space="preserve">were also the same grade and composition compared to what </w:t>
      </w:r>
      <w:r>
        <w:rPr>
          <w:szCs w:val="24"/>
        </w:rPr>
        <w:t>is used on site</w:t>
      </w:r>
      <w:r w:rsidRPr="003D7331">
        <w:rPr>
          <w:szCs w:val="24"/>
        </w:rPr>
        <w:t xml:space="preserve">. While they were also following the same testing standard as us, they </w:t>
      </w:r>
      <w:r>
        <w:rPr>
          <w:szCs w:val="24"/>
        </w:rPr>
        <w:t>carried out</w:t>
      </w:r>
      <w:r w:rsidRPr="003D7331">
        <w:rPr>
          <w:szCs w:val="24"/>
        </w:rPr>
        <w:t xml:space="preserve"> a different method of sample preparation for the standard in comparison to </w:t>
      </w:r>
      <w:r>
        <w:rPr>
          <w:szCs w:val="24"/>
        </w:rPr>
        <w:t>what is done on site</w:t>
      </w:r>
      <w:r w:rsidRPr="003D7331">
        <w:rPr>
          <w:szCs w:val="24"/>
        </w:rPr>
        <w:t xml:space="preserve">. Before testing the standard, the technicians were carrying out what is known as a sink-float test. In order to carry out this test, small portions of the sample are crushed </w:t>
      </w:r>
      <w:r>
        <w:rPr>
          <w:szCs w:val="24"/>
        </w:rPr>
        <w:t xml:space="preserve">in a jaw crusher </w:t>
      </w:r>
      <w:r w:rsidRPr="003D7331">
        <w:rPr>
          <w:szCs w:val="24"/>
        </w:rPr>
        <w:t>and screened</w:t>
      </w:r>
      <w:r>
        <w:rPr>
          <w:szCs w:val="24"/>
        </w:rPr>
        <w:t xml:space="preserve"> over 19.0 mm and 22.4 mm screens</w:t>
      </w:r>
      <w:r w:rsidRPr="003D7331">
        <w:rPr>
          <w:szCs w:val="24"/>
        </w:rPr>
        <w:t xml:space="preserve"> in order to achieve the correct size fraction for the test portion. This size fraction is then poured into a bucket of water. The coke that floats on top of the water is coke that is poorly </w:t>
      </w:r>
      <w:r>
        <w:rPr>
          <w:szCs w:val="24"/>
        </w:rPr>
        <w:t xml:space="preserve">or improperly </w:t>
      </w:r>
      <w:r w:rsidRPr="003D7331">
        <w:rPr>
          <w:szCs w:val="24"/>
        </w:rPr>
        <w:t xml:space="preserve">formed. Poorly formed coke </w:t>
      </w:r>
      <w:r>
        <w:rPr>
          <w:szCs w:val="24"/>
        </w:rPr>
        <w:t xml:space="preserve">generally </w:t>
      </w:r>
      <w:r w:rsidRPr="003D7331">
        <w:rPr>
          <w:szCs w:val="24"/>
        </w:rPr>
        <w:t>contains larger air pockets inside it than normal, meaning that at this size fraction the coke will sit on the surface of the water. Coke with this amount of air pockets gives a lower CSR result when tested and perform</w:t>
      </w:r>
      <w:r>
        <w:rPr>
          <w:szCs w:val="24"/>
        </w:rPr>
        <w:t>s poorly within a blast furnace due to its higher than normal porosity. The porosity of poorly formed coke allows it to react with carbon dioxide more readily during the “cooking” phase of the test. This leads the coke into breaking down quicker when in the tumbler. All of which means it is unsuitable for use within the blast furnaces.</w:t>
      </w:r>
    </w:p>
    <w:p w:rsidR="00B77DB5" w:rsidRPr="003D7331" w:rsidRDefault="00B77DB5" w:rsidP="006B6CAF">
      <w:pPr>
        <w:jc w:val="both"/>
        <w:rPr>
          <w:szCs w:val="24"/>
        </w:rPr>
      </w:pPr>
    </w:p>
    <w:p w:rsidR="006B6CAF" w:rsidRDefault="006B6CAF" w:rsidP="00443E88">
      <w:pPr>
        <w:jc w:val="both"/>
        <w:rPr>
          <w:i/>
          <w:szCs w:val="24"/>
        </w:rPr>
      </w:pPr>
      <w:r w:rsidRPr="003D7331">
        <w:rPr>
          <w:szCs w:val="24"/>
        </w:rPr>
        <w:t xml:space="preserve">The findings from this visit to our sister plant were relayed to the rest of the team. </w:t>
      </w:r>
      <w:r>
        <w:rPr>
          <w:szCs w:val="24"/>
        </w:rPr>
        <w:t xml:space="preserve">The next was calculating how much poorly formed coke was present within the standard. In order to calculate this, </w:t>
      </w:r>
      <w:r w:rsidRPr="003D7331">
        <w:rPr>
          <w:szCs w:val="24"/>
        </w:rPr>
        <w:t>a sink-float test on 5 kg of pre-dried standard</w:t>
      </w:r>
      <w:r>
        <w:rPr>
          <w:szCs w:val="24"/>
        </w:rPr>
        <w:t xml:space="preserve"> was carried out</w:t>
      </w:r>
      <w:r w:rsidRPr="003D7331">
        <w:rPr>
          <w:szCs w:val="24"/>
        </w:rPr>
        <w:t xml:space="preserve">. A sink-float test is not part of </w:t>
      </w:r>
      <w:r>
        <w:rPr>
          <w:szCs w:val="24"/>
        </w:rPr>
        <w:t>the</w:t>
      </w:r>
      <w:r w:rsidRPr="003D7331">
        <w:rPr>
          <w:szCs w:val="24"/>
        </w:rPr>
        <w:t xml:space="preserve"> </w:t>
      </w:r>
      <w:r>
        <w:rPr>
          <w:szCs w:val="24"/>
        </w:rPr>
        <w:t>sample preparation as it does not</w:t>
      </w:r>
      <w:r w:rsidRPr="003D7331">
        <w:rPr>
          <w:szCs w:val="24"/>
        </w:rPr>
        <w:t xml:space="preserve"> give a true representation of the sample being tested. If the coke ovens are producing poorly formed coke then it is in </w:t>
      </w:r>
      <w:r>
        <w:rPr>
          <w:szCs w:val="24"/>
        </w:rPr>
        <w:t>the departments’</w:t>
      </w:r>
      <w:r w:rsidRPr="003D7331">
        <w:rPr>
          <w:szCs w:val="24"/>
        </w:rPr>
        <w:t xml:space="preserve"> best interests to inform </w:t>
      </w:r>
      <w:r>
        <w:rPr>
          <w:szCs w:val="24"/>
        </w:rPr>
        <w:t>the coke ovens and blast furnaces</w:t>
      </w:r>
      <w:r w:rsidRPr="003D7331">
        <w:rPr>
          <w:szCs w:val="24"/>
        </w:rPr>
        <w:t xml:space="preserve"> by giving them results that accurately demonstrate this. Out of the 5 kg used, 924 g of coke floated, giving us almost 18.5% of poorly formed coke. This weight is taken from the sample after it has been dried out after the test. In order to see how big a difference the poorly formed coke makes to the result, </w:t>
      </w:r>
      <w:r>
        <w:rPr>
          <w:szCs w:val="24"/>
        </w:rPr>
        <w:t>tests were run</w:t>
      </w:r>
      <w:r w:rsidRPr="003D7331">
        <w:rPr>
          <w:szCs w:val="24"/>
        </w:rPr>
        <w:t xml:space="preserve"> on the standard as </w:t>
      </w:r>
      <w:r>
        <w:rPr>
          <w:szCs w:val="24"/>
        </w:rPr>
        <w:t>received</w:t>
      </w:r>
      <w:r w:rsidRPr="003D7331">
        <w:rPr>
          <w:szCs w:val="24"/>
        </w:rPr>
        <w:t xml:space="preserve"> and on a 100% sink sample of the standard. This sink sample is 100% correctly formed coke and therefore should give a higher CSR result than the </w:t>
      </w:r>
      <w:r>
        <w:rPr>
          <w:szCs w:val="24"/>
        </w:rPr>
        <w:t>s</w:t>
      </w:r>
      <w:r w:rsidRPr="003D7331">
        <w:rPr>
          <w:szCs w:val="24"/>
        </w:rPr>
        <w:t xml:space="preserve">tandard as </w:t>
      </w:r>
      <w:r>
        <w:rPr>
          <w:szCs w:val="24"/>
        </w:rPr>
        <w:t>received</w:t>
      </w:r>
      <w:r w:rsidRPr="003D7331">
        <w:rPr>
          <w:szCs w:val="24"/>
        </w:rPr>
        <w:t xml:space="preserve">. As </w:t>
      </w:r>
      <w:r>
        <w:rPr>
          <w:szCs w:val="24"/>
        </w:rPr>
        <w:t>there</w:t>
      </w:r>
      <w:r w:rsidRPr="003D7331">
        <w:rPr>
          <w:szCs w:val="24"/>
        </w:rPr>
        <w:t xml:space="preserve"> </w:t>
      </w:r>
      <w:r>
        <w:rPr>
          <w:szCs w:val="24"/>
        </w:rPr>
        <w:t>are</w:t>
      </w:r>
      <w:r w:rsidRPr="003D7331">
        <w:rPr>
          <w:szCs w:val="24"/>
        </w:rPr>
        <w:t xml:space="preserve"> two separate CSR rigs</w:t>
      </w:r>
      <w:r>
        <w:rPr>
          <w:szCs w:val="24"/>
        </w:rPr>
        <w:t xml:space="preserve"> for testing within the department</w:t>
      </w:r>
      <w:r w:rsidRPr="003D7331">
        <w:rPr>
          <w:szCs w:val="24"/>
        </w:rPr>
        <w:t xml:space="preserve">, it was decided that each sample would be tested once a day over a </w:t>
      </w:r>
      <w:r w:rsidR="00F43915" w:rsidRPr="003D7331">
        <w:rPr>
          <w:szCs w:val="24"/>
        </w:rPr>
        <w:t>seven-day</w:t>
      </w:r>
      <w:r w:rsidRPr="003D7331">
        <w:rPr>
          <w:szCs w:val="24"/>
        </w:rPr>
        <w:t xml:space="preserve"> period. The rigs and vessels used would also be alternated to ensure that both rigs were operating correctly and to achieve a fair set of results for both sets of </w:t>
      </w:r>
      <w:r w:rsidR="00F43915" w:rsidRPr="003D7331">
        <w:rPr>
          <w:szCs w:val="24"/>
        </w:rPr>
        <w:t>samples</w:t>
      </w:r>
      <w:r w:rsidR="00A53204">
        <w:rPr>
          <w:szCs w:val="24"/>
        </w:rPr>
        <w:t xml:space="preserve"> </w:t>
      </w:r>
      <w:r w:rsidR="00A53204">
        <w:rPr>
          <w:i/>
          <w:szCs w:val="24"/>
        </w:rPr>
        <w:t>(table</w:t>
      </w:r>
      <w:r w:rsidR="00A57D68">
        <w:rPr>
          <w:i/>
          <w:szCs w:val="24"/>
        </w:rPr>
        <w:t>s</w:t>
      </w:r>
      <w:r w:rsidR="00A53204">
        <w:rPr>
          <w:i/>
          <w:szCs w:val="24"/>
        </w:rPr>
        <w:t xml:space="preserve"> </w:t>
      </w:r>
      <w:r w:rsidR="00D460D7">
        <w:rPr>
          <w:i/>
          <w:szCs w:val="24"/>
        </w:rPr>
        <w:t>4</w:t>
      </w:r>
      <w:r w:rsidR="00A57D68">
        <w:rPr>
          <w:i/>
          <w:szCs w:val="24"/>
        </w:rPr>
        <w:t xml:space="preserve"> and </w:t>
      </w:r>
      <w:r w:rsidR="00D460D7">
        <w:rPr>
          <w:i/>
          <w:szCs w:val="24"/>
        </w:rPr>
        <w:t>5</w:t>
      </w:r>
      <w:r w:rsidR="00A53204">
        <w:rPr>
          <w:i/>
          <w:szCs w:val="24"/>
        </w:rPr>
        <w:t>).</w:t>
      </w:r>
    </w:p>
    <w:p w:rsidR="00443E88" w:rsidRDefault="00443E88" w:rsidP="006B6CAF">
      <w:pPr>
        <w:jc w:val="both"/>
        <w:rPr>
          <w:szCs w:val="24"/>
        </w:rPr>
      </w:pPr>
    </w:p>
    <w:tbl>
      <w:tblPr>
        <w:tblW w:w="10423" w:type="dxa"/>
        <w:tblInd w:w="-685" w:type="dxa"/>
        <w:tblLook w:val="04A0" w:firstRow="1" w:lastRow="0" w:firstColumn="1" w:lastColumn="0" w:noHBand="0" w:noVBand="1"/>
      </w:tblPr>
      <w:tblGrid>
        <w:gridCol w:w="812"/>
        <w:gridCol w:w="1696"/>
        <w:gridCol w:w="1220"/>
        <w:gridCol w:w="1010"/>
        <w:gridCol w:w="812"/>
        <w:gridCol w:w="812"/>
        <w:gridCol w:w="1083"/>
        <w:gridCol w:w="1083"/>
        <w:gridCol w:w="885"/>
        <w:gridCol w:w="1010"/>
      </w:tblGrid>
      <w:tr w:rsidR="00443E88" w:rsidRPr="00A57D68" w:rsidTr="00443E88">
        <w:trPr>
          <w:trHeight w:val="266"/>
        </w:trPr>
        <w:tc>
          <w:tcPr>
            <w:tcW w:w="812" w:type="dxa"/>
            <w:tcBorders>
              <w:top w:val="single" w:sz="8" w:space="0" w:color="auto"/>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Test</w:t>
            </w:r>
          </w:p>
        </w:tc>
        <w:tc>
          <w:tcPr>
            <w:tcW w:w="1696" w:type="dxa"/>
            <w:tcBorders>
              <w:top w:val="single" w:sz="8" w:space="0" w:color="auto"/>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Sample</w:t>
            </w:r>
          </w:p>
        </w:tc>
        <w:tc>
          <w:tcPr>
            <w:tcW w:w="1220" w:type="dxa"/>
            <w:tcBorders>
              <w:top w:val="single" w:sz="8" w:space="0" w:color="auto"/>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Date</w:t>
            </w:r>
          </w:p>
        </w:tc>
        <w:tc>
          <w:tcPr>
            <w:tcW w:w="101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Sample I.D.</w:t>
            </w:r>
          </w:p>
        </w:tc>
        <w:tc>
          <w:tcPr>
            <w:tcW w:w="812" w:type="dxa"/>
            <w:tcBorders>
              <w:top w:val="single" w:sz="8" w:space="0" w:color="auto"/>
              <w:left w:val="nil"/>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CRI</w:t>
            </w:r>
          </w:p>
        </w:tc>
        <w:tc>
          <w:tcPr>
            <w:tcW w:w="81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CSR</w:t>
            </w:r>
          </w:p>
        </w:tc>
        <w:tc>
          <w:tcPr>
            <w:tcW w:w="1083" w:type="dxa"/>
            <w:tcBorders>
              <w:top w:val="single" w:sz="8" w:space="0" w:color="auto"/>
              <w:left w:val="nil"/>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Average CRI</w:t>
            </w:r>
          </w:p>
        </w:tc>
        <w:tc>
          <w:tcPr>
            <w:tcW w:w="1083" w:type="dxa"/>
            <w:tcBorders>
              <w:top w:val="single" w:sz="8" w:space="0" w:color="auto"/>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Average CSR</w:t>
            </w:r>
          </w:p>
        </w:tc>
        <w:tc>
          <w:tcPr>
            <w:tcW w:w="885" w:type="dxa"/>
            <w:tcBorders>
              <w:top w:val="single" w:sz="8" w:space="0" w:color="auto"/>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Density</w:t>
            </w:r>
          </w:p>
        </w:tc>
        <w:tc>
          <w:tcPr>
            <w:tcW w:w="101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Vessel I.D.</w:t>
            </w:r>
          </w:p>
        </w:tc>
      </w:tr>
      <w:tr w:rsidR="00443E88" w:rsidRPr="00A57D68" w:rsidTr="00443E88">
        <w:trPr>
          <w:trHeight w:val="251"/>
        </w:trPr>
        <w:tc>
          <w:tcPr>
            <w:tcW w:w="812" w:type="dxa"/>
            <w:vMerge w:val="restart"/>
            <w:tcBorders>
              <w:top w:val="nil"/>
              <w:left w:val="single" w:sz="8" w:space="0" w:color="auto"/>
              <w:bottom w:val="single" w:sz="8" w:space="0" w:color="000000"/>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Trial</w:t>
            </w:r>
          </w:p>
        </w:tc>
        <w:tc>
          <w:tcPr>
            <w:tcW w:w="1696" w:type="dxa"/>
            <w:vMerge w:val="restart"/>
            <w:tcBorders>
              <w:top w:val="nil"/>
              <w:left w:val="single" w:sz="8" w:space="0" w:color="auto"/>
              <w:bottom w:val="single" w:sz="8" w:space="0" w:color="000000"/>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100% Sink Sample</w:t>
            </w:r>
          </w:p>
        </w:tc>
        <w:tc>
          <w:tcPr>
            <w:tcW w:w="1220"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17/02/2017</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8338</w:t>
            </w:r>
          </w:p>
        </w:tc>
        <w:tc>
          <w:tcPr>
            <w:tcW w:w="812" w:type="dxa"/>
            <w:tcBorders>
              <w:top w:val="nil"/>
              <w:left w:val="nil"/>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26.4</w:t>
            </w:r>
          </w:p>
        </w:tc>
        <w:tc>
          <w:tcPr>
            <w:tcW w:w="812"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62.4</w:t>
            </w:r>
          </w:p>
        </w:tc>
        <w:tc>
          <w:tcPr>
            <w:tcW w:w="1083" w:type="dxa"/>
            <w:vMerge w:val="restart"/>
            <w:tcBorders>
              <w:top w:val="nil"/>
              <w:left w:val="nil"/>
              <w:bottom w:val="single" w:sz="8" w:space="0" w:color="000000"/>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25.9</w:t>
            </w:r>
          </w:p>
        </w:tc>
        <w:tc>
          <w:tcPr>
            <w:tcW w:w="1083" w:type="dxa"/>
            <w:vMerge w:val="restart"/>
            <w:tcBorders>
              <w:top w:val="nil"/>
              <w:left w:val="single" w:sz="8" w:space="0" w:color="auto"/>
              <w:bottom w:val="single" w:sz="8" w:space="0" w:color="000000"/>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62.7</w:t>
            </w:r>
          </w:p>
        </w:tc>
        <w:tc>
          <w:tcPr>
            <w:tcW w:w="885"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41</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2110314</w:t>
            </w:r>
          </w:p>
        </w:tc>
      </w:tr>
      <w:tr w:rsidR="00443E88" w:rsidRPr="00A57D68" w:rsidTr="00443E88">
        <w:trPr>
          <w:trHeight w:val="251"/>
        </w:trPr>
        <w:tc>
          <w:tcPr>
            <w:tcW w:w="812"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696"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220"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18/02/2017</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8340</w:t>
            </w:r>
          </w:p>
        </w:tc>
        <w:tc>
          <w:tcPr>
            <w:tcW w:w="812" w:type="dxa"/>
            <w:tcBorders>
              <w:top w:val="nil"/>
              <w:left w:val="nil"/>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26.7</w:t>
            </w:r>
          </w:p>
        </w:tc>
        <w:tc>
          <w:tcPr>
            <w:tcW w:w="812"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61.9</w:t>
            </w:r>
          </w:p>
        </w:tc>
        <w:tc>
          <w:tcPr>
            <w:tcW w:w="1083" w:type="dxa"/>
            <w:vMerge/>
            <w:tcBorders>
              <w:top w:val="nil"/>
              <w:left w:val="nil"/>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083"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885"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40</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2110114</w:t>
            </w:r>
          </w:p>
        </w:tc>
      </w:tr>
      <w:tr w:rsidR="00443E88" w:rsidRPr="00A57D68" w:rsidTr="00443E88">
        <w:trPr>
          <w:trHeight w:val="251"/>
        </w:trPr>
        <w:tc>
          <w:tcPr>
            <w:tcW w:w="812"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696"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220"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19/02/2017</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8342</w:t>
            </w:r>
          </w:p>
        </w:tc>
        <w:tc>
          <w:tcPr>
            <w:tcW w:w="812" w:type="dxa"/>
            <w:tcBorders>
              <w:top w:val="nil"/>
              <w:left w:val="nil"/>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25.1</w:t>
            </w:r>
          </w:p>
        </w:tc>
        <w:tc>
          <w:tcPr>
            <w:tcW w:w="812"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63.2</w:t>
            </w:r>
          </w:p>
        </w:tc>
        <w:tc>
          <w:tcPr>
            <w:tcW w:w="1083" w:type="dxa"/>
            <w:vMerge/>
            <w:tcBorders>
              <w:top w:val="nil"/>
              <w:left w:val="nil"/>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083"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885"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42</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2110314</w:t>
            </w:r>
          </w:p>
        </w:tc>
      </w:tr>
      <w:tr w:rsidR="00443E88" w:rsidRPr="00A57D68" w:rsidTr="00443E88">
        <w:trPr>
          <w:trHeight w:val="251"/>
        </w:trPr>
        <w:tc>
          <w:tcPr>
            <w:tcW w:w="812"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696"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220"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20/02/2017</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8344</w:t>
            </w:r>
          </w:p>
        </w:tc>
        <w:tc>
          <w:tcPr>
            <w:tcW w:w="812" w:type="dxa"/>
            <w:tcBorders>
              <w:top w:val="nil"/>
              <w:left w:val="nil"/>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25.8</w:t>
            </w:r>
          </w:p>
        </w:tc>
        <w:tc>
          <w:tcPr>
            <w:tcW w:w="812"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62.7</w:t>
            </w:r>
          </w:p>
        </w:tc>
        <w:tc>
          <w:tcPr>
            <w:tcW w:w="1083" w:type="dxa"/>
            <w:vMerge/>
            <w:tcBorders>
              <w:top w:val="nil"/>
              <w:left w:val="nil"/>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083"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885"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38</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2110114</w:t>
            </w:r>
          </w:p>
        </w:tc>
      </w:tr>
      <w:tr w:rsidR="00443E88" w:rsidRPr="00A57D68" w:rsidTr="00443E88">
        <w:trPr>
          <w:trHeight w:val="251"/>
        </w:trPr>
        <w:tc>
          <w:tcPr>
            <w:tcW w:w="812"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696"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220"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21/02/2017</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8346</w:t>
            </w:r>
          </w:p>
        </w:tc>
        <w:tc>
          <w:tcPr>
            <w:tcW w:w="812" w:type="dxa"/>
            <w:tcBorders>
              <w:top w:val="nil"/>
              <w:left w:val="nil"/>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26.0</w:t>
            </w:r>
          </w:p>
        </w:tc>
        <w:tc>
          <w:tcPr>
            <w:tcW w:w="812"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62.6</w:t>
            </w:r>
          </w:p>
        </w:tc>
        <w:tc>
          <w:tcPr>
            <w:tcW w:w="1083" w:type="dxa"/>
            <w:vMerge/>
            <w:tcBorders>
              <w:top w:val="nil"/>
              <w:left w:val="nil"/>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083"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885"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41</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2110314</w:t>
            </w:r>
          </w:p>
        </w:tc>
      </w:tr>
      <w:tr w:rsidR="00443E88" w:rsidRPr="00A57D68" w:rsidTr="00443E88">
        <w:trPr>
          <w:trHeight w:val="251"/>
        </w:trPr>
        <w:tc>
          <w:tcPr>
            <w:tcW w:w="812"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696"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220"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22/02/2017</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8348</w:t>
            </w:r>
          </w:p>
        </w:tc>
        <w:tc>
          <w:tcPr>
            <w:tcW w:w="812" w:type="dxa"/>
            <w:tcBorders>
              <w:top w:val="nil"/>
              <w:left w:val="nil"/>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25.5</w:t>
            </w:r>
          </w:p>
        </w:tc>
        <w:tc>
          <w:tcPr>
            <w:tcW w:w="812"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62.4</w:t>
            </w:r>
          </w:p>
        </w:tc>
        <w:tc>
          <w:tcPr>
            <w:tcW w:w="1083" w:type="dxa"/>
            <w:vMerge/>
            <w:tcBorders>
              <w:top w:val="nil"/>
              <w:left w:val="nil"/>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083"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885" w:type="dxa"/>
            <w:tcBorders>
              <w:top w:val="nil"/>
              <w:left w:val="single" w:sz="8" w:space="0" w:color="auto"/>
              <w:bottom w:val="single" w:sz="4"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41</w:t>
            </w:r>
          </w:p>
        </w:tc>
        <w:tc>
          <w:tcPr>
            <w:tcW w:w="1010" w:type="dxa"/>
            <w:tcBorders>
              <w:top w:val="nil"/>
              <w:left w:val="single" w:sz="8" w:space="0" w:color="auto"/>
              <w:bottom w:val="single" w:sz="4"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2110114</w:t>
            </w:r>
          </w:p>
        </w:tc>
      </w:tr>
      <w:tr w:rsidR="00443E88" w:rsidRPr="00A57D68" w:rsidTr="00443E88">
        <w:trPr>
          <w:trHeight w:val="266"/>
        </w:trPr>
        <w:tc>
          <w:tcPr>
            <w:tcW w:w="812"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696"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220" w:type="dxa"/>
            <w:tcBorders>
              <w:top w:val="nil"/>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23/02/2017</w:t>
            </w:r>
          </w:p>
        </w:tc>
        <w:tc>
          <w:tcPr>
            <w:tcW w:w="1010" w:type="dxa"/>
            <w:tcBorders>
              <w:top w:val="nil"/>
              <w:left w:val="single" w:sz="8" w:space="0" w:color="auto"/>
              <w:bottom w:val="single" w:sz="8"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8350</w:t>
            </w:r>
          </w:p>
        </w:tc>
        <w:tc>
          <w:tcPr>
            <w:tcW w:w="812" w:type="dxa"/>
            <w:tcBorders>
              <w:top w:val="nil"/>
              <w:left w:val="nil"/>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25.6</w:t>
            </w:r>
          </w:p>
        </w:tc>
        <w:tc>
          <w:tcPr>
            <w:tcW w:w="812" w:type="dxa"/>
            <w:tcBorders>
              <w:top w:val="nil"/>
              <w:left w:val="single" w:sz="8" w:space="0" w:color="auto"/>
              <w:bottom w:val="single" w:sz="8"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63.8</w:t>
            </w:r>
          </w:p>
        </w:tc>
        <w:tc>
          <w:tcPr>
            <w:tcW w:w="1083" w:type="dxa"/>
            <w:vMerge/>
            <w:tcBorders>
              <w:top w:val="nil"/>
              <w:left w:val="nil"/>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1083" w:type="dxa"/>
            <w:vMerge/>
            <w:tcBorders>
              <w:top w:val="nil"/>
              <w:left w:val="single" w:sz="8" w:space="0" w:color="auto"/>
              <w:bottom w:val="single" w:sz="8" w:space="0" w:color="000000"/>
              <w:right w:val="nil"/>
            </w:tcBorders>
            <w:vAlign w:val="center"/>
            <w:hideMark/>
          </w:tcPr>
          <w:p w:rsidR="00A57D68" w:rsidRPr="00A57D68" w:rsidRDefault="00A57D68" w:rsidP="00A57D68">
            <w:pPr>
              <w:spacing w:after="0" w:line="240" w:lineRule="auto"/>
              <w:rPr>
                <w:rFonts w:ascii="Arial" w:eastAsia="Times New Roman" w:hAnsi="Arial" w:cs="Arial"/>
                <w:sz w:val="20"/>
                <w:szCs w:val="20"/>
                <w:lang w:eastAsia="en-GB"/>
              </w:rPr>
            </w:pPr>
          </w:p>
        </w:tc>
        <w:tc>
          <w:tcPr>
            <w:tcW w:w="885" w:type="dxa"/>
            <w:tcBorders>
              <w:top w:val="nil"/>
              <w:left w:val="single" w:sz="8" w:space="0" w:color="auto"/>
              <w:bottom w:val="single" w:sz="8" w:space="0" w:color="auto"/>
              <w:right w:val="nil"/>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40</w:t>
            </w:r>
          </w:p>
        </w:tc>
        <w:tc>
          <w:tcPr>
            <w:tcW w:w="1010" w:type="dxa"/>
            <w:tcBorders>
              <w:top w:val="nil"/>
              <w:left w:val="single" w:sz="8" w:space="0" w:color="auto"/>
              <w:bottom w:val="single" w:sz="8" w:space="0" w:color="auto"/>
              <w:right w:val="single" w:sz="8" w:space="0" w:color="auto"/>
            </w:tcBorders>
            <w:shd w:val="clear" w:color="auto" w:fill="auto"/>
            <w:noWrap/>
            <w:vAlign w:val="center"/>
            <w:hideMark/>
          </w:tcPr>
          <w:p w:rsidR="00A57D68" w:rsidRPr="00A57D68" w:rsidRDefault="00A57D68" w:rsidP="00A57D68">
            <w:pPr>
              <w:spacing w:after="0" w:line="240" w:lineRule="auto"/>
              <w:jc w:val="center"/>
              <w:rPr>
                <w:rFonts w:ascii="Arial" w:eastAsia="Times New Roman" w:hAnsi="Arial" w:cs="Arial"/>
                <w:sz w:val="20"/>
                <w:szCs w:val="20"/>
                <w:lang w:eastAsia="en-GB"/>
              </w:rPr>
            </w:pPr>
            <w:r w:rsidRPr="00A57D68">
              <w:rPr>
                <w:rFonts w:ascii="Arial" w:eastAsia="Times New Roman" w:hAnsi="Arial" w:cs="Arial"/>
                <w:sz w:val="20"/>
                <w:szCs w:val="20"/>
                <w:lang w:eastAsia="en-GB"/>
              </w:rPr>
              <w:t>2110314</w:t>
            </w:r>
          </w:p>
        </w:tc>
      </w:tr>
    </w:tbl>
    <w:p w:rsidR="00A53204" w:rsidRPr="00D460D7" w:rsidRDefault="00D460D7" w:rsidP="00D460D7">
      <w:pPr>
        <w:pStyle w:val="Caption"/>
        <w:jc w:val="center"/>
        <w:rPr>
          <w:szCs w:val="24"/>
        </w:rPr>
      </w:pPr>
      <w:bookmarkStart w:id="175" w:name="_Toc512166652"/>
      <w:bookmarkStart w:id="176" w:name="_Toc512166884"/>
      <w:bookmarkStart w:id="177" w:name="_Toc512168601"/>
      <w:bookmarkStart w:id="178" w:name="_Toc512169548"/>
      <w:bookmarkStart w:id="179" w:name="_Toc512333606"/>
      <w:r w:rsidRPr="00D460D7">
        <w:t xml:space="preserve">Table </w:t>
      </w:r>
      <w:fldSimple w:instr=" SEQ Table \* ARABIC ">
        <w:r w:rsidR="009A5CBD">
          <w:rPr>
            <w:noProof/>
          </w:rPr>
          <w:t>4</w:t>
        </w:r>
      </w:fldSimple>
      <w:r w:rsidR="00443E88" w:rsidRPr="00D460D7">
        <w:rPr>
          <w:szCs w:val="24"/>
        </w:rPr>
        <w:t xml:space="preserve"> – The results from testing material that sank during the sink-float test.</w:t>
      </w:r>
      <w:bookmarkEnd w:id="175"/>
      <w:bookmarkEnd w:id="176"/>
      <w:bookmarkEnd w:id="177"/>
      <w:bookmarkEnd w:id="178"/>
      <w:bookmarkEnd w:id="179"/>
    </w:p>
    <w:p w:rsidR="00B77DB5" w:rsidRDefault="00B77DB5" w:rsidP="006B6CAF">
      <w:pPr>
        <w:jc w:val="both"/>
        <w:rPr>
          <w:szCs w:val="24"/>
        </w:rPr>
      </w:pPr>
    </w:p>
    <w:tbl>
      <w:tblPr>
        <w:tblW w:w="10437" w:type="dxa"/>
        <w:tblInd w:w="-700" w:type="dxa"/>
        <w:tblLook w:val="04A0" w:firstRow="1" w:lastRow="0" w:firstColumn="1" w:lastColumn="0" w:noHBand="0" w:noVBand="1"/>
      </w:tblPr>
      <w:tblGrid>
        <w:gridCol w:w="813"/>
        <w:gridCol w:w="1700"/>
        <w:gridCol w:w="1218"/>
        <w:gridCol w:w="1012"/>
        <w:gridCol w:w="813"/>
        <w:gridCol w:w="813"/>
        <w:gridCol w:w="1085"/>
        <w:gridCol w:w="1085"/>
        <w:gridCol w:w="886"/>
        <w:gridCol w:w="1012"/>
      </w:tblGrid>
      <w:tr w:rsidR="00443E88" w:rsidRPr="00443E88" w:rsidTr="00443E88">
        <w:trPr>
          <w:trHeight w:val="265"/>
        </w:trPr>
        <w:tc>
          <w:tcPr>
            <w:tcW w:w="813" w:type="dxa"/>
            <w:tcBorders>
              <w:top w:val="single" w:sz="8" w:space="0" w:color="auto"/>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Test</w:t>
            </w:r>
          </w:p>
        </w:tc>
        <w:tc>
          <w:tcPr>
            <w:tcW w:w="1700" w:type="dxa"/>
            <w:tcBorders>
              <w:top w:val="single" w:sz="8" w:space="0" w:color="auto"/>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Sample</w:t>
            </w:r>
          </w:p>
        </w:tc>
        <w:tc>
          <w:tcPr>
            <w:tcW w:w="1218" w:type="dxa"/>
            <w:tcBorders>
              <w:top w:val="single" w:sz="8" w:space="0" w:color="auto"/>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Date</w:t>
            </w:r>
          </w:p>
        </w:tc>
        <w:tc>
          <w:tcPr>
            <w:tcW w:w="101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Sample I.D.</w:t>
            </w:r>
          </w:p>
        </w:tc>
        <w:tc>
          <w:tcPr>
            <w:tcW w:w="813" w:type="dxa"/>
            <w:tcBorders>
              <w:top w:val="single" w:sz="8" w:space="0" w:color="auto"/>
              <w:left w:val="nil"/>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CRI</w:t>
            </w:r>
          </w:p>
        </w:tc>
        <w:tc>
          <w:tcPr>
            <w:tcW w:w="81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CSR</w:t>
            </w:r>
          </w:p>
        </w:tc>
        <w:tc>
          <w:tcPr>
            <w:tcW w:w="1085" w:type="dxa"/>
            <w:tcBorders>
              <w:top w:val="single" w:sz="8" w:space="0" w:color="auto"/>
              <w:left w:val="nil"/>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Average CRI</w:t>
            </w:r>
          </w:p>
        </w:tc>
        <w:tc>
          <w:tcPr>
            <w:tcW w:w="1085" w:type="dxa"/>
            <w:tcBorders>
              <w:top w:val="single" w:sz="8" w:space="0" w:color="auto"/>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Average CSR</w:t>
            </w:r>
          </w:p>
        </w:tc>
        <w:tc>
          <w:tcPr>
            <w:tcW w:w="886" w:type="dxa"/>
            <w:tcBorders>
              <w:top w:val="single" w:sz="8" w:space="0" w:color="auto"/>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Density</w:t>
            </w:r>
          </w:p>
        </w:tc>
        <w:tc>
          <w:tcPr>
            <w:tcW w:w="101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Vessel I.D.</w:t>
            </w:r>
          </w:p>
        </w:tc>
      </w:tr>
      <w:tr w:rsidR="00443E88" w:rsidRPr="00443E88" w:rsidTr="00443E88">
        <w:trPr>
          <w:trHeight w:val="251"/>
        </w:trPr>
        <w:tc>
          <w:tcPr>
            <w:tcW w:w="813" w:type="dxa"/>
            <w:vMerge w:val="restart"/>
            <w:tcBorders>
              <w:top w:val="nil"/>
              <w:left w:val="single" w:sz="8" w:space="0" w:color="auto"/>
              <w:bottom w:val="single" w:sz="8" w:space="0" w:color="000000"/>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Trial</w:t>
            </w:r>
          </w:p>
        </w:tc>
        <w:tc>
          <w:tcPr>
            <w:tcW w:w="1700" w:type="dxa"/>
            <w:vMerge w:val="restart"/>
            <w:tcBorders>
              <w:top w:val="nil"/>
              <w:left w:val="single" w:sz="8" w:space="0" w:color="auto"/>
              <w:bottom w:val="single" w:sz="8" w:space="0" w:color="000000"/>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Normal Standard</w:t>
            </w:r>
          </w:p>
        </w:tc>
        <w:tc>
          <w:tcPr>
            <w:tcW w:w="1218"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17/02/2017</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8339</w:t>
            </w:r>
          </w:p>
        </w:tc>
        <w:tc>
          <w:tcPr>
            <w:tcW w:w="813" w:type="dxa"/>
            <w:tcBorders>
              <w:top w:val="nil"/>
              <w:left w:val="nil"/>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27.0</w:t>
            </w:r>
          </w:p>
        </w:tc>
        <w:tc>
          <w:tcPr>
            <w:tcW w:w="813"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60.1</w:t>
            </w:r>
          </w:p>
        </w:tc>
        <w:tc>
          <w:tcPr>
            <w:tcW w:w="1085" w:type="dxa"/>
            <w:vMerge w:val="restart"/>
            <w:tcBorders>
              <w:top w:val="nil"/>
              <w:left w:val="nil"/>
              <w:bottom w:val="single" w:sz="8" w:space="0" w:color="000000"/>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27.0</w:t>
            </w:r>
          </w:p>
        </w:tc>
        <w:tc>
          <w:tcPr>
            <w:tcW w:w="1085" w:type="dxa"/>
            <w:vMerge w:val="restart"/>
            <w:tcBorders>
              <w:top w:val="nil"/>
              <w:left w:val="single" w:sz="8" w:space="0" w:color="auto"/>
              <w:bottom w:val="single" w:sz="8" w:space="0" w:color="000000"/>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59.7</w:t>
            </w:r>
          </w:p>
        </w:tc>
        <w:tc>
          <w:tcPr>
            <w:tcW w:w="886"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24</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2110114</w:t>
            </w:r>
          </w:p>
        </w:tc>
      </w:tr>
      <w:tr w:rsidR="00443E88" w:rsidRPr="00443E88" w:rsidTr="00443E88">
        <w:trPr>
          <w:trHeight w:val="251"/>
        </w:trPr>
        <w:tc>
          <w:tcPr>
            <w:tcW w:w="813"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700"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218"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18/02/2017</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8341</w:t>
            </w:r>
          </w:p>
        </w:tc>
        <w:tc>
          <w:tcPr>
            <w:tcW w:w="813" w:type="dxa"/>
            <w:tcBorders>
              <w:top w:val="nil"/>
              <w:left w:val="nil"/>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27.2</w:t>
            </w:r>
          </w:p>
        </w:tc>
        <w:tc>
          <w:tcPr>
            <w:tcW w:w="813"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59.7</w:t>
            </w:r>
          </w:p>
        </w:tc>
        <w:tc>
          <w:tcPr>
            <w:tcW w:w="1085" w:type="dxa"/>
            <w:vMerge/>
            <w:tcBorders>
              <w:top w:val="nil"/>
              <w:left w:val="nil"/>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085"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886"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43</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2110314</w:t>
            </w:r>
          </w:p>
        </w:tc>
      </w:tr>
      <w:tr w:rsidR="00443E88" w:rsidRPr="00443E88" w:rsidTr="00443E88">
        <w:trPr>
          <w:trHeight w:val="251"/>
        </w:trPr>
        <w:tc>
          <w:tcPr>
            <w:tcW w:w="813"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700"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218"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19/02/2017</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8343</w:t>
            </w:r>
          </w:p>
        </w:tc>
        <w:tc>
          <w:tcPr>
            <w:tcW w:w="813" w:type="dxa"/>
            <w:tcBorders>
              <w:top w:val="nil"/>
              <w:left w:val="nil"/>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26.8</w:t>
            </w:r>
          </w:p>
        </w:tc>
        <w:tc>
          <w:tcPr>
            <w:tcW w:w="813"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58.9</w:t>
            </w:r>
          </w:p>
        </w:tc>
        <w:tc>
          <w:tcPr>
            <w:tcW w:w="1085" w:type="dxa"/>
            <w:vMerge/>
            <w:tcBorders>
              <w:top w:val="nil"/>
              <w:left w:val="nil"/>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085"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886"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40</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2110114</w:t>
            </w:r>
          </w:p>
        </w:tc>
      </w:tr>
      <w:tr w:rsidR="00443E88" w:rsidRPr="00443E88" w:rsidTr="00443E88">
        <w:trPr>
          <w:trHeight w:val="251"/>
        </w:trPr>
        <w:tc>
          <w:tcPr>
            <w:tcW w:w="813"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700"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218"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20/02/2017</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8345</w:t>
            </w:r>
          </w:p>
        </w:tc>
        <w:tc>
          <w:tcPr>
            <w:tcW w:w="813" w:type="dxa"/>
            <w:tcBorders>
              <w:top w:val="nil"/>
              <w:left w:val="nil"/>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26.7</w:t>
            </w:r>
          </w:p>
        </w:tc>
        <w:tc>
          <w:tcPr>
            <w:tcW w:w="813"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59.4</w:t>
            </w:r>
          </w:p>
        </w:tc>
        <w:tc>
          <w:tcPr>
            <w:tcW w:w="1085" w:type="dxa"/>
            <w:vMerge/>
            <w:tcBorders>
              <w:top w:val="nil"/>
              <w:left w:val="nil"/>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085"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886"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41</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2110314</w:t>
            </w:r>
          </w:p>
        </w:tc>
      </w:tr>
      <w:tr w:rsidR="00443E88" w:rsidRPr="00443E88" w:rsidTr="00443E88">
        <w:trPr>
          <w:trHeight w:val="251"/>
        </w:trPr>
        <w:tc>
          <w:tcPr>
            <w:tcW w:w="813"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700"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218"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21/02/2017</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8347</w:t>
            </w:r>
          </w:p>
        </w:tc>
        <w:tc>
          <w:tcPr>
            <w:tcW w:w="813" w:type="dxa"/>
            <w:tcBorders>
              <w:top w:val="nil"/>
              <w:left w:val="nil"/>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27.1</w:t>
            </w:r>
          </w:p>
        </w:tc>
        <w:tc>
          <w:tcPr>
            <w:tcW w:w="813"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59.6</w:t>
            </w:r>
          </w:p>
        </w:tc>
        <w:tc>
          <w:tcPr>
            <w:tcW w:w="1085" w:type="dxa"/>
            <w:vMerge/>
            <w:tcBorders>
              <w:top w:val="nil"/>
              <w:left w:val="nil"/>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085"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886"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42</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2110114</w:t>
            </w:r>
          </w:p>
        </w:tc>
      </w:tr>
      <w:tr w:rsidR="00443E88" w:rsidRPr="00443E88" w:rsidTr="00443E88">
        <w:trPr>
          <w:trHeight w:val="251"/>
        </w:trPr>
        <w:tc>
          <w:tcPr>
            <w:tcW w:w="813"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700"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218"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22/02/2017</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8349</w:t>
            </w:r>
          </w:p>
        </w:tc>
        <w:tc>
          <w:tcPr>
            <w:tcW w:w="813" w:type="dxa"/>
            <w:tcBorders>
              <w:top w:val="nil"/>
              <w:left w:val="nil"/>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26.9</w:t>
            </w:r>
          </w:p>
        </w:tc>
        <w:tc>
          <w:tcPr>
            <w:tcW w:w="813"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60.2</w:t>
            </w:r>
          </w:p>
        </w:tc>
        <w:tc>
          <w:tcPr>
            <w:tcW w:w="1085" w:type="dxa"/>
            <w:vMerge/>
            <w:tcBorders>
              <w:top w:val="nil"/>
              <w:left w:val="nil"/>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085"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886" w:type="dxa"/>
            <w:tcBorders>
              <w:top w:val="nil"/>
              <w:left w:val="single" w:sz="8" w:space="0" w:color="auto"/>
              <w:bottom w:val="single" w:sz="4"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41</w:t>
            </w:r>
          </w:p>
        </w:tc>
        <w:tc>
          <w:tcPr>
            <w:tcW w:w="1012" w:type="dxa"/>
            <w:tcBorders>
              <w:top w:val="nil"/>
              <w:left w:val="single" w:sz="8" w:space="0" w:color="auto"/>
              <w:bottom w:val="single" w:sz="4"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2110314</w:t>
            </w:r>
          </w:p>
        </w:tc>
      </w:tr>
      <w:tr w:rsidR="00443E88" w:rsidRPr="00443E88" w:rsidTr="00443E88">
        <w:trPr>
          <w:trHeight w:val="265"/>
        </w:trPr>
        <w:tc>
          <w:tcPr>
            <w:tcW w:w="813"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700"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218" w:type="dxa"/>
            <w:tcBorders>
              <w:top w:val="nil"/>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23/02/2017</w:t>
            </w:r>
          </w:p>
        </w:tc>
        <w:tc>
          <w:tcPr>
            <w:tcW w:w="1012" w:type="dxa"/>
            <w:tcBorders>
              <w:top w:val="nil"/>
              <w:left w:val="single" w:sz="8" w:space="0" w:color="auto"/>
              <w:bottom w:val="single" w:sz="8"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8351</w:t>
            </w:r>
          </w:p>
        </w:tc>
        <w:tc>
          <w:tcPr>
            <w:tcW w:w="813" w:type="dxa"/>
            <w:tcBorders>
              <w:top w:val="nil"/>
              <w:left w:val="nil"/>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27.4</w:t>
            </w:r>
          </w:p>
        </w:tc>
        <w:tc>
          <w:tcPr>
            <w:tcW w:w="813" w:type="dxa"/>
            <w:tcBorders>
              <w:top w:val="nil"/>
              <w:left w:val="single" w:sz="8" w:space="0" w:color="auto"/>
              <w:bottom w:val="single" w:sz="8"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60.1</w:t>
            </w:r>
          </w:p>
        </w:tc>
        <w:tc>
          <w:tcPr>
            <w:tcW w:w="1085" w:type="dxa"/>
            <w:vMerge/>
            <w:tcBorders>
              <w:top w:val="nil"/>
              <w:left w:val="nil"/>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1085" w:type="dxa"/>
            <w:vMerge/>
            <w:tcBorders>
              <w:top w:val="nil"/>
              <w:left w:val="single" w:sz="8" w:space="0" w:color="auto"/>
              <w:bottom w:val="single" w:sz="8" w:space="0" w:color="000000"/>
              <w:right w:val="nil"/>
            </w:tcBorders>
            <w:vAlign w:val="center"/>
            <w:hideMark/>
          </w:tcPr>
          <w:p w:rsidR="00443E88" w:rsidRPr="00443E88" w:rsidRDefault="00443E88" w:rsidP="00443E88">
            <w:pPr>
              <w:spacing w:after="0" w:line="240" w:lineRule="auto"/>
              <w:rPr>
                <w:rFonts w:ascii="Arial" w:eastAsia="Times New Roman" w:hAnsi="Arial" w:cs="Arial"/>
                <w:sz w:val="20"/>
                <w:szCs w:val="20"/>
                <w:lang w:eastAsia="en-GB"/>
              </w:rPr>
            </w:pPr>
          </w:p>
        </w:tc>
        <w:tc>
          <w:tcPr>
            <w:tcW w:w="886" w:type="dxa"/>
            <w:tcBorders>
              <w:top w:val="nil"/>
              <w:left w:val="single" w:sz="8" w:space="0" w:color="auto"/>
              <w:bottom w:val="single" w:sz="8" w:space="0" w:color="auto"/>
              <w:right w:val="nil"/>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44</w:t>
            </w:r>
          </w:p>
        </w:tc>
        <w:tc>
          <w:tcPr>
            <w:tcW w:w="1012" w:type="dxa"/>
            <w:tcBorders>
              <w:top w:val="nil"/>
              <w:left w:val="single" w:sz="8" w:space="0" w:color="auto"/>
              <w:bottom w:val="single" w:sz="8" w:space="0" w:color="auto"/>
              <w:right w:val="single" w:sz="8" w:space="0" w:color="auto"/>
            </w:tcBorders>
            <w:shd w:val="clear" w:color="auto" w:fill="auto"/>
            <w:noWrap/>
            <w:vAlign w:val="center"/>
            <w:hideMark/>
          </w:tcPr>
          <w:p w:rsidR="00443E88" w:rsidRPr="00443E88" w:rsidRDefault="00443E88" w:rsidP="00443E88">
            <w:pPr>
              <w:spacing w:after="0" w:line="240" w:lineRule="auto"/>
              <w:jc w:val="center"/>
              <w:rPr>
                <w:rFonts w:ascii="Arial" w:eastAsia="Times New Roman" w:hAnsi="Arial" w:cs="Arial"/>
                <w:sz w:val="20"/>
                <w:szCs w:val="20"/>
                <w:lang w:eastAsia="en-GB"/>
              </w:rPr>
            </w:pPr>
            <w:r w:rsidRPr="00443E88">
              <w:rPr>
                <w:rFonts w:ascii="Arial" w:eastAsia="Times New Roman" w:hAnsi="Arial" w:cs="Arial"/>
                <w:sz w:val="20"/>
                <w:szCs w:val="20"/>
                <w:lang w:eastAsia="en-GB"/>
              </w:rPr>
              <w:t>2110114</w:t>
            </w:r>
          </w:p>
        </w:tc>
      </w:tr>
    </w:tbl>
    <w:p w:rsidR="00443E88" w:rsidRPr="00D460D7" w:rsidRDefault="00D460D7" w:rsidP="00D460D7">
      <w:pPr>
        <w:pStyle w:val="Caption"/>
        <w:jc w:val="center"/>
        <w:rPr>
          <w:szCs w:val="24"/>
        </w:rPr>
      </w:pPr>
      <w:bookmarkStart w:id="180" w:name="_Toc512166653"/>
      <w:bookmarkStart w:id="181" w:name="_Toc512166885"/>
      <w:bookmarkStart w:id="182" w:name="_Toc512168602"/>
      <w:bookmarkStart w:id="183" w:name="_Toc512169549"/>
      <w:bookmarkStart w:id="184" w:name="_Toc512333607"/>
      <w:r w:rsidRPr="00D460D7">
        <w:t xml:space="preserve">Table </w:t>
      </w:r>
      <w:fldSimple w:instr=" SEQ Table \* ARABIC ">
        <w:r w:rsidR="009A5CBD">
          <w:rPr>
            <w:noProof/>
          </w:rPr>
          <w:t>5</w:t>
        </w:r>
      </w:fldSimple>
      <w:r w:rsidR="00443E88" w:rsidRPr="00D460D7">
        <w:rPr>
          <w:szCs w:val="24"/>
        </w:rPr>
        <w:t xml:space="preserve"> – The results from testing the standard as it was received.</w:t>
      </w:r>
      <w:bookmarkEnd w:id="180"/>
      <w:bookmarkEnd w:id="181"/>
      <w:bookmarkEnd w:id="182"/>
      <w:bookmarkEnd w:id="183"/>
      <w:bookmarkEnd w:id="184"/>
    </w:p>
    <w:p w:rsidR="00443E88" w:rsidRPr="003D7331" w:rsidRDefault="00443E88" w:rsidP="006B6CAF">
      <w:pPr>
        <w:jc w:val="both"/>
        <w:rPr>
          <w:szCs w:val="24"/>
        </w:rPr>
      </w:pPr>
    </w:p>
    <w:p w:rsidR="006B6CAF" w:rsidRDefault="006B6CAF" w:rsidP="006B6CAF">
      <w:pPr>
        <w:jc w:val="both"/>
        <w:rPr>
          <w:szCs w:val="24"/>
        </w:rPr>
      </w:pPr>
      <w:r w:rsidRPr="003D7331">
        <w:rPr>
          <w:szCs w:val="24"/>
        </w:rPr>
        <w:t xml:space="preserve">The results show that there is a considerable difference between the standard as </w:t>
      </w:r>
      <w:r>
        <w:rPr>
          <w:szCs w:val="24"/>
        </w:rPr>
        <w:t xml:space="preserve">received </w:t>
      </w:r>
      <w:r w:rsidRPr="003D7331">
        <w:rPr>
          <w:szCs w:val="24"/>
        </w:rPr>
        <w:t xml:space="preserve">and the standard after the sink-float test. The average result of seven tests on the 100% sink standard sample gave an average of 62.7. This result is 0.2 off of the stated result and falls </w:t>
      </w:r>
      <w:r>
        <w:rPr>
          <w:szCs w:val="24"/>
        </w:rPr>
        <w:t>comfortably</w:t>
      </w:r>
      <w:r w:rsidRPr="003D7331">
        <w:rPr>
          <w:szCs w:val="24"/>
        </w:rPr>
        <w:t xml:space="preserve"> within the tolerance given. The average result of the standard </w:t>
      </w:r>
      <w:r>
        <w:rPr>
          <w:szCs w:val="24"/>
        </w:rPr>
        <w:t xml:space="preserve">as received </w:t>
      </w:r>
      <w:r w:rsidRPr="003D7331">
        <w:rPr>
          <w:szCs w:val="24"/>
        </w:rPr>
        <w:t xml:space="preserve">over this period was 59.7, which is in line with the averages that were achieved throughout the </w:t>
      </w:r>
      <w:r>
        <w:rPr>
          <w:szCs w:val="24"/>
        </w:rPr>
        <w:t>previous</w:t>
      </w:r>
      <w:r w:rsidRPr="003D7331">
        <w:rPr>
          <w:szCs w:val="24"/>
        </w:rPr>
        <w:t xml:space="preserve"> year. A meeting was arranged between the analytical team and technologists and team leaders from the coke oven</w:t>
      </w:r>
      <w:r>
        <w:rPr>
          <w:szCs w:val="24"/>
        </w:rPr>
        <w:t>s and the blast furnace teams. During this meeting t</w:t>
      </w:r>
      <w:r w:rsidRPr="003D7331">
        <w:rPr>
          <w:szCs w:val="24"/>
        </w:rPr>
        <w:t xml:space="preserve">he results were explained in detail, as well as the </w:t>
      </w:r>
      <w:r w:rsidRPr="003D7331">
        <w:rPr>
          <w:szCs w:val="24"/>
        </w:rPr>
        <w:lastRenderedPageBreak/>
        <w:t xml:space="preserve">consequences of the results. It was agreed by </w:t>
      </w:r>
      <w:r>
        <w:rPr>
          <w:szCs w:val="24"/>
        </w:rPr>
        <w:t>all those</w:t>
      </w:r>
      <w:r w:rsidRPr="003D7331">
        <w:rPr>
          <w:szCs w:val="24"/>
        </w:rPr>
        <w:t xml:space="preserve"> involved that the standard was </w:t>
      </w:r>
      <w:r>
        <w:rPr>
          <w:szCs w:val="24"/>
        </w:rPr>
        <w:t>incorrect and misleading</w:t>
      </w:r>
      <w:r w:rsidRPr="003D7331">
        <w:rPr>
          <w:szCs w:val="24"/>
        </w:rPr>
        <w:t xml:space="preserve">. Nowhere in the information given by the company that develops the standard did it say that a sink-float test should be carried out to achieve the stated result. </w:t>
      </w:r>
      <w:r>
        <w:rPr>
          <w:szCs w:val="24"/>
        </w:rPr>
        <w:t>Conversations about what to do next were held</w:t>
      </w:r>
      <w:r w:rsidRPr="003D7331">
        <w:rPr>
          <w:szCs w:val="24"/>
        </w:rPr>
        <w:t xml:space="preserve"> and it was agreed that the standard should be dropped. However, neither the coke ovens nor the blast furnaces wanted us </w:t>
      </w:r>
      <w:r>
        <w:rPr>
          <w:szCs w:val="24"/>
        </w:rPr>
        <w:t>to operate with no standard so the technical department had to make a</w:t>
      </w:r>
      <w:r w:rsidRPr="003D7331">
        <w:rPr>
          <w:szCs w:val="24"/>
        </w:rPr>
        <w:t xml:space="preserve"> decision </w:t>
      </w:r>
      <w:r>
        <w:rPr>
          <w:szCs w:val="24"/>
        </w:rPr>
        <w:t>on</w:t>
      </w:r>
      <w:r w:rsidRPr="003D7331">
        <w:rPr>
          <w:szCs w:val="24"/>
        </w:rPr>
        <w:t xml:space="preserve"> what to do next.</w:t>
      </w:r>
    </w:p>
    <w:p w:rsidR="00B77DB5" w:rsidRPr="003D7331" w:rsidRDefault="00B77DB5" w:rsidP="006B6CAF">
      <w:pPr>
        <w:jc w:val="both"/>
        <w:rPr>
          <w:szCs w:val="24"/>
        </w:rPr>
      </w:pPr>
    </w:p>
    <w:p w:rsidR="006B6CAF" w:rsidRPr="003D7331" w:rsidRDefault="006B6CAF" w:rsidP="006B6CAF">
      <w:pPr>
        <w:jc w:val="both"/>
        <w:rPr>
          <w:szCs w:val="24"/>
        </w:rPr>
      </w:pPr>
      <w:r w:rsidRPr="003D7331">
        <w:rPr>
          <w:szCs w:val="24"/>
        </w:rPr>
        <w:t xml:space="preserve">A meeting for the localized team was arranged shortly after with the main topic of discussion being what happens next. During the course of the meeting, two ideas were brought forward and talked about in detail. The first idea was to buy in a new standard. The issue with this was that out of all the laboratories in the UK that were approached originally, very few used the same standard. Certain laboratories also had issues with standards that other laboratories were using, meaning </w:t>
      </w:r>
      <w:r>
        <w:rPr>
          <w:szCs w:val="24"/>
        </w:rPr>
        <w:t>there was not a particular standard that the team could agree on if a new standard was to be purchased</w:t>
      </w:r>
      <w:r w:rsidRPr="003D7331">
        <w:rPr>
          <w:szCs w:val="24"/>
        </w:rPr>
        <w:t xml:space="preserve">. Many of the standards also came with a high cost for a relatively small sample. This would have increased </w:t>
      </w:r>
      <w:r>
        <w:rPr>
          <w:szCs w:val="24"/>
        </w:rPr>
        <w:t>the</w:t>
      </w:r>
      <w:r w:rsidRPr="003D7331">
        <w:rPr>
          <w:szCs w:val="24"/>
        </w:rPr>
        <w:t xml:space="preserve"> expenditure</w:t>
      </w:r>
      <w:r>
        <w:rPr>
          <w:szCs w:val="24"/>
        </w:rPr>
        <w:t xml:space="preserve"> of the laboratories</w:t>
      </w:r>
      <w:r w:rsidRPr="003D7331">
        <w:rPr>
          <w:szCs w:val="24"/>
        </w:rPr>
        <w:t xml:space="preserve"> by a considerable amount. The second idea that was brought forward was the possibility of developing </w:t>
      </w:r>
      <w:r>
        <w:rPr>
          <w:szCs w:val="24"/>
        </w:rPr>
        <w:t>a standard</w:t>
      </w:r>
      <w:r w:rsidRPr="003D7331">
        <w:rPr>
          <w:szCs w:val="24"/>
        </w:rPr>
        <w:t xml:space="preserve">. This was considered a difficult task to complete as the coke that would be used for the standard would have to be very consistent with the results achieved form it. Both these points were originally taken forward, with different people assigned to carry out research on standards and on </w:t>
      </w:r>
      <w:r>
        <w:rPr>
          <w:szCs w:val="24"/>
        </w:rPr>
        <w:t xml:space="preserve">what </w:t>
      </w:r>
      <w:r w:rsidRPr="003D7331">
        <w:rPr>
          <w:szCs w:val="24"/>
        </w:rPr>
        <w:t>coke gave consistent figures</w:t>
      </w:r>
      <w:r>
        <w:rPr>
          <w:szCs w:val="24"/>
        </w:rPr>
        <w:t xml:space="preserve"> when tested</w:t>
      </w:r>
      <w:r w:rsidRPr="003D7331">
        <w:rPr>
          <w:szCs w:val="24"/>
        </w:rPr>
        <w:t>.</w:t>
      </w:r>
    </w:p>
    <w:p w:rsidR="006B6CAF" w:rsidRDefault="006B6CAF" w:rsidP="006B6CAF"/>
    <w:p w:rsidR="006B6CAF" w:rsidRDefault="006B6CAF" w:rsidP="006B6CAF">
      <w:pPr>
        <w:pStyle w:val="Heading2"/>
      </w:pPr>
      <w:bookmarkStart w:id="185" w:name="_Toc511503118"/>
      <w:bookmarkStart w:id="186" w:name="_Toc512166878"/>
      <w:bookmarkStart w:id="187" w:name="_Toc512168655"/>
      <w:bookmarkStart w:id="188" w:name="_Toc512169536"/>
      <w:bookmarkStart w:id="189" w:name="_Toc512334092"/>
      <w:r>
        <w:t>Creating a Solution</w:t>
      </w:r>
      <w:bookmarkEnd w:id="185"/>
      <w:bookmarkEnd w:id="186"/>
      <w:bookmarkEnd w:id="187"/>
      <w:bookmarkEnd w:id="188"/>
      <w:bookmarkEnd w:id="189"/>
    </w:p>
    <w:p w:rsidR="006B6CAF" w:rsidRDefault="006B6CAF" w:rsidP="006B6CAF"/>
    <w:p w:rsidR="006B6CAF" w:rsidRDefault="006B6CAF" w:rsidP="006B6CAF">
      <w:pPr>
        <w:jc w:val="both"/>
        <w:rPr>
          <w:szCs w:val="24"/>
        </w:rPr>
      </w:pPr>
      <w:r w:rsidRPr="003D7331">
        <w:rPr>
          <w:szCs w:val="24"/>
        </w:rPr>
        <w:t xml:space="preserve">A meeting for the localized team was arranged shortly after with the main topic of discussion being what happens next. During the course of the meeting, two ideas were brought forward and talked about in detail. The first idea was to buy in a new standard. The issue with this was that out of all the laboratories in the UK that were approached originally, very few used the same standard. Certain laboratories also had issues with standards that other laboratories were using, meaning </w:t>
      </w:r>
      <w:r>
        <w:rPr>
          <w:szCs w:val="24"/>
        </w:rPr>
        <w:t>there was not a particular standard that the team could agree on if a new standard was to be purchased</w:t>
      </w:r>
      <w:r w:rsidRPr="003D7331">
        <w:rPr>
          <w:szCs w:val="24"/>
        </w:rPr>
        <w:t xml:space="preserve">. Many of the standards also came with a high cost for a relatively small sample. This would have increased </w:t>
      </w:r>
      <w:r>
        <w:rPr>
          <w:szCs w:val="24"/>
        </w:rPr>
        <w:t>the</w:t>
      </w:r>
      <w:r w:rsidRPr="003D7331">
        <w:rPr>
          <w:szCs w:val="24"/>
        </w:rPr>
        <w:t xml:space="preserve"> expenditure</w:t>
      </w:r>
      <w:r>
        <w:rPr>
          <w:szCs w:val="24"/>
        </w:rPr>
        <w:t xml:space="preserve"> of the laboratories</w:t>
      </w:r>
      <w:r w:rsidRPr="003D7331">
        <w:rPr>
          <w:szCs w:val="24"/>
        </w:rPr>
        <w:t xml:space="preserve"> by a considerable amount. The second idea that was brought forward was the possibility of developing </w:t>
      </w:r>
      <w:r>
        <w:rPr>
          <w:szCs w:val="24"/>
        </w:rPr>
        <w:t>a standard</w:t>
      </w:r>
      <w:r w:rsidRPr="003D7331">
        <w:rPr>
          <w:szCs w:val="24"/>
        </w:rPr>
        <w:t xml:space="preserve">. This was considered a difficult task to complete as the coke that would be used for the standard would have to be very consistent with the results achieved form it. Both these points were originally taken forward, with different people assigned to carry out research on standards and on </w:t>
      </w:r>
      <w:r>
        <w:rPr>
          <w:szCs w:val="24"/>
        </w:rPr>
        <w:t xml:space="preserve">what </w:t>
      </w:r>
      <w:r w:rsidRPr="003D7331">
        <w:rPr>
          <w:szCs w:val="24"/>
        </w:rPr>
        <w:t>coke gave consistent figures</w:t>
      </w:r>
      <w:r>
        <w:rPr>
          <w:szCs w:val="24"/>
        </w:rPr>
        <w:t xml:space="preserve"> when tested</w:t>
      </w:r>
      <w:r w:rsidRPr="003D7331">
        <w:rPr>
          <w:szCs w:val="24"/>
        </w:rPr>
        <w:t>.</w:t>
      </w:r>
    </w:p>
    <w:p w:rsidR="00B77DB5" w:rsidRPr="003D7331" w:rsidRDefault="00B77DB5" w:rsidP="006B6CAF">
      <w:pPr>
        <w:jc w:val="both"/>
        <w:rPr>
          <w:szCs w:val="24"/>
        </w:rPr>
      </w:pPr>
    </w:p>
    <w:p w:rsidR="006B6CAF" w:rsidRDefault="006B6CAF" w:rsidP="006B6CAF">
      <w:pPr>
        <w:jc w:val="both"/>
        <w:rPr>
          <w:szCs w:val="24"/>
        </w:rPr>
      </w:pPr>
      <w:r w:rsidRPr="003D7331">
        <w:rPr>
          <w:szCs w:val="24"/>
        </w:rPr>
        <w:t xml:space="preserve">After </w:t>
      </w:r>
      <w:r>
        <w:rPr>
          <w:szCs w:val="24"/>
        </w:rPr>
        <w:t>time was spent</w:t>
      </w:r>
      <w:r w:rsidRPr="003D7331">
        <w:rPr>
          <w:szCs w:val="24"/>
        </w:rPr>
        <w:t xml:space="preserve"> looking back at </w:t>
      </w:r>
      <w:r>
        <w:rPr>
          <w:szCs w:val="24"/>
        </w:rPr>
        <w:t>the results</w:t>
      </w:r>
      <w:r w:rsidRPr="003D7331">
        <w:rPr>
          <w:szCs w:val="24"/>
        </w:rPr>
        <w:t xml:space="preserve"> archive, it was noted that </w:t>
      </w:r>
      <w:r>
        <w:rPr>
          <w:szCs w:val="24"/>
        </w:rPr>
        <w:t>an imported Japanese coke gave consistent figures whenever tested. These results were accurate in comparison with the load port figures received and with samples from the same supplier received weeks and months earlier</w:t>
      </w:r>
      <w:r w:rsidRPr="003D7331">
        <w:rPr>
          <w:szCs w:val="24"/>
        </w:rPr>
        <w:t xml:space="preserve">. The company </w:t>
      </w:r>
      <w:r>
        <w:rPr>
          <w:szCs w:val="24"/>
        </w:rPr>
        <w:t>consistently</w:t>
      </w:r>
      <w:r w:rsidRPr="003D7331">
        <w:rPr>
          <w:szCs w:val="24"/>
        </w:rPr>
        <w:t xml:space="preserve"> sent a flight sample to </w:t>
      </w:r>
      <w:r>
        <w:rPr>
          <w:szCs w:val="24"/>
        </w:rPr>
        <w:t>the laboratories</w:t>
      </w:r>
      <w:r w:rsidRPr="003D7331">
        <w:rPr>
          <w:szCs w:val="24"/>
        </w:rPr>
        <w:t xml:space="preserve"> before the shipment arrived so </w:t>
      </w:r>
      <w:r>
        <w:rPr>
          <w:szCs w:val="24"/>
        </w:rPr>
        <w:t>it</w:t>
      </w:r>
      <w:r w:rsidRPr="003D7331">
        <w:rPr>
          <w:szCs w:val="24"/>
        </w:rPr>
        <w:t xml:space="preserve"> could </w:t>
      </w:r>
      <w:r>
        <w:rPr>
          <w:szCs w:val="24"/>
        </w:rPr>
        <w:t>be tested</w:t>
      </w:r>
      <w:r w:rsidRPr="003D7331">
        <w:rPr>
          <w:szCs w:val="24"/>
        </w:rPr>
        <w:t xml:space="preserve"> </w:t>
      </w:r>
      <w:r>
        <w:rPr>
          <w:szCs w:val="24"/>
        </w:rPr>
        <w:t>before the shipment arrives on site</w:t>
      </w:r>
      <w:r w:rsidRPr="003D7331">
        <w:rPr>
          <w:szCs w:val="24"/>
        </w:rPr>
        <w:t xml:space="preserve">. The results </w:t>
      </w:r>
      <w:r>
        <w:rPr>
          <w:szCs w:val="24"/>
        </w:rPr>
        <w:t>that were achieved</w:t>
      </w:r>
      <w:r w:rsidRPr="003D7331">
        <w:rPr>
          <w:szCs w:val="24"/>
        </w:rPr>
        <w:t xml:space="preserve"> from this coke for CSR testing were similar enough</w:t>
      </w:r>
      <w:r>
        <w:rPr>
          <w:szCs w:val="24"/>
        </w:rPr>
        <w:t xml:space="preserve"> and consistent enough</w:t>
      </w:r>
      <w:r w:rsidRPr="003D7331">
        <w:rPr>
          <w:szCs w:val="24"/>
        </w:rPr>
        <w:t xml:space="preserve"> that </w:t>
      </w:r>
      <w:r>
        <w:rPr>
          <w:szCs w:val="24"/>
        </w:rPr>
        <w:t>it was</w:t>
      </w:r>
      <w:r w:rsidRPr="003D7331">
        <w:rPr>
          <w:szCs w:val="24"/>
        </w:rPr>
        <w:t xml:space="preserve"> decided to attempt to make a standard from this coke. The Japanese company were co</w:t>
      </w:r>
      <w:r>
        <w:rPr>
          <w:szCs w:val="24"/>
        </w:rPr>
        <w:t>ntacted and informed of the</w:t>
      </w:r>
      <w:r w:rsidRPr="003D7331">
        <w:rPr>
          <w:szCs w:val="24"/>
        </w:rPr>
        <w:t xml:space="preserve"> plans moving forward. Being intrigued, the</w:t>
      </w:r>
      <w:r>
        <w:rPr>
          <w:szCs w:val="24"/>
        </w:rPr>
        <w:t xml:space="preserve"> company</w:t>
      </w:r>
      <w:r w:rsidRPr="003D7331">
        <w:rPr>
          <w:szCs w:val="24"/>
        </w:rPr>
        <w:t xml:space="preserve"> agreed to let </w:t>
      </w:r>
      <w:r>
        <w:rPr>
          <w:szCs w:val="24"/>
        </w:rPr>
        <w:t>the laboratories</w:t>
      </w:r>
      <w:r w:rsidRPr="003D7331">
        <w:rPr>
          <w:szCs w:val="24"/>
        </w:rPr>
        <w:t xml:space="preserve"> experiment with their coke as a standard. Over the next few months, three separate cargos from the Japanese </w:t>
      </w:r>
      <w:r w:rsidRPr="003D7331">
        <w:rPr>
          <w:szCs w:val="24"/>
        </w:rPr>
        <w:lastRenderedPageBreak/>
        <w:t xml:space="preserve">company </w:t>
      </w:r>
      <w:r>
        <w:rPr>
          <w:szCs w:val="24"/>
        </w:rPr>
        <w:t xml:space="preserve">were brought </w:t>
      </w:r>
      <w:r w:rsidRPr="003D7331">
        <w:rPr>
          <w:szCs w:val="24"/>
        </w:rPr>
        <w:t>on site. These three cargos were sampled as they arrived and the coke was stored until it could be prepared.</w:t>
      </w:r>
    </w:p>
    <w:p w:rsidR="00B77DB5" w:rsidRPr="003D7331" w:rsidRDefault="00B77DB5" w:rsidP="006B6CAF">
      <w:pPr>
        <w:jc w:val="both"/>
        <w:rPr>
          <w:szCs w:val="24"/>
        </w:rPr>
      </w:pPr>
    </w:p>
    <w:p w:rsidR="00443E88" w:rsidRDefault="006B6CAF" w:rsidP="006B6CAF">
      <w:pPr>
        <w:jc w:val="both"/>
        <w:rPr>
          <w:szCs w:val="24"/>
        </w:rPr>
      </w:pPr>
      <w:r>
        <w:rPr>
          <w:szCs w:val="24"/>
        </w:rPr>
        <w:t>In total, o</w:t>
      </w:r>
      <w:r w:rsidRPr="003D7331">
        <w:rPr>
          <w:szCs w:val="24"/>
        </w:rPr>
        <w:t xml:space="preserve">ver 100kg of coke was taken from the three cargos. The coke was crushed </w:t>
      </w:r>
      <w:r>
        <w:rPr>
          <w:szCs w:val="24"/>
        </w:rPr>
        <w:t>using</w:t>
      </w:r>
      <w:r w:rsidRPr="003D7331">
        <w:rPr>
          <w:szCs w:val="24"/>
        </w:rPr>
        <w:t xml:space="preserve"> a jaw crusher and then sized over 19.0mm and 22.4mm screens in order to achieve the correct size fract</w:t>
      </w:r>
      <w:r>
        <w:rPr>
          <w:szCs w:val="24"/>
        </w:rPr>
        <w:t>ion that is required</w:t>
      </w:r>
      <w:r w:rsidRPr="003D7331">
        <w:rPr>
          <w:szCs w:val="24"/>
        </w:rPr>
        <w:t xml:space="preserve"> for testing. Any pieces of coke that were larger than the 22.4mm screen were collected and recrushed in order to make sure </w:t>
      </w:r>
      <w:r>
        <w:rPr>
          <w:szCs w:val="24"/>
        </w:rPr>
        <w:t>that there was</w:t>
      </w:r>
      <w:r w:rsidRPr="003D7331">
        <w:rPr>
          <w:szCs w:val="24"/>
        </w:rPr>
        <w:t xml:space="preserve"> as much sample as possible. The correct size fraction was then placed in metal bins and dried in a large oven for a week to ensure that </w:t>
      </w:r>
      <w:r>
        <w:rPr>
          <w:szCs w:val="24"/>
        </w:rPr>
        <w:t>all of the moisture had evaporated</w:t>
      </w:r>
      <w:r w:rsidRPr="003D7331">
        <w:rPr>
          <w:szCs w:val="24"/>
        </w:rPr>
        <w:t>. It was agreed that the sample would be tested twice a day, once on each rig, for a week in order to gather a sufficient dataset that could be shown to the technologists and team leaders of the coke ovens and blast furnaces</w:t>
      </w:r>
      <w:r w:rsidR="00443E88">
        <w:rPr>
          <w:szCs w:val="24"/>
        </w:rPr>
        <w:t xml:space="preserve"> </w:t>
      </w:r>
      <w:r w:rsidR="00443E88">
        <w:rPr>
          <w:i/>
          <w:szCs w:val="24"/>
        </w:rPr>
        <w:t xml:space="preserve">(table </w:t>
      </w:r>
      <w:r w:rsidR="006D663A">
        <w:rPr>
          <w:i/>
          <w:szCs w:val="24"/>
        </w:rPr>
        <w:t>6</w:t>
      </w:r>
      <w:r w:rsidR="00443E88">
        <w:rPr>
          <w:i/>
          <w:szCs w:val="24"/>
        </w:rPr>
        <w:t>)</w:t>
      </w:r>
      <w:r w:rsidRPr="003D7331">
        <w:rPr>
          <w:szCs w:val="24"/>
        </w:rPr>
        <w:t>.</w:t>
      </w:r>
    </w:p>
    <w:p w:rsidR="003E4A34" w:rsidRDefault="003E4A34" w:rsidP="006B6CAF">
      <w:pPr>
        <w:jc w:val="both"/>
        <w:rPr>
          <w:szCs w:val="24"/>
        </w:rPr>
      </w:pPr>
    </w:p>
    <w:tbl>
      <w:tblPr>
        <w:tblW w:w="8117" w:type="dxa"/>
        <w:tblInd w:w="455" w:type="dxa"/>
        <w:tblLook w:val="04A0" w:firstRow="1" w:lastRow="0" w:firstColumn="1" w:lastColumn="0" w:noHBand="0" w:noVBand="1"/>
      </w:tblPr>
      <w:tblGrid>
        <w:gridCol w:w="900"/>
        <w:gridCol w:w="1800"/>
        <w:gridCol w:w="1217"/>
        <w:gridCol w:w="900"/>
        <w:gridCol w:w="900"/>
        <w:gridCol w:w="1200"/>
        <w:gridCol w:w="1200"/>
      </w:tblGrid>
      <w:tr w:rsidR="003E4A34" w:rsidRPr="003E4A34" w:rsidTr="00564D37">
        <w:trPr>
          <w:trHeight w:val="270"/>
        </w:trPr>
        <w:tc>
          <w:tcPr>
            <w:tcW w:w="900" w:type="dxa"/>
            <w:tcBorders>
              <w:top w:val="single" w:sz="8" w:space="0" w:color="auto"/>
              <w:left w:val="single" w:sz="8" w:space="0" w:color="auto"/>
              <w:bottom w:val="single" w:sz="8" w:space="0" w:color="auto"/>
              <w:right w:val="nil"/>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Test</w:t>
            </w:r>
          </w:p>
        </w:tc>
        <w:tc>
          <w:tcPr>
            <w:tcW w:w="18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Sample</w:t>
            </w:r>
          </w:p>
        </w:tc>
        <w:tc>
          <w:tcPr>
            <w:tcW w:w="1217" w:type="dxa"/>
            <w:tcBorders>
              <w:top w:val="single" w:sz="8" w:space="0" w:color="auto"/>
              <w:left w:val="nil"/>
              <w:bottom w:val="single" w:sz="8" w:space="0" w:color="auto"/>
              <w:right w:val="nil"/>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Date</w:t>
            </w:r>
          </w:p>
        </w:tc>
        <w:tc>
          <w:tcPr>
            <w:tcW w:w="9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CRI</w:t>
            </w:r>
          </w:p>
        </w:tc>
        <w:tc>
          <w:tcPr>
            <w:tcW w:w="900" w:type="dxa"/>
            <w:tcBorders>
              <w:top w:val="single" w:sz="8" w:space="0" w:color="auto"/>
              <w:left w:val="nil"/>
              <w:bottom w:val="single" w:sz="8" w:space="0" w:color="auto"/>
              <w:right w:val="nil"/>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CSR</w:t>
            </w:r>
          </w:p>
        </w:tc>
        <w:tc>
          <w:tcPr>
            <w:tcW w:w="12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Average CRI</w:t>
            </w:r>
          </w:p>
        </w:tc>
        <w:tc>
          <w:tcPr>
            <w:tcW w:w="1200" w:type="dxa"/>
            <w:tcBorders>
              <w:top w:val="single" w:sz="8" w:space="0" w:color="auto"/>
              <w:left w:val="nil"/>
              <w:bottom w:val="single" w:sz="8" w:space="0" w:color="auto"/>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Average CSR</w:t>
            </w:r>
          </w:p>
        </w:tc>
      </w:tr>
      <w:tr w:rsidR="003E4A34" w:rsidRPr="003E4A34" w:rsidTr="00564D37">
        <w:trPr>
          <w:trHeight w:val="255"/>
        </w:trPr>
        <w:tc>
          <w:tcPr>
            <w:tcW w:w="90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Trial</w:t>
            </w:r>
          </w:p>
        </w:tc>
        <w:tc>
          <w:tcPr>
            <w:tcW w:w="180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Japanese Standard</w:t>
            </w: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15/09/2017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23.9</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63.4</w:t>
            </w:r>
          </w:p>
        </w:tc>
        <w:tc>
          <w:tcPr>
            <w:tcW w:w="120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23.8</w:t>
            </w:r>
          </w:p>
        </w:tc>
        <w:tc>
          <w:tcPr>
            <w:tcW w:w="120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63.3</w:t>
            </w: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15/09/2017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23.8</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63.2</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16/09/2017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24.3</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62.9</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16/09/2017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24.0</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63.1</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17/09/2017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24.0</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63.2</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17/09/2017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23.5</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63.3</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70"/>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18/09/2017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23.6</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63.9</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18/09/2017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23.6</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63.6</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70"/>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19/09/2017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23.8</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63.3</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70"/>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19/09/2017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23.7</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63.2</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20/09/2017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23.8</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63.0</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20/09/2017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23.8</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63.1</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55"/>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21/09/2017</w:t>
            </w:r>
          </w:p>
        </w:tc>
        <w:tc>
          <w:tcPr>
            <w:tcW w:w="900" w:type="dxa"/>
            <w:tcBorders>
              <w:top w:val="nil"/>
              <w:left w:val="single" w:sz="8" w:space="0" w:color="auto"/>
              <w:bottom w:val="single" w:sz="4"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23.7</w:t>
            </w:r>
          </w:p>
        </w:tc>
        <w:tc>
          <w:tcPr>
            <w:tcW w:w="900" w:type="dxa"/>
            <w:tcBorders>
              <w:top w:val="nil"/>
              <w:left w:val="nil"/>
              <w:bottom w:val="single" w:sz="4"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63.4</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r w:rsidR="003E4A34" w:rsidRPr="003E4A34" w:rsidTr="00564D37">
        <w:trPr>
          <w:trHeight w:val="270"/>
        </w:trPr>
        <w:tc>
          <w:tcPr>
            <w:tcW w:w="9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8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17" w:type="dxa"/>
            <w:tcBorders>
              <w:top w:val="nil"/>
              <w:left w:val="nil"/>
              <w:bottom w:val="single" w:sz="8"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21/09/2017</w:t>
            </w:r>
          </w:p>
        </w:tc>
        <w:tc>
          <w:tcPr>
            <w:tcW w:w="900" w:type="dxa"/>
            <w:tcBorders>
              <w:top w:val="nil"/>
              <w:left w:val="single" w:sz="8" w:space="0" w:color="auto"/>
              <w:bottom w:val="single" w:sz="8" w:space="0" w:color="auto"/>
              <w:right w:val="single" w:sz="8" w:space="0" w:color="auto"/>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23.5</w:t>
            </w:r>
          </w:p>
        </w:tc>
        <w:tc>
          <w:tcPr>
            <w:tcW w:w="900" w:type="dxa"/>
            <w:tcBorders>
              <w:top w:val="nil"/>
              <w:left w:val="nil"/>
              <w:bottom w:val="single" w:sz="8" w:space="0" w:color="auto"/>
              <w:right w:val="nil"/>
            </w:tcBorders>
            <w:shd w:val="clear" w:color="auto" w:fill="auto"/>
            <w:noWrap/>
            <w:vAlign w:val="bottom"/>
            <w:hideMark/>
          </w:tcPr>
          <w:p w:rsidR="003E4A34" w:rsidRPr="003E4A34" w:rsidRDefault="003E4A34" w:rsidP="003E4A34">
            <w:pPr>
              <w:spacing w:after="0" w:line="240" w:lineRule="auto"/>
              <w:jc w:val="center"/>
              <w:rPr>
                <w:rFonts w:ascii="Arial" w:eastAsia="Times New Roman" w:hAnsi="Arial" w:cs="Arial"/>
                <w:sz w:val="20"/>
                <w:szCs w:val="20"/>
                <w:lang w:eastAsia="en-GB"/>
              </w:rPr>
            </w:pPr>
            <w:r w:rsidRPr="003E4A34">
              <w:rPr>
                <w:rFonts w:ascii="Arial" w:eastAsia="Times New Roman" w:hAnsi="Arial" w:cs="Arial"/>
                <w:sz w:val="20"/>
                <w:szCs w:val="20"/>
                <w:lang w:eastAsia="en-GB"/>
              </w:rPr>
              <w:t>63.2</w:t>
            </w: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c>
          <w:tcPr>
            <w:tcW w:w="1200" w:type="dxa"/>
            <w:vMerge/>
            <w:tcBorders>
              <w:top w:val="nil"/>
              <w:left w:val="single" w:sz="8" w:space="0" w:color="auto"/>
              <w:bottom w:val="single" w:sz="8" w:space="0" w:color="000000"/>
              <w:right w:val="single" w:sz="8" w:space="0" w:color="auto"/>
            </w:tcBorders>
            <w:vAlign w:val="center"/>
            <w:hideMark/>
          </w:tcPr>
          <w:p w:rsidR="003E4A34" w:rsidRPr="003E4A34" w:rsidRDefault="003E4A34" w:rsidP="003E4A34">
            <w:pPr>
              <w:spacing w:after="0" w:line="240" w:lineRule="auto"/>
              <w:rPr>
                <w:rFonts w:ascii="Arial" w:eastAsia="Times New Roman" w:hAnsi="Arial" w:cs="Arial"/>
                <w:sz w:val="20"/>
                <w:szCs w:val="20"/>
                <w:lang w:eastAsia="en-GB"/>
              </w:rPr>
            </w:pPr>
          </w:p>
        </w:tc>
      </w:tr>
    </w:tbl>
    <w:p w:rsidR="00564D37" w:rsidRPr="00D460D7" w:rsidRDefault="00D460D7" w:rsidP="00D460D7">
      <w:pPr>
        <w:pStyle w:val="Caption"/>
        <w:jc w:val="center"/>
        <w:rPr>
          <w:rFonts w:eastAsia="Times New Roman"/>
        </w:rPr>
      </w:pPr>
      <w:bookmarkStart w:id="190" w:name="_Toc512166654"/>
      <w:bookmarkStart w:id="191" w:name="_Toc512166886"/>
      <w:bookmarkStart w:id="192" w:name="_Toc512168603"/>
      <w:bookmarkStart w:id="193" w:name="_Toc512169550"/>
      <w:bookmarkStart w:id="194" w:name="_Toc512333608"/>
      <w:r w:rsidRPr="00D460D7">
        <w:t xml:space="preserve">Table </w:t>
      </w:r>
      <w:fldSimple w:instr=" SEQ Table \* ARABIC ">
        <w:r w:rsidR="009A5CBD">
          <w:rPr>
            <w:noProof/>
          </w:rPr>
          <w:t>6</w:t>
        </w:r>
      </w:fldSimple>
      <w:r w:rsidR="00564D37" w:rsidRPr="00D460D7">
        <w:rPr>
          <w:rFonts w:eastAsia="Times New Roman"/>
        </w:rPr>
        <w:t xml:space="preserve"> – The results from the Japanese coke tested for consistency.</w:t>
      </w:r>
      <w:bookmarkEnd w:id="190"/>
      <w:bookmarkEnd w:id="191"/>
      <w:bookmarkEnd w:id="192"/>
      <w:bookmarkEnd w:id="193"/>
      <w:bookmarkEnd w:id="194"/>
    </w:p>
    <w:p w:rsidR="00B77DB5" w:rsidRPr="003D7331" w:rsidRDefault="00B77DB5" w:rsidP="006B6CAF">
      <w:pPr>
        <w:jc w:val="both"/>
        <w:rPr>
          <w:szCs w:val="24"/>
        </w:rPr>
      </w:pPr>
    </w:p>
    <w:p w:rsidR="006B6CAF" w:rsidRDefault="006B6CAF" w:rsidP="006B6CAF">
      <w:pPr>
        <w:jc w:val="both"/>
        <w:rPr>
          <w:szCs w:val="24"/>
        </w:rPr>
      </w:pPr>
      <w:r w:rsidRPr="003D7331">
        <w:rPr>
          <w:szCs w:val="24"/>
        </w:rPr>
        <w:t>The average results from each individual rig were both very similar to the average fi</w:t>
      </w:r>
      <w:r>
        <w:rPr>
          <w:szCs w:val="24"/>
        </w:rPr>
        <w:t>gures received in the load port;</w:t>
      </w:r>
      <w:r w:rsidRPr="003D7331">
        <w:rPr>
          <w:szCs w:val="24"/>
        </w:rPr>
        <w:t xml:space="preserve"> the </w:t>
      </w:r>
      <w:r>
        <w:rPr>
          <w:szCs w:val="24"/>
        </w:rPr>
        <w:t xml:space="preserve">average of the </w:t>
      </w:r>
      <w:r w:rsidRPr="003D7331">
        <w:rPr>
          <w:szCs w:val="24"/>
        </w:rPr>
        <w:t xml:space="preserve">load port figures </w:t>
      </w:r>
      <w:r>
        <w:rPr>
          <w:szCs w:val="24"/>
        </w:rPr>
        <w:t>was</w:t>
      </w:r>
      <w:r w:rsidRPr="003D7331">
        <w:rPr>
          <w:szCs w:val="24"/>
        </w:rPr>
        <w:t xml:space="preserve"> 62.9.</w:t>
      </w:r>
      <w:r>
        <w:rPr>
          <w:szCs w:val="24"/>
        </w:rPr>
        <w:t xml:space="preserve"> This data was relayed with the coke ovens and blast furnaces, and it was agreed in principle with these departments that it could be used as a standard but the limits would be critical. As this material was not originally developed to be a standard and could potentially fluctuate, the coke ovens and blast furnace technologists and team leaders wanted to know how the limits would be set up. Through discussion with the team, it became clear that the best way to tackle this would be to issue a rolling limit for the standard. The standard would eventually be topped up with future shipments of coke purchased from the same Japanese company, but there would be no guarantee that the coke would be the exact same quality. For example, if we recreated the standard with the next shipment to arrive, the CSR result could rise to 64, and drop back to 62 with the following shipment. Rather than fix the limit to a particular result with a tolerance, a rolling limit would allow for a slight drop off or rise in quality. Putting in fixed limits would either cause every standard we test to flag up red in this instance, or the upper and lower tolerances would have to be so wide that it would be almost pointless to run a standard.</w:t>
      </w:r>
    </w:p>
    <w:p w:rsidR="00B77DB5" w:rsidRDefault="00B77DB5" w:rsidP="006B6CAF">
      <w:pPr>
        <w:jc w:val="both"/>
        <w:rPr>
          <w:szCs w:val="24"/>
        </w:rPr>
      </w:pPr>
    </w:p>
    <w:p w:rsidR="006B6CAF" w:rsidRDefault="006B6CAF" w:rsidP="006B6CAF">
      <w:pPr>
        <w:jc w:val="both"/>
        <w:rPr>
          <w:szCs w:val="24"/>
        </w:rPr>
      </w:pPr>
      <w:r>
        <w:rPr>
          <w:szCs w:val="24"/>
        </w:rPr>
        <w:lastRenderedPageBreak/>
        <w:t>After much consultation, it was decided that the range of the rolling limits would be set to 2.5. In other words, if the result that was achieved is 2.5 greater than or less than that of the previous test, it is out of specification. When testing on-site produced coke, the coke is tested in duplicate. If the results have a difference of 2.5 or greater, a third test is required in order to determine whether the higher or lower result is the correct result. This falls in line with the ISO standard for CSR and CRI testing. It is because of this factor that the value of 2.5 was chosen. After this was explained to the technologists and team leaders of the coke ovens and blast furnaces’, they agreed to the rolling limits of the standard.</w:t>
      </w:r>
    </w:p>
    <w:p w:rsidR="00B77DB5" w:rsidRDefault="00B77DB5" w:rsidP="006B6CAF">
      <w:pPr>
        <w:jc w:val="both"/>
        <w:rPr>
          <w:szCs w:val="24"/>
        </w:rPr>
      </w:pPr>
    </w:p>
    <w:p w:rsidR="006B6CAF" w:rsidRDefault="006B6CAF" w:rsidP="006B6CAF">
      <w:pPr>
        <w:jc w:val="both"/>
        <w:rPr>
          <w:szCs w:val="24"/>
        </w:rPr>
      </w:pPr>
      <w:r>
        <w:rPr>
          <w:szCs w:val="24"/>
        </w:rPr>
        <w:t>The standard has been in use since September 2017 and is scheduled to be tested in duplicate once a week. The results are reported onto an internal system that the coke ovens and blast furnaces are able to check. This aids the technical department as if the CSR of on-site produced coke drops significantly again, the department can look at the results from the standard to see if it is an equipment issue. Since the standard has been in service, only two “red” results have been achieved. The results are called red results due to the colour system on the spreadsheet</w:t>
      </w:r>
      <w:r w:rsidR="00564D37">
        <w:rPr>
          <w:szCs w:val="24"/>
        </w:rPr>
        <w:t xml:space="preserve"> </w:t>
      </w:r>
      <w:r w:rsidR="00564D37">
        <w:rPr>
          <w:i/>
          <w:szCs w:val="24"/>
        </w:rPr>
        <w:t>(see table 9)</w:t>
      </w:r>
      <w:r>
        <w:rPr>
          <w:szCs w:val="24"/>
        </w:rPr>
        <w:t>. A red result is an indication that there may be an issue with the equipment. An examination of the equipment after the first red result helped discover a heating element that had cracked, therefore not heating up the rig correctly. The heating element was replaced successfully. After the second red result, the equipment was examined thoroughly over a three-day period but no issues could be found.</w:t>
      </w:r>
    </w:p>
    <w:p w:rsidR="00F43915" w:rsidRDefault="00F43915" w:rsidP="006B6CAF">
      <w:pPr>
        <w:jc w:val="both"/>
        <w:rPr>
          <w:szCs w:val="24"/>
        </w:rPr>
      </w:pPr>
    </w:p>
    <w:p w:rsidR="0035209D" w:rsidRDefault="0035209D" w:rsidP="006B6CAF">
      <w:pPr>
        <w:jc w:val="both"/>
        <w:rPr>
          <w:szCs w:val="24"/>
        </w:rPr>
      </w:pPr>
    </w:p>
    <w:p w:rsidR="0035209D" w:rsidRDefault="0035209D" w:rsidP="006B6CAF">
      <w:pPr>
        <w:jc w:val="both"/>
        <w:rPr>
          <w:szCs w:val="24"/>
        </w:rPr>
      </w:pPr>
    </w:p>
    <w:p w:rsidR="006D663A" w:rsidRDefault="006D663A" w:rsidP="006B6CAF">
      <w:pPr>
        <w:jc w:val="both"/>
        <w:rPr>
          <w:szCs w:val="24"/>
        </w:rPr>
      </w:pPr>
    </w:p>
    <w:p w:rsidR="006D663A" w:rsidRDefault="006D663A" w:rsidP="006B6CAF">
      <w:pPr>
        <w:jc w:val="both"/>
        <w:rPr>
          <w:szCs w:val="24"/>
        </w:rPr>
      </w:pPr>
    </w:p>
    <w:p w:rsidR="006D663A" w:rsidRDefault="006D663A" w:rsidP="006B6CAF">
      <w:pPr>
        <w:jc w:val="both"/>
        <w:rPr>
          <w:szCs w:val="24"/>
        </w:rPr>
      </w:pPr>
    </w:p>
    <w:p w:rsidR="006D663A" w:rsidRDefault="006D663A" w:rsidP="006B6CAF">
      <w:pPr>
        <w:jc w:val="both"/>
        <w:rPr>
          <w:szCs w:val="24"/>
        </w:rPr>
      </w:pPr>
    </w:p>
    <w:p w:rsidR="006D663A" w:rsidRDefault="006D663A" w:rsidP="006B6CAF">
      <w:pPr>
        <w:jc w:val="both"/>
        <w:rPr>
          <w:szCs w:val="24"/>
        </w:rPr>
      </w:pPr>
    </w:p>
    <w:p w:rsidR="006D663A" w:rsidRDefault="006D663A" w:rsidP="006B6CAF">
      <w:pPr>
        <w:jc w:val="both"/>
        <w:rPr>
          <w:szCs w:val="24"/>
        </w:rPr>
      </w:pPr>
    </w:p>
    <w:p w:rsidR="006D663A" w:rsidRDefault="006D663A" w:rsidP="006B6CAF">
      <w:pPr>
        <w:jc w:val="both"/>
        <w:rPr>
          <w:szCs w:val="24"/>
        </w:rPr>
      </w:pPr>
    </w:p>
    <w:p w:rsidR="00494B41" w:rsidRDefault="00494B41" w:rsidP="006B6CAF">
      <w:pPr>
        <w:jc w:val="both"/>
        <w:rPr>
          <w:szCs w:val="24"/>
        </w:rPr>
      </w:pPr>
    </w:p>
    <w:p w:rsidR="00494B41" w:rsidRDefault="00494B41" w:rsidP="006B6CAF">
      <w:pPr>
        <w:jc w:val="both"/>
        <w:rPr>
          <w:szCs w:val="24"/>
        </w:rPr>
      </w:pPr>
    </w:p>
    <w:p w:rsidR="00494B41" w:rsidRDefault="00494B41" w:rsidP="006B6CAF">
      <w:pPr>
        <w:jc w:val="both"/>
        <w:rPr>
          <w:szCs w:val="24"/>
        </w:rPr>
      </w:pPr>
    </w:p>
    <w:p w:rsidR="006D663A" w:rsidRDefault="006D663A" w:rsidP="006B6CAF">
      <w:pPr>
        <w:jc w:val="both"/>
        <w:rPr>
          <w:szCs w:val="24"/>
        </w:rPr>
      </w:pPr>
    </w:p>
    <w:p w:rsidR="009726D8" w:rsidRDefault="009726D8" w:rsidP="006B6CAF">
      <w:pPr>
        <w:jc w:val="both"/>
        <w:rPr>
          <w:szCs w:val="24"/>
        </w:rPr>
      </w:pPr>
    </w:p>
    <w:p w:rsidR="006D663A" w:rsidRDefault="006D663A" w:rsidP="006B6CAF">
      <w:pPr>
        <w:jc w:val="both"/>
        <w:rPr>
          <w:szCs w:val="24"/>
        </w:rPr>
      </w:pPr>
    </w:p>
    <w:p w:rsidR="00130487" w:rsidRDefault="00130487" w:rsidP="00130487">
      <w:pPr>
        <w:pStyle w:val="Heading1"/>
      </w:pPr>
      <w:bookmarkStart w:id="195" w:name="_Toc512166879"/>
      <w:bookmarkStart w:id="196" w:name="_Toc512168656"/>
      <w:bookmarkStart w:id="197" w:name="_Toc512169537"/>
      <w:bookmarkStart w:id="198" w:name="_Toc512334093"/>
      <w:r>
        <w:lastRenderedPageBreak/>
        <w:t>Conclusion</w:t>
      </w:r>
      <w:bookmarkEnd w:id="195"/>
      <w:bookmarkEnd w:id="196"/>
      <w:bookmarkEnd w:id="197"/>
      <w:bookmarkEnd w:id="198"/>
    </w:p>
    <w:p w:rsidR="00130487" w:rsidRDefault="00130487" w:rsidP="00130487"/>
    <w:p w:rsidR="00130487" w:rsidRDefault="00130487" w:rsidP="00130487">
      <w:pPr>
        <w:jc w:val="both"/>
      </w:pPr>
      <w:r>
        <w:t xml:space="preserve">In general, the project was a success. The first aim of the project was to prove to the coke ovens and blast furnaces that the results that we were getting were accurate and that the equipment used for CSR and CRI testing is more than adequate. This was achieved in a relatively short time and every potential issue was investigated to remove any doubt. Because of the internal investigation that occurs, the coke ovens were able to identify the source of the issue themselves and have since rectified it. CSR results for the coke that is produced on site has now risen back up to the values expected. This also helped the laboratories </w:t>
      </w:r>
      <w:r w:rsidR="00524AAF">
        <w:t>status within the works in general. Many of the other departments not involved with this work had heard that our results were being questioned. By being able to prove that the results were accurate quickly, any chance that other departments would start questioning results they did not like was swiftly nullified.</w:t>
      </w:r>
    </w:p>
    <w:p w:rsidR="00C1643A" w:rsidRDefault="00C1643A" w:rsidP="00130487">
      <w:pPr>
        <w:jc w:val="both"/>
      </w:pPr>
    </w:p>
    <w:p w:rsidR="00C1643A" w:rsidRDefault="00C1643A" w:rsidP="00130487">
      <w:pPr>
        <w:jc w:val="both"/>
      </w:pPr>
      <w:r>
        <w:t>The development of the internal standard was also a success, and the rolling limits set on the standard are, in part, why it was a success</w:t>
      </w:r>
      <w:r w:rsidR="006D663A">
        <w:t xml:space="preserve"> </w:t>
      </w:r>
      <w:r w:rsidR="006D663A">
        <w:rPr>
          <w:i/>
        </w:rPr>
        <w:t>(see Table 9, Appendix 4)</w:t>
      </w:r>
      <w:r>
        <w:t xml:space="preserve">. The first “red” result achieved also helped identify a potential issue before it escaladed proving its success. although no issue was found for the second red result, only achieving two red results since its introduction into the testing schedule also highlights its success. The success of this project has also been well received with the other departments on site. </w:t>
      </w:r>
    </w:p>
    <w:p w:rsidR="00C1643A" w:rsidRDefault="00C1643A" w:rsidP="00130487">
      <w:pPr>
        <w:jc w:val="both"/>
      </w:pPr>
    </w:p>
    <w:p w:rsidR="00C1643A" w:rsidRDefault="00C1643A" w:rsidP="0035209D">
      <w:pPr>
        <w:pStyle w:val="Heading2"/>
      </w:pPr>
      <w:bookmarkStart w:id="199" w:name="_Toc512166880"/>
      <w:bookmarkStart w:id="200" w:name="_Toc512168657"/>
      <w:bookmarkStart w:id="201" w:name="_Toc512169538"/>
      <w:bookmarkStart w:id="202" w:name="_Toc512334094"/>
      <w:r>
        <w:t>Further Work</w:t>
      </w:r>
      <w:bookmarkEnd w:id="199"/>
      <w:bookmarkEnd w:id="200"/>
      <w:bookmarkEnd w:id="201"/>
      <w:bookmarkEnd w:id="202"/>
    </w:p>
    <w:p w:rsidR="00C1643A" w:rsidRDefault="00C1643A" w:rsidP="00130487">
      <w:pPr>
        <w:jc w:val="both"/>
      </w:pPr>
    </w:p>
    <w:p w:rsidR="00C1643A" w:rsidRDefault="00C1643A" w:rsidP="00130487">
      <w:pPr>
        <w:jc w:val="both"/>
      </w:pPr>
      <w:r>
        <w:t>Despite the success of the project, there are items that need to be addressed. The technical department is looking to achieve UKAS accreditation for much of the testing that gets performed on a daily basis and on exclusive work that comes from other departments with regards to research and development. While the procedure for CSR and CRI testing is in li</w:t>
      </w:r>
      <w:r w:rsidR="008E1358">
        <w:t>n</w:t>
      </w:r>
      <w:r>
        <w:t xml:space="preserve">e with UKAS accredited standards, the standard is not UKAS accredited. In order to achieve </w:t>
      </w:r>
      <w:r w:rsidR="0035209D">
        <w:t>accreditation, the department would still have to consider purchasing in a standard in order to meet the regulations. As one particular standard does not seem to own the majority of the market, research and testing will have to be carried out in order to decide which standard to permanently purchase.</w:t>
      </w:r>
    </w:p>
    <w:p w:rsidR="0035209D" w:rsidRDefault="0035209D" w:rsidP="00130487">
      <w:pPr>
        <w:jc w:val="both"/>
      </w:pPr>
    </w:p>
    <w:p w:rsidR="0035209D" w:rsidRDefault="0035209D" w:rsidP="00130487">
      <w:pPr>
        <w:jc w:val="both"/>
      </w:pPr>
      <w:r>
        <w:t xml:space="preserve">It would also benefit the department and the company if there were technicians trained in how to carry out basic maintenance of the equipment used for CSR and CRI testing. The equipment is serviced once a year by technicians from the supplier. By allowing technicians to train, maintenance could be carried out at more frequent intervals without an extra cost to the department. </w:t>
      </w:r>
    </w:p>
    <w:p w:rsidR="00494B41" w:rsidRDefault="00494B41" w:rsidP="00130487">
      <w:pPr>
        <w:jc w:val="both"/>
      </w:pPr>
    </w:p>
    <w:p w:rsidR="00494B41" w:rsidRDefault="00494B41" w:rsidP="00130487">
      <w:pPr>
        <w:jc w:val="both"/>
      </w:pPr>
    </w:p>
    <w:p w:rsidR="00494B41" w:rsidRDefault="00494B41" w:rsidP="00130487">
      <w:pPr>
        <w:jc w:val="both"/>
      </w:pPr>
    </w:p>
    <w:p w:rsidR="009726D8" w:rsidRDefault="009726D8" w:rsidP="00130487">
      <w:pPr>
        <w:jc w:val="both"/>
      </w:pPr>
    </w:p>
    <w:p w:rsidR="002D5608" w:rsidRDefault="002D5608" w:rsidP="002673F7">
      <w:pPr>
        <w:pStyle w:val="Heading1"/>
      </w:pPr>
      <w:bookmarkStart w:id="203" w:name="_Toc512168658"/>
      <w:bookmarkStart w:id="204" w:name="_Toc512169539"/>
      <w:bookmarkStart w:id="205" w:name="_Hlk512253050"/>
      <w:bookmarkStart w:id="206" w:name="_Toc512334095"/>
      <w:r>
        <w:lastRenderedPageBreak/>
        <w:t>References</w:t>
      </w:r>
      <w:bookmarkEnd w:id="203"/>
      <w:bookmarkEnd w:id="204"/>
      <w:bookmarkEnd w:id="206"/>
    </w:p>
    <w:p w:rsidR="002673F7" w:rsidRDefault="009145CE" w:rsidP="009145CE">
      <w:pPr>
        <w:numPr>
          <w:ilvl w:val="0"/>
          <w:numId w:val="29"/>
        </w:numPr>
      </w:pPr>
      <w:r>
        <w:t>Tuckett, L. Personal (2018)</w:t>
      </w:r>
    </w:p>
    <w:p w:rsidR="000B32CB" w:rsidRDefault="000B32CB" w:rsidP="009145CE">
      <w:pPr>
        <w:pStyle w:val="Bibliography"/>
        <w:numPr>
          <w:ilvl w:val="0"/>
          <w:numId w:val="29"/>
        </w:numPr>
        <w:rPr>
          <w:noProof/>
        </w:rPr>
      </w:pPr>
      <w:r>
        <w:rPr>
          <w:noProof/>
        </w:rPr>
        <w:t xml:space="preserve">Wertime, T. A., 1962. </w:t>
      </w:r>
      <w:r>
        <w:rPr>
          <w:i/>
          <w:iCs/>
          <w:noProof/>
        </w:rPr>
        <w:t xml:space="preserve">The Coming of the Age of Steel. </w:t>
      </w:r>
      <w:r>
        <w:rPr>
          <w:noProof/>
        </w:rPr>
        <w:t>Netherlands: University of Chicago.</w:t>
      </w:r>
    </w:p>
    <w:p w:rsidR="009145CE" w:rsidRDefault="009145CE" w:rsidP="009145CE">
      <w:pPr>
        <w:pStyle w:val="Bibliography"/>
        <w:numPr>
          <w:ilvl w:val="0"/>
          <w:numId w:val="29"/>
        </w:numPr>
        <w:rPr>
          <w:noProof/>
        </w:rPr>
      </w:pPr>
      <w:r>
        <w:rPr>
          <w:noProof/>
        </w:rPr>
        <w:t xml:space="preserve">Mills, T., 2017. </w:t>
      </w:r>
      <w:r>
        <w:rPr>
          <w:i/>
          <w:iCs/>
          <w:noProof/>
        </w:rPr>
        <w:t xml:space="preserve">The Importance of Coke Quality for Blast Furnace Operations </w:t>
      </w:r>
      <w:r>
        <w:rPr>
          <w:noProof/>
        </w:rPr>
        <w:t>[Interview] (28 March 2017).</w:t>
      </w:r>
    </w:p>
    <w:p w:rsidR="00970FA7" w:rsidRDefault="00970FA7" w:rsidP="00970FA7">
      <w:pPr>
        <w:pStyle w:val="Bibliography"/>
        <w:numPr>
          <w:ilvl w:val="0"/>
          <w:numId w:val="29"/>
        </w:numPr>
        <w:rPr>
          <w:noProof/>
          <w:sz w:val="24"/>
          <w:szCs w:val="24"/>
        </w:rPr>
      </w:pPr>
      <w:r>
        <w:rPr>
          <w:noProof/>
        </w:rPr>
        <w:t xml:space="preserve">Mountjoy, E., n.d. </w:t>
      </w:r>
      <w:r>
        <w:rPr>
          <w:i/>
          <w:iCs/>
          <w:noProof/>
        </w:rPr>
        <w:t xml:space="preserve">Indiana University of Pennsylvania. </w:t>
      </w:r>
      <w:r>
        <w:rPr>
          <w:noProof/>
        </w:rPr>
        <w:t xml:space="preserve">[Online] </w:t>
      </w:r>
      <w:r>
        <w:rPr>
          <w:noProof/>
        </w:rPr>
        <w:br/>
        <w:t xml:space="preserve">Available at: </w:t>
      </w:r>
      <w:r>
        <w:rPr>
          <w:noProof/>
          <w:u w:val="single"/>
        </w:rPr>
        <w:t>https://www.iup.edu/archives/coal/mining-history/history-of-coke/</w:t>
      </w:r>
      <w:r>
        <w:rPr>
          <w:noProof/>
        </w:rPr>
        <w:br/>
        <w:t>[Accessed 26 September 2017].</w:t>
      </w:r>
    </w:p>
    <w:p w:rsidR="00AD5E47" w:rsidRDefault="00AD5E47" w:rsidP="00AD5E47">
      <w:pPr>
        <w:pStyle w:val="Bibliography"/>
        <w:numPr>
          <w:ilvl w:val="0"/>
          <w:numId w:val="29"/>
        </w:numPr>
        <w:rPr>
          <w:noProof/>
          <w:sz w:val="24"/>
          <w:szCs w:val="24"/>
        </w:rPr>
      </w:pPr>
      <w:r>
        <w:rPr>
          <w:noProof/>
        </w:rPr>
        <w:t xml:space="preserve">Anon., 2014. </w:t>
      </w:r>
      <w:r>
        <w:rPr>
          <w:i/>
          <w:iCs/>
          <w:noProof/>
        </w:rPr>
        <w:t xml:space="preserve">Ispat Guru. </w:t>
      </w:r>
      <w:r>
        <w:rPr>
          <w:noProof/>
        </w:rPr>
        <w:t xml:space="preserve">[Online] </w:t>
      </w:r>
      <w:r>
        <w:rPr>
          <w:noProof/>
        </w:rPr>
        <w:br/>
        <w:t xml:space="preserve">Available at: </w:t>
      </w:r>
      <w:r>
        <w:rPr>
          <w:noProof/>
          <w:u w:val="single"/>
        </w:rPr>
        <w:t>http://ispatguru.com/coke-oven-by-product-plant/</w:t>
      </w:r>
      <w:r>
        <w:rPr>
          <w:noProof/>
        </w:rPr>
        <w:br/>
        <w:t>[Accessed 2017 10 19].</w:t>
      </w:r>
    </w:p>
    <w:p w:rsidR="00FD24B4" w:rsidRDefault="00FD24B4" w:rsidP="00FD24B4">
      <w:pPr>
        <w:pStyle w:val="Bibliography"/>
        <w:numPr>
          <w:ilvl w:val="0"/>
          <w:numId w:val="29"/>
        </w:numPr>
        <w:rPr>
          <w:noProof/>
          <w:sz w:val="24"/>
          <w:szCs w:val="24"/>
        </w:rPr>
      </w:pPr>
      <w:r>
        <w:rPr>
          <w:noProof/>
        </w:rPr>
        <w:t xml:space="preserve">Rubchevskii, V. N., 2009. Predicting the Yield of Coke and Coking Byproducts. </w:t>
      </w:r>
      <w:r>
        <w:rPr>
          <w:i/>
          <w:iCs/>
          <w:noProof/>
        </w:rPr>
        <w:t xml:space="preserve">Coke and Chemistry, </w:t>
      </w:r>
      <w:r>
        <w:rPr>
          <w:noProof/>
        </w:rPr>
        <w:t>52(4), pp. 137-142.</w:t>
      </w:r>
    </w:p>
    <w:p w:rsidR="00FD24B4" w:rsidRDefault="00FD24B4" w:rsidP="009F36F6">
      <w:pPr>
        <w:pStyle w:val="Bibliography"/>
        <w:ind w:left="720"/>
        <w:rPr>
          <w:noProof/>
          <w:sz w:val="24"/>
          <w:szCs w:val="24"/>
        </w:rPr>
      </w:pPr>
    </w:p>
    <w:p w:rsidR="00FD24B4" w:rsidRDefault="00FD24B4" w:rsidP="00FD24B4">
      <w:pPr>
        <w:pStyle w:val="Bibliography"/>
        <w:numPr>
          <w:ilvl w:val="0"/>
          <w:numId w:val="29"/>
        </w:numPr>
        <w:rPr>
          <w:noProof/>
        </w:rPr>
      </w:pPr>
      <w:r>
        <w:rPr>
          <w:noProof/>
        </w:rPr>
        <w:t xml:space="preserve">Mills, T., 2017. </w:t>
      </w:r>
      <w:r>
        <w:rPr>
          <w:i/>
          <w:iCs/>
          <w:noProof/>
        </w:rPr>
        <w:t xml:space="preserve">The Importance of Coke Quality for Blast Furnace Operations </w:t>
      </w:r>
      <w:r>
        <w:rPr>
          <w:noProof/>
        </w:rPr>
        <w:t>[Interview] (28 March 2017).</w:t>
      </w:r>
    </w:p>
    <w:p w:rsidR="00F72BD9" w:rsidRDefault="00F72BD9" w:rsidP="00F72BD9">
      <w:pPr>
        <w:pStyle w:val="Bibliography"/>
        <w:numPr>
          <w:ilvl w:val="0"/>
          <w:numId w:val="29"/>
        </w:numPr>
        <w:rPr>
          <w:noProof/>
          <w:sz w:val="24"/>
          <w:szCs w:val="24"/>
        </w:rPr>
      </w:pPr>
      <w:r>
        <w:rPr>
          <w:noProof/>
        </w:rPr>
        <w:t xml:space="preserve">Anon., 2013. </w:t>
      </w:r>
      <w:r>
        <w:rPr>
          <w:i/>
          <w:iCs/>
          <w:noProof/>
        </w:rPr>
        <w:t xml:space="preserve">Ispat Guru. </w:t>
      </w:r>
      <w:r>
        <w:rPr>
          <w:noProof/>
        </w:rPr>
        <w:t xml:space="preserve">[Online] </w:t>
      </w:r>
      <w:r>
        <w:rPr>
          <w:noProof/>
        </w:rPr>
        <w:br/>
        <w:t xml:space="preserve">Available at: </w:t>
      </w:r>
      <w:r w:rsidRPr="00F72BD9">
        <w:rPr>
          <w:noProof/>
          <w:u w:val="single"/>
        </w:rPr>
        <w:t>http://ispatguru.com/coking-coals/</w:t>
      </w:r>
      <w:r>
        <w:rPr>
          <w:noProof/>
        </w:rPr>
        <w:br/>
        <w:t>[Accessed 2017 10 19].</w:t>
      </w:r>
    </w:p>
    <w:p w:rsidR="00EB03E6" w:rsidRDefault="00EB03E6" w:rsidP="00EB03E6">
      <w:pPr>
        <w:pStyle w:val="Bibliography"/>
        <w:numPr>
          <w:ilvl w:val="0"/>
          <w:numId w:val="29"/>
        </w:numPr>
        <w:rPr>
          <w:noProof/>
          <w:sz w:val="24"/>
          <w:szCs w:val="24"/>
        </w:rPr>
      </w:pPr>
      <w:r>
        <w:rPr>
          <w:noProof/>
        </w:rPr>
        <w:t xml:space="preserve">Anon., 1997. </w:t>
      </w:r>
      <w:r>
        <w:rPr>
          <w:i/>
          <w:iCs/>
          <w:noProof/>
        </w:rPr>
        <w:t xml:space="preserve">Health and Safety Executive. </w:t>
      </w:r>
      <w:r>
        <w:rPr>
          <w:noProof/>
        </w:rPr>
        <w:t xml:space="preserve">[Online] </w:t>
      </w:r>
      <w:r>
        <w:rPr>
          <w:noProof/>
        </w:rPr>
        <w:br/>
        <w:t xml:space="preserve">Available at: </w:t>
      </w:r>
      <w:r>
        <w:rPr>
          <w:noProof/>
          <w:u w:val="single"/>
        </w:rPr>
        <w:t>http://www.hse.gov.uk/foi/internalops/ocs/400-499/433_4.htm</w:t>
      </w:r>
      <w:r>
        <w:rPr>
          <w:noProof/>
        </w:rPr>
        <w:br/>
        <w:t>[Accessed 2017 10 17].</w:t>
      </w:r>
    </w:p>
    <w:p w:rsidR="00DB1ED1" w:rsidRDefault="00DB1ED1" w:rsidP="00DB1ED1">
      <w:pPr>
        <w:pStyle w:val="Bibliography"/>
        <w:numPr>
          <w:ilvl w:val="0"/>
          <w:numId w:val="29"/>
        </w:numPr>
        <w:rPr>
          <w:noProof/>
          <w:sz w:val="24"/>
          <w:szCs w:val="24"/>
        </w:rPr>
      </w:pPr>
      <w:r>
        <w:rPr>
          <w:noProof/>
        </w:rPr>
        <w:t xml:space="preserve">Loison, R., Foch, P. &amp; Boyer, A., 1989. </w:t>
      </w:r>
      <w:r>
        <w:rPr>
          <w:i/>
          <w:iCs/>
          <w:noProof/>
        </w:rPr>
        <w:t xml:space="preserve">Coke. </w:t>
      </w:r>
      <w:r>
        <w:rPr>
          <w:noProof/>
        </w:rPr>
        <w:t>2nd ed. s.l.:Butterworth-Heinemann.</w:t>
      </w:r>
    </w:p>
    <w:p w:rsidR="009726D8" w:rsidRPr="009726D8" w:rsidRDefault="00964F43" w:rsidP="009726D8">
      <w:pPr>
        <w:pStyle w:val="Bibliography"/>
        <w:numPr>
          <w:ilvl w:val="0"/>
          <w:numId w:val="29"/>
        </w:numPr>
        <w:rPr>
          <w:noProof/>
        </w:rPr>
      </w:pPr>
      <w:r>
        <w:rPr>
          <w:noProof/>
        </w:rPr>
        <w:t xml:space="preserve">Lewis, C., 2017. </w:t>
      </w:r>
      <w:r>
        <w:rPr>
          <w:i/>
          <w:iCs/>
          <w:noProof/>
        </w:rPr>
        <w:t xml:space="preserve">Blast Furnace Operations </w:t>
      </w:r>
      <w:r>
        <w:rPr>
          <w:noProof/>
        </w:rPr>
        <w:t>[Interview] (17 May 2017).</w:t>
      </w:r>
    </w:p>
    <w:p w:rsidR="009726D8" w:rsidRPr="009726D8" w:rsidRDefault="009726D8" w:rsidP="009726D8">
      <w:pPr>
        <w:pStyle w:val="Bibliography"/>
        <w:numPr>
          <w:ilvl w:val="0"/>
          <w:numId w:val="29"/>
        </w:numPr>
        <w:rPr>
          <w:noProof/>
          <w:sz w:val="24"/>
          <w:szCs w:val="24"/>
        </w:rPr>
      </w:pPr>
      <w:r>
        <w:rPr>
          <w:noProof/>
        </w:rPr>
        <w:t xml:space="preserve">Gao, C., Ge, Q. &amp; Jian, L., 2014. </w:t>
      </w:r>
      <w:r>
        <w:rPr>
          <w:i/>
          <w:iCs/>
          <w:noProof/>
        </w:rPr>
        <w:t xml:space="preserve">ResearchGate. </w:t>
      </w:r>
      <w:r>
        <w:rPr>
          <w:noProof/>
        </w:rPr>
        <w:t xml:space="preserve">[Online] </w:t>
      </w:r>
      <w:r>
        <w:rPr>
          <w:noProof/>
        </w:rPr>
        <w:br/>
        <w:t xml:space="preserve">Available at: </w:t>
      </w:r>
      <w:r>
        <w:rPr>
          <w:noProof/>
          <w:u w:val="single"/>
        </w:rPr>
        <w:t>https://www.researchgate.net/figure/Schematic-diagram-of-the-blast-furnace-process_fig1_262771391</w:t>
      </w:r>
      <w:r>
        <w:rPr>
          <w:noProof/>
        </w:rPr>
        <w:br/>
        <w:t>[Accessed 4 March 2018].</w:t>
      </w:r>
    </w:p>
    <w:p w:rsidR="009726D8" w:rsidRDefault="009726D8" w:rsidP="009726D8">
      <w:pPr>
        <w:pStyle w:val="Bibliography"/>
        <w:numPr>
          <w:ilvl w:val="0"/>
          <w:numId w:val="29"/>
        </w:numPr>
        <w:rPr>
          <w:noProof/>
        </w:rPr>
      </w:pPr>
      <w:r>
        <w:rPr>
          <w:noProof/>
        </w:rPr>
        <w:t xml:space="preserve">Geerdes, M., Toxopeus, H. &amp; van der Vliet, C., 2004. </w:t>
      </w:r>
      <w:r>
        <w:rPr>
          <w:i/>
          <w:iCs/>
          <w:noProof/>
        </w:rPr>
        <w:t xml:space="preserve">Modern Blast Furnace Ironmaking. </w:t>
      </w:r>
      <w:r>
        <w:rPr>
          <w:noProof/>
        </w:rPr>
        <w:t>Dusseldorf: Verlag Stahleisen GmbH.</w:t>
      </w:r>
    </w:p>
    <w:p w:rsidR="000261BF" w:rsidRPr="000261BF" w:rsidRDefault="000261BF" w:rsidP="000261BF">
      <w:pPr>
        <w:pStyle w:val="Bibliography"/>
        <w:numPr>
          <w:ilvl w:val="0"/>
          <w:numId w:val="29"/>
        </w:numPr>
        <w:rPr>
          <w:noProof/>
          <w:sz w:val="24"/>
          <w:szCs w:val="24"/>
        </w:rPr>
      </w:pPr>
      <w:r>
        <w:rPr>
          <w:noProof/>
        </w:rPr>
        <w:t xml:space="preserve">Geerdes, M. et al., 2015. </w:t>
      </w:r>
      <w:r>
        <w:rPr>
          <w:i/>
          <w:iCs/>
          <w:noProof/>
        </w:rPr>
        <w:t xml:space="preserve">Modern Blast Furnace Ironmaking. </w:t>
      </w:r>
      <w:r>
        <w:rPr>
          <w:noProof/>
        </w:rPr>
        <w:t>3rd ed. Netherlands: IOS Press.</w:t>
      </w:r>
    </w:p>
    <w:p w:rsidR="00F6681A" w:rsidRDefault="00964F43" w:rsidP="00964F43">
      <w:pPr>
        <w:numPr>
          <w:ilvl w:val="0"/>
          <w:numId w:val="29"/>
        </w:numPr>
      </w:pPr>
      <w:r w:rsidRPr="00964F43">
        <w:t xml:space="preserve">Lundgren, M., </w:t>
      </w:r>
      <w:proofErr w:type="spellStart"/>
      <w:r w:rsidRPr="00964F43">
        <w:t>Ökvist</w:t>
      </w:r>
      <w:proofErr w:type="spellEnd"/>
      <w:r w:rsidRPr="00964F43">
        <w:t xml:space="preserve">, L. S. &amp; Björkman, B., 2009. Coke Reactivity under Blast Furnace Conditions in the CSR/ CRI Test. </w:t>
      </w:r>
      <w:r w:rsidRPr="00964F43">
        <w:rPr>
          <w:i/>
          <w:iCs/>
        </w:rPr>
        <w:t xml:space="preserve">Steel Research International, </w:t>
      </w:r>
      <w:r w:rsidRPr="00964F43">
        <w:t>80(6), pp. 396-401.</w:t>
      </w:r>
    </w:p>
    <w:p w:rsidR="00F6681A" w:rsidRPr="00927C71" w:rsidRDefault="00927C71" w:rsidP="00927C71">
      <w:pPr>
        <w:numPr>
          <w:ilvl w:val="0"/>
          <w:numId w:val="29"/>
        </w:numPr>
      </w:pPr>
      <w:r w:rsidRPr="00927C71">
        <w:t>BS ISO 18894:2006</w:t>
      </w:r>
    </w:p>
    <w:p w:rsidR="00D460D7" w:rsidRDefault="00D460D7" w:rsidP="00D460D7">
      <w:pPr>
        <w:pStyle w:val="Heading1"/>
      </w:pPr>
      <w:bookmarkStart w:id="207" w:name="_Toc512168659"/>
      <w:bookmarkStart w:id="208" w:name="_Toc512169540"/>
      <w:bookmarkStart w:id="209" w:name="_Toc512334096"/>
      <w:bookmarkEnd w:id="205"/>
      <w:r>
        <w:lastRenderedPageBreak/>
        <w:t>Appendix</w:t>
      </w:r>
      <w:bookmarkEnd w:id="207"/>
      <w:bookmarkEnd w:id="208"/>
      <w:bookmarkEnd w:id="209"/>
    </w:p>
    <w:p w:rsidR="00D460D7" w:rsidRDefault="00D460D7" w:rsidP="00D460D7">
      <w:pPr>
        <w:pStyle w:val="Heading2"/>
      </w:pPr>
      <w:bookmarkStart w:id="210" w:name="_Toc512168660"/>
      <w:bookmarkStart w:id="211" w:name="_Toc512169541"/>
      <w:bookmarkStart w:id="212" w:name="_Toc512334097"/>
      <w:r>
        <w:t>Appendix 1: Gantt Chart</w:t>
      </w:r>
      <w:bookmarkEnd w:id="210"/>
      <w:bookmarkEnd w:id="211"/>
      <w:bookmarkEnd w:id="212"/>
    </w:p>
    <w:p w:rsidR="002D5608" w:rsidRDefault="002D5608" w:rsidP="002D5608"/>
    <w:p w:rsidR="002D5608" w:rsidRDefault="00594B58" w:rsidP="002D5608">
      <w:r>
        <w:pict>
          <v:shape id="_x0000_i1037" type="#_x0000_t75" style="width:450.75pt;height:179.25pt">
            <v:imagedata r:id="rId22" o:title=""/>
          </v:shape>
        </w:pict>
      </w:r>
      <w:r w:rsidR="002D5608">
        <w:t xml:space="preserve"> </w:t>
      </w:r>
      <w:r>
        <w:pict>
          <v:shape id="_x0000_i1038" type="#_x0000_t75" style="width:450.75pt;height:180.75pt">
            <v:imagedata r:id="rId23" o:title=""/>
          </v:shape>
        </w:pict>
      </w:r>
      <w:r w:rsidR="004C4B41">
        <w:t xml:space="preserve"> </w:t>
      </w:r>
      <w:r>
        <w:pict>
          <v:shape id="_x0000_i1039" type="#_x0000_t75" style="width:450.75pt;height:127.5pt">
            <v:imagedata r:id="rId24" o:title=""/>
          </v:shape>
        </w:pict>
      </w:r>
    </w:p>
    <w:p w:rsidR="004C4B41" w:rsidRDefault="007D12BF" w:rsidP="007D12BF">
      <w:pPr>
        <w:pStyle w:val="Caption"/>
        <w:jc w:val="center"/>
      </w:pPr>
      <w:bookmarkStart w:id="213" w:name="_Toc512168591"/>
      <w:bookmarkStart w:id="214" w:name="_Toc512169557"/>
      <w:bookmarkStart w:id="215" w:name="_Toc512333570"/>
      <w:r>
        <w:t xml:space="preserve">Figure </w:t>
      </w:r>
      <w:fldSimple w:instr=" SEQ Figure \* ARABIC ">
        <w:r w:rsidR="009A5CBD">
          <w:rPr>
            <w:noProof/>
          </w:rPr>
          <w:t>6</w:t>
        </w:r>
      </w:fldSimple>
      <w:r>
        <w:t xml:space="preserve"> – Gantt chart.</w:t>
      </w:r>
      <w:bookmarkEnd w:id="213"/>
      <w:bookmarkEnd w:id="214"/>
      <w:bookmarkEnd w:id="215"/>
    </w:p>
    <w:p w:rsidR="002D5608" w:rsidRDefault="002D5608" w:rsidP="002D5608"/>
    <w:p w:rsidR="002D5608" w:rsidRDefault="002D5608" w:rsidP="002D5608"/>
    <w:p w:rsidR="00494B41" w:rsidRDefault="00494B41" w:rsidP="00D460D7"/>
    <w:p w:rsidR="00494B41" w:rsidRDefault="00494B41" w:rsidP="00D460D7"/>
    <w:p w:rsidR="00D460D7" w:rsidRDefault="00D460D7" w:rsidP="00D460D7">
      <w:pPr>
        <w:pStyle w:val="Heading2"/>
      </w:pPr>
      <w:bookmarkStart w:id="216" w:name="_Toc512168661"/>
      <w:bookmarkStart w:id="217" w:name="_Toc512169542"/>
      <w:bookmarkStart w:id="218" w:name="_Toc512334098"/>
      <w:r>
        <w:lastRenderedPageBreak/>
        <w:t xml:space="preserve">Appendix 2: </w:t>
      </w:r>
      <w:r w:rsidR="002D5608">
        <w:t>Standard Results (Jan 2016 – Jan 2017)</w:t>
      </w:r>
      <w:bookmarkEnd w:id="216"/>
      <w:bookmarkEnd w:id="217"/>
      <w:bookmarkEnd w:id="218"/>
    </w:p>
    <w:p w:rsidR="004C4B41" w:rsidRDefault="004C4B41" w:rsidP="004C4B41"/>
    <w:p w:rsidR="007D12BF" w:rsidRDefault="007D12BF" w:rsidP="007D12BF">
      <w:pPr>
        <w:pStyle w:val="Caption"/>
        <w:jc w:val="center"/>
        <w:rPr>
          <w:noProof/>
        </w:rPr>
      </w:pPr>
      <w:bookmarkStart w:id="219" w:name="_Toc512168604"/>
      <w:bookmarkStart w:id="220" w:name="_Toc512169551"/>
      <w:bookmarkStart w:id="221" w:name="_Toc512333609"/>
      <w:r>
        <w:t xml:space="preserve">Table </w:t>
      </w:r>
      <w:fldSimple w:instr=" SEQ Table \* ARABIC ">
        <w:r w:rsidR="009A5CBD">
          <w:rPr>
            <w:noProof/>
          </w:rPr>
          <w:t>7</w:t>
        </w:r>
      </w:fldSimple>
      <w:r>
        <w:t xml:space="preserve"> – Results from the original standard (Jan 2016 – Jan 2017)</w:t>
      </w:r>
      <w:bookmarkEnd w:id="219"/>
      <w:bookmarkEnd w:id="220"/>
      <w:bookmarkEnd w:id="221"/>
    </w:p>
    <w:p w:rsidR="004C4B41" w:rsidRDefault="00594B58" w:rsidP="004C4B41">
      <w:pPr>
        <w:rPr>
          <w:noProof/>
        </w:rPr>
      </w:pPr>
      <w:r>
        <w:rPr>
          <w:noProof/>
        </w:rPr>
        <w:pict>
          <v:shape id="_x0000_i1040" type="#_x0000_t75" style="width:468pt;height:319.5pt;visibility:visible;mso-wrap-style:square">
            <v:imagedata r:id="rId25" o:title=""/>
          </v:shape>
        </w:pict>
      </w:r>
      <w:r>
        <w:rPr>
          <w:noProof/>
        </w:rPr>
        <w:pict>
          <v:shape id="Picture 2" o:spid="_x0000_i1041" type="#_x0000_t75" style="width:468pt;height:309.75pt;visibility:visible;mso-wrap-style:square">
            <v:imagedata r:id="rId26" o:title=""/>
          </v:shape>
        </w:pict>
      </w:r>
      <w:r>
        <w:rPr>
          <w:noProof/>
        </w:rPr>
        <w:lastRenderedPageBreak/>
        <w:pict>
          <v:shape id="_x0000_i1042" type="#_x0000_t75" style="width:468pt;height:313.5pt;visibility:visible;mso-wrap-style:square">
            <v:imagedata r:id="rId27" o:title=""/>
          </v:shape>
        </w:pict>
      </w:r>
      <w:r>
        <w:rPr>
          <w:noProof/>
        </w:rPr>
        <w:pict>
          <v:shape id="_x0000_i1043" type="#_x0000_t75" style="width:468pt;height:321pt;visibility:visible;mso-wrap-style:square">
            <v:imagedata r:id="rId28" o:title=""/>
          </v:shape>
        </w:pict>
      </w:r>
      <w:r>
        <w:rPr>
          <w:noProof/>
        </w:rPr>
        <w:lastRenderedPageBreak/>
        <w:pict>
          <v:shape id="Picture 5" o:spid="_x0000_i1044" type="#_x0000_t75" style="width:468pt;height:318pt;visibility:visible;mso-wrap-style:square">
            <v:imagedata r:id="rId29" o:title=""/>
          </v:shape>
        </w:pict>
      </w:r>
      <w:r>
        <w:rPr>
          <w:noProof/>
        </w:rPr>
        <w:pict>
          <v:shape id="Picture 6" o:spid="_x0000_i1045" type="#_x0000_t75" style="width:468pt;height:211.5pt;visibility:visible;mso-wrap-style:square">
            <v:imagedata r:id="rId30" o:title=""/>
          </v:shape>
        </w:pict>
      </w:r>
    </w:p>
    <w:p w:rsidR="004C4B41" w:rsidRDefault="004C4B41" w:rsidP="004C4B41">
      <w:pPr>
        <w:rPr>
          <w:noProof/>
        </w:rPr>
      </w:pPr>
    </w:p>
    <w:p w:rsidR="004C4B41" w:rsidRDefault="004C4B41" w:rsidP="004C4B41">
      <w:pPr>
        <w:rPr>
          <w:noProof/>
        </w:rPr>
      </w:pPr>
    </w:p>
    <w:p w:rsidR="004C4B41" w:rsidRDefault="004C4B41" w:rsidP="004C4B41">
      <w:pPr>
        <w:rPr>
          <w:noProof/>
        </w:rPr>
      </w:pPr>
    </w:p>
    <w:p w:rsidR="004C4B41" w:rsidRDefault="004C4B41" w:rsidP="004C4B41">
      <w:pPr>
        <w:rPr>
          <w:noProof/>
        </w:rPr>
      </w:pPr>
    </w:p>
    <w:p w:rsidR="00494B41" w:rsidRPr="004C4B41" w:rsidRDefault="00494B41" w:rsidP="004C4B41">
      <w:pPr>
        <w:rPr>
          <w:noProof/>
        </w:rPr>
      </w:pPr>
    </w:p>
    <w:p w:rsidR="002D5608" w:rsidRDefault="002D5608" w:rsidP="002D5608"/>
    <w:p w:rsidR="002D5608" w:rsidRDefault="002D5608" w:rsidP="002D5608">
      <w:pPr>
        <w:pStyle w:val="Heading2"/>
      </w:pPr>
      <w:bookmarkStart w:id="222" w:name="_Toc512168662"/>
      <w:bookmarkStart w:id="223" w:name="_Toc512169543"/>
      <w:bookmarkStart w:id="224" w:name="_Toc512334099"/>
      <w:r>
        <w:lastRenderedPageBreak/>
        <w:t>Appendix 3: Production Results (Jan 2016 – May 2017)</w:t>
      </w:r>
      <w:bookmarkEnd w:id="222"/>
      <w:bookmarkEnd w:id="223"/>
      <w:bookmarkEnd w:id="224"/>
    </w:p>
    <w:p w:rsidR="004C4B41" w:rsidRDefault="007D12BF" w:rsidP="007D12BF">
      <w:pPr>
        <w:tabs>
          <w:tab w:val="left" w:pos="5505"/>
        </w:tabs>
      </w:pPr>
      <w:r>
        <w:tab/>
      </w:r>
    </w:p>
    <w:p w:rsidR="007D12BF" w:rsidRDefault="007D12BF" w:rsidP="007D12BF">
      <w:pPr>
        <w:pStyle w:val="Caption"/>
        <w:jc w:val="center"/>
      </w:pPr>
      <w:bookmarkStart w:id="225" w:name="_Toc512168605"/>
      <w:bookmarkStart w:id="226" w:name="_Toc512169552"/>
      <w:bookmarkStart w:id="227" w:name="_Toc512333610"/>
      <w:r>
        <w:t xml:space="preserve">Table </w:t>
      </w:r>
      <w:fldSimple w:instr=" SEQ Table \* ARABIC ">
        <w:r w:rsidR="009A5CBD">
          <w:rPr>
            <w:noProof/>
          </w:rPr>
          <w:t>8</w:t>
        </w:r>
      </w:fldSimple>
      <w:r>
        <w:t xml:space="preserve"> – Production results (Jan 2016 – May 2017)</w:t>
      </w:r>
      <w:bookmarkEnd w:id="225"/>
      <w:bookmarkEnd w:id="226"/>
      <w:bookmarkEnd w:id="227"/>
    </w:p>
    <w:p w:rsidR="002D5608" w:rsidRDefault="00594B58" w:rsidP="002D5608">
      <w:pPr>
        <w:rPr>
          <w:noProof/>
        </w:rPr>
      </w:pPr>
      <w:r>
        <w:rPr>
          <w:noProof/>
        </w:rPr>
        <w:pict>
          <v:shape id="_x0000_i1046" type="#_x0000_t75" style="width:471.75pt;height:221.25pt;visibility:visible;mso-wrap-style:square">
            <v:imagedata r:id="rId31" o:title=""/>
          </v:shape>
        </w:pict>
      </w:r>
      <w:r>
        <w:rPr>
          <w:noProof/>
        </w:rPr>
        <w:pict>
          <v:shape id="Picture 7" o:spid="_x0000_i1047" type="#_x0000_t75" style="width:471.75pt;height:197.25pt;visibility:visible;mso-wrap-style:square">
            <v:imagedata r:id="rId32" o:title=""/>
          </v:shape>
        </w:pict>
      </w:r>
      <w:r>
        <w:rPr>
          <w:noProof/>
        </w:rPr>
        <w:pict>
          <v:shape id="Picture 8" o:spid="_x0000_i1048" type="#_x0000_t75" style="width:471.75pt;height:197.25pt;visibility:visible;mso-wrap-style:square">
            <v:imagedata r:id="rId33" o:title=""/>
          </v:shape>
        </w:pict>
      </w:r>
      <w:r w:rsidR="007D12BF">
        <w:t xml:space="preserve"> </w:t>
      </w:r>
      <w:r>
        <w:rPr>
          <w:noProof/>
        </w:rPr>
        <w:lastRenderedPageBreak/>
        <w:pict>
          <v:shape id="Picture 9" o:spid="_x0000_i1049" type="#_x0000_t75" style="width:471.75pt;height:197.25pt;visibility:visible;mso-wrap-style:square">
            <v:imagedata r:id="rId34" o:title=""/>
          </v:shape>
        </w:pict>
      </w:r>
      <w:r>
        <w:rPr>
          <w:noProof/>
        </w:rPr>
        <w:pict>
          <v:shape id="Picture 10" o:spid="_x0000_i1050" type="#_x0000_t75" style="width:472.5pt;height:197.25pt;visibility:visible;mso-wrap-style:square">
            <v:imagedata r:id="rId35" o:title=""/>
          </v:shape>
        </w:pict>
      </w:r>
      <w:r>
        <w:rPr>
          <w:noProof/>
        </w:rPr>
        <w:pict>
          <v:shape id="Picture 11" o:spid="_x0000_i1051" type="#_x0000_t75" style="width:472.5pt;height:197.25pt;visibility:visible;mso-wrap-style:square">
            <v:imagedata r:id="rId36" o:title=""/>
          </v:shape>
        </w:pict>
      </w:r>
      <w:r w:rsidR="007D12BF">
        <w:t xml:space="preserve"> </w:t>
      </w:r>
      <w:r>
        <w:rPr>
          <w:noProof/>
        </w:rPr>
        <w:lastRenderedPageBreak/>
        <w:pict>
          <v:shape id="Picture 12" o:spid="_x0000_i1052" type="#_x0000_t75" style="width:472.5pt;height:197.25pt;visibility:visible;mso-wrap-style:square">
            <v:imagedata r:id="rId37" o:title=""/>
          </v:shape>
        </w:pict>
      </w:r>
      <w:r>
        <w:rPr>
          <w:noProof/>
        </w:rPr>
        <w:pict>
          <v:shape id="Picture 13" o:spid="_x0000_i1053" type="#_x0000_t75" style="width:472.5pt;height:197.25pt;visibility:visible;mso-wrap-style:square">
            <v:imagedata r:id="rId38" o:title=""/>
          </v:shape>
        </w:pict>
      </w:r>
      <w:r>
        <w:rPr>
          <w:noProof/>
        </w:rPr>
        <w:pict>
          <v:shape id="Picture 14" o:spid="_x0000_i1054" type="#_x0000_t75" style="width:471.75pt;height:197.25pt;visibility:visible;mso-wrap-style:square">
            <v:imagedata r:id="rId39" o:title=""/>
          </v:shape>
        </w:pict>
      </w:r>
      <w:r w:rsidR="007D12BF">
        <w:t xml:space="preserve"> </w:t>
      </w:r>
      <w:r>
        <w:rPr>
          <w:noProof/>
        </w:rPr>
        <w:lastRenderedPageBreak/>
        <w:pict>
          <v:shape id="Picture 15" o:spid="_x0000_i1055" type="#_x0000_t75" style="width:472.5pt;height:197.25pt;visibility:visible;mso-wrap-style:square">
            <v:imagedata r:id="rId40" o:title=""/>
          </v:shape>
        </w:pict>
      </w:r>
      <w:r>
        <w:rPr>
          <w:noProof/>
        </w:rPr>
        <w:pict>
          <v:shape id="Picture 16" o:spid="_x0000_i1056" type="#_x0000_t75" style="width:471.75pt;height:83.25pt;visibility:visible;mso-wrap-style:square">
            <v:imagedata r:id="rId41" o:title=""/>
          </v:shape>
        </w:pict>
      </w:r>
    </w:p>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7D12BF" w:rsidRDefault="007D12BF" w:rsidP="002D5608"/>
    <w:p w:rsidR="00494B41" w:rsidRDefault="00494B41" w:rsidP="002D5608"/>
    <w:p w:rsidR="002D5608" w:rsidRDefault="002D5608" w:rsidP="002D5608">
      <w:pPr>
        <w:pStyle w:val="Heading2"/>
      </w:pPr>
      <w:bookmarkStart w:id="228" w:name="_Toc512168663"/>
      <w:bookmarkStart w:id="229" w:name="_Toc512169544"/>
      <w:bookmarkStart w:id="230" w:name="_Toc512334100"/>
      <w:r>
        <w:lastRenderedPageBreak/>
        <w:t>Appendix 4: Developed Standard Results (Sept 2017 – April 2018)</w:t>
      </w:r>
      <w:bookmarkEnd w:id="228"/>
      <w:bookmarkEnd w:id="229"/>
      <w:bookmarkEnd w:id="230"/>
    </w:p>
    <w:p w:rsidR="007D12BF" w:rsidRDefault="007D12BF" w:rsidP="007D12BF"/>
    <w:p w:rsidR="007D12BF" w:rsidRDefault="007D12BF" w:rsidP="007D12BF">
      <w:pPr>
        <w:pStyle w:val="Caption"/>
        <w:jc w:val="center"/>
      </w:pPr>
      <w:bookmarkStart w:id="231" w:name="_Toc512168606"/>
      <w:bookmarkStart w:id="232" w:name="_Toc512169553"/>
      <w:bookmarkStart w:id="233" w:name="_Toc512333611"/>
      <w:r>
        <w:t xml:space="preserve">Table </w:t>
      </w:r>
      <w:fldSimple w:instr=" SEQ Table \* ARABIC ">
        <w:r w:rsidR="009A5CBD">
          <w:rPr>
            <w:noProof/>
          </w:rPr>
          <w:t>9</w:t>
        </w:r>
      </w:fldSimple>
      <w:r>
        <w:t xml:space="preserve"> – Developed standard results (Sept 2017 – April 2018)</w:t>
      </w:r>
      <w:bookmarkEnd w:id="231"/>
      <w:bookmarkEnd w:id="232"/>
      <w:bookmarkEnd w:id="233"/>
    </w:p>
    <w:p w:rsidR="007D12BF" w:rsidRDefault="00594B58" w:rsidP="007D12BF">
      <w:r>
        <w:rPr>
          <w:noProof/>
        </w:rPr>
        <w:pict>
          <v:shape id="_x0000_i1057" type="#_x0000_t75" style="width:468pt;height:232.5pt;visibility:visible;mso-wrap-style:square">
            <v:imagedata r:id="rId42" o:title=""/>
          </v:shape>
        </w:pict>
      </w:r>
      <w:r>
        <w:rPr>
          <w:noProof/>
        </w:rPr>
        <w:pict>
          <v:shape id="_x0000_i1058" type="#_x0000_t75" style="width:467.25pt;height:226.5pt;visibility:visible;mso-wrap-style:square">
            <v:imagedata r:id="rId43" o:title=""/>
          </v:shape>
        </w:pict>
      </w:r>
      <w:r>
        <w:rPr>
          <w:noProof/>
        </w:rPr>
        <w:pict>
          <v:shape id="_x0000_i1059" type="#_x0000_t75" style="width:467.25pt;height:123.75pt;visibility:visible;mso-wrap-style:square">
            <v:imagedata r:id="rId44" o:title=""/>
          </v:shape>
        </w:pict>
      </w:r>
    </w:p>
    <w:p w:rsidR="000261BF" w:rsidRDefault="000261BF" w:rsidP="000261BF"/>
    <w:sectPr w:rsidR="000261BF" w:rsidSect="0064281D">
      <w:headerReference w:type="default"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6DC0" w:rsidRDefault="00F76DC0" w:rsidP="0064558E">
      <w:pPr>
        <w:spacing w:after="0" w:line="240" w:lineRule="auto"/>
      </w:pPr>
      <w:r>
        <w:separator/>
      </w:r>
    </w:p>
  </w:endnote>
  <w:endnote w:type="continuationSeparator" w:id="0">
    <w:p w:rsidR="00F76DC0" w:rsidRDefault="00F76DC0" w:rsidP="00645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5CBD" w:rsidRDefault="009A5CBD">
    <w:pPr>
      <w:pStyle w:val="Footer"/>
      <w:jc w:val="center"/>
    </w:pPr>
    <w:r>
      <w:fldChar w:fldCharType="begin"/>
    </w:r>
    <w:r>
      <w:instrText xml:space="preserve"> PAGE   \* MERGEFORMAT </w:instrText>
    </w:r>
    <w:r>
      <w:fldChar w:fldCharType="separate"/>
    </w:r>
    <w:r>
      <w:rPr>
        <w:noProof/>
      </w:rPr>
      <w:t>15</w:t>
    </w:r>
    <w:r>
      <w:rPr>
        <w:noProof/>
      </w:rPr>
      <w:fldChar w:fldCharType="end"/>
    </w:r>
  </w:p>
  <w:p w:rsidR="009A5CBD" w:rsidRDefault="009A5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6DC0" w:rsidRDefault="00F76DC0" w:rsidP="0064558E">
      <w:pPr>
        <w:spacing w:after="0" w:line="240" w:lineRule="auto"/>
      </w:pPr>
      <w:r>
        <w:separator/>
      </w:r>
    </w:p>
  </w:footnote>
  <w:footnote w:type="continuationSeparator" w:id="0">
    <w:p w:rsidR="00F76DC0" w:rsidRDefault="00F76DC0" w:rsidP="006455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5CBD" w:rsidRPr="00A11CD0" w:rsidRDefault="009A5CBD">
    <w:pPr>
      <w:pStyle w:val="Header"/>
      <w:jc w:val="right"/>
      <w:rPr>
        <w:color w:val="5B9BD5"/>
      </w:rPr>
    </w:pPr>
    <w:r w:rsidRPr="00A11CD0">
      <w:rPr>
        <w:color w:val="5B9BD5"/>
      </w:rPr>
      <w:t>The Development on an Internal Standard for CSR &amp; CRI Testing | Lawrence Tuckett</w:t>
    </w:r>
  </w:p>
  <w:p w:rsidR="009A5CBD" w:rsidRDefault="009A5C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87E89"/>
    <w:multiLevelType w:val="hybridMultilevel"/>
    <w:tmpl w:val="68446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F1AA0"/>
    <w:multiLevelType w:val="hybridMultilevel"/>
    <w:tmpl w:val="12640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AD126F"/>
    <w:multiLevelType w:val="multilevel"/>
    <w:tmpl w:val="D8AE3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1F303B"/>
    <w:multiLevelType w:val="hybridMultilevel"/>
    <w:tmpl w:val="DACA0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EE3383"/>
    <w:multiLevelType w:val="hybridMultilevel"/>
    <w:tmpl w:val="C54479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5E076F6"/>
    <w:multiLevelType w:val="multilevel"/>
    <w:tmpl w:val="321E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17F37"/>
    <w:multiLevelType w:val="hybridMultilevel"/>
    <w:tmpl w:val="3132B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7933D7"/>
    <w:multiLevelType w:val="hybridMultilevel"/>
    <w:tmpl w:val="1B8A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46CD3"/>
    <w:multiLevelType w:val="hybridMultilevel"/>
    <w:tmpl w:val="CE94B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C65759"/>
    <w:multiLevelType w:val="multilevel"/>
    <w:tmpl w:val="5ACE2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76FE3"/>
    <w:multiLevelType w:val="hybridMultilevel"/>
    <w:tmpl w:val="5C186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656AE"/>
    <w:multiLevelType w:val="hybridMultilevel"/>
    <w:tmpl w:val="939EA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20F90"/>
    <w:multiLevelType w:val="hybridMultilevel"/>
    <w:tmpl w:val="DF9E5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B37F62"/>
    <w:multiLevelType w:val="hybridMultilevel"/>
    <w:tmpl w:val="AE0C9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806394"/>
    <w:multiLevelType w:val="hybridMultilevel"/>
    <w:tmpl w:val="A72E1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EE3894"/>
    <w:multiLevelType w:val="hybridMultilevel"/>
    <w:tmpl w:val="6B4E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3441AD"/>
    <w:multiLevelType w:val="multilevel"/>
    <w:tmpl w:val="9E9AF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FD60C6"/>
    <w:multiLevelType w:val="hybridMultilevel"/>
    <w:tmpl w:val="3664E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B62005"/>
    <w:multiLevelType w:val="multilevel"/>
    <w:tmpl w:val="3B243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AF5CEF"/>
    <w:multiLevelType w:val="multilevel"/>
    <w:tmpl w:val="F594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CB577F"/>
    <w:multiLevelType w:val="hybridMultilevel"/>
    <w:tmpl w:val="C7F8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4A38E8"/>
    <w:multiLevelType w:val="multilevel"/>
    <w:tmpl w:val="B3BE1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343109"/>
    <w:multiLevelType w:val="hybridMultilevel"/>
    <w:tmpl w:val="A0EE4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8151D3"/>
    <w:multiLevelType w:val="hybridMultilevel"/>
    <w:tmpl w:val="BC2A3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3E0804"/>
    <w:multiLevelType w:val="hybridMultilevel"/>
    <w:tmpl w:val="563CB9F2"/>
    <w:lvl w:ilvl="0" w:tplc="256E6B92">
      <w:start w:val="1"/>
      <w:numFmt w:val="bullet"/>
      <w:lvlText w:val=""/>
      <w:lvlJc w:val="left"/>
      <w:pPr>
        <w:tabs>
          <w:tab w:val="num" w:pos="720"/>
        </w:tabs>
        <w:ind w:left="720" w:hanging="360"/>
      </w:pPr>
      <w:rPr>
        <w:rFonts w:ascii="Wingdings 3" w:hAnsi="Wingdings 3" w:hint="default"/>
      </w:rPr>
    </w:lvl>
    <w:lvl w:ilvl="1" w:tplc="5B7406D8" w:tentative="1">
      <w:start w:val="1"/>
      <w:numFmt w:val="bullet"/>
      <w:lvlText w:val=""/>
      <w:lvlJc w:val="left"/>
      <w:pPr>
        <w:tabs>
          <w:tab w:val="num" w:pos="1440"/>
        </w:tabs>
        <w:ind w:left="1440" w:hanging="360"/>
      </w:pPr>
      <w:rPr>
        <w:rFonts w:ascii="Wingdings 3" w:hAnsi="Wingdings 3" w:hint="default"/>
      </w:rPr>
    </w:lvl>
    <w:lvl w:ilvl="2" w:tplc="FC7A9E84" w:tentative="1">
      <w:start w:val="1"/>
      <w:numFmt w:val="bullet"/>
      <w:lvlText w:val=""/>
      <w:lvlJc w:val="left"/>
      <w:pPr>
        <w:tabs>
          <w:tab w:val="num" w:pos="2160"/>
        </w:tabs>
        <w:ind w:left="2160" w:hanging="360"/>
      </w:pPr>
      <w:rPr>
        <w:rFonts w:ascii="Wingdings 3" w:hAnsi="Wingdings 3" w:hint="default"/>
      </w:rPr>
    </w:lvl>
    <w:lvl w:ilvl="3" w:tplc="AD3EC30A" w:tentative="1">
      <w:start w:val="1"/>
      <w:numFmt w:val="bullet"/>
      <w:lvlText w:val=""/>
      <w:lvlJc w:val="left"/>
      <w:pPr>
        <w:tabs>
          <w:tab w:val="num" w:pos="2880"/>
        </w:tabs>
        <w:ind w:left="2880" w:hanging="360"/>
      </w:pPr>
      <w:rPr>
        <w:rFonts w:ascii="Wingdings 3" w:hAnsi="Wingdings 3" w:hint="default"/>
      </w:rPr>
    </w:lvl>
    <w:lvl w:ilvl="4" w:tplc="08D050B6" w:tentative="1">
      <w:start w:val="1"/>
      <w:numFmt w:val="bullet"/>
      <w:lvlText w:val=""/>
      <w:lvlJc w:val="left"/>
      <w:pPr>
        <w:tabs>
          <w:tab w:val="num" w:pos="3600"/>
        </w:tabs>
        <w:ind w:left="3600" w:hanging="360"/>
      </w:pPr>
      <w:rPr>
        <w:rFonts w:ascii="Wingdings 3" w:hAnsi="Wingdings 3" w:hint="default"/>
      </w:rPr>
    </w:lvl>
    <w:lvl w:ilvl="5" w:tplc="AE7C43D4" w:tentative="1">
      <w:start w:val="1"/>
      <w:numFmt w:val="bullet"/>
      <w:lvlText w:val=""/>
      <w:lvlJc w:val="left"/>
      <w:pPr>
        <w:tabs>
          <w:tab w:val="num" w:pos="4320"/>
        </w:tabs>
        <w:ind w:left="4320" w:hanging="360"/>
      </w:pPr>
      <w:rPr>
        <w:rFonts w:ascii="Wingdings 3" w:hAnsi="Wingdings 3" w:hint="default"/>
      </w:rPr>
    </w:lvl>
    <w:lvl w:ilvl="6" w:tplc="96F4A9F2" w:tentative="1">
      <w:start w:val="1"/>
      <w:numFmt w:val="bullet"/>
      <w:lvlText w:val=""/>
      <w:lvlJc w:val="left"/>
      <w:pPr>
        <w:tabs>
          <w:tab w:val="num" w:pos="5040"/>
        </w:tabs>
        <w:ind w:left="5040" w:hanging="360"/>
      </w:pPr>
      <w:rPr>
        <w:rFonts w:ascii="Wingdings 3" w:hAnsi="Wingdings 3" w:hint="default"/>
      </w:rPr>
    </w:lvl>
    <w:lvl w:ilvl="7" w:tplc="45ECFB7C" w:tentative="1">
      <w:start w:val="1"/>
      <w:numFmt w:val="bullet"/>
      <w:lvlText w:val=""/>
      <w:lvlJc w:val="left"/>
      <w:pPr>
        <w:tabs>
          <w:tab w:val="num" w:pos="5760"/>
        </w:tabs>
        <w:ind w:left="5760" w:hanging="360"/>
      </w:pPr>
      <w:rPr>
        <w:rFonts w:ascii="Wingdings 3" w:hAnsi="Wingdings 3" w:hint="default"/>
      </w:rPr>
    </w:lvl>
    <w:lvl w:ilvl="8" w:tplc="61F8BAFA"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6C8F034E"/>
    <w:multiLevelType w:val="hybridMultilevel"/>
    <w:tmpl w:val="EE9A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D3341E"/>
    <w:multiLevelType w:val="multilevel"/>
    <w:tmpl w:val="49F0C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3611A1"/>
    <w:multiLevelType w:val="hybridMultilevel"/>
    <w:tmpl w:val="5598F8CA"/>
    <w:lvl w:ilvl="0" w:tplc="677C902C">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7127F3"/>
    <w:multiLevelType w:val="hybridMultilevel"/>
    <w:tmpl w:val="A76EC6BC"/>
    <w:lvl w:ilvl="0" w:tplc="D25A832E">
      <w:start w:val="1"/>
      <w:numFmt w:val="bullet"/>
      <w:lvlText w:val=""/>
      <w:lvlJc w:val="left"/>
      <w:pPr>
        <w:tabs>
          <w:tab w:val="num" w:pos="720"/>
        </w:tabs>
        <w:ind w:left="720" w:hanging="360"/>
      </w:pPr>
      <w:rPr>
        <w:rFonts w:ascii="Wingdings 3" w:hAnsi="Wingdings 3" w:hint="default"/>
      </w:rPr>
    </w:lvl>
    <w:lvl w:ilvl="1" w:tplc="1BF62F88" w:tentative="1">
      <w:start w:val="1"/>
      <w:numFmt w:val="bullet"/>
      <w:lvlText w:val=""/>
      <w:lvlJc w:val="left"/>
      <w:pPr>
        <w:tabs>
          <w:tab w:val="num" w:pos="1440"/>
        </w:tabs>
        <w:ind w:left="1440" w:hanging="360"/>
      </w:pPr>
      <w:rPr>
        <w:rFonts w:ascii="Wingdings 3" w:hAnsi="Wingdings 3" w:hint="default"/>
      </w:rPr>
    </w:lvl>
    <w:lvl w:ilvl="2" w:tplc="D33C1C66" w:tentative="1">
      <w:start w:val="1"/>
      <w:numFmt w:val="bullet"/>
      <w:lvlText w:val=""/>
      <w:lvlJc w:val="left"/>
      <w:pPr>
        <w:tabs>
          <w:tab w:val="num" w:pos="2160"/>
        </w:tabs>
        <w:ind w:left="2160" w:hanging="360"/>
      </w:pPr>
      <w:rPr>
        <w:rFonts w:ascii="Wingdings 3" w:hAnsi="Wingdings 3" w:hint="default"/>
      </w:rPr>
    </w:lvl>
    <w:lvl w:ilvl="3" w:tplc="F9D86764" w:tentative="1">
      <w:start w:val="1"/>
      <w:numFmt w:val="bullet"/>
      <w:lvlText w:val=""/>
      <w:lvlJc w:val="left"/>
      <w:pPr>
        <w:tabs>
          <w:tab w:val="num" w:pos="2880"/>
        </w:tabs>
        <w:ind w:left="2880" w:hanging="360"/>
      </w:pPr>
      <w:rPr>
        <w:rFonts w:ascii="Wingdings 3" w:hAnsi="Wingdings 3" w:hint="default"/>
      </w:rPr>
    </w:lvl>
    <w:lvl w:ilvl="4" w:tplc="C5E4464E" w:tentative="1">
      <w:start w:val="1"/>
      <w:numFmt w:val="bullet"/>
      <w:lvlText w:val=""/>
      <w:lvlJc w:val="left"/>
      <w:pPr>
        <w:tabs>
          <w:tab w:val="num" w:pos="3600"/>
        </w:tabs>
        <w:ind w:left="3600" w:hanging="360"/>
      </w:pPr>
      <w:rPr>
        <w:rFonts w:ascii="Wingdings 3" w:hAnsi="Wingdings 3" w:hint="default"/>
      </w:rPr>
    </w:lvl>
    <w:lvl w:ilvl="5" w:tplc="90A80A1C" w:tentative="1">
      <w:start w:val="1"/>
      <w:numFmt w:val="bullet"/>
      <w:lvlText w:val=""/>
      <w:lvlJc w:val="left"/>
      <w:pPr>
        <w:tabs>
          <w:tab w:val="num" w:pos="4320"/>
        </w:tabs>
        <w:ind w:left="4320" w:hanging="360"/>
      </w:pPr>
      <w:rPr>
        <w:rFonts w:ascii="Wingdings 3" w:hAnsi="Wingdings 3" w:hint="default"/>
      </w:rPr>
    </w:lvl>
    <w:lvl w:ilvl="6" w:tplc="2B98D480" w:tentative="1">
      <w:start w:val="1"/>
      <w:numFmt w:val="bullet"/>
      <w:lvlText w:val=""/>
      <w:lvlJc w:val="left"/>
      <w:pPr>
        <w:tabs>
          <w:tab w:val="num" w:pos="5040"/>
        </w:tabs>
        <w:ind w:left="5040" w:hanging="360"/>
      </w:pPr>
      <w:rPr>
        <w:rFonts w:ascii="Wingdings 3" w:hAnsi="Wingdings 3" w:hint="default"/>
      </w:rPr>
    </w:lvl>
    <w:lvl w:ilvl="7" w:tplc="DA0EF858" w:tentative="1">
      <w:start w:val="1"/>
      <w:numFmt w:val="bullet"/>
      <w:lvlText w:val=""/>
      <w:lvlJc w:val="left"/>
      <w:pPr>
        <w:tabs>
          <w:tab w:val="num" w:pos="5760"/>
        </w:tabs>
        <w:ind w:left="5760" w:hanging="360"/>
      </w:pPr>
      <w:rPr>
        <w:rFonts w:ascii="Wingdings 3" w:hAnsi="Wingdings 3" w:hint="default"/>
      </w:rPr>
    </w:lvl>
    <w:lvl w:ilvl="8" w:tplc="E02219F4"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7886050E"/>
    <w:multiLevelType w:val="multilevel"/>
    <w:tmpl w:val="1D38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2F5367"/>
    <w:multiLevelType w:val="hybridMultilevel"/>
    <w:tmpl w:val="BD8E6C82"/>
    <w:lvl w:ilvl="0" w:tplc="1194B38E">
      <w:start w:val="1"/>
      <w:numFmt w:val="bullet"/>
      <w:lvlText w:val=""/>
      <w:lvlJc w:val="left"/>
      <w:pPr>
        <w:tabs>
          <w:tab w:val="num" w:pos="720"/>
        </w:tabs>
        <w:ind w:left="720" w:hanging="360"/>
      </w:pPr>
      <w:rPr>
        <w:rFonts w:ascii="Wingdings 3" w:hAnsi="Wingdings 3" w:hint="default"/>
      </w:rPr>
    </w:lvl>
    <w:lvl w:ilvl="1" w:tplc="E1D43C52" w:tentative="1">
      <w:start w:val="1"/>
      <w:numFmt w:val="bullet"/>
      <w:lvlText w:val=""/>
      <w:lvlJc w:val="left"/>
      <w:pPr>
        <w:tabs>
          <w:tab w:val="num" w:pos="1440"/>
        </w:tabs>
        <w:ind w:left="1440" w:hanging="360"/>
      </w:pPr>
      <w:rPr>
        <w:rFonts w:ascii="Wingdings 3" w:hAnsi="Wingdings 3" w:hint="default"/>
      </w:rPr>
    </w:lvl>
    <w:lvl w:ilvl="2" w:tplc="9E2EC18C" w:tentative="1">
      <w:start w:val="1"/>
      <w:numFmt w:val="bullet"/>
      <w:lvlText w:val=""/>
      <w:lvlJc w:val="left"/>
      <w:pPr>
        <w:tabs>
          <w:tab w:val="num" w:pos="2160"/>
        </w:tabs>
        <w:ind w:left="2160" w:hanging="360"/>
      </w:pPr>
      <w:rPr>
        <w:rFonts w:ascii="Wingdings 3" w:hAnsi="Wingdings 3" w:hint="default"/>
      </w:rPr>
    </w:lvl>
    <w:lvl w:ilvl="3" w:tplc="D40C5CB6" w:tentative="1">
      <w:start w:val="1"/>
      <w:numFmt w:val="bullet"/>
      <w:lvlText w:val=""/>
      <w:lvlJc w:val="left"/>
      <w:pPr>
        <w:tabs>
          <w:tab w:val="num" w:pos="2880"/>
        </w:tabs>
        <w:ind w:left="2880" w:hanging="360"/>
      </w:pPr>
      <w:rPr>
        <w:rFonts w:ascii="Wingdings 3" w:hAnsi="Wingdings 3" w:hint="default"/>
      </w:rPr>
    </w:lvl>
    <w:lvl w:ilvl="4" w:tplc="1B3C1DE6" w:tentative="1">
      <w:start w:val="1"/>
      <w:numFmt w:val="bullet"/>
      <w:lvlText w:val=""/>
      <w:lvlJc w:val="left"/>
      <w:pPr>
        <w:tabs>
          <w:tab w:val="num" w:pos="3600"/>
        </w:tabs>
        <w:ind w:left="3600" w:hanging="360"/>
      </w:pPr>
      <w:rPr>
        <w:rFonts w:ascii="Wingdings 3" w:hAnsi="Wingdings 3" w:hint="default"/>
      </w:rPr>
    </w:lvl>
    <w:lvl w:ilvl="5" w:tplc="4A4CB5B8" w:tentative="1">
      <w:start w:val="1"/>
      <w:numFmt w:val="bullet"/>
      <w:lvlText w:val=""/>
      <w:lvlJc w:val="left"/>
      <w:pPr>
        <w:tabs>
          <w:tab w:val="num" w:pos="4320"/>
        </w:tabs>
        <w:ind w:left="4320" w:hanging="360"/>
      </w:pPr>
      <w:rPr>
        <w:rFonts w:ascii="Wingdings 3" w:hAnsi="Wingdings 3" w:hint="default"/>
      </w:rPr>
    </w:lvl>
    <w:lvl w:ilvl="6" w:tplc="CF6CDE1E" w:tentative="1">
      <w:start w:val="1"/>
      <w:numFmt w:val="bullet"/>
      <w:lvlText w:val=""/>
      <w:lvlJc w:val="left"/>
      <w:pPr>
        <w:tabs>
          <w:tab w:val="num" w:pos="5040"/>
        </w:tabs>
        <w:ind w:left="5040" w:hanging="360"/>
      </w:pPr>
      <w:rPr>
        <w:rFonts w:ascii="Wingdings 3" w:hAnsi="Wingdings 3" w:hint="default"/>
      </w:rPr>
    </w:lvl>
    <w:lvl w:ilvl="7" w:tplc="BC2C63DC" w:tentative="1">
      <w:start w:val="1"/>
      <w:numFmt w:val="bullet"/>
      <w:lvlText w:val=""/>
      <w:lvlJc w:val="left"/>
      <w:pPr>
        <w:tabs>
          <w:tab w:val="num" w:pos="5760"/>
        </w:tabs>
        <w:ind w:left="5760" w:hanging="360"/>
      </w:pPr>
      <w:rPr>
        <w:rFonts w:ascii="Wingdings 3" w:hAnsi="Wingdings 3" w:hint="default"/>
      </w:rPr>
    </w:lvl>
    <w:lvl w:ilvl="8" w:tplc="86BE8A72"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7C896DA2"/>
    <w:multiLevelType w:val="hybridMultilevel"/>
    <w:tmpl w:val="4502C010"/>
    <w:lvl w:ilvl="0" w:tplc="A58C7F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3"/>
  </w:num>
  <w:num w:numId="3">
    <w:abstractNumId w:val="22"/>
  </w:num>
  <w:num w:numId="4">
    <w:abstractNumId w:val="14"/>
  </w:num>
  <w:num w:numId="5">
    <w:abstractNumId w:val="13"/>
  </w:num>
  <w:num w:numId="6">
    <w:abstractNumId w:val="0"/>
  </w:num>
  <w:num w:numId="7">
    <w:abstractNumId w:val="17"/>
  </w:num>
  <w:num w:numId="8">
    <w:abstractNumId w:val="27"/>
  </w:num>
  <w:num w:numId="9">
    <w:abstractNumId w:val="11"/>
  </w:num>
  <w:num w:numId="10">
    <w:abstractNumId w:val="31"/>
  </w:num>
  <w:num w:numId="11">
    <w:abstractNumId w:val="19"/>
  </w:num>
  <w:num w:numId="12">
    <w:abstractNumId w:val="16"/>
  </w:num>
  <w:num w:numId="13">
    <w:abstractNumId w:val="15"/>
  </w:num>
  <w:num w:numId="14">
    <w:abstractNumId w:val="5"/>
  </w:num>
  <w:num w:numId="15">
    <w:abstractNumId w:val="21"/>
  </w:num>
  <w:num w:numId="16">
    <w:abstractNumId w:val="29"/>
  </w:num>
  <w:num w:numId="17">
    <w:abstractNumId w:val="2"/>
  </w:num>
  <w:num w:numId="18">
    <w:abstractNumId w:val="9"/>
  </w:num>
  <w:num w:numId="19">
    <w:abstractNumId w:val="18"/>
  </w:num>
  <w:num w:numId="20">
    <w:abstractNumId w:val="12"/>
  </w:num>
  <w:num w:numId="21">
    <w:abstractNumId w:val="8"/>
  </w:num>
  <w:num w:numId="22">
    <w:abstractNumId w:val="26"/>
  </w:num>
  <w:num w:numId="23">
    <w:abstractNumId w:val="4"/>
  </w:num>
  <w:num w:numId="24">
    <w:abstractNumId w:val="10"/>
  </w:num>
  <w:num w:numId="25">
    <w:abstractNumId w:val="25"/>
  </w:num>
  <w:num w:numId="26">
    <w:abstractNumId w:val="20"/>
  </w:num>
  <w:num w:numId="27">
    <w:abstractNumId w:val="6"/>
  </w:num>
  <w:num w:numId="28">
    <w:abstractNumId w:val="3"/>
  </w:num>
  <w:num w:numId="29">
    <w:abstractNumId w:val="1"/>
  </w:num>
  <w:num w:numId="30">
    <w:abstractNumId w:val="30"/>
  </w:num>
  <w:num w:numId="31">
    <w:abstractNumId w:val="24"/>
  </w:num>
  <w:num w:numId="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4281D"/>
    <w:rsid w:val="000020DD"/>
    <w:rsid w:val="000210E2"/>
    <w:rsid w:val="000261BF"/>
    <w:rsid w:val="00027D47"/>
    <w:rsid w:val="000459B1"/>
    <w:rsid w:val="00057F2C"/>
    <w:rsid w:val="00074AF9"/>
    <w:rsid w:val="0008299B"/>
    <w:rsid w:val="00086525"/>
    <w:rsid w:val="000A27E2"/>
    <w:rsid w:val="000A2897"/>
    <w:rsid w:val="000B32CB"/>
    <w:rsid w:val="000B5492"/>
    <w:rsid w:val="000D700F"/>
    <w:rsid w:val="000E14F1"/>
    <w:rsid w:val="000E25E7"/>
    <w:rsid w:val="000F1218"/>
    <w:rsid w:val="0010372B"/>
    <w:rsid w:val="001071AF"/>
    <w:rsid w:val="00111503"/>
    <w:rsid w:val="00113683"/>
    <w:rsid w:val="00124E40"/>
    <w:rsid w:val="001260FF"/>
    <w:rsid w:val="00130487"/>
    <w:rsid w:val="00133E36"/>
    <w:rsid w:val="001552CA"/>
    <w:rsid w:val="001655A1"/>
    <w:rsid w:val="00177D1A"/>
    <w:rsid w:val="0018275A"/>
    <w:rsid w:val="00192B18"/>
    <w:rsid w:val="001A45DD"/>
    <w:rsid w:val="001A65CD"/>
    <w:rsid w:val="001C66E8"/>
    <w:rsid w:val="001D1134"/>
    <w:rsid w:val="001D59DA"/>
    <w:rsid w:val="001D67DB"/>
    <w:rsid w:val="001D7B68"/>
    <w:rsid w:val="001E5C26"/>
    <w:rsid w:val="001E645D"/>
    <w:rsid w:val="001E75A8"/>
    <w:rsid w:val="001E7EB3"/>
    <w:rsid w:val="001F033D"/>
    <w:rsid w:val="00214434"/>
    <w:rsid w:val="0022025C"/>
    <w:rsid w:val="002229A8"/>
    <w:rsid w:val="002368EA"/>
    <w:rsid w:val="00254F57"/>
    <w:rsid w:val="0025533D"/>
    <w:rsid w:val="0025561D"/>
    <w:rsid w:val="00264033"/>
    <w:rsid w:val="00265D43"/>
    <w:rsid w:val="002673F7"/>
    <w:rsid w:val="002704C5"/>
    <w:rsid w:val="00273A8C"/>
    <w:rsid w:val="00284C86"/>
    <w:rsid w:val="002920D4"/>
    <w:rsid w:val="002A0CDA"/>
    <w:rsid w:val="002C3F36"/>
    <w:rsid w:val="002C7359"/>
    <w:rsid w:val="002D50C4"/>
    <w:rsid w:val="002D5608"/>
    <w:rsid w:val="002E20F6"/>
    <w:rsid w:val="002F4F56"/>
    <w:rsid w:val="002F7E43"/>
    <w:rsid w:val="0030182D"/>
    <w:rsid w:val="00302DE6"/>
    <w:rsid w:val="0030756A"/>
    <w:rsid w:val="00327865"/>
    <w:rsid w:val="00337E67"/>
    <w:rsid w:val="0035209D"/>
    <w:rsid w:val="00354349"/>
    <w:rsid w:val="00372602"/>
    <w:rsid w:val="00373D61"/>
    <w:rsid w:val="00386113"/>
    <w:rsid w:val="00394802"/>
    <w:rsid w:val="003A1F77"/>
    <w:rsid w:val="003A3515"/>
    <w:rsid w:val="003A7430"/>
    <w:rsid w:val="003B51FE"/>
    <w:rsid w:val="003B53C4"/>
    <w:rsid w:val="003B76DA"/>
    <w:rsid w:val="003C6F15"/>
    <w:rsid w:val="003D032A"/>
    <w:rsid w:val="003D0801"/>
    <w:rsid w:val="003D4F15"/>
    <w:rsid w:val="003D533B"/>
    <w:rsid w:val="003E39B0"/>
    <w:rsid w:val="003E4041"/>
    <w:rsid w:val="003E4A34"/>
    <w:rsid w:val="003E64EF"/>
    <w:rsid w:val="004068BB"/>
    <w:rsid w:val="00406AA5"/>
    <w:rsid w:val="00406E76"/>
    <w:rsid w:val="00410588"/>
    <w:rsid w:val="00411250"/>
    <w:rsid w:val="00424824"/>
    <w:rsid w:val="00425A78"/>
    <w:rsid w:val="004330F9"/>
    <w:rsid w:val="00443E88"/>
    <w:rsid w:val="00452D2D"/>
    <w:rsid w:val="0045603E"/>
    <w:rsid w:val="0045748C"/>
    <w:rsid w:val="004824CA"/>
    <w:rsid w:val="004926F8"/>
    <w:rsid w:val="00492A3A"/>
    <w:rsid w:val="00493159"/>
    <w:rsid w:val="00494B41"/>
    <w:rsid w:val="004A2971"/>
    <w:rsid w:val="004A2DCC"/>
    <w:rsid w:val="004B30F2"/>
    <w:rsid w:val="004B5654"/>
    <w:rsid w:val="004C39DC"/>
    <w:rsid w:val="004C4B41"/>
    <w:rsid w:val="004C6A03"/>
    <w:rsid w:val="004C7DD7"/>
    <w:rsid w:val="00501C27"/>
    <w:rsid w:val="00502630"/>
    <w:rsid w:val="00504B60"/>
    <w:rsid w:val="00511E9D"/>
    <w:rsid w:val="00514B95"/>
    <w:rsid w:val="00514D3E"/>
    <w:rsid w:val="005205BF"/>
    <w:rsid w:val="005244E0"/>
    <w:rsid w:val="00524AAF"/>
    <w:rsid w:val="0053201F"/>
    <w:rsid w:val="00541B2D"/>
    <w:rsid w:val="00545134"/>
    <w:rsid w:val="005457F8"/>
    <w:rsid w:val="005500F9"/>
    <w:rsid w:val="00557BB9"/>
    <w:rsid w:val="00562A93"/>
    <w:rsid w:val="0056382F"/>
    <w:rsid w:val="00564D37"/>
    <w:rsid w:val="005650E6"/>
    <w:rsid w:val="00566F45"/>
    <w:rsid w:val="005720D6"/>
    <w:rsid w:val="00576F5D"/>
    <w:rsid w:val="00586766"/>
    <w:rsid w:val="00594B58"/>
    <w:rsid w:val="005B035F"/>
    <w:rsid w:val="005C1C0C"/>
    <w:rsid w:val="005D1857"/>
    <w:rsid w:val="005E6D22"/>
    <w:rsid w:val="005F5E8A"/>
    <w:rsid w:val="005F7F27"/>
    <w:rsid w:val="00600964"/>
    <w:rsid w:val="006015E7"/>
    <w:rsid w:val="006029B1"/>
    <w:rsid w:val="0060310D"/>
    <w:rsid w:val="00610B98"/>
    <w:rsid w:val="00615763"/>
    <w:rsid w:val="00621A82"/>
    <w:rsid w:val="00625EB8"/>
    <w:rsid w:val="00626052"/>
    <w:rsid w:val="00636FEC"/>
    <w:rsid w:val="00640C9F"/>
    <w:rsid w:val="0064281D"/>
    <w:rsid w:val="00645368"/>
    <w:rsid w:val="0064558E"/>
    <w:rsid w:val="006458A5"/>
    <w:rsid w:val="006555F2"/>
    <w:rsid w:val="00673C4C"/>
    <w:rsid w:val="00676C5C"/>
    <w:rsid w:val="0068458A"/>
    <w:rsid w:val="006943A7"/>
    <w:rsid w:val="006A10C1"/>
    <w:rsid w:val="006B5DAC"/>
    <w:rsid w:val="006B6CAF"/>
    <w:rsid w:val="006C278A"/>
    <w:rsid w:val="006D663A"/>
    <w:rsid w:val="006F7EAD"/>
    <w:rsid w:val="00707A9E"/>
    <w:rsid w:val="007120E6"/>
    <w:rsid w:val="00743D5F"/>
    <w:rsid w:val="00747754"/>
    <w:rsid w:val="00756314"/>
    <w:rsid w:val="00756C11"/>
    <w:rsid w:val="00774572"/>
    <w:rsid w:val="00776C79"/>
    <w:rsid w:val="007806CD"/>
    <w:rsid w:val="00784FA1"/>
    <w:rsid w:val="00796B2E"/>
    <w:rsid w:val="007A0BF3"/>
    <w:rsid w:val="007A1C0E"/>
    <w:rsid w:val="007A68CD"/>
    <w:rsid w:val="007D12BF"/>
    <w:rsid w:val="007D1A66"/>
    <w:rsid w:val="007D7919"/>
    <w:rsid w:val="007E123C"/>
    <w:rsid w:val="007E21E5"/>
    <w:rsid w:val="007F645F"/>
    <w:rsid w:val="00810E42"/>
    <w:rsid w:val="00830408"/>
    <w:rsid w:val="008329F4"/>
    <w:rsid w:val="008405C2"/>
    <w:rsid w:val="00854321"/>
    <w:rsid w:val="00880801"/>
    <w:rsid w:val="008A2066"/>
    <w:rsid w:val="008A3B3F"/>
    <w:rsid w:val="008C0E5F"/>
    <w:rsid w:val="008C1F9E"/>
    <w:rsid w:val="008C2A64"/>
    <w:rsid w:val="008C4852"/>
    <w:rsid w:val="008D1B1B"/>
    <w:rsid w:val="008E1311"/>
    <w:rsid w:val="008E1358"/>
    <w:rsid w:val="008E5447"/>
    <w:rsid w:val="009000DD"/>
    <w:rsid w:val="00901625"/>
    <w:rsid w:val="009021FB"/>
    <w:rsid w:val="00913BDE"/>
    <w:rsid w:val="00913EAC"/>
    <w:rsid w:val="009145CE"/>
    <w:rsid w:val="00915594"/>
    <w:rsid w:val="009212BE"/>
    <w:rsid w:val="00921DBE"/>
    <w:rsid w:val="009265E3"/>
    <w:rsid w:val="00927C71"/>
    <w:rsid w:val="009326C1"/>
    <w:rsid w:val="00940EEA"/>
    <w:rsid w:val="00953C05"/>
    <w:rsid w:val="00954519"/>
    <w:rsid w:val="00957EC6"/>
    <w:rsid w:val="009612CD"/>
    <w:rsid w:val="00964F43"/>
    <w:rsid w:val="00970FA7"/>
    <w:rsid w:val="009726D8"/>
    <w:rsid w:val="00973C6A"/>
    <w:rsid w:val="009852D0"/>
    <w:rsid w:val="009909D5"/>
    <w:rsid w:val="00997C3A"/>
    <w:rsid w:val="009A5CBD"/>
    <w:rsid w:val="009B71AE"/>
    <w:rsid w:val="009C01D1"/>
    <w:rsid w:val="009C2376"/>
    <w:rsid w:val="009C3BF8"/>
    <w:rsid w:val="009C4B83"/>
    <w:rsid w:val="009D3C7B"/>
    <w:rsid w:val="009E0B55"/>
    <w:rsid w:val="009E2DA4"/>
    <w:rsid w:val="009E70AD"/>
    <w:rsid w:val="009F242A"/>
    <w:rsid w:val="009F36F6"/>
    <w:rsid w:val="00A02035"/>
    <w:rsid w:val="00A05A83"/>
    <w:rsid w:val="00A11CD0"/>
    <w:rsid w:val="00A15FD7"/>
    <w:rsid w:val="00A209A5"/>
    <w:rsid w:val="00A22CC3"/>
    <w:rsid w:val="00A267CB"/>
    <w:rsid w:val="00A333E0"/>
    <w:rsid w:val="00A349BF"/>
    <w:rsid w:val="00A35312"/>
    <w:rsid w:val="00A37BF3"/>
    <w:rsid w:val="00A45833"/>
    <w:rsid w:val="00A5039A"/>
    <w:rsid w:val="00A53204"/>
    <w:rsid w:val="00A571E2"/>
    <w:rsid w:val="00A57D68"/>
    <w:rsid w:val="00A60097"/>
    <w:rsid w:val="00A63394"/>
    <w:rsid w:val="00A64754"/>
    <w:rsid w:val="00A74F68"/>
    <w:rsid w:val="00A83811"/>
    <w:rsid w:val="00A94788"/>
    <w:rsid w:val="00A97F9F"/>
    <w:rsid w:val="00AA4C43"/>
    <w:rsid w:val="00AA51EE"/>
    <w:rsid w:val="00AA522A"/>
    <w:rsid w:val="00AB0820"/>
    <w:rsid w:val="00AC7433"/>
    <w:rsid w:val="00AD5E47"/>
    <w:rsid w:val="00AE13B5"/>
    <w:rsid w:val="00AE64BE"/>
    <w:rsid w:val="00AE6F78"/>
    <w:rsid w:val="00AF1821"/>
    <w:rsid w:val="00B16E54"/>
    <w:rsid w:val="00B20A4F"/>
    <w:rsid w:val="00B218A3"/>
    <w:rsid w:val="00B34616"/>
    <w:rsid w:val="00B521AE"/>
    <w:rsid w:val="00B539FE"/>
    <w:rsid w:val="00B5659B"/>
    <w:rsid w:val="00B6276D"/>
    <w:rsid w:val="00B63CA2"/>
    <w:rsid w:val="00B6485C"/>
    <w:rsid w:val="00B654BE"/>
    <w:rsid w:val="00B70F41"/>
    <w:rsid w:val="00B72432"/>
    <w:rsid w:val="00B76573"/>
    <w:rsid w:val="00B77DB5"/>
    <w:rsid w:val="00B82405"/>
    <w:rsid w:val="00B91E19"/>
    <w:rsid w:val="00B9617F"/>
    <w:rsid w:val="00BA06C8"/>
    <w:rsid w:val="00BC1151"/>
    <w:rsid w:val="00BC7958"/>
    <w:rsid w:val="00BE71B2"/>
    <w:rsid w:val="00BF1B09"/>
    <w:rsid w:val="00BF3477"/>
    <w:rsid w:val="00C00E2B"/>
    <w:rsid w:val="00C11345"/>
    <w:rsid w:val="00C13114"/>
    <w:rsid w:val="00C13762"/>
    <w:rsid w:val="00C1643A"/>
    <w:rsid w:val="00C356C4"/>
    <w:rsid w:val="00C41DDC"/>
    <w:rsid w:val="00C44B60"/>
    <w:rsid w:val="00C52C96"/>
    <w:rsid w:val="00C56F0F"/>
    <w:rsid w:val="00C62DBD"/>
    <w:rsid w:val="00C65F70"/>
    <w:rsid w:val="00C6668C"/>
    <w:rsid w:val="00C736DA"/>
    <w:rsid w:val="00C9099D"/>
    <w:rsid w:val="00C9229A"/>
    <w:rsid w:val="00CA1171"/>
    <w:rsid w:val="00CA3939"/>
    <w:rsid w:val="00CA7603"/>
    <w:rsid w:val="00CB3270"/>
    <w:rsid w:val="00CC02CD"/>
    <w:rsid w:val="00CC6A3C"/>
    <w:rsid w:val="00CE772E"/>
    <w:rsid w:val="00CF78DB"/>
    <w:rsid w:val="00D055B2"/>
    <w:rsid w:val="00D0616D"/>
    <w:rsid w:val="00D12BB1"/>
    <w:rsid w:val="00D14634"/>
    <w:rsid w:val="00D1571E"/>
    <w:rsid w:val="00D26117"/>
    <w:rsid w:val="00D3029D"/>
    <w:rsid w:val="00D30616"/>
    <w:rsid w:val="00D37B67"/>
    <w:rsid w:val="00D37D62"/>
    <w:rsid w:val="00D4186A"/>
    <w:rsid w:val="00D44ED9"/>
    <w:rsid w:val="00D460D7"/>
    <w:rsid w:val="00D53910"/>
    <w:rsid w:val="00D56424"/>
    <w:rsid w:val="00D705FF"/>
    <w:rsid w:val="00D86081"/>
    <w:rsid w:val="00D926E9"/>
    <w:rsid w:val="00D93B05"/>
    <w:rsid w:val="00DA5447"/>
    <w:rsid w:val="00DB1ED1"/>
    <w:rsid w:val="00DB273A"/>
    <w:rsid w:val="00DB646D"/>
    <w:rsid w:val="00DB7532"/>
    <w:rsid w:val="00DC28D2"/>
    <w:rsid w:val="00DC3AAC"/>
    <w:rsid w:val="00DD4EA7"/>
    <w:rsid w:val="00DD651C"/>
    <w:rsid w:val="00DE616B"/>
    <w:rsid w:val="00DF0DEA"/>
    <w:rsid w:val="00DF3995"/>
    <w:rsid w:val="00DF5A16"/>
    <w:rsid w:val="00E15008"/>
    <w:rsid w:val="00E24777"/>
    <w:rsid w:val="00E306E0"/>
    <w:rsid w:val="00E307AF"/>
    <w:rsid w:val="00E36CE3"/>
    <w:rsid w:val="00E43F3A"/>
    <w:rsid w:val="00E476B7"/>
    <w:rsid w:val="00E4773C"/>
    <w:rsid w:val="00E55155"/>
    <w:rsid w:val="00E657F0"/>
    <w:rsid w:val="00E82A07"/>
    <w:rsid w:val="00E91998"/>
    <w:rsid w:val="00E91AE4"/>
    <w:rsid w:val="00EB03E6"/>
    <w:rsid w:val="00EB1EEE"/>
    <w:rsid w:val="00EC644D"/>
    <w:rsid w:val="00EE10A7"/>
    <w:rsid w:val="00EE4FFA"/>
    <w:rsid w:val="00EF5FBE"/>
    <w:rsid w:val="00EF6237"/>
    <w:rsid w:val="00EF6962"/>
    <w:rsid w:val="00EF6AB8"/>
    <w:rsid w:val="00F03016"/>
    <w:rsid w:val="00F1545C"/>
    <w:rsid w:val="00F43915"/>
    <w:rsid w:val="00F63229"/>
    <w:rsid w:val="00F663FC"/>
    <w:rsid w:val="00F6681A"/>
    <w:rsid w:val="00F72BD9"/>
    <w:rsid w:val="00F7567F"/>
    <w:rsid w:val="00F76DC0"/>
    <w:rsid w:val="00F776FB"/>
    <w:rsid w:val="00F83095"/>
    <w:rsid w:val="00F86A87"/>
    <w:rsid w:val="00F9784B"/>
    <w:rsid w:val="00F97A8D"/>
    <w:rsid w:val="00FA605A"/>
    <w:rsid w:val="00FB6EAF"/>
    <w:rsid w:val="00FB7CC1"/>
    <w:rsid w:val="00FB7DCC"/>
    <w:rsid w:val="00FC1C50"/>
    <w:rsid w:val="00FD24B4"/>
    <w:rsid w:val="00FD7CD3"/>
    <w:rsid w:val="00FE5095"/>
    <w:rsid w:val="00FF3DE9"/>
    <w:rsid w:val="00FF41BF"/>
    <w:rsid w:val="00FF5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5:docId w15:val="{93E2EA6F-35CF-4837-BCB9-92FC324D5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64281D"/>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link w:val="Heading2Char"/>
    <w:uiPriority w:val="9"/>
    <w:unhideWhenUsed/>
    <w:qFormat/>
    <w:rsid w:val="0064281D"/>
    <w:pPr>
      <w:keepNext/>
      <w:keepLines/>
      <w:spacing w:before="40" w:after="0"/>
      <w:outlineLvl w:val="1"/>
    </w:pPr>
    <w:rPr>
      <w:rFonts w:ascii="Calibri Light" w:eastAsia="Times New Roman" w:hAnsi="Calibri Light"/>
      <w:color w:val="2E74B5"/>
      <w:sz w:val="26"/>
      <w:szCs w:val="26"/>
    </w:rPr>
  </w:style>
  <w:style w:type="paragraph" w:styleId="Heading3">
    <w:name w:val="heading 3"/>
    <w:basedOn w:val="Normal"/>
    <w:next w:val="Normal"/>
    <w:link w:val="Heading3Char"/>
    <w:uiPriority w:val="9"/>
    <w:unhideWhenUsed/>
    <w:qFormat/>
    <w:rsid w:val="00AB0820"/>
    <w:pPr>
      <w:keepNext/>
      <w:keepLines/>
      <w:spacing w:before="40" w:after="0"/>
      <w:outlineLvl w:val="2"/>
    </w:pPr>
    <w:rPr>
      <w:rFonts w:ascii="Calibri Light" w:eastAsia="Times New Roman" w:hAnsi="Calibri Light"/>
      <w:color w:val="1F4D78"/>
      <w:sz w:val="24"/>
      <w:szCs w:val="24"/>
    </w:rPr>
  </w:style>
  <w:style w:type="paragraph" w:styleId="Heading4">
    <w:name w:val="heading 4"/>
    <w:basedOn w:val="Normal"/>
    <w:next w:val="Normal"/>
    <w:link w:val="Heading4Char"/>
    <w:uiPriority w:val="9"/>
    <w:unhideWhenUsed/>
    <w:qFormat/>
    <w:rsid w:val="00D12BB1"/>
    <w:pPr>
      <w:keepNext/>
      <w:keepLines/>
      <w:spacing w:before="40" w:after="0"/>
      <w:outlineLvl w:val="3"/>
    </w:pPr>
    <w:rPr>
      <w:rFonts w:ascii="Calibri Light" w:eastAsia="Times New Roman" w:hAnsi="Calibri Light"/>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281D"/>
    <w:rPr>
      <w:rFonts w:eastAsia="Times New Roman"/>
      <w:sz w:val="22"/>
      <w:szCs w:val="22"/>
      <w:lang w:val="en-US" w:eastAsia="en-US"/>
    </w:rPr>
  </w:style>
  <w:style w:type="character" w:customStyle="1" w:styleId="NoSpacingChar">
    <w:name w:val="No Spacing Char"/>
    <w:link w:val="NoSpacing"/>
    <w:uiPriority w:val="1"/>
    <w:rsid w:val="0064281D"/>
    <w:rPr>
      <w:rFonts w:eastAsia="Times New Roman"/>
      <w:lang w:val="en-US"/>
    </w:rPr>
  </w:style>
  <w:style w:type="character" w:customStyle="1" w:styleId="Heading1Char">
    <w:name w:val="Heading 1 Char"/>
    <w:link w:val="Heading1"/>
    <w:uiPriority w:val="9"/>
    <w:rsid w:val="0064281D"/>
    <w:rPr>
      <w:rFonts w:ascii="Calibri Light" w:eastAsia="Times New Roman" w:hAnsi="Calibri Light" w:cs="Times New Roman"/>
      <w:color w:val="2E74B5"/>
      <w:sz w:val="32"/>
      <w:szCs w:val="32"/>
    </w:rPr>
  </w:style>
  <w:style w:type="paragraph" w:styleId="TOCHeading">
    <w:name w:val="TOC Heading"/>
    <w:basedOn w:val="Heading1"/>
    <w:next w:val="Normal"/>
    <w:uiPriority w:val="39"/>
    <w:unhideWhenUsed/>
    <w:qFormat/>
    <w:rsid w:val="0064281D"/>
    <w:pPr>
      <w:outlineLvl w:val="9"/>
    </w:pPr>
    <w:rPr>
      <w:lang w:val="en-US"/>
    </w:rPr>
  </w:style>
  <w:style w:type="paragraph" w:styleId="TOC1">
    <w:name w:val="toc 1"/>
    <w:basedOn w:val="Normal"/>
    <w:next w:val="Normal"/>
    <w:autoRedefine/>
    <w:uiPriority w:val="39"/>
    <w:unhideWhenUsed/>
    <w:rsid w:val="0064281D"/>
    <w:pPr>
      <w:spacing w:after="100"/>
    </w:pPr>
  </w:style>
  <w:style w:type="character" w:styleId="Hyperlink">
    <w:name w:val="Hyperlink"/>
    <w:uiPriority w:val="99"/>
    <w:unhideWhenUsed/>
    <w:rsid w:val="0064281D"/>
    <w:rPr>
      <w:color w:val="0563C1"/>
      <w:u w:val="single"/>
    </w:rPr>
  </w:style>
  <w:style w:type="character" w:customStyle="1" w:styleId="Heading2Char">
    <w:name w:val="Heading 2 Char"/>
    <w:link w:val="Heading2"/>
    <w:uiPriority w:val="9"/>
    <w:rsid w:val="0064281D"/>
    <w:rPr>
      <w:rFonts w:ascii="Calibri Light" w:eastAsia="Times New Roman" w:hAnsi="Calibri Light" w:cs="Times New Roman"/>
      <w:color w:val="2E74B5"/>
      <w:sz w:val="26"/>
      <w:szCs w:val="26"/>
    </w:rPr>
  </w:style>
  <w:style w:type="paragraph" w:styleId="TOC2">
    <w:name w:val="toc 2"/>
    <w:basedOn w:val="Normal"/>
    <w:next w:val="Normal"/>
    <w:autoRedefine/>
    <w:uiPriority w:val="39"/>
    <w:unhideWhenUsed/>
    <w:rsid w:val="0064281D"/>
    <w:pPr>
      <w:spacing w:after="100"/>
      <w:ind w:left="220"/>
    </w:pPr>
  </w:style>
  <w:style w:type="paragraph" w:styleId="Header">
    <w:name w:val="header"/>
    <w:basedOn w:val="Normal"/>
    <w:link w:val="HeaderChar"/>
    <w:uiPriority w:val="99"/>
    <w:unhideWhenUsed/>
    <w:rsid w:val="00645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58E"/>
  </w:style>
  <w:style w:type="paragraph" w:styleId="Footer">
    <w:name w:val="footer"/>
    <w:basedOn w:val="Normal"/>
    <w:link w:val="FooterChar"/>
    <w:uiPriority w:val="99"/>
    <w:unhideWhenUsed/>
    <w:rsid w:val="00645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58E"/>
  </w:style>
  <w:style w:type="paragraph" w:styleId="BalloonText">
    <w:name w:val="Balloon Text"/>
    <w:basedOn w:val="Normal"/>
    <w:link w:val="BalloonTextChar"/>
    <w:uiPriority w:val="99"/>
    <w:semiHidden/>
    <w:unhideWhenUsed/>
    <w:rsid w:val="009852D0"/>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852D0"/>
    <w:rPr>
      <w:rFonts w:ascii="Tahoma" w:hAnsi="Tahoma" w:cs="Tahoma"/>
      <w:sz w:val="16"/>
      <w:szCs w:val="16"/>
    </w:rPr>
  </w:style>
  <w:style w:type="paragraph" w:styleId="ListParagraph">
    <w:name w:val="List Paragraph"/>
    <w:basedOn w:val="Normal"/>
    <w:uiPriority w:val="34"/>
    <w:qFormat/>
    <w:rsid w:val="008E1311"/>
    <w:pPr>
      <w:ind w:left="720"/>
      <w:contextualSpacing/>
    </w:pPr>
  </w:style>
  <w:style w:type="paragraph" w:styleId="NormalWeb">
    <w:name w:val="Normal (Web)"/>
    <w:basedOn w:val="Normal"/>
    <w:uiPriority w:val="99"/>
    <w:unhideWhenUsed/>
    <w:rsid w:val="00B76573"/>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pple-converted-space">
    <w:name w:val="apple-converted-space"/>
    <w:basedOn w:val="DefaultParagraphFont"/>
    <w:rsid w:val="00B76573"/>
  </w:style>
  <w:style w:type="character" w:styleId="FollowedHyperlink">
    <w:name w:val="FollowedHyperlink"/>
    <w:uiPriority w:val="99"/>
    <w:semiHidden/>
    <w:unhideWhenUsed/>
    <w:rsid w:val="00E657F0"/>
    <w:rPr>
      <w:color w:val="954F72"/>
      <w:u w:val="single"/>
    </w:rPr>
  </w:style>
  <w:style w:type="paragraph" w:styleId="EndnoteText">
    <w:name w:val="endnote text"/>
    <w:basedOn w:val="Normal"/>
    <w:link w:val="EndnoteTextChar"/>
    <w:uiPriority w:val="99"/>
    <w:semiHidden/>
    <w:unhideWhenUsed/>
    <w:rsid w:val="00E657F0"/>
    <w:pPr>
      <w:spacing w:after="0" w:line="240" w:lineRule="auto"/>
    </w:pPr>
    <w:rPr>
      <w:sz w:val="20"/>
      <w:szCs w:val="20"/>
    </w:rPr>
  </w:style>
  <w:style w:type="character" w:customStyle="1" w:styleId="EndnoteTextChar">
    <w:name w:val="Endnote Text Char"/>
    <w:link w:val="EndnoteText"/>
    <w:uiPriority w:val="99"/>
    <w:semiHidden/>
    <w:rsid w:val="00E657F0"/>
    <w:rPr>
      <w:sz w:val="20"/>
      <w:szCs w:val="20"/>
    </w:rPr>
  </w:style>
  <w:style w:type="character" w:styleId="EndnoteReference">
    <w:name w:val="endnote reference"/>
    <w:uiPriority w:val="99"/>
    <w:semiHidden/>
    <w:unhideWhenUsed/>
    <w:rsid w:val="00E657F0"/>
    <w:rPr>
      <w:vertAlign w:val="superscript"/>
    </w:rPr>
  </w:style>
  <w:style w:type="paragraph" w:styleId="Bibliography">
    <w:name w:val="Bibliography"/>
    <w:basedOn w:val="Normal"/>
    <w:next w:val="Normal"/>
    <w:uiPriority w:val="37"/>
    <w:unhideWhenUsed/>
    <w:rsid w:val="00E657F0"/>
  </w:style>
  <w:style w:type="character" w:styleId="Mention">
    <w:name w:val="Mention"/>
    <w:uiPriority w:val="99"/>
    <w:semiHidden/>
    <w:unhideWhenUsed/>
    <w:rsid w:val="00CA1171"/>
    <w:rPr>
      <w:color w:val="2B579A"/>
      <w:shd w:val="clear" w:color="auto" w:fill="E6E6E6"/>
    </w:rPr>
  </w:style>
  <w:style w:type="character" w:styleId="HTMLCite">
    <w:name w:val="HTML Cite"/>
    <w:uiPriority w:val="99"/>
    <w:semiHidden/>
    <w:unhideWhenUsed/>
    <w:rsid w:val="00673C4C"/>
    <w:rPr>
      <w:i/>
      <w:iCs/>
    </w:rPr>
  </w:style>
  <w:style w:type="character" w:styleId="PlaceholderText">
    <w:name w:val="Placeholder Text"/>
    <w:uiPriority w:val="99"/>
    <w:semiHidden/>
    <w:rsid w:val="00DD651C"/>
    <w:rPr>
      <w:color w:val="808080"/>
    </w:rPr>
  </w:style>
  <w:style w:type="table" w:styleId="TableGrid">
    <w:name w:val="Table Grid"/>
    <w:basedOn w:val="TableNormal"/>
    <w:uiPriority w:val="39"/>
    <w:rsid w:val="00BC79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
    <w:name w:val="text"/>
    <w:basedOn w:val="DefaultParagraphFont"/>
    <w:rsid w:val="00A97F9F"/>
  </w:style>
  <w:style w:type="character" w:customStyle="1" w:styleId="author-ref">
    <w:name w:val="author-ref"/>
    <w:basedOn w:val="DefaultParagraphFont"/>
    <w:rsid w:val="00A97F9F"/>
  </w:style>
  <w:style w:type="character" w:customStyle="1" w:styleId="size-xl">
    <w:name w:val="size-xl"/>
    <w:basedOn w:val="DefaultParagraphFont"/>
    <w:rsid w:val="002C3F36"/>
  </w:style>
  <w:style w:type="character" w:styleId="UnresolvedMention">
    <w:name w:val="Unresolved Mention"/>
    <w:uiPriority w:val="99"/>
    <w:semiHidden/>
    <w:unhideWhenUsed/>
    <w:rsid w:val="0060310D"/>
    <w:rPr>
      <w:color w:val="808080"/>
      <w:shd w:val="clear" w:color="auto" w:fill="E6E6E6"/>
    </w:rPr>
  </w:style>
  <w:style w:type="character" w:customStyle="1" w:styleId="Heading3Char">
    <w:name w:val="Heading 3 Char"/>
    <w:link w:val="Heading3"/>
    <w:uiPriority w:val="9"/>
    <w:rsid w:val="00AB0820"/>
    <w:rPr>
      <w:rFonts w:ascii="Calibri Light" w:eastAsia="Times New Roman" w:hAnsi="Calibri Light" w:cs="Times New Roman"/>
      <w:color w:val="1F4D78"/>
      <w:sz w:val="24"/>
      <w:szCs w:val="24"/>
    </w:rPr>
  </w:style>
  <w:style w:type="character" w:styleId="Strong">
    <w:name w:val="Strong"/>
    <w:uiPriority w:val="22"/>
    <w:qFormat/>
    <w:rsid w:val="00D926E9"/>
    <w:rPr>
      <w:b/>
      <w:bCs/>
    </w:rPr>
  </w:style>
  <w:style w:type="paragraph" w:styleId="TOC3">
    <w:name w:val="toc 3"/>
    <w:basedOn w:val="Normal"/>
    <w:next w:val="Normal"/>
    <w:autoRedefine/>
    <w:uiPriority w:val="39"/>
    <w:unhideWhenUsed/>
    <w:rsid w:val="008405C2"/>
    <w:pPr>
      <w:spacing w:after="100"/>
      <w:ind w:left="440"/>
    </w:pPr>
  </w:style>
  <w:style w:type="character" w:customStyle="1" w:styleId="Heading4Char">
    <w:name w:val="Heading 4 Char"/>
    <w:link w:val="Heading4"/>
    <w:uiPriority w:val="9"/>
    <w:rsid w:val="00D12BB1"/>
    <w:rPr>
      <w:rFonts w:ascii="Calibri Light" w:eastAsia="Times New Roman" w:hAnsi="Calibri Light" w:cs="Times New Roman"/>
      <w:i/>
      <w:iCs/>
      <w:color w:val="2E74B5"/>
    </w:rPr>
  </w:style>
  <w:style w:type="character" w:styleId="CommentReference">
    <w:name w:val="annotation reference"/>
    <w:uiPriority w:val="99"/>
    <w:semiHidden/>
    <w:unhideWhenUsed/>
    <w:rsid w:val="006015E7"/>
    <w:rPr>
      <w:sz w:val="16"/>
      <w:szCs w:val="16"/>
    </w:rPr>
  </w:style>
  <w:style w:type="paragraph" w:styleId="CommentText">
    <w:name w:val="annotation text"/>
    <w:basedOn w:val="Normal"/>
    <w:link w:val="CommentTextChar"/>
    <w:uiPriority w:val="99"/>
    <w:semiHidden/>
    <w:unhideWhenUsed/>
    <w:rsid w:val="006015E7"/>
    <w:rPr>
      <w:sz w:val="20"/>
      <w:szCs w:val="20"/>
    </w:rPr>
  </w:style>
  <w:style w:type="character" w:customStyle="1" w:styleId="CommentTextChar">
    <w:name w:val="Comment Text Char"/>
    <w:link w:val="CommentText"/>
    <w:uiPriority w:val="99"/>
    <w:semiHidden/>
    <w:rsid w:val="006015E7"/>
    <w:rPr>
      <w:lang w:eastAsia="en-US"/>
    </w:rPr>
  </w:style>
  <w:style w:type="paragraph" w:styleId="CommentSubject">
    <w:name w:val="annotation subject"/>
    <w:basedOn w:val="CommentText"/>
    <w:next w:val="CommentText"/>
    <w:link w:val="CommentSubjectChar"/>
    <w:uiPriority w:val="99"/>
    <w:semiHidden/>
    <w:unhideWhenUsed/>
    <w:rsid w:val="006015E7"/>
    <w:rPr>
      <w:b/>
      <w:bCs/>
    </w:rPr>
  </w:style>
  <w:style w:type="character" w:customStyle="1" w:styleId="CommentSubjectChar">
    <w:name w:val="Comment Subject Char"/>
    <w:link w:val="CommentSubject"/>
    <w:uiPriority w:val="99"/>
    <w:semiHidden/>
    <w:rsid w:val="006015E7"/>
    <w:rPr>
      <w:b/>
      <w:bCs/>
      <w:lang w:eastAsia="en-US"/>
    </w:rPr>
  </w:style>
  <w:style w:type="paragraph" w:styleId="Caption">
    <w:name w:val="caption"/>
    <w:basedOn w:val="Normal"/>
    <w:next w:val="Normal"/>
    <w:uiPriority w:val="35"/>
    <w:unhideWhenUsed/>
    <w:qFormat/>
    <w:rsid w:val="006015E7"/>
    <w:rPr>
      <w:b/>
      <w:bCs/>
      <w:sz w:val="20"/>
      <w:szCs w:val="20"/>
    </w:rPr>
  </w:style>
  <w:style w:type="paragraph" w:styleId="TableofFigures">
    <w:name w:val="table of figures"/>
    <w:basedOn w:val="Normal"/>
    <w:next w:val="Normal"/>
    <w:uiPriority w:val="99"/>
    <w:unhideWhenUsed/>
    <w:rsid w:val="00D460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6883">
      <w:bodyDiv w:val="1"/>
      <w:marLeft w:val="0"/>
      <w:marRight w:val="0"/>
      <w:marTop w:val="0"/>
      <w:marBottom w:val="0"/>
      <w:divBdr>
        <w:top w:val="none" w:sz="0" w:space="0" w:color="auto"/>
        <w:left w:val="none" w:sz="0" w:space="0" w:color="auto"/>
        <w:bottom w:val="none" w:sz="0" w:space="0" w:color="auto"/>
        <w:right w:val="none" w:sz="0" w:space="0" w:color="auto"/>
      </w:divBdr>
    </w:div>
    <w:div w:id="23333479">
      <w:bodyDiv w:val="1"/>
      <w:marLeft w:val="0"/>
      <w:marRight w:val="0"/>
      <w:marTop w:val="0"/>
      <w:marBottom w:val="0"/>
      <w:divBdr>
        <w:top w:val="none" w:sz="0" w:space="0" w:color="auto"/>
        <w:left w:val="none" w:sz="0" w:space="0" w:color="auto"/>
        <w:bottom w:val="none" w:sz="0" w:space="0" w:color="auto"/>
        <w:right w:val="none" w:sz="0" w:space="0" w:color="auto"/>
      </w:divBdr>
    </w:div>
    <w:div w:id="38670143">
      <w:bodyDiv w:val="1"/>
      <w:marLeft w:val="0"/>
      <w:marRight w:val="0"/>
      <w:marTop w:val="0"/>
      <w:marBottom w:val="0"/>
      <w:divBdr>
        <w:top w:val="none" w:sz="0" w:space="0" w:color="auto"/>
        <w:left w:val="none" w:sz="0" w:space="0" w:color="auto"/>
        <w:bottom w:val="none" w:sz="0" w:space="0" w:color="auto"/>
        <w:right w:val="none" w:sz="0" w:space="0" w:color="auto"/>
      </w:divBdr>
    </w:div>
    <w:div w:id="84694098">
      <w:bodyDiv w:val="1"/>
      <w:marLeft w:val="0"/>
      <w:marRight w:val="0"/>
      <w:marTop w:val="0"/>
      <w:marBottom w:val="0"/>
      <w:divBdr>
        <w:top w:val="none" w:sz="0" w:space="0" w:color="auto"/>
        <w:left w:val="none" w:sz="0" w:space="0" w:color="auto"/>
        <w:bottom w:val="none" w:sz="0" w:space="0" w:color="auto"/>
        <w:right w:val="none" w:sz="0" w:space="0" w:color="auto"/>
      </w:divBdr>
    </w:div>
    <w:div w:id="167990375">
      <w:bodyDiv w:val="1"/>
      <w:marLeft w:val="0"/>
      <w:marRight w:val="0"/>
      <w:marTop w:val="0"/>
      <w:marBottom w:val="0"/>
      <w:divBdr>
        <w:top w:val="none" w:sz="0" w:space="0" w:color="auto"/>
        <w:left w:val="none" w:sz="0" w:space="0" w:color="auto"/>
        <w:bottom w:val="none" w:sz="0" w:space="0" w:color="auto"/>
        <w:right w:val="none" w:sz="0" w:space="0" w:color="auto"/>
      </w:divBdr>
    </w:div>
    <w:div w:id="225341540">
      <w:bodyDiv w:val="1"/>
      <w:marLeft w:val="0"/>
      <w:marRight w:val="0"/>
      <w:marTop w:val="0"/>
      <w:marBottom w:val="0"/>
      <w:divBdr>
        <w:top w:val="none" w:sz="0" w:space="0" w:color="auto"/>
        <w:left w:val="none" w:sz="0" w:space="0" w:color="auto"/>
        <w:bottom w:val="none" w:sz="0" w:space="0" w:color="auto"/>
        <w:right w:val="none" w:sz="0" w:space="0" w:color="auto"/>
      </w:divBdr>
    </w:div>
    <w:div w:id="319113761">
      <w:bodyDiv w:val="1"/>
      <w:marLeft w:val="0"/>
      <w:marRight w:val="0"/>
      <w:marTop w:val="0"/>
      <w:marBottom w:val="0"/>
      <w:divBdr>
        <w:top w:val="none" w:sz="0" w:space="0" w:color="auto"/>
        <w:left w:val="none" w:sz="0" w:space="0" w:color="auto"/>
        <w:bottom w:val="none" w:sz="0" w:space="0" w:color="auto"/>
        <w:right w:val="none" w:sz="0" w:space="0" w:color="auto"/>
      </w:divBdr>
    </w:div>
    <w:div w:id="395013447">
      <w:bodyDiv w:val="1"/>
      <w:marLeft w:val="0"/>
      <w:marRight w:val="0"/>
      <w:marTop w:val="0"/>
      <w:marBottom w:val="0"/>
      <w:divBdr>
        <w:top w:val="none" w:sz="0" w:space="0" w:color="auto"/>
        <w:left w:val="none" w:sz="0" w:space="0" w:color="auto"/>
        <w:bottom w:val="none" w:sz="0" w:space="0" w:color="auto"/>
        <w:right w:val="none" w:sz="0" w:space="0" w:color="auto"/>
      </w:divBdr>
    </w:div>
    <w:div w:id="422803880">
      <w:bodyDiv w:val="1"/>
      <w:marLeft w:val="0"/>
      <w:marRight w:val="0"/>
      <w:marTop w:val="0"/>
      <w:marBottom w:val="0"/>
      <w:divBdr>
        <w:top w:val="none" w:sz="0" w:space="0" w:color="auto"/>
        <w:left w:val="none" w:sz="0" w:space="0" w:color="auto"/>
        <w:bottom w:val="none" w:sz="0" w:space="0" w:color="auto"/>
        <w:right w:val="none" w:sz="0" w:space="0" w:color="auto"/>
      </w:divBdr>
    </w:div>
    <w:div w:id="493184493">
      <w:bodyDiv w:val="1"/>
      <w:marLeft w:val="0"/>
      <w:marRight w:val="0"/>
      <w:marTop w:val="0"/>
      <w:marBottom w:val="0"/>
      <w:divBdr>
        <w:top w:val="none" w:sz="0" w:space="0" w:color="auto"/>
        <w:left w:val="none" w:sz="0" w:space="0" w:color="auto"/>
        <w:bottom w:val="none" w:sz="0" w:space="0" w:color="auto"/>
        <w:right w:val="none" w:sz="0" w:space="0" w:color="auto"/>
      </w:divBdr>
    </w:div>
    <w:div w:id="684862753">
      <w:bodyDiv w:val="1"/>
      <w:marLeft w:val="0"/>
      <w:marRight w:val="0"/>
      <w:marTop w:val="0"/>
      <w:marBottom w:val="0"/>
      <w:divBdr>
        <w:top w:val="none" w:sz="0" w:space="0" w:color="auto"/>
        <w:left w:val="none" w:sz="0" w:space="0" w:color="auto"/>
        <w:bottom w:val="none" w:sz="0" w:space="0" w:color="auto"/>
        <w:right w:val="none" w:sz="0" w:space="0" w:color="auto"/>
      </w:divBdr>
    </w:div>
    <w:div w:id="745154477">
      <w:bodyDiv w:val="1"/>
      <w:marLeft w:val="0"/>
      <w:marRight w:val="0"/>
      <w:marTop w:val="0"/>
      <w:marBottom w:val="0"/>
      <w:divBdr>
        <w:top w:val="none" w:sz="0" w:space="0" w:color="auto"/>
        <w:left w:val="none" w:sz="0" w:space="0" w:color="auto"/>
        <w:bottom w:val="none" w:sz="0" w:space="0" w:color="auto"/>
        <w:right w:val="none" w:sz="0" w:space="0" w:color="auto"/>
      </w:divBdr>
    </w:div>
    <w:div w:id="778186477">
      <w:bodyDiv w:val="1"/>
      <w:marLeft w:val="0"/>
      <w:marRight w:val="0"/>
      <w:marTop w:val="0"/>
      <w:marBottom w:val="0"/>
      <w:divBdr>
        <w:top w:val="none" w:sz="0" w:space="0" w:color="auto"/>
        <w:left w:val="none" w:sz="0" w:space="0" w:color="auto"/>
        <w:bottom w:val="none" w:sz="0" w:space="0" w:color="auto"/>
        <w:right w:val="none" w:sz="0" w:space="0" w:color="auto"/>
      </w:divBdr>
    </w:div>
    <w:div w:id="818226335">
      <w:bodyDiv w:val="1"/>
      <w:marLeft w:val="0"/>
      <w:marRight w:val="0"/>
      <w:marTop w:val="0"/>
      <w:marBottom w:val="0"/>
      <w:divBdr>
        <w:top w:val="none" w:sz="0" w:space="0" w:color="auto"/>
        <w:left w:val="none" w:sz="0" w:space="0" w:color="auto"/>
        <w:bottom w:val="none" w:sz="0" w:space="0" w:color="auto"/>
        <w:right w:val="none" w:sz="0" w:space="0" w:color="auto"/>
      </w:divBdr>
    </w:div>
    <w:div w:id="861555547">
      <w:bodyDiv w:val="1"/>
      <w:marLeft w:val="0"/>
      <w:marRight w:val="0"/>
      <w:marTop w:val="0"/>
      <w:marBottom w:val="0"/>
      <w:divBdr>
        <w:top w:val="none" w:sz="0" w:space="0" w:color="auto"/>
        <w:left w:val="none" w:sz="0" w:space="0" w:color="auto"/>
        <w:bottom w:val="none" w:sz="0" w:space="0" w:color="auto"/>
        <w:right w:val="none" w:sz="0" w:space="0" w:color="auto"/>
      </w:divBdr>
    </w:div>
    <w:div w:id="865023152">
      <w:bodyDiv w:val="1"/>
      <w:marLeft w:val="0"/>
      <w:marRight w:val="0"/>
      <w:marTop w:val="0"/>
      <w:marBottom w:val="0"/>
      <w:divBdr>
        <w:top w:val="none" w:sz="0" w:space="0" w:color="auto"/>
        <w:left w:val="none" w:sz="0" w:space="0" w:color="auto"/>
        <w:bottom w:val="none" w:sz="0" w:space="0" w:color="auto"/>
        <w:right w:val="none" w:sz="0" w:space="0" w:color="auto"/>
      </w:divBdr>
    </w:div>
    <w:div w:id="867527250">
      <w:bodyDiv w:val="1"/>
      <w:marLeft w:val="0"/>
      <w:marRight w:val="0"/>
      <w:marTop w:val="0"/>
      <w:marBottom w:val="0"/>
      <w:divBdr>
        <w:top w:val="none" w:sz="0" w:space="0" w:color="auto"/>
        <w:left w:val="none" w:sz="0" w:space="0" w:color="auto"/>
        <w:bottom w:val="none" w:sz="0" w:space="0" w:color="auto"/>
        <w:right w:val="none" w:sz="0" w:space="0" w:color="auto"/>
      </w:divBdr>
    </w:div>
    <w:div w:id="937712594">
      <w:bodyDiv w:val="1"/>
      <w:marLeft w:val="0"/>
      <w:marRight w:val="0"/>
      <w:marTop w:val="0"/>
      <w:marBottom w:val="0"/>
      <w:divBdr>
        <w:top w:val="none" w:sz="0" w:space="0" w:color="auto"/>
        <w:left w:val="none" w:sz="0" w:space="0" w:color="auto"/>
        <w:bottom w:val="none" w:sz="0" w:space="0" w:color="auto"/>
        <w:right w:val="none" w:sz="0" w:space="0" w:color="auto"/>
      </w:divBdr>
    </w:div>
    <w:div w:id="939065382">
      <w:bodyDiv w:val="1"/>
      <w:marLeft w:val="0"/>
      <w:marRight w:val="0"/>
      <w:marTop w:val="0"/>
      <w:marBottom w:val="0"/>
      <w:divBdr>
        <w:top w:val="none" w:sz="0" w:space="0" w:color="auto"/>
        <w:left w:val="none" w:sz="0" w:space="0" w:color="auto"/>
        <w:bottom w:val="none" w:sz="0" w:space="0" w:color="auto"/>
        <w:right w:val="none" w:sz="0" w:space="0" w:color="auto"/>
      </w:divBdr>
    </w:div>
    <w:div w:id="1040665372">
      <w:bodyDiv w:val="1"/>
      <w:marLeft w:val="0"/>
      <w:marRight w:val="0"/>
      <w:marTop w:val="0"/>
      <w:marBottom w:val="0"/>
      <w:divBdr>
        <w:top w:val="none" w:sz="0" w:space="0" w:color="auto"/>
        <w:left w:val="none" w:sz="0" w:space="0" w:color="auto"/>
        <w:bottom w:val="none" w:sz="0" w:space="0" w:color="auto"/>
        <w:right w:val="none" w:sz="0" w:space="0" w:color="auto"/>
      </w:divBdr>
    </w:div>
    <w:div w:id="1065684236">
      <w:bodyDiv w:val="1"/>
      <w:marLeft w:val="0"/>
      <w:marRight w:val="0"/>
      <w:marTop w:val="0"/>
      <w:marBottom w:val="0"/>
      <w:divBdr>
        <w:top w:val="none" w:sz="0" w:space="0" w:color="auto"/>
        <w:left w:val="none" w:sz="0" w:space="0" w:color="auto"/>
        <w:bottom w:val="none" w:sz="0" w:space="0" w:color="auto"/>
        <w:right w:val="none" w:sz="0" w:space="0" w:color="auto"/>
      </w:divBdr>
    </w:div>
    <w:div w:id="1178347852">
      <w:bodyDiv w:val="1"/>
      <w:marLeft w:val="0"/>
      <w:marRight w:val="0"/>
      <w:marTop w:val="0"/>
      <w:marBottom w:val="0"/>
      <w:divBdr>
        <w:top w:val="none" w:sz="0" w:space="0" w:color="auto"/>
        <w:left w:val="none" w:sz="0" w:space="0" w:color="auto"/>
        <w:bottom w:val="none" w:sz="0" w:space="0" w:color="auto"/>
        <w:right w:val="none" w:sz="0" w:space="0" w:color="auto"/>
      </w:divBdr>
    </w:div>
    <w:div w:id="1201700658">
      <w:bodyDiv w:val="1"/>
      <w:marLeft w:val="0"/>
      <w:marRight w:val="0"/>
      <w:marTop w:val="0"/>
      <w:marBottom w:val="0"/>
      <w:divBdr>
        <w:top w:val="none" w:sz="0" w:space="0" w:color="auto"/>
        <w:left w:val="none" w:sz="0" w:space="0" w:color="auto"/>
        <w:bottom w:val="none" w:sz="0" w:space="0" w:color="auto"/>
        <w:right w:val="none" w:sz="0" w:space="0" w:color="auto"/>
      </w:divBdr>
    </w:div>
    <w:div w:id="1244685178">
      <w:bodyDiv w:val="1"/>
      <w:marLeft w:val="0"/>
      <w:marRight w:val="0"/>
      <w:marTop w:val="0"/>
      <w:marBottom w:val="0"/>
      <w:divBdr>
        <w:top w:val="none" w:sz="0" w:space="0" w:color="auto"/>
        <w:left w:val="none" w:sz="0" w:space="0" w:color="auto"/>
        <w:bottom w:val="none" w:sz="0" w:space="0" w:color="auto"/>
        <w:right w:val="none" w:sz="0" w:space="0" w:color="auto"/>
      </w:divBdr>
      <w:divsChild>
        <w:div w:id="191962056">
          <w:marLeft w:val="0"/>
          <w:marRight w:val="336"/>
          <w:marTop w:val="120"/>
          <w:marBottom w:val="312"/>
          <w:divBdr>
            <w:top w:val="none" w:sz="0" w:space="0" w:color="auto"/>
            <w:left w:val="none" w:sz="0" w:space="0" w:color="auto"/>
            <w:bottom w:val="none" w:sz="0" w:space="0" w:color="auto"/>
            <w:right w:val="none" w:sz="0" w:space="0" w:color="auto"/>
          </w:divBdr>
          <w:divsChild>
            <w:div w:id="535121532">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247687211">
      <w:bodyDiv w:val="1"/>
      <w:marLeft w:val="0"/>
      <w:marRight w:val="0"/>
      <w:marTop w:val="0"/>
      <w:marBottom w:val="0"/>
      <w:divBdr>
        <w:top w:val="none" w:sz="0" w:space="0" w:color="auto"/>
        <w:left w:val="none" w:sz="0" w:space="0" w:color="auto"/>
        <w:bottom w:val="none" w:sz="0" w:space="0" w:color="auto"/>
        <w:right w:val="none" w:sz="0" w:space="0" w:color="auto"/>
      </w:divBdr>
    </w:div>
    <w:div w:id="1281840732">
      <w:bodyDiv w:val="1"/>
      <w:marLeft w:val="0"/>
      <w:marRight w:val="0"/>
      <w:marTop w:val="0"/>
      <w:marBottom w:val="0"/>
      <w:divBdr>
        <w:top w:val="none" w:sz="0" w:space="0" w:color="auto"/>
        <w:left w:val="none" w:sz="0" w:space="0" w:color="auto"/>
        <w:bottom w:val="none" w:sz="0" w:space="0" w:color="auto"/>
        <w:right w:val="none" w:sz="0" w:space="0" w:color="auto"/>
      </w:divBdr>
    </w:div>
    <w:div w:id="1315912421">
      <w:bodyDiv w:val="1"/>
      <w:marLeft w:val="0"/>
      <w:marRight w:val="0"/>
      <w:marTop w:val="0"/>
      <w:marBottom w:val="0"/>
      <w:divBdr>
        <w:top w:val="none" w:sz="0" w:space="0" w:color="auto"/>
        <w:left w:val="none" w:sz="0" w:space="0" w:color="auto"/>
        <w:bottom w:val="none" w:sz="0" w:space="0" w:color="auto"/>
        <w:right w:val="none" w:sz="0" w:space="0" w:color="auto"/>
      </w:divBdr>
    </w:div>
    <w:div w:id="1316032927">
      <w:bodyDiv w:val="1"/>
      <w:marLeft w:val="0"/>
      <w:marRight w:val="0"/>
      <w:marTop w:val="0"/>
      <w:marBottom w:val="0"/>
      <w:divBdr>
        <w:top w:val="none" w:sz="0" w:space="0" w:color="auto"/>
        <w:left w:val="none" w:sz="0" w:space="0" w:color="auto"/>
        <w:bottom w:val="none" w:sz="0" w:space="0" w:color="auto"/>
        <w:right w:val="none" w:sz="0" w:space="0" w:color="auto"/>
      </w:divBdr>
    </w:div>
    <w:div w:id="1346980481">
      <w:bodyDiv w:val="1"/>
      <w:marLeft w:val="0"/>
      <w:marRight w:val="0"/>
      <w:marTop w:val="0"/>
      <w:marBottom w:val="0"/>
      <w:divBdr>
        <w:top w:val="none" w:sz="0" w:space="0" w:color="auto"/>
        <w:left w:val="none" w:sz="0" w:space="0" w:color="auto"/>
        <w:bottom w:val="none" w:sz="0" w:space="0" w:color="auto"/>
        <w:right w:val="none" w:sz="0" w:space="0" w:color="auto"/>
      </w:divBdr>
      <w:divsChild>
        <w:div w:id="1602684874">
          <w:marLeft w:val="547"/>
          <w:marRight w:val="0"/>
          <w:marTop w:val="200"/>
          <w:marBottom w:val="0"/>
          <w:divBdr>
            <w:top w:val="none" w:sz="0" w:space="0" w:color="auto"/>
            <w:left w:val="none" w:sz="0" w:space="0" w:color="auto"/>
            <w:bottom w:val="none" w:sz="0" w:space="0" w:color="auto"/>
            <w:right w:val="none" w:sz="0" w:space="0" w:color="auto"/>
          </w:divBdr>
        </w:div>
      </w:divsChild>
    </w:div>
    <w:div w:id="1387988762">
      <w:bodyDiv w:val="1"/>
      <w:marLeft w:val="0"/>
      <w:marRight w:val="0"/>
      <w:marTop w:val="0"/>
      <w:marBottom w:val="0"/>
      <w:divBdr>
        <w:top w:val="none" w:sz="0" w:space="0" w:color="auto"/>
        <w:left w:val="none" w:sz="0" w:space="0" w:color="auto"/>
        <w:bottom w:val="none" w:sz="0" w:space="0" w:color="auto"/>
        <w:right w:val="none" w:sz="0" w:space="0" w:color="auto"/>
      </w:divBdr>
      <w:divsChild>
        <w:div w:id="103961695">
          <w:marLeft w:val="547"/>
          <w:marRight w:val="0"/>
          <w:marTop w:val="200"/>
          <w:marBottom w:val="0"/>
          <w:divBdr>
            <w:top w:val="none" w:sz="0" w:space="0" w:color="auto"/>
            <w:left w:val="none" w:sz="0" w:space="0" w:color="auto"/>
            <w:bottom w:val="none" w:sz="0" w:space="0" w:color="auto"/>
            <w:right w:val="none" w:sz="0" w:space="0" w:color="auto"/>
          </w:divBdr>
        </w:div>
      </w:divsChild>
    </w:div>
    <w:div w:id="1392997919">
      <w:bodyDiv w:val="1"/>
      <w:marLeft w:val="0"/>
      <w:marRight w:val="0"/>
      <w:marTop w:val="0"/>
      <w:marBottom w:val="0"/>
      <w:divBdr>
        <w:top w:val="none" w:sz="0" w:space="0" w:color="auto"/>
        <w:left w:val="none" w:sz="0" w:space="0" w:color="auto"/>
        <w:bottom w:val="none" w:sz="0" w:space="0" w:color="auto"/>
        <w:right w:val="none" w:sz="0" w:space="0" w:color="auto"/>
      </w:divBdr>
    </w:div>
    <w:div w:id="1476069095">
      <w:bodyDiv w:val="1"/>
      <w:marLeft w:val="0"/>
      <w:marRight w:val="0"/>
      <w:marTop w:val="0"/>
      <w:marBottom w:val="0"/>
      <w:divBdr>
        <w:top w:val="none" w:sz="0" w:space="0" w:color="auto"/>
        <w:left w:val="none" w:sz="0" w:space="0" w:color="auto"/>
        <w:bottom w:val="none" w:sz="0" w:space="0" w:color="auto"/>
        <w:right w:val="none" w:sz="0" w:space="0" w:color="auto"/>
      </w:divBdr>
    </w:div>
    <w:div w:id="1491096582">
      <w:bodyDiv w:val="1"/>
      <w:marLeft w:val="0"/>
      <w:marRight w:val="0"/>
      <w:marTop w:val="0"/>
      <w:marBottom w:val="0"/>
      <w:divBdr>
        <w:top w:val="none" w:sz="0" w:space="0" w:color="auto"/>
        <w:left w:val="none" w:sz="0" w:space="0" w:color="auto"/>
        <w:bottom w:val="none" w:sz="0" w:space="0" w:color="auto"/>
        <w:right w:val="none" w:sz="0" w:space="0" w:color="auto"/>
      </w:divBdr>
    </w:div>
    <w:div w:id="1497498475">
      <w:bodyDiv w:val="1"/>
      <w:marLeft w:val="0"/>
      <w:marRight w:val="0"/>
      <w:marTop w:val="0"/>
      <w:marBottom w:val="0"/>
      <w:divBdr>
        <w:top w:val="none" w:sz="0" w:space="0" w:color="auto"/>
        <w:left w:val="none" w:sz="0" w:space="0" w:color="auto"/>
        <w:bottom w:val="none" w:sz="0" w:space="0" w:color="auto"/>
        <w:right w:val="none" w:sz="0" w:space="0" w:color="auto"/>
      </w:divBdr>
    </w:div>
    <w:div w:id="1518932405">
      <w:bodyDiv w:val="1"/>
      <w:marLeft w:val="0"/>
      <w:marRight w:val="0"/>
      <w:marTop w:val="0"/>
      <w:marBottom w:val="0"/>
      <w:divBdr>
        <w:top w:val="none" w:sz="0" w:space="0" w:color="auto"/>
        <w:left w:val="none" w:sz="0" w:space="0" w:color="auto"/>
        <w:bottom w:val="none" w:sz="0" w:space="0" w:color="auto"/>
        <w:right w:val="none" w:sz="0" w:space="0" w:color="auto"/>
      </w:divBdr>
    </w:div>
    <w:div w:id="1525023052">
      <w:bodyDiv w:val="1"/>
      <w:marLeft w:val="0"/>
      <w:marRight w:val="0"/>
      <w:marTop w:val="0"/>
      <w:marBottom w:val="0"/>
      <w:divBdr>
        <w:top w:val="none" w:sz="0" w:space="0" w:color="auto"/>
        <w:left w:val="none" w:sz="0" w:space="0" w:color="auto"/>
        <w:bottom w:val="none" w:sz="0" w:space="0" w:color="auto"/>
        <w:right w:val="none" w:sz="0" w:space="0" w:color="auto"/>
      </w:divBdr>
    </w:div>
    <w:div w:id="1582711789">
      <w:bodyDiv w:val="1"/>
      <w:marLeft w:val="0"/>
      <w:marRight w:val="0"/>
      <w:marTop w:val="0"/>
      <w:marBottom w:val="0"/>
      <w:divBdr>
        <w:top w:val="none" w:sz="0" w:space="0" w:color="auto"/>
        <w:left w:val="none" w:sz="0" w:space="0" w:color="auto"/>
        <w:bottom w:val="none" w:sz="0" w:space="0" w:color="auto"/>
        <w:right w:val="none" w:sz="0" w:space="0" w:color="auto"/>
      </w:divBdr>
      <w:divsChild>
        <w:div w:id="1843619056">
          <w:marLeft w:val="547"/>
          <w:marRight w:val="0"/>
          <w:marTop w:val="200"/>
          <w:marBottom w:val="0"/>
          <w:divBdr>
            <w:top w:val="none" w:sz="0" w:space="0" w:color="auto"/>
            <w:left w:val="none" w:sz="0" w:space="0" w:color="auto"/>
            <w:bottom w:val="none" w:sz="0" w:space="0" w:color="auto"/>
            <w:right w:val="none" w:sz="0" w:space="0" w:color="auto"/>
          </w:divBdr>
        </w:div>
      </w:divsChild>
    </w:div>
    <w:div w:id="1617709100">
      <w:bodyDiv w:val="1"/>
      <w:marLeft w:val="0"/>
      <w:marRight w:val="0"/>
      <w:marTop w:val="0"/>
      <w:marBottom w:val="0"/>
      <w:divBdr>
        <w:top w:val="none" w:sz="0" w:space="0" w:color="auto"/>
        <w:left w:val="none" w:sz="0" w:space="0" w:color="auto"/>
        <w:bottom w:val="none" w:sz="0" w:space="0" w:color="auto"/>
        <w:right w:val="none" w:sz="0" w:space="0" w:color="auto"/>
      </w:divBdr>
    </w:div>
    <w:div w:id="1620647948">
      <w:bodyDiv w:val="1"/>
      <w:marLeft w:val="0"/>
      <w:marRight w:val="0"/>
      <w:marTop w:val="0"/>
      <w:marBottom w:val="0"/>
      <w:divBdr>
        <w:top w:val="none" w:sz="0" w:space="0" w:color="auto"/>
        <w:left w:val="none" w:sz="0" w:space="0" w:color="auto"/>
        <w:bottom w:val="none" w:sz="0" w:space="0" w:color="auto"/>
        <w:right w:val="none" w:sz="0" w:space="0" w:color="auto"/>
      </w:divBdr>
    </w:div>
    <w:div w:id="1682197004">
      <w:bodyDiv w:val="1"/>
      <w:marLeft w:val="0"/>
      <w:marRight w:val="0"/>
      <w:marTop w:val="0"/>
      <w:marBottom w:val="0"/>
      <w:divBdr>
        <w:top w:val="none" w:sz="0" w:space="0" w:color="auto"/>
        <w:left w:val="none" w:sz="0" w:space="0" w:color="auto"/>
        <w:bottom w:val="none" w:sz="0" w:space="0" w:color="auto"/>
        <w:right w:val="none" w:sz="0" w:space="0" w:color="auto"/>
      </w:divBdr>
    </w:div>
    <w:div w:id="1694841182">
      <w:bodyDiv w:val="1"/>
      <w:marLeft w:val="0"/>
      <w:marRight w:val="0"/>
      <w:marTop w:val="0"/>
      <w:marBottom w:val="0"/>
      <w:divBdr>
        <w:top w:val="none" w:sz="0" w:space="0" w:color="auto"/>
        <w:left w:val="none" w:sz="0" w:space="0" w:color="auto"/>
        <w:bottom w:val="none" w:sz="0" w:space="0" w:color="auto"/>
        <w:right w:val="none" w:sz="0" w:space="0" w:color="auto"/>
      </w:divBdr>
    </w:div>
    <w:div w:id="1705785934">
      <w:bodyDiv w:val="1"/>
      <w:marLeft w:val="0"/>
      <w:marRight w:val="0"/>
      <w:marTop w:val="0"/>
      <w:marBottom w:val="0"/>
      <w:divBdr>
        <w:top w:val="none" w:sz="0" w:space="0" w:color="auto"/>
        <w:left w:val="none" w:sz="0" w:space="0" w:color="auto"/>
        <w:bottom w:val="none" w:sz="0" w:space="0" w:color="auto"/>
        <w:right w:val="none" w:sz="0" w:space="0" w:color="auto"/>
      </w:divBdr>
    </w:div>
    <w:div w:id="1705977667">
      <w:bodyDiv w:val="1"/>
      <w:marLeft w:val="0"/>
      <w:marRight w:val="0"/>
      <w:marTop w:val="0"/>
      <w:marBottom w:val="0"/>
      <w:divBdr>
        <w:top w:val="none" w:sz="0" w:space="0" w:color="auto"/>
        <w:left w:val="none" w:sz="0" w:space="0" w:color="auto"/>
        <w:bottom w:val="none" w:sz="0" w:space="0" w:color="auto"/>
        <w:right w:val="none" w:sz="0" w:space="0" w:color="auto"/>
      </w:divBdr>
    </w:div>
    <w:div w:id="1719235691">
      <w:bodyDiv w:val="1"/>
      <w:marLeft w:val="0"/>
      <w:marRight w:val="0"/>
      <w:marTop w:val="0"/>
      <w:marBottom w:val="0"/>
      <w:divBdr>
        <w:top w:val="none" w:sz="0" w:space="0" w:color="auto"/>
        <w:left w:val="none" w:sz="0" w:space="0" w:color="auto"/>
        <w:bottom w:val="none" w:sz="0" w:space="0" w:color="auto"/>
        <w:right w:val="none" w:sz="0" w:space="0" w:color="auto"/>
      </w:divBdr>
    </w:div>
    <w:div w:id="1762527526">
      <w:bodyDiv w:val="1"/>
      <w:marLeft w:val="0"/>
      <w:marRight w:val="0"/>
      <w:marTop w:val="0"/>
      <w:marBottom w:val="0"/>
      <w:divBdr>
        <w:top w:val="none" w:sz="0" w:space="0" w:color="auto"/>
        <w:left w:val="none" w:sz="0" w:space="0" w:color="auto"/>
        <w:bottom w:val="none" w:sz="0" w:space="0" w:color="auto"/>
        <w:right w:val="none" w:sz="0" w:space="0" w:color="auto"/>
      </w:divBdr>
    </w:div>
    <w:div w:id="1797068355">
      <w:bodyDiv w:val="1"/>
      <w:marLeft w:val="0"/>
      <w:marRight w:val="0"/>
      <w:marTop w:val="0"/>
      <w:marBottom w:val="0"/>
      <w:divBdr>
        <w:top w:val="none" w:sz="0" w:space="0" w:color="auto"/>
        <w:left w:val="none" w:sz="0" w:space="0" w:color="auto"/>
        <w:bottom w:val="none" w:sz="0" w:space="0" w:color="auto"/>
        <w:right w:val="none" w:sz="0" w:space="0" w:color="auto"/>
      </w:divBdr>
    </w:div>
    <w:div w:id="1868520870">
      <w:bodyDiv w:val="1"/>
      <w:marLeft w:val="0"/>
      <w:marRight w:val="0"/>
      <w:marTop w:val="0"/>
      <w:marBottom w:val="0"/>
      <w:divBdr>
        <w:top w:val="none" w:sz="0" w:space="0" w:color="auto"/>
        <w:left w:val="none" w:sz="0" w:space="0" w:color="auto"/>
        <w:bottom w:val="none" w:sz="0" w:space="0" w:color="auto"/>
        <w:right w:val="none" w:sz="0" w:space="0" w:color="auto"/>
      </w:divBdr>
    </w:div>
    <w:div w:id="1928340332">
      <w:bodyDiv w:val="1"/>
      <w:marLeft w:val="0"/>
      <w:marRight w:val="0"/>
      <w:marTop w:val="0"/>
      <w:marBottom w:val="0"/>
      <w:divBdr>
        <w:top w:val="none" w:sz="0" w:space="0" w:color="auto"/>
        <w:left w:val="none" w:sz="0" w:space="0" w:color="auto"/>
        <w:bottom w:val="none" w:sz="0" w:space="0" w:color="auto"/>
        <w:right w:val="none" w:sz="0" w:space="0" w:color="auto"/>
      </w:divBdr>
    </w:div>
    <w:div w:id="1942755551">
      <w:bodyDiv w:val="1"/>
      <w:marLeft w:val="0"/>
      <w:marRight w:val="0"/>
      <w:marTop w:val="0"/>
      <w:marBottom w:val="0"/>
      <w:divBdr>
        <w:top w:val="none" w:sz="0" w:space="0" w:color="auto"/>
        <w:left w:val="none" w:sz="0" w:space="0" w:color="auto"/>
        <w:bottom w:val="none" w:sz="0" w:space="0" w:color="auto"/>
        <w:right w:val="none" w:sz="0" w:space="0" w:color="auto"/>
      </w:divBdr>
    </w:div>
    <w:div w:id="2050451285">
      <w:bodyDiv w:val="1"/>
      <w:marLeft w:val="0"/>
      <w:marRight w:val="0"/>
      <w:marTop w:val="0"/>
      <w:marBottom w:val="0"/>
      <w:divBdr>
        <w:top w:val="none" w:sz="0" w:space="0" w:color="auto"/>
        <w:left w:val="none" w:sz="0" w:space="0" w:color="auto"/>
        <w:bottom w:val="none" w:sz="0" w:space="0" w:color="auto"/>
        <w:right w:val="none" w:sz="0" w:space="0" w:color="auto"/>
      </w:divBdr>
    </w:div>
    <w:div w:id="2057924420">
      <w:bodyDiv w:val="1"/>
      <w:marLeft w:val="0"/>
      <w:marRight w:val="0"/>
      <w:marTop w:val="0"/>
      <w:marBottom w:val="0"/>
      <w:divBdr>
        <w:top w:val="none" w:sz="0" w:space="0" w:color="auto"/>
        <w:left w:val="none" w:sz="0" w:space="0" w:color="auto"/>
        <w:bottom w:val="none" w:sz="0" w:space="0" w:color="auto"/>
        <w:right w:val="none" w:sz="0" w:space="0" w:color="auto"/>
      </w:divBdr>
    </w:div>
    <w:div w:id="2058821426">
      <w:bodyDiv w:val="1"/>
      <w:marLeft w:val="0"/>
      <w:marRight w:val="0"/>
      <w:marTop w:val="0"/>
      <w:marBottom w:val="0"/>
      <w:divBdr>
        <w:top w:val="none" w:sz="0" w:space="0" w:color="auto"/>
        <w:left w:val="none" w:sz="0" w:space="0" w:color="auto"/>
        <w:bottom w:val="none" w:sz="0" w:space="0" w:color="auto"/>
        <w:right w:val="none" w:sz="0" w:space="0" w:color="auto"/>
      </w:divBdr>
    </w:div>
    <w:div w:id="2092776215">
      <w:bodyDiv w:val="1"/>
      <w:marLeft w:val="0"/>
      <w:marRight w:val="0"/>
      <w:marTop w:val="0"/>
      <w:marBottom w:val="0"/>
      <w:divBdr>
        <w:top w:val="none" w:sz="0" w:space="0" w:color="auto"/>
        <w:left w:val="none" w:sz="0" w:space="0" w:color="auto"/>
        <w:bottom w:val="none" w:sz="0" w:space="0" w:color="auto"/>
        <w:right w:val="none" w:sz="0" w:space="0" w:color="auto"/>
      </w:divBdr>
    </w:div>
    <w:div w:id="213629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https://www.researchgate.net/profile/Ling_Jian2/publication/262771391/figure/fig1/AS:346452338462721@1459612082750/Schematic-diagram-of-the-blast-furnace-process.png" TargetMode="External"/><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BEng Material Science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Gee15</b:Tag>
    <b:SourceType>Book</b:SourceType>
    <b:Guid>{E2745E63-9F11-4C21-B6D2-AECA5562A8F5}</b:Guid>
    <b:Title>Modern Blast Furnace Ironmaking</b:Title>
    <b:Year>2015</b:Year>
    <b:Author>
      <b:Author>
        <b:NameList>
          <b:Person>
            <b:Last>Geerdes</b:Last>
            <b:First>Maarten</b:First>
          </b:Person>
          <b:Person>
            <b:Last>Chaigneau</b:Last>
            <b:First>Renard</b:First>
          </b:Person>
          <b:Person>
            <b:Last>Kurunov</b:Last>
            <b:First>Ivan</b:First>
          </b:Person>
          <b:Person>
            <b:Last>Lingiardi</b:Last>
            <b:First>Oscar</b:First>
          </b:Person>
          <b:Person>
            <b:Last>Ricketts</b:Last>
            <b:First>John</b:First>
          </b:Person>
        </b:NameList>
      </b:Author>
    </b:Author>
    <b:City>Netherlands</b:City>
    <b:Publisher>IOS Press</b:Publisher>
    <b:Edition>3rd</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86430E-7CCA-431B-B57F-A3C3473E9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1671</TotalTime>
  <Pages>1</Pages>
  <Words>9785</Words>
  <Characters>55776</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The Development on an Internal Standard for CSR &amp; CRI Testing</vt:lpstr>
    </vt:vector>
  </TitlesOfParts>
  <Company>p144081</Company>
  <LinksUpToDate>false</LinksUpToDate>
  <CharactersWithSpaces>65431</CharactersWithSpaces>
  <SharedDoc>false</SharedDoc>
  <HLinks>
    <vt:vector size="150" baseType="variant">
      <vt:variant>
        <vt:i4>1114165</vt:i4>
      </vt:variant>
      <vt:variant>
        <vt:i4>146</vt:i4>
      </vt:variant>
      <vt:variant>
        <vt:i4>0</vt:i4>
      </vt:variant>
      <vt:variant>
        <vt:i4>5</vt:i4>
      </vt:variant>
      <vt:variant>
        <vt:lpwstr/>
      </vt:variant>
      <vt:variant>
        <vt:lpwstr>_Toc511503118</vt:lpwstr>
      </vt:variant>
      <vt:variant>
        <vt:i4>1114165</vt:i4>
      </vt:variant>
      <vt:variant>
        <vt:i4>140</vt:i4>
      </vt:variant>
      <vt:variant>
        <vt:i4>0</vt:i4>
      </vt:variant>
      <vt:variant>
        <vt:i4>5</vt:i4>
      </vt:variant>
      <vt:variant>
        <vt:lpwstr/>
      </vt:variant>
      <vt:variant>
        <vt:lpwstr>_Toc511503117</vt:lpwstr>
      </vt:variant>
      <vt:variant>
        <vt:i4>1114165</vt:i4>
      </vt:variant>
      <vt:variant>
        <vt:i4>134</vt:i4>
      </vt:variant>
      <vt:variant>
        <vt:i4>0</vt:i4>
      </vt:variant>
      <vt:variant>
        <vt:i4>5</vt:i4>
      </vt:variant>
      <vt:variant>
        <vt:lpwstr/>
      </vt:variant>
      <vt:variant>
        <vt:lpwstr>_Toc511503116</vt:lpwstr>
      </vt:variant>
      <vt:variant>
        <vt:i4>1114165</vt:i4>
      </vt:variant>
      <vt:variant>
        <vt:i4>128</vt:i4>
      </vt:variant>
      <vt:variant>
        <vt:i4>0</vt:i4>
      </vt:variant>
      <vt:variant>
        <vt:i4>5</vt:i4>
      </vt:variant>
      <vt:variant>
        <vt:lpwstr/>
      </vt:variant>
      <vt:variant>
        <vt:lpwstr>_Toc511503115</vt:lpwstr>
      </vt:variant>
      <vt:variant>
        <vt:i4>1114165</vt:i4>
      </vt:variant>
      <vt:variant>
        <vt:i4>122</vt:i4>
      </vt:variant>
      <vt:variant>
        <vt:i4>0</vt:i4>
      </vt:variant>
      <vt:variant>
        <vt:i4>5</vt:i4>
      </vt:variant>
      <vt:variant>
        <vt:lpwstr/>
      </vt:variant>
      <vt:variant>
        <vt:lpwstr>_Toc511503114</vt:lpwstr>
      </vt:variant>
      <vt:variant>
        <vt:i4>1114165</vt:i4>
      </vt:variant>
      <vt:variant>
        <vt:i4>116</vt:i4>
      </vt:variant>
      <vt:variant>
        <vt:i4>0</vt:i4>
      </vt:variant>
      <vt:variant>
        <vt:i4>5</vt:i4>
      </vt:variant>
      <vt:variant>
        <vt:lpwstr/>
      </vt:variant>
      <vt:variant>
        <vt:lpwstr>_Toc511503113</vt:lpwstr>
      </vt:variant>
      <vt:variant>
        <vt:i4>1114165</vt:i4>
      </vt:variant>
      <vt:variant>
        <vt:i4>110</vt:i4>
      </vt:variant>
      <vt:variant>
        <vt:i4>0</vt:i4>
      </vt:variant>
      <vt:variant>
        <vt:i4>5</vt:i4>
      </vt:variant>
      <vt:variant>
        <vt:lpwstr/>
      </vt:variant>
      <vt:variant>
        <vt:lpwstr>_Toc511503112</vt:lpwstr>
      </vt:variant>
      <vt:variant>
        <vt:i4>1114165</vt:i4>
      </vt:variant>
      <vt:variant>
        <vt:i4>104</vt:i4>
      </vt:variant>
      <vt:variant>
        <vt:i4>0</vt:i4>
      </vt:variant>
      <vt:variant>
        <vt:i4>5</vt:i4>
      </vt:variant>
      <vt:variant>
        <vt:lpwstr/>
      </vt:variant>
      <vt:variant>
        <vt:lpwstr>_Toc511503111</vt:lpwstr>
      </vt:variant>
      <vt:variant>
        <vt:i4>1114165</vt:i4>
      </vt:variant>
      <vt:variant>
        <vt:i4>98</vt:i4>
      </vt:variant>
      <vt:variant>
        <vt:i4>0</vt:i4>
      </vt:variant>
      <vt:variant>
        <vt:i4>5</vt:i4>
      </vt:variant>
      <vt:variant>
        <vt:lpwstr/>
      </vt:variant>
      <vt:variant>
        <vt:lpwstr>_Toc511503110</vt:lpwstr>
      </vt:variant>
      <vt:variant>
        <vt:i4>1048629</vt:i4>
      </vt:variant>
      <vt:variant>
        <vt:i4>92</vt:i4>
      </vt:variant>
      <vt:variant>
        <vt:i4>0</vt:i4>
      </vt:variant>
      <vt:variant>
        <vt:i4>5</vt:i4>
      </vt:variant>
      <vt:variant>
        <vt:lpwstr/>
      </vt:variant>
      <vt:variant>
        <vt:lpwstr>_Toc511503109</vt:lpwstr>
      </vt:variant>
      <vt:variant>
        <vt:i4>1048629</vt:i4>
      </vt:variant>
      <vt:variant>
        <vt:i4>86</vt:i4>
      </vt:variant>
      <vt:variant>
        <vt:i4>0</vt:i4>
      </vt:variant>
      <vt:variant>
        <vt:i4>5</vt:i4>
      </vt:variant>
      <vt:variant>
        <vt:lpwstr/>
      </vt:variant>
      <vt:variant>
        <vt:lpwstr>_Toc511503108</vt:lpwstr>
      </vt:variant>
      <vt:variant>
        <vt:i4>1048629</vt:i4>
      </vt:variant>
      <vt:variant>
        <vt:i4>80</vt:i4>
      </vt:variant>
      <vt:variant>
        <vt:i4>0</vt:i4>
      </vt:variant>
      <vt:variant>
        <vt:i4>5</vt:i4>
      </vt:variant>
      <vt:variant>
        <vt:lpwstr/>
      </vt:variant>
      <vt:variant>
        <vt:lpwstr>_Toc511503107</vt:lpwstr>
      </vt:variant>
      <vt:variant>
        <vt:i4>1048629</vt:i4>
      </vt:variant>
      <vt:variant>
        <vt:i4>74</vt:i4>
      </vt:variant>
      <vt:variant>
        <vt:i4>0</vt:i4>
      </vt:variant>
      <vt:variant>
        <vt:i4>5</vt:i4>
      </vt:variant>
      <vt:variant>
        <vt:lpwstr/>
      </vt:variant>
      <vt:variant>
        <vt:lpwstr>_Toc511503106</vt:lpwstr>
      </vt:variant>
      <vt:variant>
        <vt:i4>1048629</vt:i4>
      </vt:variant>
      <vt:variant>
        <vt:i4>68</vt:i4>
      </vt:variant>
      <vt:variant>
        <vt:i4>0</vt:i4>
      </vt:variant>
      <vt:variant>
        <vt:i4>5</vt:i4>
      </vt:variant>
      <vt:variant>
        <vt:lpwstr/>
      </vt:variant>
      <vt:variant>
        <vt:lpwstr>_Toc511503105</vt:lpwstr>
      </vt:variant>
      <vt:variant>
        <vt:i4>1048629</vt:i4>
      </vt:variant>
      <vt:variant>
        <vt:i4>62</vt:i4>
      </vt:variant>
      <vt:variant>
        <vt:i4>0</vt:i4>
      </vt:variant>
      <vt:variant>
        <vt:i4>5</vt:i4>
      </vt:variant>
      <vt:variant>
        <vt:lpwstr/>
      </vt:variant>
      <vt:variant>
        <vt:lpwstr>_Toc511503104</vt:lpwstr>
      </vt:variant>
      <vt:variant>
        <vt:i4>1048629</vt:i4>
      </vt:variant>
      <vt:variant>
        <vt:i4>56</vt:i4>
      </vt:variant>
      <vt:variant>
        <vt:i4>0</vt:i4>
      </vt:variant>
      <vt:variant>
        <vt:i4>5</vt:i4>
      </vt:variant>
      <vt:variant>
        <vt:lpwstr/>
      </vt:variant>
      <vt:variant>
        <vt:lpwstr>_Toc511503103</vt:lpwstr>
      </vt:variant>
      <vt:variant>
        <vt:i4>1048629</vt:i4>
      </vt:variant>
      <vt:variant>
        <vt:i4>50</vt:i4>
      </vt:variant>
      <vt:variant>
        <vt:i4>0</vt:i4>
      </vt:variant>
      <vt:variant>
        <vt:i4>5</vt:i4>
      </vt:variant>
      <vt:variant>
        <vt:lpwstr/>
      </vt:variant>
      <vt:variant>
        <vt:lpwstr>_Toc511503102</vt:lpwstr>
      </vt:variant>
      <vt:variant>
        <vt:i4>1048629</vt:i4>
      </vt:variant>
      <vt:variant>
        <vt:i4>44</vt:i4>
      </vt:variant>
      <vt:variant>
        <vt:i4>0</vt:i4>
      </vt:variant>
      <vt:variant>
        <vt:i4>5</vt:i4>
      </vt:variant>
      <vt:variant>
        <vt:lpwstr/>
      </vt:variant>
      <vt:variant>
        <vt:lpwstr>_Toc511503101</vt:lpwstr>
      </vt:variant>
      <vt:variant>
        <vt:i4>1048629</vt:i4>
      </vt:variant>
      <vt:variant>
        <vt:i4>38</vt:i4>
      </vt:variant>
      <vt:variant>
        <vt:i4>0</vt:i4>
      </vt:variant>
      <vt:variant>
        <vt:i4>5</vt:i4>
      </vt:variant>
      <vt:variant>
        <vt:lpwstr/>
      </vt:variant>
      <vt:variant>
        <vt:lpwstr>_Toc511503100</vt:lpwstr>
      </vt:variant>
      <vt:variant>
        <vt:i4>1638452</vt:i4>
      </vt:variant>
      <vt:variant>
        <vt:i4>32</vt:i4>
      </vt:variant>
      <vt:variant>
        <vt:i4>0</vt:i4>
      </vt:variant>
      <vt:variant>
        <vt:i4>5</vt:i4>
      </vt:variant>
      <vt:variant>
        <vt:lpwstr/>
      </vt:variant>
      <vt:variant>
        <vt:lpwstr>_Toc511503099</vt:lpwstr>
      </vt:variant>
      <vt:variant>
        <vt:i4>1638452</vt:i4>
      </vt:variant>
      <vt:variant>
        <vt:i4>26</vt:i4>
      </vt:variant>
      <vt:variant>
        <vt:i4>0</vt:i4>
      </vt:variant>
      <vt:variant>
        <vt:i4>5</vt:i4>
      </vt:variant>
      <vt:variant>
        <vt:lpwstr/>
      </vt:variant>
      <vt:variant>
        <vt:lpwstr>_Toc511503098</vt:lpwstr>
      </vt:variant>
      <vt:variant>
        <vt:i4>1638452</vt:i4>
      </vt:variant>
      <vt:variant>
        <vt:i4>20</vt:i4>
      </vt:variant>
      <vt:variant>
        <vt:i4>0</vt:i4>
      </vt:variant>
      <vt:variant>
        <vt:i4>5</vt:i4>
      </vt:variant>
      <vt:variant>
        <vt:lpwstr/>
      </vt:variant>
      <vt:variant>
        <vt:lpwstr>_Toc511503097</vt:lpwstr>
      </vt:variant>
      <vt:variant>
        <vt:i4>1638452</vt:i4>
      </vt:variant>
      <vt:variant>
        <vt:i4>14</vt:i4>
      </vt:variant>
      <vt:variant>
        <vt:i4>0</vt:i4>
      </vt:variant>
      <vt:variant>
        <vt:i4>5</vt:i4>
      </vt:variant>
      <vt:variant>
        <vt:lpwstr/>
      </vt:variant>
      <vt:variant>
        <vt:lpwstr>_Toc511503096</vt:lpwstr>
      </vt:variant>
      <vt:variant>
        <vt:i4>1638452</vt:i4>
      </vt:variant>
      <vt:variant>
        <vt:i4>8</vt:i4>
      </vt:variant>
      <vt:variant>
        <vt:i4>0</vt:i4>
      </vt:variant>
      <vt:variant>
        <vt:i4>5</vt:i4>
      </vt:variant>
      <vt:variant>
        <vt:lpwstr/>
      </vt:variant>
      <vt:variant>
        <vt:lpwstr>_Toc511503095</vt:lpwstr>
      </vt:variant>
      <vt:variant>
        <vt:i4>1638452</vt:i4>
      </vt:variant>
      <vt:variant>
        <vt:i4>2</vt:i4>
      </vt:variant>
      <vt:variant>
        <vt:i4>0</vt:i4>
      </vt:variant>
      <vt:variant>
        <vt:i4>5</vt:i4>
      </vt:variant>
      <vt:variant>
        <vt:lpwstr/>
      </vt:variant>
      <vt:variant>
        <vt:lpwstr>_Toc511503094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Development on an Internal Standard for CSR &amp; CRI Testing</dc:title>
  <dc:subject>The Extractions and Properties of Titanium Alloys</dc:subject>
  <dc:creator>Lawrence Tuckett</dc:creator>
  <cp:keywords/>
  <dc:description/>
  <cp:lastModifiedBy>Lawrence Tuckett</cp:lastModifiedBy>
  <cp:revision>11</cp:revision>
  <cp:lastPrinted>2018-04-24T10:52:00Z</cp:lastPrinted>
  <dcterms:created xsi:type="dcterms:W3CDTF">2018-04-23T12:22:00Z</dcterms:created>
  <dcterms:modified xsi:type="dcterms:W3CDTF">2018-04-25T11:03:00Z</dcterms:modified>
</cp:coreProperties>
</file>