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A7BD9D0">
        <w:rPr>
          <w:color w:val="000000" w:themeColor="text1"/>
          <w:sz w:val="24"/>
          <w:szCs w:val="24"/>
        </w:rPr>
        <w:t>+</w:t>
      </w:r>
      <w:r w:rsidR="5592E16B">
        <w:rPr>
          <w:noProof/>
        </w:rPr>
        <w:drawing>
          <wp:inline distT="0" distB="0" distL="0" distR="0" wp14:anchorId="661DC7E3" wp14:editId="0F6D5C44">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E0D15BD" w:rsidR="7908378C" w:rsidRDefault="7908378C" w:rsidP="33572C6E">
            <w:pPr>
              <w:ind w:right="237"/>
              <w:rPr>
                <w:b/>
                <w:bCs/>
                <w:color w:val="auto"/>
                <w:sz w:val="32"/>
                <w:szCs w:val="32"/>
              </w:rPr>
            </w:pPr>
            <w:r w:rsidRPr="33572C6E">
              <w:rPr>
                <w:b/>
                <w:bCs/>
                <w:color w:val="auto"/>
                <w:sz w:val="32"/>
                <w:szCs w:val="32"/>
              </w:rPr>
              <w:t xml:space="preserve">Learner name: </w:t>
            </w:r>
            <w:r w:rsidR="009C24E9">
              <w:rPr>
                <w:b/>
                <w:bCs/>
                <w:color w:val="auto"/>
                <w:sz w:val="32"/>
                <w:szCs w:val="32"/>
              </w:rPr>
              <w:t>Jessica Evans</w:t>
            </w:r>
          </w:p>
          <w:p w14:paraId="3A3A802D" w14:textId="77777777" w:rsidR="33572C6E" w:rsidRDefault="33572C6E" w:rsidP="33572C6E">
            <w:pPr>
              <w:ind w:right="237"/>
              <w:rPr>
                <w:b/>
                <w:bCs/>
                <w:color w:val="auto"/>
                <w:sz w:val="32"/>
                <w:szCs w:val="32"/>
              </w:rPr>
            </w:pPr>
          </w:p>
          <w:p w14:paraId="7883A53E" w14:textId="45B80189" w:rsidR="7908378C" w:rsidRDefault="7908378C" w:rsidP="33572C6E">
            <w:pPr>
              <w:ind w:right="237"/>
              <w:rPr>
                <w:b/>
                <w:bCs/>
                <w:color w:val="auto"/>
                <w:sz w:val="32"/>
                <w:szCs w:val="32"/>
              </w:rPr>
            </w:pPr>
            <w:r w:rsidRPr="33572C6E">
              <w:rPr>
                <w:b/>
                <w:bCs/>
                <w:color w:val="auto"/>
                <w:sz w:val="32"/>
                <w:szCs w:val="32"/>
              </w:rPr>
              <w:t>Learner’s University Registration Number:</w:t>
            </w:r>
            <w:r w:rsidR="003530AC">
              <w:rPr>
                <w:b/>
                <w:bCs/>
                <w:color w:val="auto"/>
                <w:sz w:val="32"/>
                <w:szCs w:val="32"/>
              </w:rPr>
              <w:t xml:space="preserve">  2031243</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3530AC"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752D350A"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6258B8AB" w14:textId="00B151AA" w:rsidR="00C60F2F" w:rsidRDefault="00C60F2F" w:rsidP="5B843AF0">
      <w:pPr>
        <w:ind w:right="237"/>
        <w:jc w:val="both"/>
        <w:rPr>
          <w:rFonts w:eastAsia="Arial"/>
          <w:b/>
          <w:bCs/>
          <w:color w:val="000000" w:themeColor="text1"/>
          <w:sz w:val="24"/>
          <w:szCs w:val="24"/>
        </w:rPr>
      </w:pPr>
    </w:p>
    <w:p w14:paraId="0600DD77" w14:textId="77777777" w:rsidR="00C60F2F" w:rsidRPr="003A56E7" w:rsidRDefault="00C60F2F" w:rsidP="00C60F2F">
      <w:pPr>
        <w:spacing w:line="360" w:lineRule="auto"/>
        <w:jc w:val="both"/>
        <w:rPr>
          <w:rFonts w:asciiTheme="minorHAnsi" w:hAnsiTheme="minorHAnsi" w:cstheme="minorHAnsi"/>
          <w:color w:val="auto"/>
          <w:sz w:val="22"/>
          <w:szCs w:val="22"/>
        </w:rPr>
      </w:pPr>
      <w:r w:rsidRPr="003A56E7">
        <w:rPr>
          <w:rFonts w:asciiTheme="minorHAnsi" w:hAnsiTheme="minorHAnsi" w:cstheme="minorHAnsi"/>
          <w:color w:val="auto"/>
          <w:sz w:val="22"/>
          <w:szCs w:val="22"/>
        </w:rPr>
        <w:t xml:space="preserve">Over the past decade significant attention has been given to the term vulnerability, and it has become a key concern amongst policing and public health agencies with the introduction of polices and legislation to reflect that (Enang et al., 2021). For the police, in recognition of the significancy of this emerging topic, Her Majesty’s Inspectorate of Constabulary (HMIC) now considers the management and response to vulnerability as the core performance indicators for induvial forces (HMIC, 2015). </w:t>
      </w:r>
    </w:p>
    <w:p w14:paraId="6A3CD018" w14:textId="77777777" w:rsidR="00C60F2F" w:rsidRPr="003A56E7" w:rsidRDefault="00C60F2F" w:rsidP="00C60F2F">
      <w:pPr>
        <w:spacing w:line="360" w:lineRule="auto"/>
        <w:jc w:val="both"/>
        <w:rPr>
          <w:rFonts w:asciiTheme="minorHAnsi" w:hAnsiTheme="minorHAnsi" w:cstheme="minorHAnsi"/>
          <w:color w:val="auto"/>
          <w:sz w:val="22"/>
          <w:szCs w:val="22"/>
        </w:rPr>
      </w:pPr>
    </w:p>
    <w:p w14:paraId="3A081135" w14:textId="77777777" w:rsidR="00C60F2F" w:rsidRPr="003A56E7" w:rsidRDefault="00C60F2F" w:rsidP="00C60F2F">
      <w:pPr>
        <w:spacing w:line="360" w:lineRule="auto"/>
        <w:jc w:val="both"/>
        <w:rPr>
          <w:rFonts w:asciiTheme="minorHAnsi" w:hAnsiTheme="minorHAnsi" w:cstheme="minorHAnsi"/>
          <w:color w:val="auto"/>
          <w:sz w:val="22"/>
          <w:szCs w:val="22"/>
        </w:rPr>
      </w:pPr>
      <w:r w:rsidRPr="003A56E7">
        <w:rPr>
          <w:rFonts w:asciiTheme="minorHAnsi" w:hAnsiTheme="minorHAnsi" w:cstheme="minorHAnsi"/>
          <w:color w:val="auto"/>
          <w:sz w:val="22"/>
          <w:szCs w:val="22"/>
        </w:rPr>
        <w:t xml:space="preserve">Whist, it is accepted that recognising and responding to vulnerability is not the sole responsibility of one agency alone and, failing to address vulnerability costs ‘us all’ (Asquith et al., 2018). There are significant disparities between definitions of vulnerability between agencies and indeed even between police forces (Enang et al., 2019). </w:t>
      </w:r>
      <w:r>
        <w:rPr>
          <w:rFonts w:cstheme="minorHAnsi"/>
        </w:rPr>
        <w:t>Amongst the wealth of literature surrounding vulnerability</w:t>
      </w:r>
      <w:r w:rsidRPr="003A56E7">
        <w:rPr>
          <w:rFonts w:asciiTheme="minorHAnsi" w:hAnsiTheme="minorHAnsi" w:cstheme="minorHAnsi"/>
          <w:color w:val="auto"/>
          <w:sz w:val="22"/>
          <w:szCs w:val="22"/>
        </w:rPr>
        <w:t xml:space="preserve">, </w:t>
      </w:r>
      <w:r>
        <w:rPr>
          <w:rFonts w:cstheme="minorHAnsi"/>
        </w:rPr>
        <w:t xml:space="preserve">there is a consensus </w:t>
      </w:r>
      <w:r w:rsidRPr="003A56E7">
        <w:rPr>
          <w:rFonts w:asciiTheme="minorHAnsi" w:hAnsiTheme="minorHAnsi" w:cstheme="minorHAnsi"/>
          <w:color w:val="auto"/>
          <w:sz w:val="22"/>
          <w:szCs w:val="22"/>
        </w:rPr>
        <w:t xml:space="preserve">that </w:t>
      </w:r>
      <w:r>
        <w:rPr>
          <w:rFonts w:cstheme="minorHAnsi"/>
        </w:rPr>
        <w:t xml:space="preserve">the </w:t>
      </w:r>
      <w:r w:rsidRPr="003A56E7">
        <w:rPr>
          <w:rFonts w:asciiTheme="minorHAnsi" w:hAnsiTheme="minorHAnsi" w:cstheme="minorHAnsi"/>
          <w:color w:val="auto"/>
          <w:sz w:val="22"/>
          <w:szCs w:val="22"/>
        </w:rPr>
        <w:t xml:space="preserve">lacking </w:t>
      </w:r>
      <w:r>
        <w:rPr>
          <w:rFonts w:cstheme="minorHAnsi"/>
        </w:rPr>
        <w:t xml:space="preserve">of </w:t>
      </w:r>
      <w:r w:rsidRPr="003A56E7">
        <w:rPr>
          <w:rFonts w:asciiTheme="minorHAnsi" w:hAnsiTheme="minorHAnsi" w:cstheme="minorHAnsi"/>
          <w:color w:val="auto"/>
          <w:sz w:val="22"/>
          <w:szCs w:val="22"/>
        </w:rPr>
        <w:t>a universally agreed definition subsequently limits the identification and collective response to vulnerability</w:t>
      </w:r>
      <w:r>
        <w:rPr>
          <w:rFonts w:cstheme="minorHAnsi"/>
        </w:rPr>
        <w:t>,</w:t>
      </w:r>
      <w:r w:rsidRPr="003A56E7">
        <w:rPr>
          <w:rFonts w:asciiTheme="minorHAnsi" w:hAnsiTheme="minorHAnsi" w:cstheme="minorHAnsi"/>
          <w:color w:val="auto"/>
          <w:sz w:val="22"/>
          <w:szCs w:val="22"/>
        </w:rPr>
        <w:t xml:space="preserve"> particularly amongst the agencies charged with managing and supporting them (Keay and Kirby, 2017). This is something that needs to be addressed. </w:t>
      </w:r>
    </w:p>
    <w:p w14:paraId="6288F060" w14:textId="77777777" w:rsidR="00C60F2F" w:rsidRDefault="00C60F2F" w:rsidP="00C60F2F">
      <w:pPr>
        <w:spacing w:line="360" w:lineRule="auto"/>
        <w:jc w:val="both"/>
        <w:rPr>
          <w:rFonts w:cstheme="minorHAnsi"/>
        </w:rPr>
      </w:pPr>
    </w:p>
    <w:p w14:paraId="3A7A6FB6" w14:textId="77777777" w:rsidR="00C60F2F" w:rsidRPr="003A56E7" w:rsidRDefault="00C60F2F" w:rsidP="00C60F2F">
      <w:pPr>
        <w:spacing w:line="360" w:lineRule="auto"/>
        <w:jc w:val="both"/>
        <w:rPr>
          <w:rFonts w:asciiTheme="minorHAnsi" w:hAnsiTheme="minorHAnsi" w:cstheme="minorHAnsi"/>
          <w:color w:val="auto"/>
          <w:sz w:val="22"/>
          <w:szCs w:val="22"/>
        </w:rPr>
      </w:pPr>
      <w:r w:rsidRPr="003A56E7">
        <w:rPr>
          <w:rFonts w:asciiTheme="minorHAnsi" w:hAnsiTheme="minorHAnsi" w:cstheme="minorHAnsi"/>
          <w:color w:val="auto"/>
          <w:sz w:val="22"/>
          <w:szCs w:val="22"/>
        </w:rPr>
        <w:t>For the purposes of this essay, I will utilise the following definition of vulnerability from the college of policing “A person is vulnerable if, as a result of their situation or circumstances they are unable to take care of or protect themselves or others from harm or exploitation”</w:t>
      </w:r>
      <w:r w:rsidRPr="00745C68">
        <w:t xml:space="preserve"> </w:t>
      </w:r>
      <w:r w:rsidRPr="00745C68">
        <w:rPr>
          <w:rFonts w:cstheme="minorHAnsi"/>
        </w:rPr>
        <w:t>(College of Policing, 2020)</w:t>
      </w:r>
      <w:r w:rsidRPr="003A56E7">
        <w:rPr>
          <w:rFonts w:asciiTheme="minorHAnsi" w:hAnsiTheme="minorHAnsi" w:cstheme="minorHAnsi"/>
          <w:color w:val="auto"/>
          <w:sz w:val="22"/>
          <w:szCs w:val="22"/>
        </w:rPr>
        <w:t>. A situation or circumstance may include; Personal Characteristics (Age, sexual orientation, ethnicity), Health and Disability (alcohol or drug dependency, mental health issues, physical disability), personal circumstances (social factors, repeat victimisation) and economic circumstances and it is the interaction between these situational and personal factors that represents how a person may be vulnerable</w:t>
      </w:r>
      <w:r>
        <w:rPr>
          <w:rFonts w:cstheme="minorHAnsi"/>
        </w:rPr>
        <w:t xml:space="preserve"> </w:t>
      </w:r>
      <w:r w:rsidRPr="00227EFA">
        <w:rPr>
          <w:rFonts w:cstheme="minorHAnsi"/>
        </w:rPr>
        <w:t>(Northumbria Police, 2017)</w:t>
      </w:r>
      <w:r>
        <w:rPr>
          <w:rFonts w:cstheme="minorHAnsi"/>
        </w:rPr>
        <w:t xml:space="preserve"> </w:t>
      </w:r>
      <w:r w:rsidRPr="003A56E7">
        <w:rPr>
          <w:rFonts w:asciiTheme="minorHAnsi" w:hAnsiTheme="minorHAnsi" w:cstheme="minorHAnsi"/>
          <w:color w:val="auto"/>
          <w:sz w:val="22"/>
          <w:szCs w:val="22"/>
        </w:rPr>
        <w:t xml:space="preserve">. With this in mind, it is possible that anyone can be vulnerable at any one point depending on the situation. </w:t>
      </w:r>
    </w:p>
    <w:p w14:paraId="061C74FC" w14:textId="77777777" w:rsidR="00C60F2F" w:rsidRDefault="00C60F2F" w:rsidP="00C60F2F">
      <w:pPr>
        <w:spacing w:line="360" w:lineRule="auto"/>
        <w:jc w:val="both"/>
        <w:rPr>
          <w:rFonts w:cstheme="minorHAnsi"/>
        </w:rPr>
      </w:pPr>
    </w:p>
    <w:p w14:paraId="0CC08F30" w14:textId="77777777" w:rsidR="00C60F2F" w:rsidRPr="003A56E7" w:rsidRDefault="00C60F2F" w:rsidP="00C60F2F">
      <w:pPr>
        <w:spacing w:line="360" w:lineRule="auto"/>
        <w:jc w:val="both"/>
        <w:rPr>
          <w:rFonts w:asciiTheme="minorHAnsi" w:hAnsiTheme="minorHAnsi" w:cstheme="minorHAnsi"/>
          <w:color w:val="auto"/>
          <w:sz w:val="22"/>
          <w:szCs w:val="22"/>
        </w:rPr>
      </w:pPr>
      <w:r w:rsidRPr="003A56E7">
        <w:rPr>
          <w:rFonts w:asciiTheme="minorHAnsi" w:hAnsiTheme="minorHAnsi" w:cstheme="minorHAnsi"/>
          <w:color w:val="auto"/>
          <w:sz w:val="22"/>
          <w:szCs w:val="22"/>
        </w:rPr>
        <w:t>Startlingly prevalent, tackling domestic abuse is of high priority to the police and its victims are often amongst some of the most vulnerable</w:t>
      </w:r>
      <w:r>
        <w:rPr>
          <w:rFonts w:cstheme="minorHAnsi"/>
        </w:rPr>
        <w:t xml:space="preserve"> </w:t>
      </w:r>
      <w:r w:rsidRPr="009626C3">
        <w:rPr>
          <w:rFonts w:cstheme="minorHAnsi"/>
        </w:rPr>
        <w:t>(Shovel, 2023)</w:t>
      </w:r>
      <w:r w:rsidRPr="003A56E7">
        <w:rPr>
          <w:rFonts w:asciiTheme="minorHAnsi" w:hAnsiTheme="minorHAnsi" w:cstheme="minorHAnsi"/>
          <w:color w:val="auto"/>
          <w:sz w:val="22"/>
          <w:szCs w:val="22"/>
        </w:rPr>
        <w:t xml:space="preserve">. Below I will discuss a recent policing incident I attended with a repeat victim of Domestic Abuse. I will consider the different approaches police and other professionals can take in supporting and managing those identified as vulnerable as well what works in reducing repeat offending and victimisation. </w:t>
      </w:r>
    </w:p>
    <w:p w14:paraId="5241DB49" w14:textId="77777777" w:rsidR="00C60F2F" w:rsidRDefault="00C60F2F" w:rsidP="00C60F2F">
      <w:pPr>
        <w:spacing w:line="360" w:lineRule="auto"/>
        <w:jc w:val="both"/>
        <w:rPr>
          <w:rFonts w:cstheme="minorHAnsi"/>
        </w:rPr>
      </w:pPr>
    </w:p>
    <w:p w14:paraId="438657DC" w14:textId="77777777" w:rsidR="00C60F2F" w:rsidRPr="003A56E7" w:rsidRDefault="00C60F2F" w:rsidP="00C60F2F">
      <w:pPr>
        <w:spacing w:line="360" w:lineRule="auto"/>
        <w:jc w:val="both"/>
        <w:rPr>
          <w:rFonts w:asciiTheme="minorHAnsi" w:hAnsiTheme="minorHAnsi" w:cstheme="minorHAnsi"/>
          <w:color w:val="auto"/>
          <w:sz w:val="22"/>
          <w:szCs w:val="22"/>
        </w:rPr>
      </w:pPr>
      <w:r w:rsidRPr="003A56E7">
        <w:rPr>
          <w:rFonts w:asciiTheme="minorHAnsi" w:hAnsiTheme="minorHAnsi" w:cstheme="minorHAnsi"/>
          <w:color w:val="auto"/>
          <w:sz w:val="22"/>
          <w:szCs w:val="22"/>
        </w:rPr>
        <w:t xml:space="preserve">One particular afternoon shift, officers were called to an address following a third-party report that a female within the address could be heard screaming and asking for help this was followed by “GET OUT”. The caller later divulged that they were a neighbour however, wanted no involvement due to the ongoing issues. </w:t>
      </w:r>
    </w:p>
    <w:p w14:paraId="13E572AF" w14:textId="77777777" w:rsidR="00C60F2F" w:rsidRPr="003A56E7" w:rsidRDefault="00C60F2F" w:rsidP="00C60F2F">
      <w:pPr>
        <w:spacing w:line="360" w:lineRule="auto"/>
        <w:jc w:val="both"/>
        <w:rPr>
          <w:rFonts w:asciiTheme="minorHAnsi" w:hAnsiTheme="minorHAnsi" w:cstheme="minorHAnsi"/>
          <w:color w:val="auto"/>
          <w:sz w:val="22"/>
          <w:szCs w:val="22"/>
        </w:rPr>
      </w:pPr>
      <w:r w:rsidRPr="003A56E7">
        <w:rPr>
          <w:rFonts w:asciiTheme="minorHAnsi" w:hAnsiTheme="minorHAnsi" w:cstheme="minorHAnsi"/>
          <w:color w:val="auto"/>
          <w:sz w:val="22"/>
          <w:szCs w:val="22"/>
        </w:rPr>
        <w:t xml:space="preserve">Initial checks conducted by the Public Service Centre (PSC) showed the female who resided at the reported address was a high-risk repeat victim of Domestic Violence to her ex-partner, a male who had several warning markers for violence as well as a long history as a Domestic Violence perpetrator to a number of females. </w:t>
      </w:r>
    </w:p>
    <w:p w14:paraId="646D5C4B" w14:textId="77777777" w:rsidR="00C60F2F" w:rsidRPr="003A56E7" w:rsidRDefault="00C60F2F" w:rsidP="00C60F2F">
      <w:pPr>
        <w:spacing w:line="360" w:lineRule="auto"/>
        <w:jc w:val="both"/>
        <w:rPr>
          <w:rFonts w:asciiTheme="minorHAnsi" w:hAnsiTheme="minorHAnsi" w:cstheme="minorHAnsi"/>
          <w:color w:val="auto"/>
          <w:sz w:val="22"/>
          <w:szCs w:val="22"/>
        </w:rPr>
      </w:pPr>
      <w:r w:rsidRPr="003A56E7">
        <w:rPr>
          <w:rFonts w:asciiTheme="minorHAnsi" w:hAnsiTheme="minorHAnsi" w:cstheme="minorHAnsi"/>
          <w:color w:val="auto"/>
          <w:sz w:val="22"/>
          <w:szCs w:val="22"/>
        </w:rPr>
        <w:t xml:space="preserve">Upon arriving at scene officers could hear the female screaming for help, the front door of the address was open. As officers entered through the front door a female could be seen on the top of the stairs in a distressed state, a male, well known to officers stood at the bottom, he was heavily intoxicated and appeared to be under the influence of something. Officers separated both parties to obtain their accounts. </w:t>
      </w:r>
    </w:p>
    <w:p w14:paraId="527A9657" w14:textId="77777777" w:rsidR="00C60F2F" w:rsidRPr="003A56E7" w:rsidRDefault="00C60F2F" w:rsidP="00C60F2F">
      <w:pPr>
        <w:spacing w:line="360" w:lineRule="auto"/>
        <w:jc w:val="both"/>
        <w:rPr>
          <w:rFonts w:asciiTheme="minorHAnsi" w:hAnsiTheme="minorHAnsi" w:cstheme="minorHAnsi"/>
          <w:color w:val="auto"/>
          <w:sz w:val="22"/>
          <w:szCs w:val="22"/>
        </w:rPr>
      </w:pPr>
      <w:r w:rsidRPr="003A56E7">
        <w:rPr>
          <w:rFonts w:asciiTheme="minorHAnsi" w:hAnsiTheme="minorHAnsi" w:cstheme="minorHAnsi"/>
          <w:color w:val="auto"/>
          <w:sz w:val="22"/>
          <w:szCs w:val="22"/>
        </w:rPr>
        <w:t>The female explained that the male was her ex-partner he had turned up at her address unannounced “clearly off his head” and had let himself in through the front</w:t>
      </w:r>
      <w:r>
        <w:rPr>
          <w:rFonts w:cstheme="minorHAnsi"/>
        </w:rPr>
        <w:t>-</w:t>
      </w:r>
      <w:r w:rsidRPr="003A56E7">
        <w:rPr>
          <w:rFonts w:asciiTheme="minorHAnsi" w:hAnsiTheme="minorHAnsi" w:cstheme="minorHAnsi"/>
          <w:color w:val="auto"/>
          <w:sz w:val="22"/>
          <w:szCs w:val="22"/>
        </w:rPr>
        <w:t xml:space="preserve">door which was unlocked. She questioned her ex-partner on what he was doing at the address before offering to pay for a taxi for him to leave. Following this request a verbal altercation had ensued at which point the female had threatened to call the police unless the ex-partner left, he refused. The female attempted to flee through the back door, but he prevented her slamming it shut, a scuffle then follows during which the female feels one of her fingers “snap” followed by intense pain. The female distraught then screams for help, </w:t>
      </w:r>
      <w:r>
        <w:rPr>
          <w:rFonts w:cstheme="minorHAnsi"/>
        </w:rPr>
        <w:t xml:space="preserve">and </w:t>
      </w:r>
      <w:r w:rsidRPr="003A56E7">
        <w:rPr>
          <w:rFonts w:asciiTheme="minorHAnsi" w:hAnsiTheme="minorHAnsi" w:cstheme="minorHAnsi"/>
          <w:color w:val="auto"/>
          <w:sz w:val="22"/>
          <w:szCs w:val="22"/>
        </w:rPr>
        <w:t xml:space="preserve">the male begins smashing items in the house, moving from room to room. To prevent her ex-partner going upstairs she runs up first, at which point police arrive. </w:t>
      </w:r>
    </w:p>
    <w:p w14:paraId="43E6736D" w14:textId="77777777" w:rsidR="00C60F2F" w:rsidRDefault="00C60F2F" w:rsidP="00C60F2F">
      <w:pPr>
        <w:spacing w:line="360" w:lineRule="auto"/>
        <w:jc w:val="both"/>
        <w:rPr>
          <w:rFonts w:cstheme="minorHAnsi"/>
        </w:rPr>
      </w:pPr>
      <w:r w:rsidRPr="003A56E7">
        <w:rPr>
          <w:rFonts w:asciiTheme="minorHAnsi" w:hAnsiTheme="minorHAnsi" w:cstheme="minorHAnsi"/>
          <w:color w:val="auto"/>
          <w:sz w:val="22"/>
          <w:szCs w:val="22"/>
        </w:rPr>
        <w:t xml:space="preserve">Given this disclosure by the female the ex-partner was arrested for DV assault by Actual bodily harm (ABH) and criminal damage. The female on this occasion was fully supportive of police action. </w:t>
      </w:r>
    </w:p>
    <w:p w14:paraId="7AE7050B" w14:textId="77777777" w:rsidR="00C60F2F" w:rsidRPr="003A56E7" w:rsidRDefault="00C60F2F" w:rsidP="00C60F2F">
      <w:pPr>
        <w:spacing w:line="360" w:lineRule="auto"/>
        <w:jc w:val="both"/>
        <w:rPr>
          <w:rFonts w:asciiTheme="minorHAnsi" w:hAnsiTheme="minorHAnsi" w:cstheme="minorHAnsi"/>
          <w:color w:val="auto"/>
          <w:sz w:val="22"/>
          <w:szCs w:val="22"/>
        </w:rPr>
      </w:pPr>
      <w:r w:rsidRPr="003A56E7">
        <w:rPr>
          <w:rFonts w:asciiTheme="minorHAnsi" w:hAnsiTheme="minorHAnsi" w:cstheme="minorHAnsi"/>
          <w:color w:val="auto"/>
          <w:sz w:val="22"/>
          <w:szCs w:val="22"/>
        </w:rPr>
        <w:t>In the context of Domestic Abuse there are two strands of thought when it comes to supporting and managing vulnerable victims. Firstly, how do we prevent perpetrators from inflicting any further violence or abuse to victims and secondly how can we help the victim equipping them with the tools to not only rebuild their lives but prevent them becoming re-entering an abusive relationship. Taking this into account I will consider the following approaches below; Multi-agency collaboration, IDVAs and Victim Support.</w:t>
      </w:r>
    </w:p>
    <w:p w14:paraId="0BB97F25" w14:textId="77777777" w:rsidR="00C60F2F" w:rsidRPr="003A56E7" w:rsidRDefault="00C60F2F" w:rsidP="00C60F2F">
      <w:pPr>
        <w:tabs>
          <w:tab w:val="left" w:pos="1356"/>
        </w:tabs>
        <w:spacing w:line="360" w:lineRule="auto"/>
        <w:jc w:val="both"/>
        <w:rPr>
          <w:rFonts w:asciiTheme="minorHAnsi" w:hAnsiTheme="minorHAnsi" w:cstheme="minorHAnsi"/>
          <w:color w:val="auto"/>
          <w:sz w:val="22"/>
          <w:szCs w:val="22"/>
        </w:rPr>
      </w:pPr>
      <w:r w:rsidRPr="003A56E7">
        <w:rPr>
          <w:rFonts w:asciiTheme="minorHAnsi" w:hAnsiTheme="minorHAnsi" w:cstheme="minorHAnsi"/>
          <w:color w:val="auto"/>
          <w:sz w:val="22"/>
          <w:szCs w:val="22"/>
        </w:rPr>
        <w:t xml:space="preserve">First and foremost, officers risk assessments must be conducted by attending officers in order to identify any vulnerabilities and in the context of domestic abuse, to identify the presence of Domestic abuse factors and understand the risk of further harm posed to the victim. </w:t>
      </w:r>
      <w:r>
        <w:rPr>
          <w:rFonts w:cstheme="minorHAnsi"/>
        </w:rPr>
        <w:t>Given the Force Policy surrounding Domestic Abuse and positive action in order to ensure effective safeguarding</w:t>
      </w:r>
      <w:r w:rsidRPr="003A56E7">
        <w:rPr>
          <w:rFonts w:asciiTheme="minorHAnsi" w:hAnsiTheme="minorHAnsi" w:cstheme="minorHAnsi"/>
          <w:color w:val="auto"/>
          <w:sz w:val="22"/>
          <w:szCs w:val="22"/>
        </w:rPr>
        <w:t xml:space="preserve"> at the scene of any Domestic incident regardless of whether or not a crime has been disclosed a robust risk assessment must be conducted</w:t>
      </w:r>
      <w:r>
        <w:rPr>
          <w:rFonts w:cstheme="minorHAnsi"/>
        </w:rPr>
        <w:t xml:space="preserve"> </w:t>
      </w:r>
      <w:r w:rsidRPr="00897647">
        <w:rPr>
          <w:rFonts w:cstheme="minorHAnsi"/>
        </w:rPr>
        <w:t>(HMIC, 2014)</w:t>
      </w:r>
      <w:r>
        <w:rPr>
          <w:rFonts w:cstheme="minorHAnsi"/>
        </w:rPr>
        <w:t>. This is done</w:t>
      </w:r>
      <w:r w:rsidRPr="003A56E7">
        <w:rPr>
          <w:rFonts w:asciiTheme="minorHAnsi" w:hAnsiTheme="minorHAnsi" w:cstheme="minorHAnsi"/>
          <w:color w:val="auto"/>
          <w:sz w:val="22"/>
          <w:szCs w:val="22"/>
        </w:rPr>
        <w:t xml:space="preserve"> using risk assessment tools as well as officers’ professional judgement. </w:t>
      </w:r>
    </w:p>
    <w:p w14:paraId="664F6390" w14:textId="77777777" w:rsidR="00C60F2F" w:rsidRPr="003A56E7" w:rsidRDefault="00C60F2F" w:rsidP="00C60F2F">
      <w:pPr>
        <w:tabs>
          <w:tab w:val="left" w:pos="1356"/>
        </w:tabs>
        <w:spacing w:line="360" w:lineRule="auto"/>
        <w:jc w:val="both"/>
        <w:rPr>
          <w:rFonts w:asciiTheme="minorHAnsi" w:hAnsiTheme="minorHAnsi" w:cstheme="minorHAnsi"/>
          <w:b/>
          <w:bCs/>
          <w:color w:val="auto"/>
          <w:sz w:val="22"/>
          <w:szCs w:val="22"/>
        </w:rPr>
      </w:pPr>
      <w:r w:rsidRPr="003A56E7">
        <w:rPr>
          <w:rFonts w:asciiTheme="minorHAnsi" w:hAnsiTheme="minorHAnsi" w:cstheme="minorHAnsi"/>
          <w:b/>
          <w:bCs/>
          <w:color w:val="auto"/>
          <w:sz w:val="22"/>
          <w:szCs w:val="22"/>
        </w:rPr>
        <w:t>PPNs</w:t>
      </w:r>
    </w:p>
    <w:p w14:paraId="0EAB8333" w14:textId="77777777" w:rsidR="00C60F2F" w:rsidRPr="003A56E7" w:rsidRDefault="00C60F2F" w:rsidP="00C60F2F">
      <w:pPr>
        <w:tabs>
          <w:tab w:val="left" w:pos="1356"/>
        </w:tabs>
        <w:spacing w:line="360" w:lineRule="auto"/>
        <w:jc w:val="both"/>
        <w:rPr>
          <w:rFonts w:asciiTheme="minorHAnsi" w:hAnsiTheme="minorHAnsi" w:cstheme="minorHAnsi"/>
          <w:color w:val="auto"/>
          <w:sz w:val="22"/>
          <w:szCs w:val="22"/>
        </w:rPr>
      </w:pPr>
      <w:r w:rsidRPr="003A56E7">
        <w:rPr>
          <w:rFonts w:asciiTheme="minorHAnsi" w:hAnsiTheme="minorHAnsi" w:cstheme="minorHAnsi"/>
          <w:color w:val="auto"/>
          <w:sz w:val="22"/>
          <w:szCs w:val="22"/>
        </w:rPr>
        <w:t>Public protection notices (PPNs) are information sharing documents completed at incidents where officers have concerns for vulnerable individuals as well as at Domestic Abuse incidents. Domestic Abuse PPNs compromise of a risk assessment tool called DASH (Domestic Abuse, Stalking and Harassment) this consists of twenty-seven questions that assists officers in identifying those most at risk of experiencing Domestic Abuse in the future. This information is then passed onto specialist Domestic abuse units who dissect the information</w:t>
      </w:r>
      <w:r>
        <w:rPr>
          <w:rFonts w:cstheme="minorHAnsi"/>
        </w:rPr>
        <w:t xml:space="preserve">; </w:t>
      </w:r>
      <w:r w:rsidRPr="003A56E7">
        <w:rPr>
          <w:rFonts w:asciiTheme="minorHAnsi" w:hAnsiTheme="minorHAnsi" w:cstheme="minorHAnsi"/>
          <w:color w:val="auto"/>
          <w:sz w:val="22"/>
          <w:szCs w:val="22"/>
        </w:rPr>
        <w:t xml:space="preserve">give a further risk assessment </w:t>
      </w:r>
      <w:r>
        <w:rPr>
          <w:rFonts w:cstheme="minorHAnsi"/>
        </w:rPr>
        <w:t>as well as</w:t>
      </w:r>
      <w:r w:rsidRPr="003A56E7">
        <w:rPr>
          <w:rFonts w:asciiTheme="minorHAnsi" w:hAnsiTheme="minorHAnsi" w:cstheme="minorHAnsi"/>
          <w:color w:val="auto"/>
          <w:sz w:val="22"/>
          <w:szCs w:val="22"/>
        </w:rPr>
        <w:t xml:space="preserve"> act</w:t>
      </w:r>
      <w:r>
        <w:rPr>
          <w:rFonts w:cstheme="minorHAnsi"/>
        </w:rPr>
        <w:t>ing</w:t>
      </w:r>
      <w:r w:rsidRPr="003A56E7">
        <w:rPr>
          <w:rFonts w:asciiTheme="minorHAnsi" w:hAnsiTheme="minorHAnsi" w:cstheme="minorHAnsi"/>
          <w:color w:val="auto"/>
          <w:sz w:val="22"/>
          <w:szCs w:val="22"/>
        </w:rPr>
        <w:t xml:space="preserve"> as a springboard for referrals for further support depending on the level of risk. This process must remain dynamic and under constant review reflecting how rapidly situations and circumstances may change. However, one potential limitation with this DASH is that it is reliant on victim engagement and their consent for sharing. Regardless the submission of PPNs is critical as whilst officers are trained to recognise and respond to risk and vulnerability they are not best suited to provide victims with the support they need following domestic abuse incidents. </w:t>
      </w:r>
    </w:p>
    <w:p w14:paraId="64D506FA" w14:textId="77777777" w:rsidR="00C60F2F" w:rsidRPr="003A56E7" w:rsidRDefault="00C60F2F" w:rsidP="00C60F2F">
      <w:pPr>
        <w:tabs>
          <w:tab w:val="left" w:pos="1356"/>
        </w:tabs>
        <w:spacing w:line="360" w:lineRule="auto"/>
        <w:jc w:val="both"/>
        <w:rPr>
          <w:rFonts w:asciiTheme="minorHAnsi" w:hAnsiTheme="minorHAnsi" w:cstheme="minorHAnsi"/>
          <w:color w:val="auto"/>
          <w:sz w:val="22"/>
          <w:szCs w:val="22"/>
        </w:rPr>
      </w:pPr>
      <w:r w:rsidRPr="003A56E7">
        <w:rPr>
          <w:rFonts w:asciiTheme="minorHAnsi" w:hAnsiTheme="minorHAnsi" w:cstheme="minorHAnsi"/>
          <w:color w:val="auto"/>
          <w:sz w:val="22"/>
          <w:szCs w:val="22"/>
        </w:rPr>
        <w:t>As per the above incident when a victim is recognised as being high</w:t>
      </w:r>
      <w:r>
        <w:rPr>
          <w:rFonts w:cstheme="minorHAnsi"/>
        </w:rPr>
        <w:t>-</w:t>
      </w:r>
      <w:r w:rsidRPr="003A56E7">
        <w:rPr>
          <w:rFonts w:asciiTheme="minorHAnsi" w:hAnsiTheme="minorHAnsi" w:cstheme="minorHAnsi"/>
          <w:color w:val="auto"/>
          <w:sz w:val="22"/>
          <w:szCs w:val="22"/>
        </w:rPr>
        <w:t>risk their information, with their consent is then shared at local Multi</w:t>
      </w:r>
      <w:r>
        <w:rPr>
          <w:rFonts w:cstheme="minorHAnsi"/>
        </w:rPr>
        <w:t>-</w:t>
      </w:r>
      <w:r w:rsidRPr="003A56E7">
        <w:rPr>
          <w:rFonts w:asciiTheme="minorHAnsi" w:hAnsiTheme="minorHAnsi" w:cstheme="minorHAnsi"/>
          <w:color w:val="auto"/>
          <w:sz w:val="22"/>
          <w:szCs w:val="22"/>
        </w:rPr>
        <w:t xml:space="preserve">agency meetings call MARACs. </w:t>
      </w:r>
    </w:p>
    <w:p w14:paraId="5B79A1A6" w14:textId="77777777" w:rsidR="00C60F2F" w:rsidRPr="003A56E7" w:rsidRDefault="00C60F2F" w:rsidP="00C60F2F">
      <w:pPr>
        <w:tabs>
          <w:tab w:val="left" w:pos="1356"/>
        </w:tabs>
        <w:spacing w:line="360" w:lineRule="auto"/>
        <w:jc w:val="both"/>
        <w:rPr>
          <w:rFonts w:asciiTheme="minorHAnsi" w:hAnsiTheme="minorHAnsi" w:cstheme="minorHAnsi"/>
          <w:b/>
          <w:bCs/>
          <w:color w:val="auto"/>
          <w:sz w:val="22"/>
          <w:szCs w:val="22"/>
        </w:rPr>
      </w:pPr>
      <w:r w:rsidRPr="003A56E7">
        <w:rPr>
          <w:rFonts w:asciiTheme="minorHAnsi" w:hAnsiTheme="minorHAnsi" w:cstheme="minorHAnsi"/>
          <w:b/>
          <w:bCs/>
          <w:color w:val="auto"/>
          <w:sz w:val="22"/>
          <w:szCs w:val="22"/>
        </w:rPr>
        <w:t>Multi-agency work</w:t>
      </w:r>
    </w:p>
    <w:p w14:paraId="643B4EAB" w14:textId="77777777" w:rsidR="00C60F2F" w:rsidRPr="003A56E7" w:rsidRDefault="00C60F2F" w:rsidP="00C60F2F">
      <w:pPr>
        <w:spacing w:line="360" w:lineRule="auto"/>
        <w:jc w:val="both"/>
        <w:rPr>
          <w:rFonts w:asciiTheme="minorHAnsi" w:hAnsiTheme="minorHAnsi" w:cstheme="minorHAnsi"/>
          <w:color w:val="auto"/>
          <w:sz w:val="22"/>
          <w:szCs w:val="22"/>
        </w:rPr>
      </w:pPr>
      <w:r w:rsidRPr="003A56E7">
        <w:rPr>
          <w:rFonts w:asciiTheme="minorHAnsi" w:hAnsiTheme="minorHAnsi" w:cstheme="minorHAnsi"/>
          <w:color w:val="auto"/>
          <w:sz w:val="22"/>
          <w:szCs w:val="22"/>
        </w:rPr>
        <w:t>The introduction of Multi-agency Risk Assessment Conferences was a significant milestone in the support and management of vulnerable high-risk victims of Domestic Abuse</w:t>
      </w:r>
      <w:r>
        <w:rPr>
          <w:rFonts w:cstheme="minorHAnsi"/>
        </w:rPr>
        <w:t xml:space="preserve"> </w:t>
      </w:r>
      <w:r w:rsidRPr="00CD3865">
        <w:rPr>
          <w:rFonts w:cstheme="minorHAnsi"/>
        </w:rPr>
        <w:t>(McLaughlin et al., 2014)</w:t>
      </w:r>
      <w:r w:rsidRPr="003A56E7">
        <w:rPr>
          <w:rFonts w:asciiTheme="minorHAnsi" w:hAnsiTheme="minorHAnsi" w:cstheme="minorHAnsi"/>
          <w:color w:val="auto"/>
          <w:sz w:val="22"/>
          <w:szCs w:val="22"/>
        </w:rPr>
        <w:t>. MARACs are one of several similar multi-agency case management schemes recently introduced highlight</w:t>
      </w:r>
      <w:r>
        <w:rPr>
          <w:rFonts w:cstheme="minorHAnsi"/>
        </w:rPr>
        <w:t>ing</w:t>
      </w:r>
      <w:r w:rsidRPr="003A56E7">
        <w:rPr>
          <w:rFonts w:asciiTheme="minorHAnsi" w:hAnsiTheme="minorHAnsi" w:cstheme="minorHAnsi"/>
          <w:color w:val="auto"/>
          <w:sz w:val="22"/>
          <w:szCs w:val="22"/>
        </w:rPr>
        <w:t xml:space="preserve"> a contemporary shift towards joint decision making and increased collaboration. Other schemes include the Multi-agency Safeguarding Hub (MASH) and Multi</w:t>
      </w:r>
      <w:r>
        <w:rPr>
          <w:rFonts w:cstheme="minorHAnsi"/>
        </w:rPr>
        <w:t>-</w:t>
      </w:r>
      <w:r w:rsidRPr="003A56E7">
        <w:rPr>
          <w:rFonts w:asciiTheme="minorHAnsi" w:hAnsiTheme="minorHAnsi" w:cstheme="minorHAnsi"/>
          <w:color w:val="auto"/>
          <w:sz w:val="22"/>
          <w:szCs w:val="22"/>
        </w:rPr>
        <w:t>Agency Public Protection arrangements (MAPPA) that focus on children and the management of violent offenders, respectively.</w:t>
      </w:r>
    </w:p>
    <w:p w14:paraId="5245EF81" w14:textId="77777777" w:rsidR="00C60F2F" w:rsidRPr="003A56E7" w:rsidRDefault="00C60F2F" w:rsidP="00C60F2F">
      <w:pPr>
        <w:spacing w:line="360" w:lineRule="auto"/>
        <w:jc w:val="both"/>
        <w:rPr>
          <w:rFonts w:asciiTheme="minorHAnsi" w:hAnsiTheme="minorHAnsi" w:cstheme="minorHAnsi"/>
          <w:color w:val="auto"/>
          <w:sz w:val="22"/>
          <w:szCs w:val="22"/>
        </w:rPr>
      </w:pPr>
    </w:p>
    <w:p w14:paraId="60020B97" w14:textId="77777777" w:rsidR="00C60F2F" w:rsidRPr="003A56E7" w:rsidRDefault="00C60F2F" w:rsidP="00C60F2F">
      <w:pPr>
        <w:spacing w:line="360" w:lineRule="auto"/>
        <w:jc w:val="both"/>
        <w:rPr>
          <w:rFonts w:asciiTheme="minorHAnsi" w:hAnsiTheme="minorHAnsi" w:cstheme="minorHAnsi"/>
          <w:color w:val="auto"/>
          <w:sz w:val="22"/>
          <w:szCs w:val="22"/>
        </w:rPr>
      </w:pPr>
      <w:r w:rsidRPr="003A56E7">
        <w:rPr>
          <w:rFonts w:asciiTheme="minorHAnsi" w:hAnsiTheme="minorHAnsi" w:cstheme="minorHAnsi"/>
          <w:color w:val="auto"/>
          <w:sz w:val="22"/>
          <w:szCs w:val="22"/>
        </w:rPr>
        <w:t xml:space="preserve"> MARACs are monthly forums where </w:t>
      </w:r>
      <w:r>
        <w:rPr>
          <w:rFonts w:cstheme="minorHAnsi"/>
        </w:rPr>
        <w:t>several</w:t>
      </w:r>
      <w:r w:rsidRPr="003A56E7">
        <w:rPr>
          <w:rFonts w:asciiTheme="minorHAnsi" w:hAnsiTheme="minorHAnsi" w:cstheme="minorHAnsi"/>
          <w:color w:val="auto"/>
          <w:sz w:val="22"/>
          <w:szCs w:val="22"/>
        </w:rPr>
        <w:t xml:space="preserve"> agencies (including, but not limited to; police, local council, GPs, social services, housing agencies) come together to discuss those identified as high-risk victims of Domestic Abuse. </w:t>
      </w:r>
      <w:r>
        <w:rPr>
          <w:rFonts w:cstheme="minorHAnsi"/>
        </w:rPr>
        <w:t xml:space="preserve">The meetings are police led. </w:t>
      </w:r>
      <w:r w:rsidRPr="003A56E7">
        <w:rPr>
          <w:rFonts w:asciiTheme="minorHAnsi" w:hAnsiTheme="minorHAnsi" w:cstheme="minorHAnsi"/>
          <w:color w:val="auto"/>
          <w:sz w:val="22"/>
          <w:szCs w:val="22"/>
        </w:rPr>
        <w:t>Information and concerns are shared enabl</w:t>
      </w:r>
      <w:r>
        <w:rPr>
          <w:rFonts w:cstheme="minorHAnsi"/>
        </w:rPr>
        <w:t>ing</w:t>
      </w:r>
      <w:r w:rsidRPr="003A56E7">
        <w:rPr>
          <w:rFonts w:asciiTheme="minorHAnsi" w:hAnsiTheme="minorHAnsi" w:cstheme="minorHAnsi"/>
          <w:color w:val="auto"/>
          <w:sz w:val="22"/>
          <w:szCs w:val="22"/>
        </w:rPr>
        <w:t xml:space="preserve"> the development of a co-ordinated action plan to enhance victim safety and support. </w:t>
      </w:r>
    </w:p>
    <w:p w14:paraId="498396FE" w14:textId="77777777" w:rsidR="00C60F2F" w:rsidRPr="003A56E7" w:rsidRDefault="00C60F2F" w:rsidP="00C60F2F">
      <w:pPr>
        <w:spacing w:line="360" w:lineRule="auto"/>
        <w:jc w:val="both"/>
        <w:rPr>
          <w:rFonts w:asciiTheme="minorHAnsi" w:hAnsiTheme="minorHAnsi" w:cstheme="minorHAnsi"/>
          <w:color w:val="auto"/>
          <w:sz w:val="22"/>
          <w:szCs w:val="22"/>
        </w:rPr>
      </w:pPr>
      <w:r w:rsidRPr="003A56E7">
        <w:rPr>
          <w:rFonts w:asciiTheme="minorHAnsi" w:hAnsiTheme="minorHAnsi" w:cstheme="minorHAnsi"/>
          <w:color w:val="auto"/>
          <w:sz w:val="22"/>
          <w:szCs w:val="22"/>
        </w:rPr>
        <w:t xml:space="preserve">Academics praise the beneficial role that multi-agency collaboration, specifically MARACs play in supporting in vulnerable victims </w:t>
      </w:r>
      <w:r>
        <w:rPr>
          <w:rFonts w:cstheme="minorHAnsi"/>
        </w:rPr>
        <w:t>this was</w:t>
      </w:r>
      <w:r w:rsidRPr="003A56E7">
        <w:rPr>
          <w:rFonts w:asciiTheme="minorHAnsi" w:hAnsiTheme="minorHAnsi" w:cstheme="minorHAnsi"/>
          <w:color w:val="auto"/>
          <w:sz w:val="22"/>
          <w:szCs w:val="22"/>
        </w:rPr>
        <w:t xml:space="preserve"> highlighted in an evaluation of Cardiff’s first MARAC (Robbins et al., 2014; Robinson, 2004). In her evaluation Robinson</w:t>
      </w:r>
      <w:r>
        <w:rPr>
          <w:rFonts w:cstheme="minorHAnsi"/>
        </w:rPr>
        <w:t xml:space="preserve"> (2004)</w:t>
      </w:r>
      <w:r w:rsidRPr="003A56E7">
        <w:rPr>
          <w:rFonts w:asciiTheme="minorHAnsi" w:hAnsiTheme="minorHAnsi" w:cstheme="minorHAnsi"/>
          <w:color w:val="auto"/>
          <w:sz w:val="22"/>
          <w:szCs w:val="22"/>
        </w:rPr>
        <w:t xml:space="preserve"> reported that 6 in 10 women discussed during the MARAC reported no further incidents of Domestic Abuse. </w:t>
      </w:r>
    </w:p>
    <w:p w14:paraId="584460C5" w14:textId="77777777" w:rsidR="00C60F2F" w:rsidRPr="003A56E7" w:rsidRDefault="00C60F2F" w:rsidP="00C60F2F">
      <w:pPr>
        <w:spacing w:line="360" w:lineRule="auto"/>
        <w:jc w:val="both"/>
        <w:rPr>
          <w:rFonts w:asciiTheme="minorHAnsi" w:hAnsiTheme="minorHAnsi" w:cstheme="minorHAnsi"/>
          <w:color w:val="auto"/>
          <w:sz w:val="22"/>
          <w:szCs w:val="22"/>
        </w:rPr>
      </w:pPr>
      <w:r w:rsidRPr="003A56E7">
        <w:rPr>
          <w:rFonts w:asciiTheme="minorHAnsi" w:hAnsiTheme="minorHAnsi" w:cstheme="minorHAnsi"/>
          <w:color w:val="auto"/>
          <w:sz w:val="22"/>
          <w:szCs w:val="22"/>
        </w:rPr>
        <w:t xml:space="preserve">Whilst victims do not attend MARACs, they are represented by Independent domestic violence advocates (IDVAs) </w:t>
      </w:r>
      <w:r>
        <w:rPr>
          <w:rFonts w:cstheme="minorHAnsi"/>
        </w:rPr>
        <w:t xml:space="preserve">who </w:t>
      </w:r>
      <w:r w:rsidRPr="003A56E7">
        <w:rPr>
          <w:rFonts w:asciiTheme="minorHAnsi" w:hAnsiTheme="minorHAnsi" w:cstheme="minorHAnsi"/>
          <w:color w:val="auto"/>
          <w:sz w:val="22"/>
          <w:szCs w:val="22"/>
        </w:rPr>
        <w:t xml:space="preserve">speak on their behalf. </w:t>
      </w:r>
    </w:p>
    <w:p w14:paraId="52413EE1" w14:textId="77777777" w:rsidR="00C60F2F" w:rsidRPr="003A56E7" w:rsidRDefault="00C60F2F" w:rsidP="00C60F2F">
      <w:pPr>
        <w:tabs>
          <w:tab w:val="left" w:pos="1356"/>
        </w:tabs>
        <w:spacing w:line="360" w:lineRule="auto"/>
        <w:jc w:val="both"/>
        <w:rPr>
          <w:rFonts w:asciiTheme="minorHAnsi" w:hAnsiTheme="minorHAnsi" w:cstheme="minorHAnsi"/>
          <w:b/>
          <w:bCs/>
          <w:color w:val="auto"/>
          <w:sz w:val="22"/>
          <w:szCs w:val="22"/>
        </w:rPr>
      </w:pPr>
      <w:r w:rsidRPr="003A56E7">
        <w:rPr>
          <w:rFonts w:asciiTheme="minorHAnsi" w:hAnsiTheme="minorHAnsi" w:cstheme="minorHAnsi"/>
          <w:b/>
          <w:bCs/>
          <w:color w:val="auto"/>
          <w:sz w:val="22"/>
          <w:szCs w:val="22"/>
        </w:rPr>
        <w:t>IDVAs</w:t>
      </w:r>
    </w:p>
    <w:p w14:paraId="2C162B5C" w14:textId="77777777" w:rsidR="00C60F2F" w:rsidRPr="003A56E7" w:rsidRDefault="00C60F2F" w:rsidP="00C60F2F">
      <w:pPr>
        <w:spacing w:line="360" w:lineRule="auto"/>
        <w:jc w:val="both"/>
        <w:rPr>
          <w:rFonts w:asciiTheme="minorHAnsi" w:hAnsiTheme="minorHAnsi" w:cstheme="minorHAnsi"/>
          <w:color w:val="auto"/>
          <w:sz w:val="22"/>
          <w:szCs w:val="22"/>
        </w:rPr>
      </w:pPr>
      <w:r w:rsidRPr="003A56E7">
        <w:rPr>
          <w:rFonts w:asciiTheme="minorHAnsi" w:hAnsiTheme="minorHAnsi" w:cstheme="minorHAnsi"/>
          <w:color w:val="auto"/>
          <w:sz w:val="22"/>
          <w:szCs w:val="22"/>
        </w:rPr>
        <w:t xml:space="preserve">IDVAs along with MARACs are praised as being highly effective in their support of Domestic Abuse Victims and </w:t>
      </w:r>
      <w:r>
        <w:rPr>
          <w:rFonts w:cstheme="minorHAnsi"/>
        </w:rPr>
        <w:t xml:space="preserve">contribution to </w:t>
      </w:r>
      <w:r w:rsidRPr="003A56E7">
        <w:rPr>
          <w:rFonts w:asciiTheme="minorHAnsi" w:hAnsiTheme="minorHAnsi" w:cstheme="minorHAnsi"/>
          <w:color w:val="auto"/>
          <w:sz w:val="22"/>
          <w:szCs w:val="22"/>
        </w:rPr>
        <w:t>reducti</w:t>
      </w:r>
      <w:r>
        <w:rPr>
          <w:rFonts w:cstheme="minorHAnsi"/>
        </w:rPr>
        <w:t>ng</w:t>
      </w:r>
      <w:r w:rsidRPr="003A56E7">
        <w:rPr>
          <w:rFonts w:asciiTheme="minorHAnsi" w:hAnsiTheme="minorHAnsi" w:cstheme="minorHAnsi"/>
          <w:color w:val="auto"/>
          <w:sz w:val="22"/>
          <w:szCs w:val="22"/>
        </w:rPr>
        <w:t xml:space="preserve"> in recidivism (Ross, Sebire and Strang, 2022; Robinson, 2014). </w:t>
      </w:r>
    </w:p>
    <w:p w14:paraId="698A384B" w14:textId="77777777" w:rsidR="00C60F2F" w:rsidRPr="003A56E7" w:rsidRDefault="00C60F2F" w:rsidP="00C60F2F">
      <w:pPr>
        <w:tabs>
          <w:tab w:val="left" w:pos="1356"/>
        </w:tabs>
        <w:spacing w:line="360" w:lineRule="auto"/>
        <w:jc w:val="both"/>
        <w:rPr>
          <w:rFonts w:asciiTheme="minorHAnsi" w:hAnsiTheme="minorHAnsi" w:cstheme="minorHAnsi"/>
          <w:color w:val="auto"/>
          <w:sz w:val="22"/>
          <w:szCs w:val="22"/>
        </w:rPr>
      </w:pPr>
      <w:r w:rsidRPr="003A56E7">
        <w:rPr>
          <w:rFonts w:asciiTheme="minorHAnsi" w:hAnsiTheme="minorHAnsi" w:cstheme="minorHAnsi"/>
          <w:color w:val="auto"/>
          <w:sz w:val="22"/>
          <w:szCs w:val="22"/>
        </w:rPr>
        <w:t>Independent Domestic Violence Advocates play a crucial role in support and management of Domestic Abuse Victims. They are trained to provide specialist support to victims of domestic violence, giving them the knowledge and confidence to prevent further violence and abuse</w:t>
      </w:r>
      <w:r>
        <w:rPr>
          <w:rFonts w:cstheme="minorHAnsi"/>
        </w:rPr>
        <w:t xml:space="preserve">. </w:t>
      </w:r>
      <w:r w:rsidRPr="003A56E7">
        <w:rPr>
          <w:rFonts w:asciiTheme="minorHAnsi" w:hAnsiTheme="minorHAnsi" w:cstheme="minorHAnsi"/>
          <w:color w:val="auto"/>
          <w:sz w:val="22"/>
          <w:szCs w:val="22"/>
        </w:rPr>
        <w:t xml:space="preserve">IDVAs are unique in they are non-statutory and work independently from the criminal justice system and public health sector but, they collaborate with them which means they able to effectively guide victims through these services unbiased. Their role is entirely victim focused they are there to assist them through the criminal justice system, ensuring appropriate safeguarding measure are in place and assisting in the provision of additional support and practical assistance for victims to rebuild their lives. </w:t>
      </w:r>
    </w:p>
    <w:p w14:paraId="769E8736" w14:textId="77777777" w:rsidR="00C60F2F" w:rsidRPr="003A56E7" w:rsidRDefault="00C60F2F" w:rsidP="00C60F2F">
      <w:pPr>
        <w:tabs>
          <w:tab w:val="left" w:pos="1356"/>
        </w:tabs>
        <w:spacing w:line="360" w:lineRule="auto"/>
        <w:jc w:val="both"/>
        <w:rPr>
          <w:rFonts w:asciiTheme="minorHAnsi" w:hAnsiTheme="minorHAnsi" w:cstheme="minorHAnsi"/>
          <w:b/>
          <w:bCs/>
          <w:color w:val="auto"/>
          <w:sz w:val="22"/>
          <w:szCs w:val="22"/>
        </w:rPr>
      </w:pPr>
      <w:r w:rsidRPr="003A56E7">
        <w:rPr>
          <w:rFonts w:asciiTheme="minorHAnsi" w:hAnsiTheme="minorHAnsi" w:cstheme="minorHAnsi"/>
          <w:b/>
          <w:bCs/>
          <w:color w:val="auto"/>
          <w:sz w:val="22"/>
          <w:szCs w:val="22"/>
        </w:rPr>
        <w:t>Victim Support</w:t>
      </w:r>
    </w:p>
    <w:p w14:paraId="3AB60706" w14:textId="77777777" w:rsidR="00C60F2F" w:rsidRPr="003A56E7" w:rsidRDefault="00C60F2F" w:rsidP="00C60F2F">
      <w:pPr>
        <w:tabs>
          <w:tab w:val="left" w:pos="1356"/>
        </w:tabs>
        <w:spacing w:line="360" w:lineRule="auto"/>
        <w:jc w:val="both"/>
        <w:rPr>
          <w:rFonts w:asciiTheme="minorHAnsi" w:hAnsiTheme="minorHAnsi" w:cstheme="minorHAnsi"/>
          <w:color w:val="auto"/>
          <w:sz w:val="22"/>
          <w:szCs w:val="22"/>
        </w:rPr>
      </w:pPr>
      <w:r w:rsidRPr="003A56E7">
        <w:rPr>
          <w:rFonts w:asciiTheme="minorHAnsi" w:hAnsiTheme="minorHAnsi" w:cstheme="minorHAnsi"/>
          <w:color w:val="auto"/>
          <w:sz w:val="22"/>
          <w:szCs w:val="22"/>
        </w:rPr>
        <w:t>All Domestic Abuse victims under the Victims Code of Practice are automatically entitled to an enhanced service along with other vulnerable victims</w:t>
      </w:r>
      <w:r>
        <w:rPr>
          <w:rFonts w:cstheme="minorHAnsi"/>
        </w:rPr>
        <w:t xml:space="preserve"> (Ministry of Justice, 2015)</w:t>
      </w:r>
      <w:r w:rsidRPr="003A56E7">
        <w:rPr>
          <w:rFonts w:asciiTheme="minorHAnsi" w:hAnsiTheme="minorHAnsi" w:cstheme="minorHAnsi"/>
          <w:color w:val="auto"/>
          <w:sz w:val="22"/>
          <w:szCs w:val="22"/>
        </w:rPr>
        <w:t xml:space="preserve">. </w:t>
      </w:r>
      <w:r>
        <w:rPr>
          <w:rFonts w:cstheme="minorHAnsi"/>
        </w:rPr>
        <w:t>T</w:t>
      </w:r>
      <w:r w:rsidRPr="003A56E7">
        <w:rPr>
          <w:rFonts w:asciiTheme="minorHAnsi" w:hAnsiTheme="minorHAnsi" w:cstheme="minorHAnsi"/>
          <w:color w:val="auto"/>
          <w:sz w:val="22"/>
          <w:szCs w:val="22"/>
        </w:rPr>
        <w:t xml:space="preserve">his means like any other victim their needs are to be put first, they are also entitled to additional support and are often offered special measures which assist them in providing the best evidence if a matter were to go to court and reduces any further stress to vulnerable victims. </w:t>
      </w:r>
      <w:r>
        <w:rPr>
          <w:rFonts w:cstheme="minorHAnsi"/>
        </w:rPr>
        <w:t xml:space="preserve"> These measure can include, pre-prepared witness statements, protective screens and video linking into courtrooms. </w:t>
      </w:r>
    </w:p>
    <w:p w14:paraId="743833F0" w14:textId="77777777" w:rsidR="00C60F2F" w:rsidRPr="003A56E7" w:rsidRDefault="00C60F2F" w:rsidP="00C60F2F">
      <w:pPr>
        <w:tabs>
          <w:tab w:val="left" w:pos="1356"/>
        </w:tabs>
        <w:spacing w:line="360" w:lineRule="auto"/>
        <w:jc w:val="both"/>
        <w:rPr>
          <w:rFonts w:asciiTheme="minorHAnsi" w:hAnsiTheme="minorHAnsi" w:cstheme="minorHAnsi"/>
          <w:color w:val="auto"/>
          <w:sz w:val="22"/>
          <w:szCs w:val="22"/>
        </w:rPr>
      </w:pPr>
    </w:p>
    <w:p w14:paraId="2B2D7852" w14:textId="77777777" w:rsidR="00C60F2F" w:rsidRPr="003A56E7" w:rsidRDefault="00C60F2F" w:rsidP="00C60F2F">
      <w:pPr>
        <w:spacing w:line="360" w:lineRule="auto"/>
        <w:jc w:val="both"/>
        <w:rPr>
          <w:rFonts w:asciiTheme="minorHAnsi" w:hAnsiTheme="minorHAnsi" w:cstheme="minorHAnsi"/>
          <w:color w:val="auto"/>
          <w:sz w:val="22"/>
          <w:szCs w:val="22"/>
        </w:rPr>
      </w:pPr>
      <w:r w:rsidRPr="003A56E7">
        <w:rPr>
          <w:rFonts w:asciiTheme="minorHAnsi" w:hAnsiTheme="minorHAnsi" w:cstheme="minorHAnsi"/>
          <w:color w:val="auto"/>
          <w:sz w:val="22"/>
          <w:szCs w:val="22"/>
        </w:rPr>
        <w:t>Whilst incidents of Domestic abuse can be isolated, this is rarely the case and i</w:t>
      </w:r>
      <w:r>
        <w:rPr>
          <w:rFonts w:cstheme="minorHAnsi"/>
        </w:rPr>
        <w:t>s</w:t>
      </w:r>
      <w:r w:rsidRPr="003A56E7">
        <w:rPr>
          <w:rFonts w:asciiTheme="minorHAnsi" w:hAnsiTheme="minorHAnsi" w:cstheme="minorHAnsi"/>
          <w:color w:val="auto"/>
          <w:sz w:val="22"/>
          <w:szCs w:val="22"/>
        </w:rPr>
        <w:t xml:space="preserve"> widely </w:t>
      </w:r>
      <w:r>
        <w:rPr>
          <w:rFonts w:cstheme="minorHAnsi"/>
        </w:rPr>
        <w:t>seen</w:t>
      </w:r>
      <w:r w:rsidRPr="003A56E7">
        <w:rPr>
          <w:rFonts w:asciiTheme="minorHAnsi" w:hAnsiTheme="minorHAnsi" w:cstheme="minorHAnsi"/>
          <w:color w:val="auto"/>
          <w:sz w:val="22"/>
          <w:szCs w:val="22"/>
        </w:rPr>
        <w:t xml:space="preserve"> a</w:t>
      </w:r>
      <w:r>
        <w:rPr>
          <w:rFonts w:cstheme="minorHAnsi"/>
        </w:rPr>
        <w:t>s a</w:t>
      </w:r>
      <w:r w:rsidRPr="003A56E7">
        <w:rPr>
          <w:rFonts w:asciiTheme="minorHAnsi" w:hAnsiTheme="minorHAnsi" w:cstheme="minorHAnsi"/>
          <w:color w:val="auto"/>
          <w:sz w:val="22"/>
          <w:szCs w:val="22"/>
        </w:rPr>
        <w:t xml:space="preserve"> pattern of </w:t>
      </w:r>
      <w:r>
        <w:rPr>
          <w:rFonts w:cstheme="minorHAnsi"/>
        </w:rPr>
        <w:t>behaviour</w:t>
      </w:r>
      <w:r w:rsidRPr="003A56E7">
        <w:rPr>
          <w:rFonts w:asciiTheme="minorHAnsi" w:hAnsiTheme="minorHAnsi" w:cstheme="minorHAnsi"/>
          <w:color w:val="auto"/>
          <w:sz w:val="22"/>
          <w:szCs w:val="22"/>
        </w:rPr>
        <w:t>. Consequently, reducing recidivism and preventing repeat victimisation of Domestic Abuse victims is a priority for the police, government and partner</w:t>
      </w:r>
      <w:r>
        <w:rPr>
          <w:rFonts w:cstheme="minorHAnsi"/>
        </w:rPr>
        <w:t>-</w:t>
      </w:r>
      <w:r w:rsidRPr="003A56E7">
        <w:rPr>
          <w:rFonts w:asciiTheme="minorHAnsi" w:hAnsiTheme="minorHAnsi" w:cstheme="minorHAnsi"/>
          <w:color w:val="auto"/>
          <w:sz w:val="22"/>
          <w:szCs w:val="22"/>
        </w:rPr>
        <w:t xml:space="preserve">agencies </w:t>
      </w:r>
      <w:r>
        <w:rPr>
          <w:rFonts w:cstheme="minorHAnsi"/>
        </w:rPr>
        <w:t>but,</w:t>
      </w:r>
      <w:r w:rsidRPr="003A56E7">
        <w:rPr>
          <w:rFonts w:asciiTheme="minorHAnsi" w:hAnsiTheme="minorHAnsi" w:cstheme="minorHAnsi"/>
          <w:color w:val="auto"/>
          <w:sz w:val="22"/>
          <w:szCs w:val="22"/>
        </w:rPr>
        <w:t xml:space="preserve"> there is still much work to be done</w:t>
      </w:r>
      <w:r>
        <w:rPr>
          <w:rFonts w:cstheme="minorHAnsi"/>
        </w:rPr>
        <w:t xml:space="preserve"> </w:t>
      </w:r>
      <w:r w:rsidRPr="009D7715">
        <w:rPr>
          <w:rFonts w:cstheme="minorHAnsi"/>
        </w:rPr>
        <w:t>(Home Office, 2022)</w:t>
      </w:r>
      <w:r w:rsidRPr="003A56E7">
        <w:rPr>
          <w:rFonts w:asciiTheme="minorHAnsi" w:hAnsiTheme="minorHAnsi" w:cstheme="minorHAnsi"/>
          <w:color w:val="auto"/>
          <w:sz w:val="22"/>
          <w:szCs w:val="22"/>
        </w:rPr>
        <w:t xml:space="preserve"> . The vastly under-reported nature of Domestic abuse means its full impact is not fully represented by the statistics, which alone are startling</w:t>
      </w:r>
      <w:r>
        <w:rPr>
          <w:rFonts w:cstheme="minorHAnsi"/>
        </w:rPr>
        <w:t xml:space="preserve"> </w:t>
      </w:r>
      <w:r w:rsidRPr="007446B3">
        <w:rPr>
          <w:rFonts w:cstheme="minorHAnsi"/>
        </w:rPr>
        <w:t>(Women's Aid, 2019)</w:t>
      </w:r>
      <w:r w:rsidRPr="003A56E7">
        <w:rPr>
          <w:rFonts w:asciiTheme="minorHAnsi" w:hAnsiTheme="minorHAnsi" w:cstheme="minorHAnsi"/>
          <w:color w:val="auto"/>
          <w:sz w:val="22"/>
          <w:szCs w:val="22"/>
        </w:rPr>
        <w:t xml:space="preserve">. There are </w:t>
      </w:r>
      <w:r>
        <w:rPr>
          <w:rFonts w:cstheme="minorHAnsi"/>
        </w:rPr>
        <w:t>several</w:t>
      </w:r>
      <w:r w:rsidRPr="003A56E7">
        <w:rPr>
          <w:rFonts w:asciiTheme="minorHAnsi" w:hAnsiTheme="minorHAnsi" w:cstheme="minorHAnsi"/>
          <w:color w:val="auto"/>
          <w:sz w:val="22"/>
          <w:szCs w:val="22"/>
        </w:rPr>
        <w:t xml:space="preserve"> policies and approaches that have been introduced in the hope of reducing repeat offending and victimisation but</w:t>
      </w:r>
      <w:r>
        <w:rPr>
          <w:rFonts w:cstheme="minorHAnsi"/>
        </w:rPr>
        <w:t>,</w:t>
      </w:r>
      <w:r w:rsidRPr="003A56E7">
        <w:rPr>
          <w:rFonts w:asciiTheme="minorHAnsi" w:hAnsiTheme="minorHAnsi" w:cstheme="minorHAnsi"/>
          <w:color w:val="auto"/>
          <w:sz w:val="22"/>
          <w:szCs w:val="22"/>
        </w:rPr>
        <w:t xml:space="preserve"> despite a wealth of research surrounding domestic abuse, not one approach has been agreed as the most effective.</w:t>
      </w:r>
    </w:p>
    <w:p w14:paraId="0A6DBEA1" w14:textId="77777777" w:rsidR="00C60F2F" w:rsidRPr="003A56E7" w:rsidRDefault="00C60F2F" w:rsidP="00C60F2F">
      <w:pPr>
        <w:tabs>
          <w:tab w:val="left" w:pos="1356"/>
        </w:tabs>
        <w:spacing w:line="360" w:lineRule="auto"/>
        <w:jc w:val="both"/>
        <w:rPr>
          <w:rFonts w:asciiTheme="minorHAnsi" w:hAnsiTheme="minorHAnsi" w:cstheme="minorHAnsi"/>
          <w:color w:val="auto"/>
          <w:sz w:val="22"/>
          <w:szCs w:val="22"/>
        </w:rPr>
      </w:pPr>
    </w:p>
    <w:p w14:paraId="2F36DBFD" w14:textId="77777777" w:rsidR="00C60F2F" w:rsidRPr="003A56E7" w:rsidRDefault="00C60F2F" w:rsidP="00C60F2F">
      <w:pPr>
        <w:tabs>
          <w:tab w:val="left" w:pos="1356"/>
        </w:tabs>
        <w:spacing w:line="360" w:lineRule="auto"/>
        <w:jc w:val="both"/>
        <w:rPr>
          <w:rFonts w:asciiTheme="minorHAnsi" w:hAnsiTheme="minorHAnsi" w:cstheme="minorHAnsi"/>
          <w:color w:val="auto"/>
          <w:sz w:val="22"/>
          <w:szCs w:val="22"/>
        </w:rPr>
      </w:pPr>
      <w:r w:rsidRPr="003A56E7">
        <w:rPr>
          <w:rFonts w:asciiTheme="minorHAnsi" w:hAnsiTheme="minorHAnsi" w:cstheme="minorHAnsi"/>
          <w:color w:val="auto"/>
          <w:sz w:val="22"/>
          <w:szCs w:val="22"/>
        </w:rPr>
        <w:t>In the above mentioned incident an arrest was made, force policy dictates that in incidents of Domestic Violence positive action must be taken at all stages of the investigation</w:t>
      </w:r>
      <w:r>
        <w:rPr>
          <w:rFonts w:cstheme="minorHAnsi"/>
        </w:rPr>
        <w:t xml:space="preserve"> </w:t>
      </w:r>
      <w:r w:rsidRPr="008E10FE">
        <w:rPr>
          <w:rFonts w:cstheme="minorHAnsi"/>
        </w:rPr>
        <w:t>(College of Policing, 2018)</w:t>
      </w:r>
      <w:r>
        <w:rPr>
          <w:rFonts w:cstheme="minorHAnsi"/>
        </w:rPr>
        <w:t xml:space="preserve">. </w:t>
      </w:r>
      <w:r w:rsidRPr="003A56E7">
        <w:rPr>
          <w:rFonts w:asciiTheme="minorHAnsi" w:hAnsiTheme="minorHAnsi" w:cstheme="minorHAnsi"/>
          <w:color w:val="auto"/>
          <w:sz w:val="22"/>
          <w:szCs w:val="22"/>
        </w:rPr>
        <w:t xml:space="preserve"> </w:t>
      </w:r>
      <w:r>
        <w:rPr>
          <w:rFonts w:cstheme="minorHAnsi"/>
        </w:rPr>
        <w:t>Indeed,</w:t>
      </w:r>
      <w:r w:rsidRPr="003A56E7">
        <w:rPr>
          <w:rFonts w:asciiTheme="minorHAnsi" w:hAnsiTheme="minorHAnsi" w:cstheme="minorHAnsi"/>
          <w:color w:val="auto"/>
          <w:sz w:val="22"/>
          <w:szCs w:val="22"/>
        </w:rPr>
        <w:t xml:space="preserve"> in this incident there w</w:t>
      </w:r>
      <w:r>
        <w:rPr>
          <w:rFonts w:cstheme="minorHAnsi"/>
        </w:rPr>
        <w:t>ere</w:t>
      </w:r>
      <w:r w:rsidRPr="003A56E7">
        <w:rPr>
          <w:rFonts w:asciiTheme="minorHAnsi" w:hAnsiTheme="minorHAnsi" w:cstheme="minorHAnsi"/>
          <w:color w:val="auto"/>
          <w:sz w:val="22"/>
          <w:szCs w:val="22"/>
        </w:rPr>
        <w:t xml:space="preserve"> clear, necessary and proportionate grounds to arrest in some instances there may not be sufficient grounds, however parties must be separated. </w:t>
      </w:r>
    </w:p>
    <w:p w14:paraId="66A246E9" w14:textId="77777777" w:rsidR="00C60F2F" w:rsidRPr="003A56E7" w:rsidRDefault="00C60F2F" w:rsidP="00C60F2F">
      <w:pPr>
        <w:tabs>
          <w:tab w:val="left" w:pos="1356"/>
        </w:tabs>
        <w:spacing w:line="360" w:lineRule="auto"/>
        <w:jc w:val="both"/>
        <w:rPr>
          <w:rFonts w:asciiTheme="minorHAnsi" w:hAnsiTheme="minorHAnsi" w:cstheme="minorHAnsi"/>
          <w:color w:val="auto"/>
          <w:sz w:val="22"/>
          <w:szCs w:val="22"/>
        </w:rPr>
      </w:pPr>
      <w:r w:rsidRPr="003A56E7">
        <w:rPr>
          <w:rFonts w:asciiTheme="minorHAnsi" w:hAnsiTheme="minorHAnsi" w:cstheme="minorHAnsi"/>
          <w:color w:val="auto"/>
          <w:sz w:val="22"/>
          <w:szCs w:val="22"/>
        </w:rPr>
        <w:t>Arrest may be important for the immediate safeguarding of the victim, and in some instances may result in the imposition of bail conditions that provide crucial breathing space for victims however, arguably these can be ignored</w:t>
      </w:r>
      <w:r>
        <w:rPr>
          <w:rFonts w:cstheme="minorHAnsi"/>
        </w:rPr>
        <w:t xml:space="preserve"> </w:t>
      </w:r>
      <w:r w:rsidRPr="00342F4E">
        <w:rPr>
          <w:rFonts w:cstheme="minorHAnsi"/>
        </w:rPr>
        <w:t>(Morgan, Boxall and Brown, 2018)</w:t>
      </w:r>
      <w:r w:rsidRPr="003A56E7">
        <w:rPr>
          <w:rFonts w:asciiTheme="minorHAnsi" w:hAnsiTheme="minorHAnsi" w:cstheme="minorHAnsi"/>
          <w:color w:val="auto"/>
          <w:sz w:val="22"/>
          <w:szCs w:val="22"/>
        </w:rPr>
        <w:t>. Where bail conditions are not appropriate the police and court can issue Domestic violence protection notices and orders, (DVPN and DVPOs) that span from 48 hours to 28</w:t>
      </w:r>
      <w:r>
        <w:rPr>
          <w:rFonts w:cstheme="minorHAnsi"/>
        </w:rPr>
        <w:t xml:space="preserve"> </w:t>
      </w:r>
      <w:r w:rsidRPr="003A56E7">
        <w:rPr>
          <w:rFonts w:asciiTheme="minorHAnsi" w:hAnsiTheme="minorHAnsi" w:cstheme="minorHAnsi"/>
          <w:color w:val="auto"/>
          <w:sz w:val="22"/>
          <w:szCs w:val="22"/>
        </w:rPr>
        <w:t xml:space="preserve">days, these interim measures act as non-molestation orders and eviction notices. Breaching these orders is not a criminal offence but is arrestable. Whilst these do little to support the long term needs of vulnerable and again can be ignored but provide the victim time removed from the relationship to consider their options and see what life is like without abuse and can often encourage hesitant victims to engage. There is mixed evidence in supporting literature as to the success of arrest as a deterrent and means of reducing recidivism in domestic abuse (Cordier et al., 2019). </w:t>
      </w:r>
    </w:p>
    <w:p w14:paraId="358DE0DD" w14:textId="77777777" w:rsidR="00C60F2F" w:rsidRDefault="00C60F2F" w:rsidP="00C60F2F">
      <w:pPr>
        <w:tabs>
          <w:tab w:val="left" w:pos="1356"/>
        </w:tabs>
        <w:spacing w:line="360" w:lineRule="auto"/>
        <w:jc w:val="both"/>
        <w:rPr>
          <w:rFonts w:asciiTheme="minorHAnsi" w:hAnsiTheme="minorHAnsi" w:cstheme="minorHAnsi"/>
          <w:color w:val="auto"/>
          <w:sz w:val="22"/>
          <w:szCs w:val="22"/>
        </w:rPr>
      </w:pPr>
    </w:p>
    <w:p w14:paraId="7A8735DA" w14:textId="27C46CC7" w:rsidR="00C60F2F" w:rsidRPr="003A56E7" w:rsidRDefault="00C60F2F" w:rsidP="00C60F2F">
      <w:pPr>
        <w:tabs>
          <w:tab w:val="left" w:pos="1356"/>
        </w:tabs>
        <w:spacing w:line="360" w:lineRule="auto"/>
        <w:jc w:val="both"/>
        <w:rPr>
          <w:rFonts w:asciiTheme="minorHAnsi" w:hAnsiTheme="minorHAnsi" w:cstheme="minorHAnsi"/>
          <w:color w:val="auto"/>
          <w:sz w:val="22"/>
          <w:szCs w:val="22"/>
        </w:rPr>
      </w:pPr>
      <w:r w:rsidRPr="003A56E7">
        <w:rPr>
          <w:rFonts w:asciiTheme="minorHAnsi" w:hAnsiTheme="minorHAnsi" w:cstheme="minorHAnsi"/>
          <w:color w:val="auto"/>
          <w:sz w:val="22"/>
          <w:szCs w:val="22"/>
        </w:rPr>
        <w:t xml:space="preserve">Another option in reducing repeat victimisation of domestic abuse is target hardening. </w:t>
      </w:r>
    </w:p>
    <w:p w14:paraId="3029EAE6" w14:textId="77777777" w:rsidR="00C60F2F" w:rsidRPr="003A56E7" w:rsidRDefault="00C60F2F" w:rsidP="00C60F2F">
      <w:pPr>
        <w:tabs>
          <w:tab w:val="left" w:pos="1356"/>
        </w:tabs>
        <w:spacing w:line="360" w:lineRule="auto"/>
        <w:jc w:val="both"/>
        <w:rPr>
          <w:rFonts w:asciiTheme="minorHAnsi" w:hAnsiTheme="minorHAnsi" w:cstheme="minorHAnsi"/>
          <w:color w:val="auto"/>
          <w:sz w:val="22"/>
          <w:szCs w:val="22"/>
        </w:rPr>
      </w:pPr>
    </w:p>
    <w:p w14:paraId="53255963" w14:textId="77777777" w:rsidR="00C60F2F" w:rsidRPr="003A56E7" w:rsidRDefault="00C60F2F" w:rsidP="00C60F2F">
      <w:pPr>
        <w:spacing w:line="360" w:lineRule="auto"/>
        <w:jc w:val="both"/>
        <w:rPr>
          <w:rFonts w:asciiTheme="minorHAnsi" w:hAnsiTheme="minorHAnsi" w:cstheme="minorHAnsi"/>
          <w:color w:val="auto"/>
          <w:sz w:val="22"/>
          <w:szCs w:val="22"/>
        </w:rPr>
      </w:pPr>
      <w:r w:rsidRPr="003A56E7">
        <w:rPr>
          <w:rFonts w:asciiTheme="minorHAnsi" w:hAnsiTheme="minorHAnsi" w:cstheme="minorHAnsi"/>
          <w:color w:val="auto"/>
          <w:sz w:val="22"/>
          <w:szCs w:val="22"/>
        </w:rPr>
        <w:t xml:space="preserve">Target hardening put simply is the introduction of security measures on a property to help prevent future crime. For Domestic Abuse victims this can include the installation of locks, CCTV, and panic alarms. Various schemes have been introduced across the UK including one by the Vale of Glamorgan council who have worked closely with housing providers such as Tal-Y-Fro in order to improve the security of homes of Domestic abuse victims (The Vale of Glamorgan Council, 2019). For victims this means they are able to stay in the familiar setting of their home without fear that domestic abuse perpetrators can access their property whilst also reducing further stress or disruption that would come as a result of forcing victims to uproot and move to safe accommodation elsewhere. Prenzler and Fardell, (2017) in their review of six different homes-security programs to prevent incidents of Domestic Violence conclude the programs show significant promise in reducing recidivism by making re-offending more difficult thus disrupting patterns of domestic abuse. </w:t>
      </w:r>
    </w:p>
    <w:p w14:paraId="5AE31104" w14:textId="77777777" w:rsidR="00C60F2F" w:rsidRPr="003A56E7" w:rsidRDefault="00C60F2F" w:rsidP="00C60F2F">
      <w:pPr>
        <w:tabs>
          <w:tab w:val="left" w:pos="1356"/>
        </w:tabs>
        <w:spacing w:line="360" w:lineRule="auto"/>
        <w:jc w:val="both"/>
        <w:rPr>
          <w:rFonts w:asciiTheme="minorHAnsi" w:hAnsiTheme="minorHAnsi" w:cstheme="minorHAnsi"/>
          <w:color w:val="auto"/>
          <w:sz w:val="22"/>
          <w:szCs w:val="22"/>
        </w:rPr>
      </w:pPr>
    </w:p>
    <w:p w14:paraId="5410AF6D" w14:textId="77777777" w:rsidR="00C60F2F" w:rsidRDefault="00C60F2F" w:rsidP="00C60F2F">
      <w:pPr>
        <w:tabs>
          <w:tab w:val="left" w:pos="1356"/>
        </w:tabs>
        <w:spacing w:line="360" w:lineRule="auto"/>
        <w:jc w:val="both"/>
        <w:rPr>
          <w:rFonts w:cstheme="minorHAnsi"/>
        </w:rPr>
      </w:pPr>
      <w:r w:rsidRPr="003A56E7">
        <w:rPr>
          <w:rFonts w:asciiTheme="minorHAnsi" w:hAnsiTheme="minorHAnsi" w:cstheme="minorHAnsi"/>
          <w:color w:val="auto"/>
          <w:sz w:val="22"/>
          <w:szCs w:val="22"/>
        </w:rPr>
        <w:t>Domestic Abuse and Vulnerability are both complex and high priority issues for the police, in order to tackle domestic abuse and prevent repeat victimisation it is clear there are an abundance of approaches available that can assist victims and vulnerable people. Every individual is unique what works for one person may not work for another, the collaboration between different agencies is undoubtedly crucial if these individual needs are to be recognised and supported and, in order to prevent the victim suffering further harm. It is the responsibility of officers to keep an open mind, use their knowledge, training and discretion to identify those most as risk and assist them on their journey to living fear</w:t>
      </w:r>
      <w:r>
        <w:rPr>
          <w:rFonts w:cstheme="minorHAnsi"/>
        </w:rPr>
        <w:t>-free.</w:t>
      </w:r>
    </w:p>
    <w:p w14:paraId="1F26D4CC" w14:textId="77777777" w:rsidR="00C60F2F" w:rsidRPr="003A56E7" w:rsidRDefault="00C60F2F" w:rsidP="00C60F2F">
      <w:pPr>
        <w:tabs>
          <w:tab w:val="left" w:pos="1356"/>
        </w:tabs>
        <w:spacing w:line="360" w:lineRule="auto"/>
        <w:jc w:val="both"/>
        <w:rPr>
          <w:rFonts w:asciiTheme="minorHAnsi" w:hAnsiTheme="minorHAnsi" w:cstheme="minorHAnsi"/>
          <w:color w:val="auto"/>
          <w:sz w:val="22"/>
          <w:szCs w:val="22"/>
        </w:rPr>
      </w:pPr>
    </w:p>
    <w:p w14:paraId="2D969C8F" w14:textId="40701AE4" w:rsidR="00C60F2F" w:rsidRPr="00E676F7" w:rsidRDefault="00C60F2F" w:rsidP="5B843AF0">
      <w:pPr>
        <w:ind w:right="237"/>
        <w:jc w:val="both"/>
        <w:rPr>
          <w:rFonts w:eastAsia="Arial"/>
          <w:color w:val="000000" w:themeColor="text1"/>
          <w:sz w:val="24"/>
          <w:szCs w:val="24"/>
        </w:rPr>
      </w:pPr>
      <w:r>
        <w:rPr>
          <w:rFonts w:asciiTheme="minorHAnsi" w:hAnsiTheme="minorHAnsi" w:cstheme="minorHAnsi"/>
          <w:color w:val="auto"/>
          <w:sz w:val="22"/>
          <w:szCs w:val="22"/>
        </w:rPr>
        <w:t>2200 words</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6B0989EF" w14:textId="4D38740B" w:rsidR="00025650" w:rsidRPr="003530AC" w:rsidRDefault="5B843AF0" w:rsidP="003530AC">
      <w:pPr>
        <w:pStyle w:val="paragraph"/>
        <w:spacing w:before="0" w:beforeAutospacing="0" w:after="0" w:afterAutospacing="0"/>
        <w:textAlignment w:val="baseline"/>
        <w:rPr>
          <w:rFonts w:ascii="Segoe UI" w:hAnsi="Segoe UI" w:cs="Segoe UI"/>
          <w:color w:val="000000"/>
          <w:sz w:val="18"/>
          <w:szCs w:val="18"/>
        </w:rPr>
      </w:pPr>
      <w:r w:rsidRPr="5CE196A1">
        <w:rPr>
          <w:b/>
          <w:bCs/>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47FFBD39"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Domestic abuse is not one specific offence, broadly speaking it encompasses several behaviours enacted by the perpetrator who, is “personally connected” to its victim, this may be a current or ex-partner. These behaviours can consist of “physical or sexual abuse; violent or threatening behaviour; controlling or coercive behaviour; economic abuse; psychological, emotional or other abuse” (Domestic Abuse Act 2021). Although a disproportionate number of victims of domestic abuse are female, victims can also be male and domestic abuse can occur within same sex relationships (Taft, Hegarty and Flood, 2001).</w:t>
      </w:r>
    </w:p>
    <w:p w14:paraId="390AFF76" w14:textId="77777777" w:rsidR="00614DAD" w:rsidRPr="004979A6" w:rsidRDefault="00614DAD" w:rsidP="00614DAD">
      <w:pPr>
        <w:spacing w:line="360" w:lineRule="auto"/>
        <w:jc w:val="both"/>
        <w:rPr>
          <w:rFonts w:asciiTheme="minorHAnsi" w:hAnsiTheme="minorHAnsi" w:cstheme="minorHAnsi"/>
          <w:sz w:val="22"/>
          <w:szCs w:val="22"/>
        </w:rPr>
      </w:pPr>
    </w:p>
    <w:p w14:paraId="75F71DD7" w14:textId="77777777" w:rsidR="00614DAD" w:rsidRPr="004979A6" w:rsidRDefault="00614DAD" w:rsidP="00614DAD">
      <w:pPr>
        <w:spacing w:line="360" w:lineRule="auto"/>
        <w:jc w:val="both"/>
        <w:rPr>
          <w:rFonts w:asciiTheme="minorHAnsi" w:hAnsiTheme="minorHAnsi" w:cstheme="minorHAnsi"/>
          <w:sz w:val="22"/>
          <w:szCs w:val="22"/>
        </w:rPr>
      </w:pPr>
    </w:p>
    <w:p w14:paraId="2440C85A"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Domestic abuse can consist of a single incident or several although unfortunately it is rarely an isolated event and instead victims are subjected to repeated patterns of behaviour (Turner, medina and Brown, 2019). It is the cumulative impact of this abuse that has devastating impacts on the victims. </w:t>
      </w:r>
    </w:p>
    <w:p w14:paraId="6452F94A" w14:textId="77777777" w:rsidR="00614DAD" w:rsidRPr="004979A6" w:rsidRDefault="00614DAD" w:rsidP="00614DAD">
      <w:pPr>
        <w:spacing w:line="360" w:lineRule="auto"/>
        <w:jc w:val="both"/>
        <w:rPr>
          <w:rFonts w:asciiTheme="minorHAnsi" w:hAnsiTheme="minorHAnsi" w:cstheme="minorHAnsi"/>
          <w:sz w:val="22"/>
          <w:szCs w:val="22"/>
        </w:rPr>
      </w:pPr>
    </w:p>
    <w:p w14:paraId="5E32687E" w14:textId="77777777" w:rsidR="00614DAD" w:rsidRPr="004979A6" w:rsidRDefault="00614DAD" w:rsidP="00614DAD">
      <w:pPr>
        <w:spacing w:line="360" w:lineRule="auto"/>
        <w:jc w:val="both"/>
        <w:rPr>
          <w:rFonts w:asciiTheme="minorHAnsi" w:hAnsiTheme="minorHAnsi" w:cstheme="minorHAnsi"/>
          <w:sz w:val="22"/>
          <w:szCs w:val="22"/>
        </w:rPr>
      </w:pPr>
    </w:p>
    <w:p w14:paraId="4EDF9718"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Unfortunately, incidents of Domestic Abuse account for a considerable proportion of workload for both the police and criminal justice system. They remain one of the most prevalent crimes in the UK criminal justice system with around 2.3 million adults aged 16-74 years old having experienced domestic abuse in the 12 months prior to March 2020 (ONS, 2020). </w:t>
      </w:r>
    </w:p>
    <w:p w14:paraId="72B44E14" w14:textId="77777777" w:rsidR="00614DAD" w:rsidRPr="004979A6" w:rsidRDefault="00614DAD" w:rsidP="00614DAD">
      <w:pPr>
        <w:spacing w:line="360" w:lineRule="auto"/>
        <w:jc w:val="both"/>
        <w:rPr>
          <w:rFonts w:asciiTheme="minorHAnsi" w:hAnsiTheme="minorHAnsi" w:cstheme="minorHAnsi"/>
          <w:sz w:val="22"/>
          <w:szCs w:val="22"/>
        </w:rPr>
      </w:pPr>
    </w:p>
    <w:p w14:paraId="0A2457B8"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The office for national statistics estimates that approximately every 1 in 5 adults has experienced domestic abuse in their lifetime and incidents of domestic violence account for almost 16% of all incidents of serious or violent crime (ONS, 2020). </w:t>
      </w:r>
    </w:p>
    <w:p w14:paraId="2F45EA76" w14:textId="77777777" w:rsidR="00614DAD" w:rsidRPr="004979A6" w:rsidRDefault="00614DAD" w:rsidP="00614DAD">
      <w:pPr>
        <w:spacing w:line="360" w:lineRule="auto"/>
        <w:jc w:val="both"/>
        <w:rPr>
          <w:rFonts w:asciiTheme="minorHAnsi" w:hAnsiTheme="minorHAnsi" w:cstheme="minorHAnsi"/>
          <w:sz w:val="22"/>
          <w:szCs w:val="22"/>
        </w:rPr>
      </w:pPr>
    </w:p>
    <w:p w14:paraId="284088AF"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Although these statistics alone show the devastating prevalence of domestic abuse it is widely acknowledged that there is a stark under reporting of instances and so the true figures are likely to be significantly higher (Women's Aid, 2019).</w:t>
      </w:r>
    </w:p>
    <w:p w14:paraId="4EC876EB" w14:textId="77777777" w:rsidR="00614DAD" w:rsidRPr="004979A6" w:rsidRDefault="00614DAD" w:rsidP="00614DAD">
      <w:pPr>
        <w:spacing w:line="360" w:lineRule="auto"/>
        <w:jc w:val="both"/>
        <w:rPr>
          <w:rFonts w:asciiTheme="minorHAnsi" w:hAnsiTheme="minorHAnsi" w:cstheme="minorHAnsi"/>
          <w:sz w:val="22"/>
          <w:szCs w:val="22"/>
        </w:rPr>
      </w:pPr>
    </w:p>
    <w:p w14:paraId="7B86EAF0"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In this essay I will look to critically reflect on an incident of Domestic abuse during which I played a significant role as an attending and investigatory officer. I will discuss the various challenges police face in relation to incidents of domestic abuse and consider how different strategies and policies have been employed to tackle these challenges. </w:t>
      </w:r>
    </w:p>
    <w:p w14:paraId="01EFE3AA" w14:textId="77777777" w:rsidR="00614DAD" w:rsidRPr="004979A6" w:rsidRDefault="00614DAD" w:rsidP="00614DAD">
      <w:pPr>
        <w:spacing w:line="360" w:lineRule="auto"/>
        <w:jc w:val="both"/>
        <w:rPr>
          <w:rFonts w:asciiTheme="minorHAnsi" w:hAnsiTheme="minorHAnsi" w:cstheme="minorHAnsi"/>
          <w:sz w:val="22"/>
          <w:szCs w:val="22"/>
        </w:rPr>
      </w:pPr>
    </w:p>
    <w:p w14:paraId="6AFDA894"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The initial report was from ambulance who had received a call from a distressed female who had called to report her ex-partner was at her home and had taken an overdose of tablets and was now self-harming with a knife. Officers were required to attend for a welfare check of the male. On route to the address officers received further updates that the male was now being very aggressive and throwing things, the female had stated he was now in possession of a sledgehammer. </w:t>
      </w:r>
    </w:p>
    <w:p w14:paraId="20391BF9" w14:textId="77777777" w:rsidR="00614DAD" w:rsidRPr="004979A6" w:rsidRDefault="00614DAD" w:rsidP="00614DAD">
      <w:pPr>
        <w:spacing w:line="360" w:lineRule="auto"/>
        <w:jc w:val="both"/>
        <w:rPr>
          <w:rFonts w:asciiTheme="minorHAnsi" w:hAnsiTheme="minorHAnsi" w:cstheme="minorHAnsi"/>
          <w:sz w:val="22"/>
          <w:szCs w:val="22"/>
        </w:rPr>
      </w:pPr>
    </w:p>
    <w:p w14:paraId="49F2E0B8"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On officers’ arrival both parties were separated in order to establish events. The female disclosed the male had earlier in the week slapped her to the face subsequently breaking her nose. The male had superficial lacerations to his forearm which he admitted he had predominantly caused although some he argued were caused by the female. Both parties were intoxicated, evident from their slurred speech and erratic behaviour. </w:t>
      </w:r>
    </w:p>
    <w:p w14:paraId="05A3D4B4" w14:textId="77777777" w:rsidR="00614DAD" w:rsidRPr="004979A6" w:rsidRDefault="00614DAD" w:rsidP="00614DAD">
      <w:pPr>
        <w:spacing w:line="360" w:lineRule="auto"/>
        <w:jc w:val="both"/>
        <w:rPr>
          <w:rFonts w:asciiTheme="minorHAnsi" w:hAnsiTheme="minorHAnsi" w:cstheme="minorHAnsi"/>
          <w:sz w:val="22"/>
          <w:szCs w:val="22"/>
        </w:rPr>
      </w:pPr>
    </w:p>
    <w:p w14:paraId="7923B968"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Whilst dealing with the couple at the address officers were made aware by control room operators that a report had been made previously in the day by an independent domestic violence advocate (IDVA). The IDVA reported that the female had been discharged from hospital that day following an overdose but during her time in the hospital had disclosed to staff that the male had made her take the tablets, strangled, and slapped her. </w:t>
      </w:r>
    </w:p>
    <w:p w14:paraId="6A8CB793" w14:textId="77777777" w:rsidR="00614DAD" w:rsidRPr="004979A6" w:rsidRDefault="00614DAD" w:rsidP="00614DAD">
      <w:pPr>
        <w:spacing w:line="360" w:lineRule="auto"/>
        <w:jc w:val="both"/>
        <w:rPr>
          <w:rFonts w:asciiTheme="minorHAnsi" w:hAnsiTheme="minorHAnsi" w:cstheme="minorHAnsi"/>
          <w:sz w:val="22"/>
          <w:szCs w:val="22"/>
        </w:rPr>
      </w:pPr>
    </w:p>
    <w:p w14:paraId="336B78B7"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The female was a high risk repeat victim of domestic abuse from the male and both were known to officers. The male had no fixed abode and it was highly likely without action he would later return to the address.</w:t>
      </w:r>
    </w:p>
    <w:p w14:paraId="3D02D70D" w14:textId="77777777" w:rsidR="00614DAD" w:rsidRPr="004979A6" w:rsidRDefault="00614DAD" w:rsidP="00614DAD">
      <w:pPr>
        <w:spacing w:line="360" w:lineRule="auto"/>
        <w:jc w:val="both"/>
        <w:rPr>
          <w:rFonts w:asciiTheme="minorHAnsi" w:hAnsiTheme="minorHAnsi" w:cstheme="minorHAnsi"/>
          <w:sz w:val="22"/>
          <w:szCs w:val="22"/>
        </w:rPr>
      </w:pPr>
    </w:p>
    <w:p w14:paraId="3100EE02"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Whilst the male had argued that the female was responsible for some of the lacerations on his forearms given the disclosure by the female at the scene which corresponded with the earlier report from the IDVA the male was arrested on suspicion of domestic assault. </w:t>
      </w:r>
    </w:p>
    <w:p w14:paraId="0BB785DE" w14:textId="77777777" w:rsidR="00614DAD" w:rsidRPr="004979A6" w:rsidRDefault="00614DAD" w:rsidP="00614DAD">
      <w:pPr>
        <w:spacing w:line="360" w:lineRule="auto"/>
        <w:jc w:val="both"/>
        <w:rPr>
          <w:rFonts w:asciiTheme="minorHAnsi" w:hAnsiTheme="minorHAnsi" w:cstheme="minorHAnsi"/>
          <w:sz w:val="22"/>
          <w:szCs w:val="22"/>
        </w:rPr>
      </w:pPr>
    </w:p>
    <w:p w14:paraId="1A973F89"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The female did not want to provide a statement relating to the recent incidents, due to her being a high risk repeat victim she was recontacted the next day however, refused to give a statement. </w:t>
      </w:r>
    </w:p>
    <w:p w14:paraId="376D32DA" w14:textId="77777777" w:rsidR="00614DAD" w:rsidRPr="004979A6" w:rsidRDefault="00614DAD" w:rsidP="00614DAD">
      <w:pPr>
        <w:spacing w:line="360" w:lineRule="auto"/>
        <w:jc w:val="both"/>
        <w:rPr>
          <w:rFonts w:asciiTheme="minorHAnsi" w:hAnsiTheme="minorHAnsi" w:cstheme="minorHAnsi"/>
          <w:sz w:val="22"/>
          <w:szCs w:val="22"/>
        </w:rPr>
      </w:pPr>
    </w:p>
    <w:p w14:paraId="7344A4FE" w14:textId="77777777" w:rsidR="00614DAD" w:rsidRPr="004979A6" w:rsidRDefault="00614DAD" w:rsidP="00614DAD">
      <w:pPr>
        <w:spacing w:line="360" w:lineRule="auto"/>
        <w:jc w:val="both"/>
        <w:rPr>
          <w:rFonts w:asciiTheme="minorHAnsi" w:hAnsiTheme="minorHAnsi" w:cstheme="minorHAnsi"/>
          <w:b/>
          <w:bCs/>
          <w:sz w:val="22"/>
          <w:szCs w:val="22"/>
          <w:u w:val="single"/>
        </w:rPr>
      </w:pPr>
      <w:r w:rsidRPr="004979A6">
        <w:rPr>
          <w:rFonts w:asciiTheme="minorHAnsi" w:hAnsiTheme="minorHAnsi" w:cstheme="minorHAnsi"/>
          <w:b/>
          <w:bCs/>
          <w:sz w:val="22"/>
          <w:szCs w:val="22"/>
          <w:u w:val="single"/>
        </w:rPr>
        <w:t xml:space="preserve">DVPN/DVPO/Bail conditions </w:t>
      </w:r>
    </w:p>
    <w:p w14:paraId="2B7A8F46" w14:textId="77777777" w:rsidR="00614DAD" w:rsidRPr="004979A6" w:rsidRDefault="00614DAD" w:rsidP="00614DAD">
      <w:pPr>
        <w:spacing w:line="360" w:lineRule="auto"/>
        <w:jc w:val="both"/>
        <w:rPr>
          <w:rFonts w:asciiTheme="minorHAnsi" w:hAnsiTheme="minorHAnsi" w:cstheme="minorHAnsi"/>
          <w:sz w:val="22"/>
          <w:szCs w:val="22"/>
        </w:rPr>
      </w:pPr>
    </w:p>
    <w:p w14:paraId="17D73298"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In the immediate aftermath of an incident of Domestic abuse, the safeguarding and safety of the victim should be the chief priority for any attending officer.</w:t>
      </w:r>
    </w:p>
    <w:p w14:paraId="35BCB39B" w14:textId="77777777" w:rsidR="00614DAD" w:rsidRPr="004979A6" w:rsidRDefault="00614DAD" w:rsidP="00614DAD">
      <w:pPr>
        <w:spacing w:line="360" w:lineRule="auto"/>
        <w:jc w:val="both"/>
        <w:rPr>
          <w:rFonts w:asciiTheme="minorHAnsi" w:hAnsiTheme="minorHAnsi" w:cstheme="minorHAnsi"/>
          <w:sz w:val="22"/>
          <w:szCs w:val="22"/>
        </w:rPr>
      </w:pPr>
    </w:p>
    <w:p w14:paraId="2343189A"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The imposition of bail conditions following an arrest and charge can be effective in safeguarding a victim from a perpetrator through no-contact conditions or exclusion zones which prevent a perpetrator from attending an address. </w:t>
      </w:r>
    </w:p>
    <w:p w14:paraId="601396DF" w14:textId="77777777" w:rsidR="00614DAD" w:rsidRPr="004979A6" w:rsidRDefault="00614DAD" w:rsidP="00614DAD">
      <w:pPr>
        <w:spacing w:line="360" w:lineRule="auto"/>
        <w:jc w:val="both"/>
        <w:rPr>
          <w:rFonts w:asciiTheme="minorHAnsi" w:hAnsiTheme="minorHAnsi" w:cstheme="minorHAnsi"/>
          <w:sz w:val="22"/>
          <w:szCs w:val="22"/>
        </w:rPr>
      </w:pPr>
    </w:p>
    <w:p w14:paraId="6A8FDB6D"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However, when there is insufficient evidence to charge, bail conditions cannot be imposed, ultimately leaving a shortfall in the safeguarding of victims. In March 2014 under Sections 24-33 Crime and Security Act 2010 (CSA 2010) Domestic Violence Protection notices (DVPN’s) and Domestic Violence protection orders (DVPO’s) were introduced, this provided victims with some time removed from a situation to decide whether to pursue a conviction, as well as also filling the void in protection for victims where bail conditions are not available. Equally, in instances where bail conditions have been imposed, the issuing of a DVPN can further enhance the protection to a victim. </w:t>
      </w:r>
    </w:p>
    <w:p w14:paraId="2BE1CC73" w14:textId="77777777" w:rsidR="00614DAD" w:rsidRPr="004979A6" w:rsidRDefault="00614DAD" w:rsidP="00614DAD">
      <w:pPr>
        <w:spacing w:line="360" w:lineRule="auto"/>
        <w:jc w:val="both"/>
        <w:rPr>
          <w:rFonts w:asciiTheme="minorHAnsi" w:hAnsiTheme="minorHAnsi" w:cstheme="minorHAnsi"/>
          <w:sz w:val="22"/>
          <w:szCs w:val="22"/>
        </w:rPr>
      </w:pPr>
    </w:p>
    <w:p w14:paraId="106D282E"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A DVPN is a police issued emergency non-molestation orders and eviction notice, that prevents a perpetrator from contacting the victim or attending the address for 48 hours from time of issues. In that time police are then required to apply to the courts for a DVPO, this civil order then provides a further period of up to 28 days of no contact and subsequent protection for the victim. A breach of either a DVPN or DVPO is an arrestable offence. </w:t>
      </w:r>
    </w:p>
    <w:p w14:paraId="46AB1C5E" w14:textId="77777777" w:rsidR="00614DAD" w:rsidRPr="004979A6" w:rsidRDefault="00614DAD" w:rsidP="00614DAD">
      <w:pPr>
        <w:spacing w:line="360" w:lineRule="auto"/>
        <w:jc w:val="both"/>
        <w:rPr>
          <w:rFonts w:asciiTheme="minorHAnsi" w:hAnsiTheme="minorHAnsi" w:cstheme="minorHAnsi"/>
          <w:sz w:val="22"/>
          <w:szCs w:val="22"/>
        </w:rPr>
      </w:pPr>
    </w:p>
    <w:p w14:paraId="2D6C09B5"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Whilst the incident I attended did indeed result in an arrest, the female did not support police action, and was not willing to provide a statement consequently the male was released without charge. Having taken into consideration the risk to the victim; being a high risk repeat victim from the male, officers sought to impose a DVPO in the hope of preventing the male from re-attending. </w:t>
      </w:r>
    </w:p>
    <w:p w14:paraId="24BD2A24" w14:textId="77777777" w:rsidR="00614DAD" w:rsidRPr="004979A6" w:rsidRDefault="00614DAD" w:rsidP="00614DAD">
      <w:pPr>
        <w:spacing w:line="360" w:lineRule="auto"/>
        <w:jc w:val="both"/>
        <w:rPr>
          <w:rFonts w:asciiTheme="minorHAnsi" w:hAnsiTheme="minorHAnsi" w:cstheme="minorHAnsi"/>
          <w:sz w:val="22"/>
          <w:szCs w:val="22"/>
        </w:rPr>
      </w:pPr>
    </w:p>
    <w:p w14:paraId="08066233"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Over the following week the male reattended the address a further three times and was arrested and brought to court on each occasion, it was not until the third occasion that the male was then remanded. </w:t>
      </w:r>
    </w:p>
    <w:p w14:paraId="77F1FE10" w14:textId="77777777" w:rsidR="00614DAD" w:rsidRPr="004979A6" w:rsidRDefault="00614DAD" w:rsidP="00614DAD">
      <w:pPr>
        <w:spacing w:line="360" w:lineRule="auto"/>
        <w:jc w:val="both"/>
        <w:rPr>
          <w:rFonts w:asciiTheme="minorHAnsi" w:hAnsiTheme="minorHAnsi" w:cstheme="minorHAnsi"/>
          <w:sz w:val="22"/>
          <w:szCs w:val="22"/>
        </w:rPr>
      </w:pPr>
    </w:p>
    <w:p w14:paraId="19ACAD37" w14:textId="77777777" w:rsidR="00614DAD" w:rsidRPr="004979A6" w:rsidRDefault="00614DAD" w:rsidP="00614DAD">
      <w:pPr>
        <w:spacing w:line="360" w:lineRule="auto"/>
        <w:jc w:val="both"/>
        <w:rPr>
          <w:rFonts w:asciiTheme="minorHAnsi" w:hAnsiTheme="minorHAnsi" w:cstheme="minorHAnsi"/>
          <w:b/>
          <w:bCs/>
          <w:sz w:val="22"/>
          <w:szCs w:val="22"/>
          <w:u w:val="single"/>
        </w:rPr>
      </w:pPr>
      <w:r w:rsidRPr="004979A6">
        <w:rPr>
          <w:rFonts w:asciiTheme="minorHAnsi" w:hAnsiTheme="minorHAnsi" w:cstheme="minorHAnsi"/>
          <w:b/>
          <w:bCs/>
          <w:sz w:val="22"/>
          <w:szCs w:val="22"/>
          <w:u w:val="single"/>
        </w:rPr>
        <w:t>Victimless prosecution</w:t>
      </w:r>
    </w:p>
    <w:p w14:paraId="107DE522" w14:textId="77777777" w:rsidR="00614DAD" w:rsidRPr="004979A6" w:rsidRDefault="00614DAD" w:rsidP="00614DAD">
      <w:pPr>
        <w:spacing w:line="360" w:lineRule="auto"/>
        <w:jc w:val="both"/>
        <w:rPr>
          <w:rFonts w:asciiTheme="minorHAnsi" w:hAnsiTheme="minorHAnsi" w:cstheme="minorHAnsi"/>
          <w:sz w:val="22"/>
          <w:szCs w:val="22"/>
        </w:rPr>
      </w:pPr>
    </w:p>
    <w:p w14:paraId="48CC0E23"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Putting the needs of the victim first is key priority for the police as is outlined in the Victims Code of Practice. However, in cases of Domestic abuse when there is strong evidence of an offence the wishes of the victim not to support police action can, to some extent be ignored, if, it is in the interest of the public and ultimately that victim to prosecute. This is then called a ‘victim-less’ or ‘evidence-based’ prosecution not only does it protect those too afraid to make a statement in relation to the abuse, but also ensures perpetrators are held accountable to their actions. </w:t>
      </w:r>
    </w:p>
    <w:p w14:paraId="574724D0" w14:textId="77777777" w:rsidR="00614DAD" w:rsidRPr="004979A6" w:rsidRDefault="00614DAD" w:rsidP="00614DAD">
      <w:pPr>
        <w:spacing w:line="360" w:lineRule="auto"/>
        <w:jc w:val="both"/>
        <w:rPr>
          <w:rFonts w:asciiTheme="minorHAnsi" w:hAnsiTheme="minorHAnsi" w:cstheme="minorHAnsi"/>
          <w:sz w:val="22"/>
          <w:szCs w:val="22"/>
        </w:rPr>
      </w:pPr>
    </w:p>
    <w:p w14:paraId="5F5C2012"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There are a whole host of reasons that victims of Domestic abuse wish not to support police action, or later withdraw support although this is largely centred around fear of the repercussions from the perpetrator. </w:t>
      </w:r>
    </w:p>
    <w:p w14:paraId="6C472A94" w14:textId="77777777" w:rsidR="00614DAD" w:rsidRPr="004979A6" w:rsidRDefault="00614DAD" w:rsidP="00614DAD">
      <w:pPr>
        <w:spacing w:line="360" w:lineRule="auto"/>
        <w:jc w:val="both"/>
        <w:rPr>
          <w:rFonts w:asciiTheme="minorHAnsi" w:hAnsiTheme="minorHAnsi" w:cstheme="minorHAnsi"/>
          <w:sz w:val="22"/>
          <w:szCs w:val="22"/>
        </w:rPr>
      </w:pPr>
    </w:p>
    <w:p w14:paraId="01395A05"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Whilst victimless prosecutions are available where there is substantively strong evidence to meet the Code for Crown prosecution every effort should be made to encourage victims to pursue a conviction. In an effort to build victim confidence as well as safeguard them from any further emotional and psychological trauma, within the Domestic Abuse Act (2010) it was granted that all victims of Domestic Abuse were eligible to receive special measures in court proceedings (Ministry of Justice, 2015). These measures could include giving evidence from behind a screen, via video linking or in a closed court. These special measures were equally beneficially in enabling victims to give the best possible evidence which could contribute to a successful prosecution. </w:t>
      </w:r>
    </w:p>
    <w:p w14:paraId="103F14D0" w14:textId="77777777" w:rsidR="00614DAD" w:rsidRPr="004979A6" w:rsidRDefault="00614DAD" w:rsidP="00614DAD">
      <w:pPr>
        <w:spacing w:line="360" w:lineRule="auto"/>
        <w:jc w:val="both"/>
        <w:rPr>
          <w:rFonts w:asciiTheme="minorHAnsi" w:hAnsiTheme="minorHAnsi" w:cstheme="minorHAnsi"/>
          <w:sz w:val="22"/>
          <w:szCs w:val="22"/>
        </w:rPr>
      </w:pPr>
    </w:p>
    <w:p w14:paraId="5F0E1C5F" w14:textId="77777777" w:rsidR="00614DAD" w:rsidRPr="004979A6" w:rsidRDefault="00614DAD" w:rsidP="00614DAD">
      <w:pPr>
        <w:spacing w:line="360" w:lineRule="auto"/>
        <w:jc w:val="both"/>
        <w:rPr>
          <w:rFonts w:asciiTheme="minorHAnsi" w:hAnsiTheme="minorHAnsi" w:cstheme="minorHAnsi"/>
          <w:b/>
          <w:bCs/>
          <w:sz w:val="22"/>
          <w:szCs w:val="22"/>
          <w:u w:val="single"/>
        </w:rPr>
      </w:pPr>
      <w:r w:rsidRPr="004979A6">
        <w:rPr>
          <w:rFonts w:asciiTheme="minorHAnsi" w:hAnsiTheme="minorHAnsi" w:cstheme="minorHAnsi"/>
          <w:b/>
          <w:bCs/>
          <w:sz w:val="22"/>
          <w:szCs w:val="22"/>
          <w:u w:val="single"/>
        </w:rPr>
        <w:t xml:space="preserve">Clare’s law </w:t>
      </w:r>
    </w:p>
    <w:p w14:paraId="3B633F51" w14:textId="77777777" w:rsidR="00614DAD" w:rsidRPr="004979A6" w:rsidRDefault="00614DAD" w:rsidP="00614DAD">
      <w:pPr>
        <w:spacing w:line="360" w:lineRule="auto"/>
        <w:jc w:val="both"/>
        <w:rPr>
          <w:rFonts w:asciiTheme="minorHAnsi" w:hAnsiTheme="minorHAnsi" w:cstheme="minorHAnsi"/>
          <w:sz w:val="22"/>
          <w:szCs w:val="22"/>
        </w:rPr>
      </w:pPr>
    </w:p>
    <w:p w14:paraId="0FC3C6E8"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There have been several landmark policies put in place over the past decade in relation to tackling domestic abuse, Clare’s law being one. The law centres around disclosure of information and risk management and embodies the concept that knowledge is power. </w:t>
      </w:r>
    </w:p>
    <w:p w14:paraId="64B25C17" w14:textId="77777777" w:rsidR="00614DAD" w:rsidRPr="004979A6" w:rsidRDefault="00614DAD" w:rsidP="00614DAD">
      <w:pPr>
        <w:spacing w:line="360" w:lineRule="auto"/>
        <w:jc w:val="both"/>
        <w:rPr>
          <w:rFonts w:asciiTheme="minorHAnsi" w:hAnsiTheme="minorHAnsi" w:cstheme="minorHAnsi"/>
          <w:sz w:val="22"/>
          <w:szCs w:val="22"/>
        </w:rPr>
      </w:pPr>
    </w:p>
    <w:p w14:paraId="2983C5D5"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Clare’s law, also known as the Domestic Violence Disclosure scheme (DVDS) was introduced after persistent campaigning by the father of Clare Wood after her tragic death. Clare was brutally murdered by her then ex-partner George Appleton who, unbeknownst to Clare had a history of violent and abusive behaviour and had been imprisoned on two separate occasions relating to that. The police were aware of Appleton’s tumultuous past but at the time were unable to disclose the information to Clare for her to make informed decisions. </w:t>
      </w:r>
    </w:p>
    <w:p w14:paraId="3F49504D" w14:textId="77777777" w:rsidR="00614DAD" w:rsidRPr="004979A6" w:rsidRDefault="00614DAD" w:rsidP="00614DAD">
      <w:pPr>
        <w:spacing w:line="360" w:lineRule="auto"/>
        <w:jc w:val="both"/>
        <w:rPr>
          <w:rFonts w:asciiTheme="minorHAnsi" w:hAnsiTheme="minorHAnsi" w:cstheme="minorHAnsi"/>
          <w:sz w:val="22"/>
          <w:szCs w:val="22"/>
        </w:rPr>
      </w:pPr>
    </w:p>
    <w:p w14:paraId="7A9A5E3B"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The change of the legislation meant that police were now able to disclose any prudent information to potential victims on request pertaining to their partner’s history of domestic abuse and violent behaviour in the hope of mitigating any risk to them by preventing future perpetration of violence.</w:t>
      </w:r>
    </w:p>
    <w:p w14:paraId="0F1DE97C"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Not only does this intervention policy protect ‘high risk victims’ from entering future relationships with those  </w:t>
      </w:r>
    </w:p>
    <w:p w14:paraId="0992EAD4" w14:textId="77777777" w:rsidR="00614DAD" w:rsidRPr="004979A6" w:rsidRDefault="00614DAD" w:rsidP="00614DAD">
      <w:pPr>
        <w:spacing w:line="360" w:lineRule="auto"/>
        <w:jc w:val="both"/>
        <w:rPr>
          <w:rFonts w:asciiTheme="minorHAnsi" w:hAnsiTheme="minorHAnsi" w:cstheme="minorHAnsi"/>
          <w:sz w:val="22"/>
          <w:szCs w:val="22"/>
        </w:rPr>
      </w:pPr>
    </w:p>
    <w:p w14:paraId="64478401"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Whilst this policy was undeniably a step in the right direction for tackling domestic abuse goes to some lengths to provide potential victims with the relevant information to make informed decisions and ultimately remove themselves from potentially harmful relationships, critics of the policy suggest that the policy is by no means a solution. </w:t>
      </w:r>
    </w:p>
    <w:p w14:paraId="26A01506" w14:textId="77777777" w:rsidR="00614DAD" w:rsidRPr="004979A6" w:rsidRDefault="00614DAD" w:rsidP="00614DAD">
      <w:pPr>
        <w:spacing w:line="360" w:lineRule="auto"/>
        <w:jc w:val="both"/>
        <w:rPr>
          <w:rFonts w:asciiTheme="minorHAnsi" w:hAnsiTheme="minorHAnsi" w:cstheme="minorHAnsi"/>
          <w:sz w:val="22"/>
          <w:szCs w:val="22"/>
        </w:rPr>
      </w:pPr>
    </w:p>
    <w:p w14:paraId="665347EA"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Instead, critics argue most victims already know the information about their partners that they are requesting, and that further disclosure does not assist in helping them leave the situation which to which they feel there is no escape (Reed, 2011). Drug, alcohol, and financial dependency are often factors that can prevent victims from leaving an abusive relationship and instead the police and agencies should be working together to provide this support which would go further to provide an escape and sustainable independency beyond the confines of domestic abuse (Gadd et al., 2019). </w:t>
      </w:r>
    </w:p>
    <w:p w14:paraId="23FAD9D0" w14:textId="77777777" w:rsidR="00614DAD" w:rsidRPr="004979A6" w:rsidRDefault="00614DAD" w:rsidP="00614DAD">
      <w:pPr>
        <w:spacing w:line="360" w:lineRule="auto"/>
        <w:jc w:val="both"/>
        <w:rPr>
          <w:rFonts w:asciiTheme="minorHAnsi" w:hAnsiTheme="minorHAnsi" w:cstheme="minorHAnsi"/>
          <w:sz w:val="22"/>
          <w:szCs w:val="22"/>
        </w:rPr>
      </w:pPr>
    </w:p>
    <w:p w14:paraId="6982D96D"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It is widely recognised that Domestic abuse is a hidden crime, it occurs in the privacy of victim’s own homes and is sadly often not reported. This raises the debate and makes it entirely plausible that whilst a perpetrator may indeed have a history of abuse violence towards intimidate partners it may not be documented, potentially lulling potential victims into a false sense of security. </w:t>
      </w:r>
    </w:p>
    <w:p w14:paraId="5BDC14C5" w14:textId="77777777" w:rsidR="00614DAD" w:rsidRPr="004979A6" w:rsidRDefault="00614DAD" w:rsidP="00614DAD">
      <w:pPr>
        <w:spacing w:line="360" w:lineRule="auto"/>
        <w:jc w:val="both"/>
        <w:rPr>
          <w:rFonts w:asciiTheme="minorHAnsi" w:hAnsiTheme="minorHAnsi" w:cstheme="minorHAnsi"/>
          <w:sz w:val="22"/>
          <w:szCs w:val="22"/>
        </w:rPr>
      </w:pPr>
    </w:p>
    <w:p w14:paraId="2515B22B"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Whilst the initial actions of officers at scene ensure the immediate safety of victims in the aftermath of incidents of domestic violence, and indeed legislation such as Clare’s law go to some lengths to prevent escalation of Domestic abuse, it is the support provided by police and partner agencies in the wake of these incidents that is critical for victims of Domestic abuse. This support is vital if they are to be successful in rebuilding their lives which are often shattered because of the abuse.  </w:t>
      </w:r>
    </w:p>
    <w:p w14:paraId="4C60E4FA" w14:textId="77777777" w:rsidR="00614DAD" w:rsidRPr="004979A6" w:rsidRDefault="00614DAD" w:rsidP="00614DAD">
      <w:pPr>
        <w:spacing w:line="360" w:lineRule="auto"/>
        <w:jc w:val="both"/>
        <w:rPr>
          <w:rFonts w:asciiTheme="minorHAnsi" w:hAnsiTheme="minorHAnsi" w:cstheme="minorHAnsi"/>
          <w:sz w:val="22"/>
          <w:szCs w:val="22"/>
        </w:rPr>
      </w:pPr>
    </w:p>
    <w:p w14:paraId="3C3D1DFE" w14:textId="1E6E9897" w:rsidR="00614DAD" w:rsidRDefault="00614DAD" w:rsidP="00614DAD">
      <w:pPr>
        <w:spacing w:line="360" w:lineRule="auto"/>
        <w:jc w:val="both"/>
        <w:rPr>
          <w:rFonts w:asciiTheme="minorHAnsi" w:hAnsiTheme="minorHAnsi" w:cstheme="minorHAnsi"/>
          <w:b/>
          <w:bCs/>
          <w:sz w:val="22"/>
          <w:szCs w:val="22"/>
          <w:u w:val="single"/>
        </w:rPr>
      </w:pPr>
      <w:r w:rsidRPr="00614DAD">
        <w:rPr>
          <w:rFonts w:asciiTheme="minorHAnsi" w:hAnsiTheme="minorHAnsi" w:cstheme="minorHAnsi"/>
          <w:b/>
          <w:bCs/>
          <w:sz w:val="22"/>
          <w:szCs w:val="22"/>
          <w:u w:val="single"/>
        </w:rPr>
        <w:t xml:space="preserve">PPNs, </w:t>
      </w:r>
      <w:r>
        <w:rPr>
          <w:rFonts w:asciiTheme="minorHAnsi" w:hAnsiTheme="minorHAnsi" w:cstheme="minorHAnsi"/>
          <w:b/>
          <w:bCs/>
          <w:sz w:val="22"/>
          <w:szCs w:val="22"/>
          <w:u w:val="single"/>
        </w:rPr>
        <w:t>MARACs</w:t>
      </w:r>
      <w:r w:rsidRPr="00614DAD">
        <w:rPr>
          <w:rFonts w:asciiTheme="minorHAnsi" w:hAnsiTheme="minorHAnsi" w:cstheme="minorHAnsi"/>
          <w:b/>
          <w:bCs/>
          <w:sz w:val="22"/>
          <w:szCs w:val="22"/>
          <w:u w:val="single"/>
        </w:rPr>
        <w:t xml:space="preserve"> and IDVAs</w:t>
      </w:r>
    </w:p>
    <w:p w14:paraId="596BA3EC" w14:textId="77777777" w:rsidR="00614DAD" w:rsidRPr="00614DAD" w:rsidRDefault="00614DAD" w:rsidP="00614DAD">
      <w:pPr>
        <w:spacing w:line="360" w:lineRule="auto"/>
        <w:jc w:val="both"/>
        <w:rPr>
          <w:rFonts w:asciiTheme="minorHAnsi" w:hAnsiTheme="minorHAnsi" w:cstheme="minorHAnsi"/>
          <w:b/>
          <w:bCs/>
          <w:sz w:val="22"/>
          <w:szCs w:val="22"/>
          <w:u w:val="single"/>
        </w:rPr>
      </w:pPr>
    </w:p>
    <w:p w14:paraId="0FB46494"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Public protection Notices or PPNs are information sharing documents compiled by officers at the scene of incidents of domestic abuse or in instances whereby there are particular concerns over vulnerability. The document in the context of Domestic abuse victims serves two main purposes it enables officers to initiate a primary risk assessment of an incident using the Domestic abuse, stalking and harassment (DASH) tool and functions as a springboard to establish referrals to relevant partner agencies who can offer appropriate support to victims as well as identify serial perpetrators who may then be considered as future candidates for Clare’s Law. </w:t>
      </w:r>
    </w:p>
    <w:p w14:paraId="16834A4D" w14:textId="77777777" w:rsidR="00614DAD" w:rsidRPr="004979A6" w:rsidRDefault="00614DAD" w:rsidP="00614DAD">
      <w:pPr>
        <w:spacing w:line="360" w:lineRule="auto"/>
        <w:jc w:val="both"/>
        <w:rPr>
          <w:rFonts w:asciiTheme="minorHAnsi" w:hAnsiTheme="minorHAnsi" w:cstheme="minorHAnsi"/>
          <w:sz w:val="22"/>
          <w:szCs w:val="22"/>
        </w:rPr>
      </w:pPr>
    </w:p>
    <w:p w14:paraId="45C618DB"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The DASH risk assessment tool is a questionnaire completed by officers at the scene with consent of the victim, whilst the nature of the questions is somewhat invasive it is crucial in signposting any risk. On completion officers must use their discretion and the acquired information to grade the PPN by level of risk; standard, medium, or high. This is then sent on to partner agencies who are able to support and manage a victims needs. Partner agencies include women’s aid and health, child, and adult services. </w:t>
      </w:r>
    </w:p>
    <w:p w14:paraId="5BB45BD4" w14:textId="77777777" w:rsidR="00614DAD" w:rsidRPr="004979A6" w:rsidRDefault="00614DAD" w:rsidP="00614DAD">
      <w:pPr>
        <w:spacing w:line="360" w:lineRule="auto"/>
        <w:jc w:val="both"/>
        <w:rPr>
          <w:rFonts w:asciiTheme="minorHAnsi" w:hAnsiTheme="minorHAnsi" w:cstheme="minorHAnsi"/>
          <w:sz w:val="22"/>
          <w:szCs w:val="22"/>
        </w:rPr>
      </w:pPr>
    </w:p>
    <w:p w14:paraId="3133BECA" w14:textId="77777777" w:rsidR="00614DAD" w:rsidRPr="004979A6"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Where a PPN has been graded as high risk, the information is also shared with a Multi-Agency Risk Assessment Conference (MARAC), this is a local and regular meeting which sees the discussion of high-risk domestic abuse cases. With the contribution of Police, Independent Domestic violence Advisors (IDVAs), Social Services and GPs plans are then developed to ensure the safety and support of victims of Domestic Abuse and their children. In studies evaluating the strategies for tackling Domestic Violence/Abuse both MARACs and IDVAs are praised for being particularly effective particularly in the support they provide to victims, and this ultimately reduces recidivism </w:t>
      </w:r>
      <w:r w:rsidRPr="004979A6">
        <w:rPr>
          <w:rFonts w:asciiTheme="minorHAnsi" w:hAnsiTheme="minorHAnsi" w:cstheme="minorHAnsi"/>
          <w:color w:val="auto"/>
          <w:sz w:val="22"/>
          <w:szCs w:val="22"/>
        </w:rPr>
        <w:t>(Ross, Sebire and Strang, 2022; Robinson, 2014)</w:t>
      </w:r>
      <w:r w:rsidRPr="004979A6">
        <w:rPr>
          <w:rFonts w:asciiTheme="minorHAnsi" w:hAnsiTheme="minorHAnsi" w:cstheme="minorHAnsi"/>
          <w:sz w:val="22"/>
          <w:szCs w:val="22"/>
        </w:rPr>
        <w:t xml:space="preserve">. </w:t>
      </w:r>
    </w:p>
    <w:p w14:paraId="292B1F01" w14:textId="77777777" w:rsidR="00614DAD" w:rsidRPr="004979A6" w:rsidRDefault="00614DAD" w:rsidP="00614DAD">
      <w:pPr>
        <w:spacing w:line="360" w:lineRule="auto"/>
        <w:jc w:val="both"/>
        <w:rPr>
          <w:rFonts w:asciiTheme="minorHAnsi" w:hAnsiTheme="minorHAnsi" w:cstheme="minorHAnsi"/>
          <w:sz w:val="22"/>
          <w:szCs w:val="22"/>
        </w:rPr>
      </w:pPr>
    </w:p>
    <w:p w14:paraId="7651381C" w14:textId="77777777" w:rsidR="00614DAD" w:rsidRDefault="00614DAD" w:rsidP="00614DAD">
      <w:pPr>
        <w:spacing w:line="360" w:lineRule="auto"/>
        <w:jc w:val="both"/>
        <w:rPr>
          <w:rFonts w:asciiTheme="minorHAnsi" w:hAnsiTheme="minorHAnsi" w:cstheme="minorHAnsi"/>
          <w:sz w:val="22"/>
          <w:szCs w:val="22"/>
        </w:rPr>
      </w:pPr>
      <w:r w:rsidRPr="004979A6">
        <w:rPr>
          <w:rFonts w:asciiTheme="minorHAnsi" w:hAnsiTheme="minorHAnsi" w:cstheme="minorHAnsi"/>
          <w:sz w:val="22"/>
          <w:szCs w:val="22"/>
        </w:rPr>
        <w:t xml:space="preserve">Whilst there has been some progress made by the police and both social and public health sectors in tackling domestic abuse, the alarming statistics highlight that there is still much to be done. Not one agency is able or responsible for tackling domestic abuse and a collaborative response which sees the sharing of resources and best practices is vital if we are to support victims and prevent missed </w:t>
      </w:r>
      <w:r>
        <w:rPr>
          <w:rFonts w:asciiTheme="minorHAnsi" w:hAnsiTheme="minorHAnsi" w:cstheme="minorHAnsi"/>
          <w:sz w:val="22"/>
          <w:szCs w:val="22"/>
        </w:rPr>
        <w:t>opportunities</w:t>
      </w:r>
      <w:r w:rsidRPr="004979A6">
        <w:rPr>
          <w:rFonts w:asciiTheme="minorHAnsi" w:hAnsiTheme="minorHAnsi" w:cstheme="minorHAnsi"/>
          <w:sz w:val="22"/>
          <w:szCs w:val="22"/>
        </w:rPr>
        <w:t xml:space="preserve"> to identify them as well as their perpetrators. This is clear in the prescriptions noted within the Secretary of States Tackling Domestic Abuse Plan (Secretary of State and HM Gov, 2020). </w:t>
      </w:r>
    </w:p>
    <w:p w14:paraId="24E286B4" w14:textId="77777777" w:rsidR="00614DAD" w:rsidRPr="00E05D0D" w:rsidRDefault="00614DAD" w:rsidP="00614DAD">
      <w:pPr>
        <w:rPr>
          <w:rFonts w:asciiTheme="minorHAnsi" w:hAnsiTheme="minorHAnsi" w:cstheme="minorHAnsi"/>
          <w:sz w:val="22"/>
          <w:szCs w:val="22"/>
        </w:rPr>
      </w:pPr>
    </w:p>
    <w:p w14:paraId="21567D09" w14:textId="77777777" w:rsidR="00614DAD" w:rsidRPr="00E05D0D" w:rsidRDefault="00614DAD" w:rsidP="00614DAD">
      <w:pPr>
        <w:rPr>
          <w:rFonts w:asciiTheme="minorHAnsi" w:hAnsiTheme="minorHAnsi" w:cstheme="minorHAnsi"/>
          <w:sz w:val="22"/>
          <w:szCs w:val="22"/>
        </w:rPr>
      </w:pPr>
    </w:p>
    <w:p w14:paraId="0E078D5A" w14:textId="77777777" w:rsidR="00614DAD" w:rsidRDefault="00614DAD" w:rsidP="00614DAD">
      <w:pPr>
        <w:rPr>
          <w:rFonts w:asciiTheme="minorHAnsi" w:hAnsiTheme="minorHAnsi" w:cstheme="minorHAnsi"/>
          <w:sz w:val="22"/>
          <w:szCs w:val="22"/>
        </w:rPr>
      </w:pPr>
    </w:p>
    <w:p w14:paraId="52C66952" w14:textId="606B0A91" w:rsidR="00614DAD" w:rsidRPr="00E05D0D" w:rsidRDefault="00614DAD" w:rsidP="00614DAD">
      <w:pPr>
        <w:rPr>
          <w:rFonts w:asciiTheme="minorHAnsi" w:hAnsiTheme="minorHAnsi" w:cstheme="minorHAnsi"/>
          <w:sz w:val="22"/>
          <w:szCs w:val="22"/>
        </w:rPr>
      </w:pPr>
      <w:r>
        <w:rPr>
          <w:rFonts w:asciiTheme="minorHAnsi" w:hAnsiTheme="minorHAnsi" w:cstheme="minorHAnsi"/>
          <w:sz w:val="22"/>
          <w:szCs w:val="22"/>
        </w:rPr>
        <w:t>21</w:t>
      </w:r>
      <w:r>
        <w:rPr>
          <w:rFonts w:asciiTheme="minorHAnsi" w:hAnsiTheme="minorHAnsi" w:cstheme="minorHAnsi"/>
          <w:sz w:val="22"/>
          <w:szCs w:val="22"/>
        </w:rPr>
        <w:t>61</w:t>
      </w:r>
      <w:r>
        <w:rPr>
          <w:rFonts w:asciiTheme="minorHAnsi" w:hAnsiTheme="minorHAnsi" w:cstheme="minorHAnsi"/>
          <w:sz w:val="22"/>
          <w:szCs w:val="22"/>
        </w:rPr>
        <w:t xml:space="preserve"> words</w:t>
      </w: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332D314D" w:rsidR="0FF883D4" w:rsidRDefault="5CE196A1" w:rsidP="5CE196A1">
      <w:r w:rsidRPr="5CE196A1">
        <w:rPr>
          <w:rFonts w:eastAsia="Arial"/>
          <w:b/>
          <w:bCs/>
          <w:color w:val="000000" w:themeColor="text1"/>
          <w:sz w:val="24"/>
          <w:szCs w:val="24"/>
        </w:rPr>
        <w:t xml:space="preserve">Signed: </w:t>
      </w:r>
      <w:r w:rsidR="003530AC">
        <w:rPr>
          <w:rFonts w:eastAsia="Arial"/>
          <w:b/>
          <w:bCs/>
          <w:color w:val="000000" w:themeColor="text1"/>
          <w:sz w:val="24"/>
          <w:szCs w:val="24"/>
        </w:rPr>
        <w:t>Jevans</w:t>
      </w:r>
    </w:p>
    <w:p w14:paraId="563192E7" w14:textId="7A83C86F" w:rsidR="0FF883D4" w:rsidRDefault="5CE196A1" w:rsidP="5CE196A1">
      <w:r w:rsidRPr="5CE196A1">
        <w:rPr>
          <w:rFonts w:eastAsia="Arial"/>
          <w:b/>
          <w:bCs/>
          <w:color w:val="000000" w:themeColor="text1"/>
          <w:sz w:val="24"/>
          <w:szCs w:val="24"/>
        </w:rPr>
        <w:t xml:space="preserve"> </w:t>
      </w:r>
    </w:p>
    <w:p w14:paraId="482B2B3A" w14:textId="47FB51F5" w:rsidR="0FF883D4" w:rsidRPr="003530AC" w:rsidRDefault="5CE196A1" w:rsidP="003530AC">
      <w:pPr>
        <w:sectPr w:rsidR="0FF883D4" w:rsidRPr="003530AC"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3530AC">
        <w:t xml:space="preserve">  </w:t>
      </w:r>
      <w:r w:rsidR="003530AC">
        <w:rPr>
          <w:b/>
          <w:bCs/>
          <w:sz w:val="24"/>
          <w:szCs w:val="24"/>
          <w:lang w:eastAsia="zh-TW"/>
        </w:rPr>
        <w:t>05/02/2023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t>Bibliography</w:t>
      </w:r>
    </w:p>
    <w:p w14:paraId="0AB807FE" w14:textId="05814FEB"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CE3ABC8" w14:textId="55420773" w:rsidR="00614DAD" w:rsidRPr="00614DAD" w:rsidRDefault="00614DAD" w:rsidP="00614DAD"/>
    <w:p w14:paraId="6124A0EA" w14:textId="553E1E8D" w:rsidR="00614DAD" w:rsidRPr="00614DAD" w:rsidRDefault="00614DAD" w:rsidP="00614DAD"/>
    <w:p w14:paraId="33834283"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Asquith, N.L., Bartkowiak-ThéronI., Roberts, K.A. and Springer International Publishing Ag (2018). </w:t>
      </w:r>
      <w:r w:rsidRPr="00614DAD">
        <w:rPr>
          <w:rFonts w:asciiTheme="minorHAnsi" w:hAnsiTheme="minorHAnsi" w:cstheme="minorHAnsi"/>
          <w:i/>
          <w:iCs/>
        </w:rPr>
        <w:t>Policing Encounters with Vulnerability.</w:t>
      </w:r>
      <w:r w:rsidRPr="00614DAD">
        <w:rPr>
          <w:rFonts w:asciiTheme="minorHAnsi" w:hAnsiTheme="minorHAnsi" w:cstheme="minorHAnsi"/>
        </w:rPr>
        <w:t xml:space="preserve"> Cham Springer International Publishing Palgrave Macmillan.</w:t>
      </w:r>
    </w:p>
    <w:p w14:paraId="4D9B60D3"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Blackburn, K. and Graca, S. (2020). A critical reflection on the use and effectiveness of DVPNs and DVPOs. </w:t>
      </w:r>
      <w:r w:rsidRPr="00614DAD">
        <w:rPr>
          <w:rFonts w:asciiTheme="minorHAnsi" w:hAnsiTheme="minorHAnsi" w:cstheme="minorHAnsi"/>
          <w:i/>
          <w:iCs/>
        </w:rPr>
        <w:t>Police Practice and Research</w:t>
      </w:r>
      <w:r w:rsidRPr="00614DAD">
        <w:rPr>
          <w:rFonts w:asciiTheme="minorHAnsi" w:hAnsiTheme="minorHAnsi" w:cstheme="minorHAnsi"/>
        </w:rPr>
        <w:t>, 22(1), pp.1–17. doi:10.1080/15614263.2020.1759059.</w:t>
      </w:r>
    </w:p>
    <w:p w14:paraId="5CDE5232"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College of Policing (2018). </w:t>
      </w:r>
      <w:r w:rsidRPr="00614DAD">
        <w:rPr>
          <w:rFonts w:asciiTheme="minorHAnsi" w:hAnsiTheme="minorHAnsi" w:cstheme="minorHAnsi"/>
          <w:i/>
          <w:iCs/>
        </w:rPr>
        <w:t>Arrest and other positive approaches</w:t>
      </w:r>
      <w:r w:rsidRPr="00614DAD">
        <w:rPr>
          <w:rFonts w:asciiTheme="minorHAnsi" w:hAnsiTheme="minorHAnsi" w:cstheme="minorHAnsi"/>
        </w:rPr>
        <w:t xml:space="preserve">. [online] </w:t>
      </w:r>
      <w:r w:rsidRPr="00614DAD">
        <w:rPr>
          <w:rFonts w:asciiTheme="minorHAnsi" w:hAnsiTheme="minorHAnsi" w:cstheme="minorHAnsi"/>
          <w:i/>
          <w:iCs/>
        </w:rPr>
        <w:t>College of Policing</w:t>
      </w:r>
      <w:r w:rsidRPr="00614DAD">
        <w:rPr>
          <w:rFonts w:asciiTheme="minorHAnsi" w:hAnsiTheme="minorHAnsi" w:cstheme="minorHAnsi"/>
        </w:rPr>
        <w:t>. College of Policing. Available at: https://www.college.police.uk/app/major-investigation-and-public-protection/domestic-abuse/arrest-and-other-positive-approaches [Accessed 4 Feb. 2023].</w:t>
      </w:r>
    </w:p>
    <w:p w14:paraId="5804364F"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College of Policing (2020). </w:t>
      </w:r>
      <w:r w:rsidRPr="00614DAD">
        <w:rPr>
          <w:rFonts w:asciiTheme="minorHAnsi" w:hAnsiTheme="minorHAnsi" w:cstheme="minorHAnsi"/>
          <w:i/>
          <w:iCs/>
        </w:rPr>
        <w:t>Vulnerability | College of Policing</w:t>
      </w:r>
      <w:r w:rsidRPr="00614DAD">
        <w:rPr>
          <w:rFonts w:asciiTheme="minorHAnsi" w:hAnsiTheme="minorHAnsi" w:cstheme="minorHAnsi"/>
        </w:rPr>
        <w:t>. [online] www.college.police.uk. Available at: https://www.college.police.uk/What-we-do/Development/Vulnerability/Pages/Vulnerability.aspx#:~:text=%E2%80%9CA%20person%20is%20vulnerable%20if [Accessed 4 Feb. 2023].</w:t>
      </w:r>
    </w:p>
    <w:p w14:paraId="34A44EFD"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Cordier, R., Chung, D., Wilkes-Gillan, S. and Speyer, R. (2019). The Effectiveness of Protection Orders in Reducing Recidivism in Domestic Violence: A Systematic Review and Meta-Analysis. </w:t>
      </w:r>
      <w:r w:rsidRPr="00614DAD">
        <w:rPr>
          <w:rFonts w:asciiTheme="minorHAnsi" w:hAnsiTheme="minorHAnsi" w:cstheme="minorHAnsi"/>
          <w:i/>
          <w:iCs/>
        </w:rPr>
        <w:t>Trauma, Violence, &amp; Abuse</w:t>
      </w:r>
      <w:r w:rsidRPr="00614DAD">
        <w:rPr>
          <w:rFonts w:asciiTheme="minorHAnsi" w:hAnsiTheme="minorHAnsi" w:cstheme="minorHAnsi"/>
        </w:rPr>
        <w:t>, 22(4), p.152483801988236. doi:10.1177/1524838019882361.</w:t>
      </w:r>
    </w:p>
    <w:p w14:paraId="1E771508"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i/>
          <w:iCs/>
        </w:rPr>
        <w:t>Crime and Security Act 2010</w:t>
      </w:r>
      <w:r w:rsidRPr="00614DAD">
        <w:rPr>
          <w:rFonts w:asciiTheme="minorHAnsi" w:hAnsiTheme="minorHAnsi" w:cstheme="minorHAnsi"/>
        </w:rPr>
        <w:t>.24-27 [online] Available at: https://www.legislation.gov.uk/ukpga/2010/17/section/28 [Accessed 19 Jan. 2023].</w:t>
      </w:r>
    </w:p>
    <w:p w14:paraId="596E9491"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i/>
          <w:iCs/>
        </w:rPr>
        <w:t>Domestic Abuse Act 2021</w:t>
      </w:r>
      <w:r w:rsidRPr="00614DAD">
        <w:rPr>
          <w:rFonts w:asciiTheme="minorHAnsi" w:hAnsiTheme="minorHAnsi" w:cstheme="minorHAnsi"/>
        </w:rPr>
        <w:t>.1 [online] Available at: https://www.legislation.gov.uk/ukpga/2021/17/section/1/enacted [Accessed 19 Jan. 2023].</w:t>
      </w:r>
    </w:p>
    <w:p w14:paraId="02467584"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Enang, I., Murray, J., Dougall, N., Aston, E., Wooff, A., Heyman, I. and Grandison, G. (2021). Vulnerability assessment across the frontline of law enforcement and public health: a systematic review. </w:t>
      </w:r>
      <w:r w:rsidRPr="00614DAD">
        <w:rPr>
          <w:rFonts w:asciiTheme="minorHAnsi" w:hAnsiTheme="minorHAnsi" w:cstheme="minorHAnsi"/>
          <w:i/>
          <w:iCs/>
        </w:rPr>
        <w:t>Policing and Society</w:t>
      </w:r>
      <w:r w:rsidRPr="00614DAD">
        <w:rPr>
          <w:rFonts w:asciiTheme="minorHAnsi" w:hAnsiTheme="minorHAnsi" w:cstheme="minorHAnsi"/>
        </w:rPr>
        <w:t>, 32(4), pp.1–20. doi:10.1080/10439463.2021.1927025.</w:t>
      </w:r>
    </w:p>
    <w:p w14:paraId="6416FF93"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Enang, I., Murray, J., Dougall, N., Wooff, A., Heyman, I. and Aston, E. (2019). Defining and assessing vulnerability within law enforcement and public health organisations: a scoping review. </w:t>
      </w:r>
      <w:r w:rsidRPr="00614DAD">
        <w:rPr>
          <w:rFonts w:asciiTheme="minorHAnsi" w:hAnsiTheme="minorHAnsi" w:cstheme="minorHAnsi"/>
          <w:i/>
          <w:iCs/>
        </w:rPr>
        <w:t>Health &amp; Justice</w:t>
      </w:r>
      <w:r w:rsidRPr="00614DAD">
        <w:rPr>
          <w:rFonts w:asciiTheme="minorHAnsi" w:hAnsiTheme="minorHAnsi" w:cstheme="minorHAnsi"/>
        </w:rPr>
        <w:t>, [online] 7(1). doi:10.1186/s40352-019-0083-z.</w:t>
      </w:r>
    </w:p>
    <w:p w14:paraId="61579434"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FELSON, R.B., MESSNER, S.F., HOSKIN, A.W. and DEANE, G. (2002). Reasons for Reporting and Not Reporting Domestic Violence to the Police. </w:t>
      </w:r>
      <w:r w:rsidRPr="00614DAD">
        <w:rPr>
          <w:rFonts w:asciiTheme="minorHAnsi" w:hAnsiTheme="minorHAnsi" w:cstheme="minorHAnsi"/>
          <w:i/>
          <w:iCs/>
        </w:rPr>
        <w:t>Criminology</w:t>
      </w:r>
      <w:r w:rsidRPr="00614DAD">
        <w:rPr>
          <w:rFonts w:asciiTheme="minorHAnsi" w:hAnsiTheme="minorHAnsi" w:cstheme="minorHAnsi"/>
        </w:rPr>
        <w:t>, 40(3), pp.617–648. doi:10.1111/j.1745-9125.2002.tb00968.x.</w:t>
      </w:r>
    </w:p>
    <w:p w14:paraId="77DD6BA6"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Fitz-Gibbon, K. and Walklate, S. (2016). The efficacy of Clare’s Law in domestic violence law reform in England and Wales. </w:t>
      </w:r>
      <w:r w:rsidRPr="00614DAD">
        <w:rPr>
          <w:rFonts w:asciiTheme="minorHAnsi" w:hAnsiTheme="minorHAnsi" w:cstheme="minorHAnsi"/>
          <w:i/>
          <w:iCs/>
        </w:rPr>
        <w:t>Criminology &amp; Criminal Justice</w:t>
      </w:r>
      <w:r w:rsidRPr="00614DAD">
        <w:rPr>
          <w:rFonts w:asciiTheme="minorHAnsi" w:hAnsiTheme="minorHAnsi" w:cstheme="minorHAnsi"/>
        </w:rPr>
        <w:t>, 17(3), pp.284–300. doi:10.1177/1748895816671383.</w:t>
      </w:r>
    </w:p>
    <w:p w14:paraId="0477BA91"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Gadd, D., Henderson, J., Radcliffe, P., Stephens-Lewis, D., Johnson, A. and Gilchrist, G. (2019). Corrigendum to: The Dynamics of Domestic Abuse and Drug and Alcohol Dependency. </w:t>
      </w:r>
      <w:r w:rsidRPr="00614DAD">
        <w:rPr>
          <w:rFonts w:asciiTheme="minorHAnsi" w:hAnsiTheme="minorHAnsi" w:cstheme="minorHAnsi"/>
          <w:i/>
          <w:iCs/>
        </w:rPr>
        <w:t>The British Journal of Criminology</w:t>
      </w:r>
      <w:r w:rsidRPr="00614DAD">
        <w:rPr>
          <w:rFonts w:asciiTheme="minorHAnsi" w:hAnsiTheme="minorHAnsi" w:cstheme="minorHAnsi"/>
        </w:rPr>
        <w:t>, 59(5), pp.1035–1053. doi:10.1093/bjc/azz063.</w:t>
      </w:r>
    </w:p>
    <w:p w14:paraId="003CF883"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HMIC (2014). </w:t>
      </w:r>
      <w:r w:rsidRPr="00614DAD">
        <w:rPr>
          <w:rFonts w:asciiTheme="minorHAnsi" w:hAnsiTheme="minorHAnsi" w:cstheme="minorHAnsi"/>
          <w:i/>
          <w:iCs/>
        </w:rPr>
        <w:t>South Wales Police’s approach to tackling domestic abuse</w:t>
      </w:r>
      <w:r w:rsidRPr="00614DAD">
        <w:rPr>
          <w:rFonts w:asciiTheme="minorHAnsi" w:hAnsiTheme="minorHAnsi" w:cstheme="minorHAnsi"/>
        </w:rPr>
        <w:t xml:space="preserve">. [online] </w:t>
      </w:r>
      <w:r w:rsidRPr="00614DAD">
        <w:rPr>
          <w:rFonts w:asciiTheme="minorHAnsi" w:hAnsiTheme="minorHAnsi" w:cstheme="minorHAnsi"/>
          <w:i/>
          <w:iCs/>
        </w:rPr>
        <w:t>Justice Inspectorates</w:t>
      </w:r>
      <w:r w:rsidRPr="00614DAD">
        <w:rPr>
          <w:rFonts w:asciiTheme="minorHAnsi" w:hAnsiTheme="minorHAnsi" w:cstheme="minorHAnsi"/>
        </w:rPr>
        <w:t>. HMIC. Available at: https://www.justiceinspectorates.gov.uk/hmicfrs/wp-content/uploads/2014/03/south-wales-approach-to-tackling-domestic-abuse.pdf [Accessed 4 Feb. 2023].</w:t>
      </w:r>
    </w:p>
    <w:p w14:paraId="3E167708"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HMIC (2015). </w:t>
      </w:r>
      <w:r w:rsidRPr="00614DAD">
        <w:rPr>
          <w:rFonts w:asciiTheme="minorHAnsi" w:hAnsiTheme="minorHAnsi" w:cstheme="minorHAnsi"/>
          <w:i/>
          <w:iCs/>
        </w:rPr>
        <w:t>PEEL: Police effectiveness 2015 (vulnerability) - A national overview</w:t>
      </w:r>
      <w:r w:rsidRPr="00614DAD">
        <w:rPr>
          <w:rFonts w:asciiTheme="minorHAnsi" w:hAnsiTheme="minorHAnsi" w:cstheme="minorHAnsi"/>
        </w:rPr>
        <w:t xml:space="preserve">. [online] </w:t>
      </w:r>
      <w:r w:rsidRPr="00614DAD">
        <w:rPr>
          <w:rFonts w:asciiTheme="minorHAnsi" w:hAnsiTheme="minorHAnsi" w:cstheme="minorHAnsi"/>
          <w:i/>
          <w:iCs/>
        </w:rPr>
        <w:t>Justice Inspectorates</w:t>
      </w:r>
      <w:r w:rsidRPr="00614DAD">
        <w:rPr>
          <w:rFonts w:asciiTheme="minorHAnsi" w:hAnsiTheme="minorHAnsi" w:cstheme="minorHAnsi"/>
        </w:rPr>
        <w:t>. Justice Inspectorates: Her Majesty’s Inspectorate of Constabulary (HMIC). Available at: https://www.justiceinspectorates.gov.uk/hmicfrs/publications/police-effectiveness-vulnerability-2015/ [Accessed 4 Feb. 2023].</w:t>
      </w:r>
    </w:p>
    <w:p w14:paraId="7EE145A5"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Home Office (2022). </w:t>
      </w:r>
      <w:r w:rsidRPr="00614DAD">
        <w:rPr>
          <w:rFonts w:asciiTheme="minorHAnsi" w:hAnsiTheme="minorHAnsi" w:cstheme="minorHAnsi"/>
          <w:i/>
          <w:iCs/>
        </w:rPr>
        <w:t>Tackling Domestic Abuse Plan</w:t>
      </w:r>
      <w:r w:rsidRPr="00614DAD">
        <w:rPr>
          <w:rFonts w:asciiTheme="minorHAnsi" w:hAnsiTheme="minorHAnsi" w:cstheme="minorHAnsi"/>
        </w:rPr>
        <w:t>. [online] GOV.UK. Available at: https://www.gov.uk/government/publications/tackling-domestic-abuse-plan/tackling-domestic-abuse-plan-command-paper-639-accessible-version [Accessed 5 Feb. 2023].</w:t>
      </w:r>
    </w:p>
    <w:p w14:paraId="2339CE11"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Keay, S. and Kirby, S. (2017). Defining Vulnerability: From the Conceptual to the Operational. </w:t>
      </w:r>
      <w:r w:rsidRPr="00614DAD">
        <w:rPr>
          <w:rFonts w:asciiTheme="minorHAnsi" w:hAnsiTheme="minorHAnsi" w:cstheme="minorHAnsi"/>
          <w:i/>
          <w:iCs/>
        </w:rPr>
        <w:t>Policing: A Journal of Policy and Practice</w:t>
      </w:r>
      <w:r w:rsidRPr="00614DAD">
        <w:rPr>
          <w:rFonts w:asciiTheme="minorHAnsi" w:hAnsiTheme="minorHAnsi" w:cstheme="minorHAnsi"/>
        </w:rPr>
        <w:t>, 12(4), pp.428–438. doi:10.1093/police/pax046.</w:t>
      </w:r>
    </w:p>
    <w:p w14:paraId="7BA33737"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McLaughlin, H., Robbins, R., Bellamy, C. and Banks, C. (2014). </w:t>
      </w:r>
      <w:r w:rsidRPr="00614DAD">
        <w:rPr>
          <w:rFonts w:asciiTheme="minorHAnsi" w:hAnsiTheme="minorHAnsi" w:cstheme="minorHAnsi"/>
          <w:i/>
          <w:iCs/>
        </w:rPr>
        <w:t>To identify, and assess the effectiveness of social care’s, contribution to the development of Multi-Agency Risk Assessment Conferences and the protection of adults facing domestic violence</w:t>
      </w:r>
      <w:r w:rsidRPr="00614DAD">
        <w:rPr>
          <w:rFonts w:asciiTheme="minorHAnsi" w:hAnsiTheme="minorHAnsi" w:cstheme="minorHAnsi"/>
        </w:rPr>
        <w:t xml:space="preserve">. [online] </w:t>
      </w:r>
      <w:r w:rsidRPr="00614DAD">
        <w:rPr>
          <w:rFonts w:asciiTheme="minorHAnsi" w:hAnsiTheme="minorHAnsi" w:cstheme="minorHAnsi"/>
          <w:i/>
          <w:iCs/>
        </w:rPr>
        <w:t>School for Social Care Research</w:t>
      </w:r>
      <w:r w:rsidRPr="00614DAD">
        <w:rPr>
          <w:rFonts w:asciiTheme="minorHAnsi" w:hAnsiTheme="minorHAnsi" w:cstheme="minorHAnsi"/>
        </w:rPr>
        <w:t>. School for Social Care Research: Manchester Metropolitan University. Available at: https://www.sscr.nihr.ac.uk/wp-content/uploads/SSCR-research-findings_RF044.pdf [Accessed 4 Feb. 2023].</w:t>
      </w:r>
    </w:p>
    <w:p w14:paraId="3F8A3F67"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Ministry of Justice. (2015). </w:t>
      </w:r>
      <w:r w:rsidRPr="00614DAD">
        <w:rPr>
          <w:rFonts w:asciiTheme="minorHAnsi" w:hAnsiTheme="minorHAnsi" w:cstheme="minorHAnsi"/>
          <w:i/>
          <w:iCs/>
        </w:rPr>
        <w:t>Code of Practice for Victims of Crime</w:t>
      </w:r>
      <w:r w:rsidRPr="00614DAD">
        <w:rPr>
          <w:rFonts w:asciiTheme="minorHAnsi" w:hAnsiTheme="minorHAnsi" w:cstheme="minorHAnsi"/>
        </w:rPr>
        <w:t xml:space="preserve"> </w:t>
      </w:r>
    </w:p>
    <w:p w14:paraId="35AF272A"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Morgan, A., Boxall, H. and Brown, R. (2018). </w:t>
      </w:r>
      <w:r w:rsidRPr="00614DAD">
        <w:rPr>
          <w:rFonts w:asciiTheme="minorHAnsi" w:hAnsiTheme="minorHAnsi" w:cstheme="minorHAnsi"/>
          <w:i/>
          <w:iCs/>
        </w:rPr>
        <w:t>Targeting repeat domestic violence: Assessing short-term risk of reoffending</w:t>
      </w:r>
      <w:r w:rsidRPr="00614DAD">
        <w:rPr>
          <w:rFonts w:asciiTheme="minorHAnsi" w:hAnsiTheme="minorHAnsi" w:cstheme="minorHAnsi"/>
        </w:rPr>
        <w:t>. [online] Trends and Issues in Crime and Criminal Justice [Electronic Resource]. Available at: https://search.informit.org/doi/10.3316/informit.727610285202511 [Accessed 4 Feb. 2023].</w:t>
      </w:r>
    </w:p>
    <w:p w14:paraId="1B7E3A72"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Northumbria Police (2017). </w:t>
      </w:r>
      <w:r w:rsidRPr="00614DAD">
        <w:rPr>
          <w:rFonts w:asciiTheme="minorHAnsi" w:hAnsiTheme="minorHAnsi" w:cstheme="minorHAnsi"/>
          <w:i/>
          <w:iCs/>
        </w:rPr>
        <w:t>Protecting the vulnerable</w:t>
      </w:r>
      <w:r w:rsidRPr="00614DAD">
        <w:rPr>
          <w:rFonts w:asciiTheme="minorHAnsi" w:hAnsiTheme="minorHAnsi" w:cstheme="minorHAnsi"/>
        </w:rPr>
        <w:t>. [online] beta.northumbria.police.uk. Available at: https://beta.northumbria.police.uk/about-us/policies/crime/protecting-the-vulnerable/ [Accessed 4 Feb. 2023].</w:t>
      </w:r>
    </w:p>
    <w:p w14:paraId="5494E621"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NPCC (2018). </w:t>
      </w:r>
      <w:r w:rsidRPr="00614DAD">
        <w:rPr>
          <w:rFonts w:asciiTheme="minorHAnsi" w:hAnsiTheme="minorHAnsi" w:cstheme="minorHAnsi"/>
          <w:i/>
          <w:iCs/>
        </w:rPr>
        <w:t>National Vulnerability Action Plan 2018-2021</w:t>
      </w:r>
      <w:r w:rsidRPr="00614DAD">
        <w:rPr>
          <w:rFonts w:asciiTheme="minorHAnsi" w:hAnsiTheme="minorHAnsi" w:cstheme="minorHAnsi"/>
        </w:rPr>
        <w:t>. [online] Available at: https://www.npcc.police.uk/documents/crime/2018/National%20Vulnerability%20Action%20Plan_18_21.pdf.</w:t>
      </w:r>
    </w:p>
    <w:p w14:paraId="6F4D5B19"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ONS (2020). Domestic abuse victim characteristics, England and Wales: year ending March 2020. [online] Available at: https://www.ons.gov.uk/peoplepopulationandcommunity/crimeandjustice/articles/domesticabusevictimcharacteristicsenglandandwales/yearendingmarch2020 [Accessed 1 2023].</w:t>
      </w:r>
    </w:p>
    <w:p w14:paraId="05ACC97E"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Prenzler, T. and Fardell, L. (2017). Situational prevention of domestic violence: A review of security-based programs. </w:t>
      </w:r>
      <w:r w:rsidRPr="00614DAD">
        <w:rPr>
          <w:rFonts w:asciiTheme="minorHAnsi" w:hAnsiTheme="minorHAnsi" w:cstheme="minorHAnsi"/>
          <w:i/>
          <w:iCs/>
        </w:rPr>
        <w:t>Aggression and Violent Behavior</w:t>
      </w:r>
      <w:r w:rsidRPr="00614DAD">
        <w:rPr>
          <w:rFonts w:asciiTheme="minorHAnsi" w:hAnsiTheme="minorHAnsi" w:cstheme="minorHAnsi"/>
        </w:rPr>
        <w:t>, 34, pp.51–58. doi:10.1016/j.avb.2017.04.003.</w:t>
      </w:r>
    </w:p>
    <w:p w14:paraId="50BAA08B"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Reed, L. (2011). </w:t>
      </w:r>
      <w:r w:rsidRPr="00614DAD">
        <w:rPr>
          <w:rFonts w:asciiTheme="minorHAnsi" w:hAnsiTheme="minorHAnsi" w:cstheme="minorHAnsi"/>
          <w:i/>
          <w:iCs/>
        </w:rPr>
        <w:t>Why Clare’s Law won’t prevent domestic violence</w:t>
      </w:r>
      <w:r w:rsidRPr="00614DAD">
        <w:rPr>
          <w:rFonts w:asciiTheme="minorHAnsi" w:hAnsiTheme="minorHAnsi" w:cstheme="minorHAnsi"/>
        </w:rPr>
        <w:t>. [online] the Guardian. Available at: https://www.theguardian.com/society/2011/jul/22/why-clares-law-wont-prevent-domestic-violence [Accessed 26 May 2020].</w:t>
      </w:r>
    </w:p>
    <w:p w14:paraId="22ADD010"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Robbins, R., McLaughlin, H., Banks, C., Bellamy, C. and Thackray, D. (2014). Domestic violence and multi-agency risk assessment conferences (MARACs): a scoping review. </w:t>
      </w:r>
      <w:r w:rsidRPr="00614DAD">
        <w:rPr>
          <w:rFonts w:asciiTheme="minorHAnsi" w:hAnsiTheme="minorHAnsi" w:cstheme="minorHAnsi"/>
          <w:i/>
          <w:iCs/>
        </w:rPr>
        <w:t>The Journal of Adult Protection</w:t>
      </w:r>
      <w:r w:rsidRPr="00614DAD">
        <w:rPr>
          <w:rFonts w:asciiTheme="minorHAnsi" w:hAnsiTheme="minorHAnsi" w:cstheme="minorHAnsi"/>
        </w:rPr>
        <w:t>, 16(6), pp.389–398. doi:10.1108/jap-03-2014-0012.</w:t>
      </w:r>
    </w:p>
    <w:p w14:paraId="0113A7F2"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Robinson, A.L. (2004). </w:t>
      </w:r>
      <w:r w:rsidRPr="00614DAD">
        <w:rPr>
          <w:rFonts w:asciiTheme="minorHAnsi" w:hAnsiTheme="minorHAnsi" w:cstheme="minorHAnsi"/>
          <w:i/>
          <w:iCs/>
        </w:rPr>
        <w:t>Domestic Violence MARACs (Multi-Agency Risk Assessment Conferences) for Very High-Risk Victims in Cardiff, Wales: A Process and Outcome Evaluation</w:t>
      </w:r>
      <w:r w:rsidRPr="00614DAD">
        <w:rPr>
          <w:rFonts w:asciiTheme="minorHAnsi" w:hAnsiTheme="minorHAnsi" w:cstheme="minorHAnsi"/>
        </w:rPr>
        <w:t xml:space="preserve">. [online] </w:t>
      </w:r>
      <w:r w:rsidRPr="00614DAD">
        <w:rPr>
          <w:rFonts w:asciiTheme="minorHAnsi" w:hAnsiTheme="minorHAnsi" w:cstheme="minorHAnsi"/>
          <w:i/>
          <w:iCs/>
        </w:rPr>
        <w:t>Research Gate</w:t>
      </w:r>
      <w:r w:rsidRPr="00614DAD">
        <w:rPr>
          <w:rFonts w:asciiTheme="minorHAnsi" w:hAnsiTheme="minorHAnsi" w:cstheme="minorHAnsi"/>
        </w:rPr>
        <w:t>. Cardiff University. Available at: https://www.researchgate.net/publication/237442284_Domestic_Violence_MARACs_Multi-Agency_Risk_Assessment_Conferences_for_Very_High-Risk_Victims_in_Cardiff_Wales_A_Process_and_Outcome_Evaluation [Accessed 3 Feb. 2023].</w:t>
      </w:r>
    </w:p>
    <w:p w14:paraId="6A1E8FE1"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Robinson, A.L. (2014). </w:t>
      </w:r>
      <w:r w:rsidRPr="00614DAD">
        <w:rPr>
          <w:rFonts w:asciiTheme="minorHAnsi" w:hAnsiTheme="minorHAnsi" w:cstheme="minorHAnsi"/>
          <w:i/>
          <w:iCs/>
        </w:rPr>
        <w:t>INDEPENDENT DOMESTIC VIOLENCE ADVISORS: a process evaluation</w:t>
      </w:r>
      <w:r w:rsidRPr="00614DAD">
        <w:rPr>
          <w:rFonts w:asciiTheme="minorHAnsi" w:hAnsiTheme="minorHAnsi" w:cstheme="minorHAnsi"/>
        </w:rPr>
        <w:t xml:space="preserve">. [online] </w:t>
      </w:r>
      <w:r w:rsidRPr="00614DAD">
        <w:rPr>
          <w:rFonts w:asciiTheme="minorHAnsi" w:hAnsiTheme="minorHAnsi" w:cstheme="minorHAnsi"/>
          <w:i/>
          <w:iCs/>
        </w:rPr>
        <w:t>Research Gate</w:t>
      </w:r>
      <w:r w:rsidRPr="00614DAD">
        <w:rPr>
          <w:rFonts w:asciiTheme="minorHAnsi" w:hAnsiTheme="minorHAnsi" w:cstheme="minorHAnsi"/>
        </w:rPr>
        <w:t>. Cardiff University. Available at: https://www.researchgate.net/publication/242603150_INDEPENDENT_DOMESTIC_VIOLENCE_ADVISORS_a_process_evaluation [Accessed 3 Feb. 2023].</w:t>
      </w:r>
    </w:p>
    <w:p w14:paraId="3182A7F2"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Ross, J., Sebire, J. and Strang, H. (2022). Tracking Repeat Victimisation After Domestic Abuse Cases Are Heard With and Without Independent Domestic Violence Advisors (IDVAs) in an English Magistrate’s Court. </w:t>
      </w:r>
      <w:r w:rsidRPr="00614DAD">
        <w:rPr>
          <w:rFonts w:asciiTheme="minorHAnsi" w:hAnsiTheme="minorHAnsi" w:cstheme="minorHAnsi"/>
          <w:i/>
          <w:iCs/>
        </w:rPr>
        <w:t>Cambridge Journal of Evidence-Based Policing</w:t>
      </w:r>
      <w:r w:rsidRPr="00614DAD">
        <w:rPr>
          <w:rFonts w:asciiTheme="minorHAnsi" w:hAnsiTheme="minorHAnsi" w:cstheme="minorHAnsi"/>
        </w:rPr>
        <w:t>, 6, pp.54–68. doi:10.1007/s41887-022-00072-z.</w:t>
      </w:r>
    </w:p>
    <w:p w14:paraId="7C71C1DB"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Secretary of State and HM Gov (2020). </w:t>
      </w:r>
      <w:r w:rsidRPr="00614DAD">
        <w:rPr>
          <w:rFonts w:asciiTheme="minorHAnsi" w:hAnsiTheme="minorHAnsi" w:cstheme="minorHAnsi"/>
          <w:i/>
          <w:iCs/>
        </w:rPr>
        <w:t>Tackling Domestic Abuse Plan</w:t>
      </w:r>
      <w:r w:rsidRPr="00614DAD">
        <w:rPr>
          <w:rFonts w:asciiTheme="minorHAnsi" w:hAnsiTheme="minorHAnsi" w:cstheme="minorHAnsi"/>
        </w:rPr>
        <w:t xml:space="preserve">. [online] </w:t>
      </w:r>
      <w:r w:rsidRPr="00614DAD">
        <w:rPr>
          <w:rFonts w:asciiTheme="minorHAnsi" w:hAnsiTheme="minorHAnsi" w:cstheme="minorHAnsi"/>
          <w:i/>
          <w:iCs/>
        </w:rPr>
        <w:t>Gov.uk</w:t>
      </w:r>
      <w:r w:rsidRPr="00614DAD">
        <w:rPr>
          <w:rFonts w:asciiTheme="minorHAnsi" w:hAnsiTheme="minorHAnsi" w:cstheme="minorHAnsi"/>
        </w:rPr>
        <w:t>. Available at: https://assets.publishing.service.gov.uk/government/uploads/system/uploads/attachment_data/file/1064427/E02735263_Tackling_Domestic_Abuse_CP_639_Accessible.pdf [Accessed 19 Jan. 2023].</w:t>
      </w:r>
    </w:p>
    <w:p w14:paraId="3326F1AF"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Shovel, M. (2023). </w:t>
      </w:r>
      <w:r w:rsidRPr="00614DAD">
        <w:rPr>
          <w:rFonts w:asciiTheme="minorHAnsi" w:hAnsiTheme="minorHAnsi" w:cstheme="minorHAnsi"/>
          <w:i/>
          <w:iCs/>
        </w:rPr>
        <w:t>Policing domestic abuse – case study of an English police force</w:t>
      </w:r>
      <w:r w:rsidRPr="00614DAD">
        <w:rPr>
          <w:rFonts w:asciiTheme="minorHAnsi" w:hAnsiTheme="minorHAnsi" w:cstheme="minorHAnsi"/>
        </w:rPr>
        <w:t>. [online] Available at: https://www.college.police.uk/research/projects/policing-domestic-abuse-case-study-english-police-force [Accessed 4 Feb. 2023]. Overview of Project started on 10/2018.</w:t>
      </w:r>
    </w:p>
    <w:p w14:paraId="78129B9D"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Taft, A., Hegarty, K. and Flood, M. (2001). Are men and women equally violent to intimate partners? </w:t>
      </w:r>
      <w:r w:rsidRPr="00614DAD">
        <w:rPr>
          <w:rFonts w:asciiTheme="minorHAnsi" w:hAnsiTheme="minorHAnsi" w:cstheme="minorHAnsi"/>
          <w:i/>
          <w:iCs/>
        </w:rPr>
        <w:t>Australian and New Zealand Journal of Public Health</w:t>
      </w:r>
      <w:r w:rsidRPr="00614DAD">
        <w:rPr>
          <w:rFonts w:asciiTheme="minorHAnsi" w:hAnsiTheme="minorHAnsi" w:cstheme="minorHAnsi"/>
        </w:rPr>
        <w:t>, 25(6), pp.498–500. doi:10.1111/j.1467-842x.2001.tb00311.x.</w:t>
      </w:r>
    </w:p>
    <w:p w14:paraId="7CE8DC74"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The Vale of Glamorgan Council (2019). </w:t>
      </w:r>
      <w:r w:rsidRPr="00614DAD">
        <w:rPr>
          <w:rFonts w:asciiTheme="minorHAnsi" w:hAnsiTheme="minorHAnsi" w:cstheme="minorHAnsi"/>
          <w:i/>
          <w:iCs/>
        </w:rPr>
        <w:t>Target Hardening to the Homes of Victims of Domestic Abuse</w:t>
      </w:r>
      <w:r w:rsidRPr="00614DAD">
        <w:rPr>
          <w:rFonts w:asciiTheme="minorHAnsi" w:hAnsiTheme="minorHAnsi" w:cstheme="minorHAnsi"/>
        </w:rPr>
        <w:t xml:space="preserve">. [online] </w:t>
      </w:r>
      <w:r w:rsidRPr="00614DAD">
        <w:rPr>
          <w:rFonts w:asciiTheme="minorHAnsi" w:hAnsiTheme="minorHAnsi" w:cstheme="minorHAnsi"/>
          <w:i/>
          <w:iCs/>
        </w:rPr>
        <w:t>Vale of Glamorgan.gov</w:t>
      </w:r>
      <w:r w:rsidRPr="00614DAD">
        <w:rPr>
          <w:rFonts w:asciiTheme="minorHAnsi" w:hAnsiTheme="minorHAnsi" w:cstheme="minorHAnsi"/>
        </w:rPr>
        <w:t>. Vale of Glamorgan Council. Available at: https://www.valeofglamorgan.gov.uk/Documents/_Committee%20Reports/Cabinet/2018/18-11-19/Target-Hardening-to-the-Homes-of-Victims-of-Domestic-Abuse.pdf [Accessed 31 Jan. 2023].</w:t>
      </w:r>
    </w:p>
    <w:p w14:paraId="0C5E4940"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Turner, E., medina, J. and Brown, G. (2019). Dashing Hopes? the Predictive Accuracy of Domestic Abuse Risk Assessment by Police. </w:t>
      </w:r>
      <w:r w:rsidRPr="00614DAD">
        <w:rPr>
          <w:rFonts w:asciiTheme="minorHAnsi" w:hAnsiTheme="minorHAnsi" w:cstheme="minorHAnsi"/>
          <w:i/>
          <w:iCs/>
        </w:rPr>
        <w:t>British Journal of Criminology</w:t>
      </w:r>
      <w:r w:rsidRPr="00614DAD">
        <w:rPr>
          <w:rFonts w:asciiTheme="minorHAnsi" w:hAnsiTheme="minorHAnsi" w:cstheme="minorHAnsi"/>
        </w:rPr>
        <w:t>, 59(5). doi:10.1093/bjc/azy074.</w:t>
      </w:r>
    </w:p>
    <w:p w14:paraId="182CE083" w14:textId="77777777" w:rsidR="00614DAD" w:rsidRPr="00614DAD" w:rsidRDefault="00614DAD" w:rsidP="00614DAD">
      <w:pPr>
        <w:pStyle w:val="NormalWeb"/>
        <w:spacing w:before="0" w:beforeAutospacing="0" w:after="240" w:afterAutospacing="0" w:line="360" w:lineRule="auto"/>
        <w:rPr>
          <w:rFonts w:asciiTheme="minorHAnsi" w:hAnsiTheme="minorHAnsi" w:cstheme="minorHAnsi"/>
        </w:rPr>
      </w:pPr>
      <w:r w:rsidRPr="00614DAD">
        <w:rPr>
          <w:rFonts w:asciiTheme="minorHAnsi" w:hAnsiTheme="minorHAnsi" w:cstheme="minorHAnsi"/>
        </w:rPr>
        <w:t xml:space="preserve">Women's Aid (2019). </w:t>
      </w:r>
      <w:r w:rsidRPr="00614DAD">
        <w:rPr>
          <w:rFonts w:asciiTheme="minorHAnsi" w:hAnsiTheme="minorHAnsi" w:cstheme="minorHAnsi"/>
          <w:i/>
          <w:iCs/>
        </w:rPr>
        <w:t>How Common Is Domestic abuse? - Womens Aid</w:t>
      </w:r>
      <w:r w:rsidRPr="00614DAD">
        <w:rPr>
          <w:rFonts w:asciiTheme="minorHAnsi" w:hAnsiTheme="minorHAnsi" w:cstheme="minorHAnsi"/>
        </w:rPr>
        <w:t>. [online] Womens Aid. Available at: https://www.womensaid.org.uk/information-support/what-is-domestic-abuse/how-common-is-domestic-abuse/ [Accessed 4 Feb. 2023].</w:t>
      </w:r>
    </w:p>
    <w:p w14:paraId="791E5F2A" w14:textId="77777777" w:rsidR="00614DAD" w:rsidRPr="00614DAD" w:rsidRDefault="00614DAD" w:rsidP="00614DAD"/>
    <w:sectPr w:rsidR="00614DAD" w:rsidRPr="00614DA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A60FA" w14:textId="77777777" w:rsidR="003530AC" w:rsidRDefault="003530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6B2DD" w14:textId="77777777" w:rsidR="003530AC" w:rsidRDefault="003530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28B48" w14:textId="77777777" w:rsidR="003530AC" w:rsidRDefault="003530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57921" w14:textId="77777777" w:rsidR="003530AC" w:rsidRDefault="003530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C2D70" w14:textId="77777777" w:rsidR="003530AC" w:rsidRDefault="003530AC">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AF027FA4"/>
    <w:lvl w:ilvl="0" w:tplc="13700FD0">
      <w:start w:val="1"/>
      <w:numFmt w:val="decimal"/>
      <w:lvlText w:val="%1."/>
      <w:lvlJc w:val="left"/>
      <w:pPr>
        <w:ind w:left="720" w:hanging="360"/>
      </w:pPr>
    </w:lvl>
    <w:lvl w:ilvl="1" w:tplc="DE9CB0A0">
      <w:start w:val="1"/>
      <w:numFmt w:val="lowerLetter"/>
      <w:lvlText w:val="%2."/>
      <w:lvlJc w:val="left"/>
      <w:pPr>
        <w:ind w:left="1440" w:hanging="360"/>
      </w:pPr>
    </w:lvl>
    <w:lvl w:ilvl="2" w:tplc="A1D85798">
      <w:start w:val="1"/>
      <w:numFmt w:val="lowerRoman"/>
      <w:lvlText w:val="%3."/>
      <w:lvlJc w:val="right"/>
      <w:pPr>
        <w:ind w:left="2160" w:hanging="180"/>
      </w:pPr>
    </w:lvl>
    <w:lvl w:ilvl="3" w:tplc="C2749432">
      <w:start w:val="1"/>
      <w:numFmt w:val="decimal"/>
      <w:lvlText w:val="%4."/>
      <w:lvlJc w:val="left"/>
      <w:pPr>
        <w:ind w:left="2880" w:hanging="360"/>
      </w:pPr>
    </w:lvl>
    <w:lvl w:ilvl="4" w:tplc="A9E085E8">
      <w:start w:val="1"/>
      <w:numFmt w:val="lowerLetter"/>
      <w:lvlText w:val="%5."/>
      <w:lvlJc w:val="left"/>
      <w:pPr>
        <w:ind w:left="3600" w:hanging="360"/>
      </w:pPr>
    </w:lvl>
    <w:lvl w:ilvl="5" w:tplc="741A8104">
      <w:start w:val="1"/>
      <w:numFmt w:val="lowerRoman"/>
      <w:lvlText w:val="%6."/>
      <w:lvlJc w:val="right"/>
      <w:pPr>
        <w:ind w:left="4320" w:hanging="180"/>
      </w:pPr>
    </w:lvl>
    <w:lvl w:ilvl="6" w:tplc="F97479F6">
      <w:start w:val="1"/>
      <w:numFmt w:val="decimal"/>
      <w:lvlText w:val="%7."/>
      <w:lvlJc w:val="left"/>
      <w:pPr>
        <w:ind w:left="5040" w:hanging="360"/>
      </w:pPr>
    </w:lvl>
    <w:lvl w:ilvl="7" w:tplc="3DCE6B06">
      <w:start w:val="1"/>
      <w:numFmt w:val="lowerLetter"/>
      <w:lvlText w:val="%8."/>
      <w:lvlJc w:val="left"/>
      <w:pPr>
        <w:ind w:left="5760" w:hanging="360"/>
      </w:pPr>
    </w:lvl>
    <w:lvl w:ilvl="8" w:tplc="59880B18">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980CA1C6"/>
    <w:lvl w:ilvl="0" w:tplc="C622C146">
      <w:start w:val="1"/>
      <w:numFmt w:val="decimal"/>
      <w:lvlText w:val="%1."/>
      <w:lvlJc w:val="left"/>
      <w:pPr>
        <w:ind w:left="720" w:hanging="360"/>
      </w:pPr>
    </w:lvl>
    <w:lvl w:ilvl="1" w:tplc="337A2B10">
      <w:start w:val="1"/>
      <w:numFmt w:val="decimal"/>
      <w:lvlText w:val="%2."/>
      <w:lvlJc w:val="left"/>
      <w:pPr>
        <w:ind w:left="1440" w:hanging="360"/>
      </w:pPr>
    </w:lvl>
    <w:lvl w:ilvl="2" w:tplc="5A665C0C">
      <w:start w:val="1"/>
      <w:numFmt w:val="lowerRoman"/>
      <w:lvlText w:val="%3."/>
      <w:lvlJc w:val="right"/>
      <w:pPr>
        <w:ind w:left="2160" w:hanging="180"/>
      </w:pPr>
    </w:lvl>
    <w:lvl w:ilvl="3" w:tplc="BC14ECF4">
      <w:start w:val="1"/>
      <w:numFmt w:val="decimal"/>
      <w:lvlText w:val="%4."/>
      <w:lvlJc w:val="left"/>
      <w:pPr>
        <w:ind w:left="2880" w:hanging="360"/>
      </w:pPr>
    </w:lvl>
    <w:lvl w:ilvl="4" w:tplc="E6C83DB4">
      <w:start w:val="1"/>
      <w:numFmt w:val="lowerLetter"/>
      <w:lvlText w:val="%5."/>
      <w:lvlJc w:val="left"/>
      <w:pPr>
        <w:ind w:left="3600" w:hanging="360"/>
      </w:pPr>
    </w:lvl>
    <w:lvl w:ilvl="5" w:tplc="A2BA33FC">
      <w:start w:val="1"/>
      <w:numFmt w:val="lowerRoman"/>
      <w:lvlText w:val="%6."/>
      <w:lvlJc w:val="right"/>
      <w:pPr>
        <w:ind w:left="4320" w:hanging="180"/>
      </w:pPr>
    </w:lvl>
    <w:lvl w:ilvl="6" w:tplc="B3F07F8C">
      <w:start w:val="1"/>
      <w:numFmt w:val="decimal"/>
      <w:lvlText w:val="%7."/>
      <w:lvlJc w:val="left"/>
      <w:pPr>
        <w:ind w:left="5040" w:hanging="360"/>
      </w:pPr>
    </w:lvl>
    <w:lvl w:ilvl="7" w:tplc="7B222B00">
      <w:start w:val="1"/>
      <w:numFmt w:val="lowerLetter"/>
      <w:lvlText w:val="%8."/>
      <w:lvlJc w:val="left"/>
      <w:pPr>
        <w:ind w:left="5760" w:hanging="360"/>
      </w:pPr>
    </w:lvl>
    <w:lvl w:ilvl="8" w:tplc="1DCEC81A">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4763308">
    <w:abstractNumId w:val="47"/>
  </w:num>
  <w:num w:numId="2" w16cid:durableId="1914578954">
    <w:abstractNumId w:val="10"/>
  </w:num>
  <w:num w:numId="3" w16cid:durableId="1376664141">
    <w:abstractNumId w:val="1"/>
    <w:lvlOverride w:ilvl="0">
      <w:lvl w:ilvl="0">
        <w:start w:val="1"/>
        <w:numFmt w:val="bullet"/>
        <w:lvlText w:val=""/>
        <w:lvlJc w:val="left"/>
        <w:pPr>
          <w:ind w:left="720" w:hanging="360"/>
        </w:pPr>
        <w:rPr>
          <w:rFonts w:ascii="Symbol" w:hAnsi="Symbol" w:hint="default"/>
        </w:rPr>
      </w:lvl>
    </w:lvlOverride>
  </w:num>
  <w:num w:numId="4" w16cid:durableId="1018239560">
    <w:abstractNumId w:val="22"/>
  </w:num>
  <w:num w:numId="5" w16cid:durableId="173617189">
    <w:abstractNumId w:val="44"/>
  </w:num>
  <w:num w:numId="6" w16cid:durableId="1249932">
    <w:abstractNumId w:val="46"/>
  </w:num>
  <w:num w:numId="7" w16cid:durableId="926890161">
    <w:abstractNumId w:val="34"/>
  </w:num>
  <w:num w:numId="8" w16cid:durableId="375740145">
    <w:abstractNumId w:val="32"/>
  </w:num>
  <w:num w:numId="9" w16cid:durableId="264971127">
    <w:abstractNumId w:val="29"/>
  </w:num>
  <w:num w:numId="10" w16cid:durableId="702902548">
    <w:abstractNumId w:val="30"/>
  </w:num>
  <w:num w:numId="11" w16cid:durableId="582765694">
    <w:abstractNumId w:val="9"/>
  </w:num>
  <w:num w:numId="12" w16cid:durableId="1287812005">
    <w:abstractNumId w:val="33"/>
  </w:num>
  <w:num w:numId="13" w16cid:durableId="147788761">
    <w:abstractNumId w:val="17"/>
  </w:num>
  <w:num w:numId="14" w16cid:durableId="2050565126">
    <w:abstractNumId w:val="16"/>
  </w:num>
  <w:num w:numId="15" w16cid:durableId="969288585">
    <w:abstractNumId w:val="26"/>
  </w:num>
  <w:num w:numId="16" w16cid:durableId="1306199525">
    <w:abstractNumId w:val="7"/>
  </w:num>
  <w:num w:numId="17" w16cid:durableId="775835124">
    <w:abstractNumId w:val="25"/>
  </w:num>
  <w:num w:numId="18" w16cid:durableId="892425132">
    <w:abstractNumId w:val="15"/>
  </w:num>
  <w:num w:numId="19" w16cid:durableId="1196844475">
    <w:abstractNumId w:val="13"/>
  </w:num>
  <w:num w:numId="20" w16cid:durableId="160118004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76596936">
    <w:abstractNumId w:val="23"/>
  </w:num>
  <w:num w:numId="22" w16cid:durableId="293021971">
    <w:abstractNumId w:val="18"/>
  </w:num>
  <w:num w:numId="23" w16cid:durableId="1182620443">
    <w:abstractNumId w:val="14"/>
  </w:num>
  <w:num w:numId="24" w16cid:durableId="806552705">
    <w:abstractNumId w:val="11"/>
  </w:num>
  <w:num w:numId="25" w16cid:durableId="1260407524">
    <w:abstractNumId w:val="27"/>
  </w:num>
  <w:num w:numId="26" w16cid:durableId="1282305331">
    <w:abstractNumId w:val="19"/>
  </w:num>
  <w:num w:numId="27" w16cid:durableId="1924024659">
    <w:abstractNumId w:val="40"/>
  </w:num>
  <w:num w:numId="28" w16cid:durableId="1324971876">
    <w:abstractNumId w:val="35"/>
  </w:num>
  <w:num w:numId="29" w16cid:durableId="686441592">
    <w:abstractNumId w:val="39"/>
  </w:num>
  <w:num w:numId="30" w16cid:durableId="1530336839">
    <w:abstractNumId w:val="20"/>
  </w:num>
  <w:num w:numId="31" w16cid:durableId="763378459">
    <w:abstractNumId w:val="42"/>
  </w:num>
  <w:num w:numId="32" w16cid:durableId="776756852">
    <w:abstractNumId w:val="31"/>
  </w:num>
  <w:num w:numId="33" w16cid:durableId="87622548">
    <w:abstractNumId w:val="12"/>
  </w:num>
  <w:num w:numId="34" w16cid:durableId="292057925">
    <w:abstractNumId w:val="43"/>
  </w:num>
  <w:num w:numId="35" w16cid:durableId="1426801217">
    <w:abstractNumId w:val="38"/>
  </w:num>
  <w:num w:numId="36" w16cid:durableId="1987927475">
    <w:abstractNumId w:val="4"/>
  </w:num>
  <w:num w:numId="37" w16cid:durableId="355734757">
    <w:abstractNumId w:val="45"/>
  </w:num>
  <w:num w:numId="38" w16cid:durableId="1143503002">
    <w:abstractNumId w:val="41"/>
  </w:num>
  <w:num w:numId="39" w16cid:durableId="1540513278">
    <w:abstractNumId w:val="36"/>
  </w:num>
  <w:num w:numId="40" w16cid:durableId="292371922">
    <w:abstractNumId w:val="37"/>
  </w:num>
  <w:num w:numId="41" w16cid:durableId="2043552309">
    <w:abstractNumId w:val="3"/>
  </w:num>
  <w:num w:numId="42" w16cid:durableId="500968710">
    <w:abstractNumId w:val="5"/>
  </w:num>
  <w:num w:numId="43" w16cid:durableId="1286234777">
    <w:abstractNumId w:val="24"/>
  </w:num>
  <w:num w:numId="44" w16cid:durableId="689333282">
    <w:abstractNumId w:val="6"/>
  </w:num>
  <w:num w:numId="45" w16cid:durableId="1113019811">
    <w:abstractNumId w:val="2"/>
  </w:num>
  <w:num w:numId="46" w16cid:durableId="820005937">
    <w:abstractNumId w:val="0"/>
  </w:num>
  <w:num w:numId="47" w16cid:durableId="1831559914">
    <w:abstractNumId w:val="21"/>
  </w:num>
  <w:num w:numId="48" w16cid:durableId="207768678">
    <w:abstractNumId w:val="28"/>
  </w:num>
  <w:num w:numId="49" w16cid:durableId="2054694691">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30AC"/>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4DAD"/>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24E9"/>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0F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614DA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8650238">
      <w:bodyDiv w:val="1"/>
      <w:marLeft w:val="0"/>
      <w:marRight w:val="0"/>
      <w:marTop w:val="0"/>
      <w:marBottom w:val="0"/>
      <w:divBdr>
        <w:top w:val="none" w:sz="0" w:space="0" w:color="auto"/>
        <w:left w:val="none" w:sz="0" w:space="0" w:color="auto"/>
        <w:bottom w:val="none" w:sz="0" w:space="0" w:color="auto"/>
        <w:right w:val="none" w:sz="0" w:space="0" w:color="auto"/>
      </w:divBdr>
      <w:divsChild>
        <w:div w:id="17577504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6492</Words>
  <Characters>38810</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Evans,Jessica swp6975</cp:lastModifiedBy>
  <cp:revision>2</cp:revision>
  <cp:lastPrinted>2014-08-26T08:55:00Z</cp:lastPrinted>
  <dcterms:created xsi:type="dcterms:W3CDTF">2023-02-05T13:10:00Z</dcterms:created>
  <dcterms:modified xsi:type="dcterms:W3CDTF">2023-02-05T13:10:00Z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2023-02-05T13:10:45Z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a5810406-01d1-4d1f-8311-3dac17a958d1</vt:lpwstr>
  </property>
  <property fmtid="{D5CDD505-2E9C-101B-9397-08002B2CF9AE}" pid="9" name="MSIP_Label_66cf8fe5-b7b7-4df7-b38d-1c61ac2f6639_ContentBits">
    <vt:lpwstr>0</vt:lpwstr>
  </property>
</Properties>
</file>